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hint="eastAsia" w:ascii="宋体"/>
          <w:b/>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32"/>
        </w:rPr>
      </w:pPr>
      <w:r>
        <w:rPr>
          <w:rFonts w:hint="eastAsia" w:ascii="宋体"/>
          <w:b/>
          <w:kern w:val="0"/>
          <w:sz w:val="32"/>
        </w:rPr>
        <w:t>TZCG-20</w:t>
      </w:r>
      <w:bookmarkStart w:id="111" w:name="_GoBack"/>
      <w:bookmarkEnd w:id="111"/>
      <w:r>
        <w:rPr>
          <w:rFonts w:hint="eastAsia" w:ascii="宋体"/>
          <w:b/>
          <w:kern w:val="0"/>
          <w:sz w:val="32"/>
        </w:rPr>
        <w:t>22-GK025号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jc w:val="center"/>
        <w:rPr>
          <w:rFonts w:ascii="宋体"/>
          <w:kern w:val="0"/>
          <w:sz w:val="28"/>
        </w:rPr>
      </w:pPr>
      <w:r>
        <w:rPr>
          <w:rFonts w:hint="eastAsia" w:ascii="宋体"/>
          <w:kern w:val="0"/>
          <w:sz w:val="28"/>
        </w:rPr>
        <w:t>采购项目：数字孪生椒江建设先行先试项目</w:t>
      </w:r>
    </w:p>
    <w:p>
      <w:pPr>
        <w:autoSpaceDE w:val="0"/>
        <w:autoSpaceDN w:val="0"/>
        <w:adjustRightInd w:val="0"/>
        <w:spacing w:line="360" w:lineRule="auto"/>
        <w:jc w:val="center"/>
        <w:rPr>
          <w:rFonts w:ascii="宋体"/>
          <w:kern w:val="0"/>
          <w:sz w:val="28"/>
        </w:rPr>
      </w:pPr>
      <w:r>
        <w:rPr>
          <w:rFonts w:hint="eastAsia" w:ascii="宋体"/>
          <w:kern w:val="0"/>
          <w:sz w:val="28"/>
        </w:rPr>
        <w:t>采 购 人：台州市水利局</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color w:val="auto"/>
        </w:rPr>
      </w:pPr>
      <w:r>
        <w:rPr>
          <w:rFonts w:hint="eastAsia" w:ascii="宋体" w:hAnsi="宋体" w:cs="宋体"/>
          <w:color w:val="auto"/>
          <w:kern w:val="0"/>
          <w:sz w:val="28"/>
          <w:szCs w:val="28"/>
        </w:rPr>
        <w:t xml:space="preserve">2022 年 </w:t>
      </w:r>
      <w:r>
        <w:rPr>
          <w:rFonts w:hint="eastAsia" w:ascii="宋体" w:hAnsi="宋体" w:cs="宋体"/>
          <w:color w:val="auto"/>
          <w:kern w:val="0"/>
          <w:sz w:val="28"/>
          <w:szCs w:val="28"/>
          <w:lang w:val="en-US" w:eastAsia="zh-CN"/>
        </w:rPr>
        <w:t>9</w:t>
      </w:r>
      <w:r>
        <w:rPr>
          <w:rFonts w:hint="eastAsia" w:ascii="宋体" w:hAnsi="宋体" w:cs="宋体"/>
          <w:color w:val="auto"/>
          <w:kern w:val="0"/>
          <w:sz w:val="28"/>
          <w:szCs w:val="28"/>
        </w:rPr>
        <w:t xml:space="preserve"> 月 </w:t>
      </w:r>
      <w:r>
        <w:rPr>
          <w:rFonts w:hint="eastAsia" w:ascii="宋体" w:hAnsi="宋体" w:cs="宋体"/>
          <w:color w:val="auto"/>
          <w:kern w:val="0"/>
          <w:sz w:val="28"/>
          <w:szCs w:val="28"/>
          <w:lang w:val="en-US" w:eastAsia="zh-CN"/>
        </w:rPr>
        <w:t>26</w:t>
      </w:r>
      <w:r>
        <w:rPr>
          <w:rFonts w:hint="eastAsia" w:ascii="宋体" w:hAnsi="宋体" w:cs="宋体"/>
          <w:color w:val="auto"/>
          <w:kern w:val="0"/>
          <w:sz w:val="28"/>
          <w:szCs w:val="28"/>
        </w:rPr>
        <w:t xml:space="preserve"> 日</w:t>
      </w:r>
    </w:p>
    <w:p>
      <w:pPr>
        <w:spacing w:line="360" w:lineRule="auto"/>
      </w:pPr>
    </w:p>
    <w:p>
      <w:pPr>
        <w:pStyle w:val="25"/>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5"/>
            <w:tabs>
              <w:tab w:val="right" w:leader="dot" w:pos="8620"/>
            </w:tabs>
            <w:rPr>
              <w:rFonts w:eastAsiaTheme="minorEastAsia" w:cstheme="minorBidi"/>
              <w:sz w:val="28"/>
              <w:szCs w:val="28"/>
            </w:rPr>
          </w:pPr>
          <w:r>
            <w:fldChar w:fldCharType="begin"/>
          </w:r>
          <w:r>
            <w:instrText xml:space="preserve"> HYPERLINK \l "_Toc4350_WPSOffice_Level1" </w:instrText>
          </w:r>
          <w: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5"/>
            <w:tabs>
              <w:tab w:val="right" w:leader="dot" w:pos="8620"/>
            </w:tabs>
            <w:rPr>
              <w:rFonts w:eastAsiaTheme="minorEastAsia" w:cstheme="minorBidi"/>
              <w:sz w:val="28"/>
              <w:szCs w:val="28"/>
            </w:rPr>
          </w:pPr>
          <w:r>
            <w:fldChar w:fldCharType="begin"/>
          </w:r>
          <w:r>
            <w:instrText xml:space="preserve"> HYPERLINK \l "_Toc25017_WPSOffice_Level1" </w:instrText>
          </w:r>
          <w: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5"/>
            <w:tabs>
              <w:tab w:val="right" w:leader="dot" w:pos="8620"/>
            </w:tabs>
            <w:ind w:right="638" w:rightChars="304"/>
            <w:rPr>
              <w:rFonts w:hint="eastAsia" w:eastAsiaTheme="minorEastAsia" w:cstheme="minorBidi"/>
              <w:sz w:val="28"/>
              <w:szCs w:val="28"/>
              <w:lang w:eastAsia="zh-CN"/>
            </w:rPr>
          </w:pPr>
          <w:r>
            <w:fldChar w:fldCharType="begin"/>
          </w:r>
          <w:r>
            <w:instrText xml:space="preserve"> HYPERLINK \l "_Toc13072_WPSOffice_Level1" </w:instrText>
          </w:r>
          <w: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p>
          <w:pPr>
            <w:pStyle w:val="15"/>
            <w:tabs>
              <w:tab w:val="right" w:leader="dot" w:pos="8620"/>
            </w:tabs>
            <w:rPr>
              <w:rFonts w:hint="eastAsia" w:eastAsiaTheme="minorEastAsia" w:cstheme="minorBidi"/>
              <w:sz w:val="28"/>
              <w:szCs w:val="28"/>
              <w:lang w:val="en-US" w:eastAsia="zh-CN"/>
            </w:rPr>
          </w:pPr>
          <w:r>
            <w:fldChar w:fldCharType="begin"/>
          </w:r>
          <w:r>
            <w:instrText xml:space="preserve"> HYPERLINK \l "_Toc31173_WPSOffice_Level1" </w:instrText>
          </w:r>
          <w:r>
            <w:fldChar w:fldCharType="separate"/>
          </w:r>
          <w:r>
            <w:rPr>
              <w:rFonts w:hint="eastAsia" w:eastAsiaTheme="minorEastAsia" w:cstheme="minorBidi"/>
              <w:sz w:val="28"/>
              <w:szCs w:val="28"/>
            </w:rPr>
            <w:t>第四章 评标</w:t>
          </w:r>
          <w:r>
            <w:rPr>
              <w:rFonts w:eastAsiaTheme="minorEastAsia" w:cstheme="minorBidi"/>
              <w:sz w:val="28"/>
              <w:szCs w:val="28"/>
            </w:rPr>
            <w:tab/>
          </w:r>
          <w:r>
            <w:rPr>
              <w:rFonts w:hint="eastAsia" w:eastAsiaTheme="minorEastAsia" w:cstheme="minorBidi"/>
              <w:sz w:val="28"/>
              <w:szCs w:val="28"/>
              <w:lang w:val="en-US" w:eastAsia="zh-CN"/>
            </w:rPr>
            <w:t>3</w:t>
          </w:r>
          <w:r>
            <w:rPr>
              <w:rFonts w:eastAsiaTheme="minorEastAsia" w:cstheme="minorBidi"/>
              <w:sz w:val="28"/>
              <w:szCs w:val="28"/>
            </w:rPr>
            <w:fldChar w:fldCharType="end"/>
          </w:r>
          <w:r>
            <w:rPr>
              <w:rFonts w:hint="eastAsia" w:eastAsiaTheme="minorEastAsia" w:cstheme="minorBidi"/>
              <w:sz w:val="28"/>
              <w:szCs w:val="28"/>
              <w:lang w:val="en-US" w:eastAsia="zh-CN"/>
            </w:rPr>
            <w:t>1</w:t>
          </w:r>
        </w:p>
        <w:p>
          <w:pPr>
            <w:pStyle w:val="15"/>
            <w:tabs>
              <w:tab w:val="right" w:leader="dot" w:pos="8620"/>
            </w:tabs>
            <w:rPr>
              <w:rFonts w:hint="eastAsia" w:eastAsiaTheme="minorEastAsia" w:cstheme="minorBidi"/>
              <w:sz w:val="28"/>
              <w:szCs w:val="28"/>
              <w:lang w:val="en-US" w:eastAsia="zh-CN"/>
            </w:rPr>
          </w:pPr>
          <w:r>
            <w:fldChar w:fldCharType="begin"/>
          </w:r>
          <w:r>
            <w:instrText xml:space="preserve"> HYPERLINK \l "_Toc27944_WPSOffice_Level1" </w:instrText>
          </w:r>
          <w: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r>
            <w:rPr>
              <w:rFonts w:hint="eastAsia" w:eastAsiaTheme="minorEastAsia" w:cstheme="minorBidi"/>
              <w:sz w:val="28"/>
              <w:szCs w:val="28"/>
              <w:lang w:val="en-US" w:eastAsia="zh-CN"/>
            </w:rPr>
            <w:t>4</w:t>
          </w:r>
          <w:r>
            <w:rPr>
              <w:rFonts w:eastAsiaTheme="minorEastAsia" w:cstheme="minorBidi"/>
              <w:sz w:val="28"/>
              <w:szCs w:val="28"/>
            </w:rPr>
            <w:fldChar w:fldCharType="end"/>
          </w:r>
          <w:r>
            <w:rPr>
              <w:rFonts w:hint="eastAsia" w:eastAsiaTheme="minorEastAsia" w:cstheme="minorBidi"/>
              <w:sz w:val="28"/>
              <w:szCs w:val="28"/>
              <w:lang w:val="en-US" w:eastAsia="zh-CN"/>
            </w:rPr>
            <w:t>0</w:t>
          </w:r>
        </w:p>
        <w:p>
          <w:pPr>
            <w:pStyle w:val="15"/>
            <w:tabs>
              <w:tab w:val="right" w:leader="dot" w:pos="8620"/>
            </w:tabs>
          </w:pPr>
          <w:r>
            <w:fldChar w:fldCharType="begin"/>
          </w:r>
          <w:r>
            <w:instrText xml:space="preserve"> HYPERLINK \l "_Toc5481_WPSOffice_Level1" </w:instrText>
          </w:r>
          <w: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2" w:name="_Toc5481_WPSOffice_Level1Page"/>
          <w:r>
            <w:rPr>
              <w:rFonts w:eastAsiaTheme="minorEastAsia" w:cstheme="minorBidi"/>
              <w:sz w:val="28"/>
              <w:szCs w:val="28"/>
            </w:rPr>
            <w:t>4</w:t>
          </w:r>
          <w:bookmarkEnd w:id="2"/>
          <w:r>
            <w:rPr>
              <w:rFonts w:hint="eastAsia" w:eastAsiaTheme="minorEastAsia" w:cstheme="minorBidi"/>
              <w:sz w:val="28"/>
              <w:szCs w:val="28"/>
              <w:lang w:val="en-US" w:eastAsia="zh-CN"/>
            </w:rPr>
            <w:t>4</w:t>
          </w:r>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3" w:name="_Toc4350_WPSOffice_Level1"/>
      <w:r>
        <w:rPr>
          <w:rFonts w:hint="eastAsia" w:ascii="宋体" w:hAnsi="宋体" w:cs="宋体"/>
          <w:b/>
          <w:kern w:val="0"/>
          <w:sz w:val="36"/>
          <w:szCs w:val="36"/>
        </w:rPr>
        <w:t>投标邀请</w:t>
      </w:r>
      <w:bookmarkEnd w:id="3"/>
    </w:p>
    <w:p>
      <w:pPr>
        <w:pStyle w:val="4"/>
        <w:ind w:firstLine="480" w:firstLineChars="200"/>
        <w:rPr>
          <w:rFonts w:cs="宋体"/>
          <w:b w:val="0"/>
          <w:sz w:val="24"/>
          <w:szCs w:val="24"/>
        </w:rPr>
      </w:pPr>
      <w:bookmarkStart w:id="4" w:name="_Toc35393790"/>
      <w:bookmarkStart w:id="5" w:name="_Toc28359079"/>
      <w:bookmarkStart w:id="6" w:name="_Toc35393621"/>
      <w:bookmarkStart w:id="7" w:name="_Toc28359002"/>
      <w:bookmarkStart w:id="8" w:name="_Hlk24379207"/>
      <w:r>
        <w:rPr>
          <w:rFonts w:hint="eastAsia" w:cs="宋体"/>
          <w:b w:val="0"/>
          <w:sz w:val="24"/>
          <w:szCs w:val="24"/>
        </w:rPr>
        <w:t>台州市政府采购中心受台州市水利局委托，就数字孪生椒江建设先行先试项目进行公开招标，欢迎符合资格条件的国内投标人参加投标。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4"/>
      <w:bookmarkEnd w:id="5"/>
      <w:bookmarkEnd w:id="6"/>
      <w:bookmarkEnd w:id="7"/>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Theme="minorEastAsia" w:hAnsiTheme="minorEastAsia" w:eastAsiaTheme="minorEastAsia" w:cstheme="minorEastAsia"/>
          <w:sz w:val="24"/>
        </w:rPr>
        <w:t>TZCG-2022-GK025号</w:t>
      </w:r>
    </w:p>
    <w:bookmarkEnd w:id="8"/>
    <w:p>
      <w:pPr>
        <w:spacing w:line="360" w:lineRule="auto"/>
        <w:ind w:firstLine="480" w:firstLineChars="200"/>
      </w:pPr>
      <w:r>
        <w:rPr>
          <w:rFonts w:hint="eastAsia" w:ascii="宋体" w:hAnsi="宋体" w:cs="宋体"/>
          <w:sz w:val="24"/>
        </w:rPr>
        <w:t>项目名称：</w:t>
      </w:r>
      <w:r>
        <w:rPr>
          <w:rFonts w:hint="eastAsia" w:cs="宋体"/>
          <w:sz w:val="24"/>
        </w:rPr>
        <w:t>台州市水利局</w:t>
      </w:r>
      <w:r>
        <w:rPr>
          <w:rFonts w:hint="eastAsia" w:ascii="宋体" w:hAnsi="宋体" w:cs="宋体"/>
          <w:sz w:val="24"/>
        </w:rPr>
        <w:t>数字孪生椒江建设先行先试项目</w:t>
      </w:r>
    </w:p>
    <w:tbl>
      <w:tblPr>
        <w:tblStyle w:val="20"/>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Cs w:val="21"/>
              </w:rPr>
            </w:pPr>
            <w:r>
              <w:rPr>
                <w:rFonts w:hint="eastAsia" w:ascii="宋体" w:hAnsi="宋体" w:cs="宋体"/>
                <w:b/>
                <w:szCs w:val="21"/>
              </w:rPr>
              <w:t>标项名称</w:t>
            </w:r>
          </w:p>
        </w:tc>
        <w:tc>
          <w:tcPr>
            <w:tcW w:w="99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kern w:val="0"/>
                <w:szCs w:val="21"/>
              </w:rPr>
              <w:t>数量</w:t>
            </w:r>
          </w:p>
        </w:tc>
        <w:tc>
          <w:tcPr>
            <w:tcW w:w="979"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单位</w:t>
            </w:r>
          </w:p>
        </w:tc>
        <w:tc>
          <w:tcPr>
            <w:tcW w:w="1303"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预算</w:t>
            </w:r>
          </w:p>
          <w:p>
            <w:pPr>
              <w:tabs>
                <w:tab w:val="left" w:pos="8280"/>
              </w:tabs>
              <w:autoSpaceDE w:val="0"/>
              <w:autoSpaceDN w:val="0"/>
              <w:adjustRightInd w:val="0"/>
              <w:jc w:val="center"/>
              <w:rPr>
                <w:rFonts w:ascii="宋体" w:hAnsi="宋体" w:cs="宋体"/>
                <w:b/>
                <w:szCs w:val="21"/>
              </w:rPr>
            </w:pPr>
            <w:r>
              <w:rPr>
                <w:rFonts w:hint="eastAsia" w:ascii="宋体" w:hAnsi="宋体" w:cs="宋体"/>
                <w:b/>
                <w:szCs w:val="21"/>
              </w:rPr>
              <w:t>（万元）</w:t>
            </w:r>
          </w:p>
        </w:tc>
        <w:tc>
          <w:tcPr>
            <w:tcW w:w="1585" w:type="dxa"/>
            <w:vAlign w:val="center"/>
          </w:tcPr>
          <w:p>
            <w:pPr>
              <w:jc w:val="center"/>
              <w:rPr>
                <w:rFonts w:ascii="宋体" w:hAnsi="宋体" w:cs="宋体"/>
                <w:b/>
                <w:szCs w:val="21"/>
              </w:rPr>
            </w:pPr>
            <w:r>
              <w:rPr>
                <w:rFonts w:hint="eastAsia" w:ascii="宋体" w:hAnsi="宋体" w:cs="宋体"/>
                <w:b/>
                <w:szCs w:val="21"/>
              </w:rPr>
              <w:t>最高限价</w:t>
            </w:r>
          </w:p>
          <w:p>
            <w:pPr>
              <w:jc w:val="center"/>
              <w:rPr>
                <w:rFonts w:ascii="宋体" w:hAnsi="宋体" w:cs="宋体"/>
                <w:b/>
                <w:szCs w:val="21"/>
              </w:rPr>
            </w:pPr>
            <w:r>
              <w:rPr>
                <w:rFonts w:hint="eastAsia" w:ascii="宋体" w:hAnsi="宋体" w:cs="宋体"/>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2741" w:type="dxa"/>
            <w:vAlign w:val="center"/>
          </w:tcPr>
          <w:p>
            <w:pPr>
              <w:tabs>
                <w:tab w:val="left" w:pos="8280"/>
              </w:tabs>
              <w:autoSpaceDE w:val="0"/>
              <w:autoSpaceDN w:val="0"/>
              <w:adjustRightInd w:val="0"/>
              <w:rPr>
                <w:rFonts w:ascii="宋体" w:hAnsi="宋体" w:cs="宋体"/>
                <w:bCs/>
                <w:szCs w:val="21"/>
              </w:rPr>
            </w:pPr>
            <w:r>
              <w:rPr>
                <w:rFonts w:hint="eastAsia"/>
                <w:bCs/>
              </w:rPr>
              <w:t>数字孪生椒江建设先行先试项目</w:t>
            </w:r>
          </w:p>
        </w:tc>
        <w:tc>
          <w:tcPr>
            <w:tcW w:w="9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97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项</w:t>
            </w:r>
          </w:p>
        </w:tc>
        <w:tc>
          <w:tcPr>
            <w:tcW w:w="1303"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1088.5</w:t>
            </w:r>
          </w:p>
        </w:tc>
        <w:tc>
          <w:tcPr>
            <w:tcW w:w="1585"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1088.5</w:t>
            </w:r>
          </w:p>
        </w:tc>
      </w:tr>
    </w:tbl>
    <w:p>
      <w:pPr>
        <w:pStyle w:val="4"/>
        <w:tabs>
          <w:tab w:val="left" w:pos="9660"/>
          <w:tab w:val="clear" w:pos="8280"/>
        </w:tabs>
        <w:ind w:right="23" w:firstLine="482" w:firstLineChars="200"/>
        <w:jc w:val="left"/>
        <w:rPr>
          <w:rFonts w:cs="宋体"/>
          <w:bCs/>
          <w:sz w:val="24"/>
          <w:szCs w:val="24"/>
        </w:rPr>
      </w:pPr>
      <w:bookmarkStart w:id="9" w:name="_Toc28359080"/>
      <w:bookmarkStart w:id="10" w:name="_Toc35393791"/>
      <w:bookmarkStart w:id="11" w:name="_Toc28359003"/>
      <w:bookmarkStart w:id="12" w:name="_Toc35393622"/>
      <w:r>
        <w:rPr>
          <w:rFonts w:hint="eastAsia" w:cs="宋体"/>
          <w:bCs/>
          <w:sz w:val="24"/>
          <w:szCs w:val="24"/>
        </w:rPr>
        <w:t>二、投标人的资格要求</w:t>
      </w:r>
      <w:bookmarkEnd w:id="9"/>
      <w:bookmarkEnd w:id="10"/>
      <w:bookmarkEnd w:id="11"/>
      <w:bookmarkEnd w:id="12"/>
    </w:p>
    <w:p>
      <w:pPr>
        <w:spacing w:line="360" w:lineRule="auto"/>
        <w:ind w:left="12" w:firstLine="480" w:firstLineChars="200"/>
        <w:jc w:val="left"/>
        <w:rPr>
          <w:rFonts w:ascii="宋体" w:hAnsi="宋体" w:cs="宋体"/>
          <w:sz w:val="24"/>
        </w:rPr>
      </w:pPr>
      <w:r>
        <w:rPr>
          <w:rFonts w:hint="eastAsia" w:ascii="宋体" w:hAnsi="宋体" w:cs="宋体"/>
          <w:sz w:val="24"/>
        </w:rPr>
        <w:t>（一）满足《中华人民共和国政府采购法》第二十二条规定。</w:t>
      </w:r>
    </w:p>
    <w:p>
      <w:pPr>
        <w:spacing w:line="360" w:lineRule="auto"/>
        <w:ind w:firstLine="480" w:firstLineChars="200"/>
        <w:jc w:val="left"/>
        <w:rPr>
          <w:rFonts w:ascii="宋体" w:hAnsi="宋体" w:cs="宋体"/>
          <w:sz w:val="24"/>
        </w:rPr>
      </w:pPr>
      <w:bookmarkStart w:id="13" w:name="_Toc35393623"/>
      <w:bookmarkStart w:id="14" w:name="_Toc28359004"/>
      <w:bookmarkStart w:id="15" w:name="_Toc35393792"/>
      <w:bookmarkStart w:id="16" w:name="_Toc28359081"/>
      <w:r>
        <w:rPr>
          <w:rFonts w:hint="eastAsia" w:ascii="宋体" w:hAnsi="宋体" w:cs="宋体"/>
          <w:sz w:val="24"/>
        </w:rPr>
        <w:t>（二）信用记录：未被列入“信用中国”失信被执行人或重大税收违法案件当事人名单；未处于“中国政府采购网”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jc w:val="left"/>
        <w:rPr>
          <w:rFonts w:ascii="宋体" w:hAnsi="宋体" w:cs="宋体"/>
          <w:sz w:val="24"/>
        </w:rPr>
      </w:pPr>
      <w:r>
        <w:rPr>
          <w:rFonts w:hint="eastAsia" w:ascii="宋体" w:hAnsi="宋体" w:cs="宋体"/>
          <w:sz w:val="24"/>
        </w:rPr>
        <w:t>（三）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tabs>
          <w:tab w:val="left" w:pos="9660"/>
          <w:tab w:val="clear" w:pos="8280"/>
        </w:tabs>
        <w:ind w:right="23" w:firstLine="482" w:firstLineChars="200"/>
        <w:jc w:val="left"/>
        <w:rPr>
          <w:rFonts w:cs="宋体"/>
          <w:bCs/>
          <w:sz w:val="24"/>
          <w:szCs w:val="24"/>
        </w:rPr>
      </w:pPr>
      <w:r>
        <w:rPr>
          <w:rFonts w:hint="eastAsia" w:cs="宋体"/>
          <w:bCs/>
          <w:sz w:val="24"/>
          <w:szCs w:val="24"/>
        </w:rPr>
        <w:t>三、获取招标文件</w:t>
      </w:r>
      <w:bookmarkEnd w:id="13"/>
      <w:bookmarkEnd w:id="14"/>
      <w:bookmarkEnd w:id="15"/>
      <w:bookmarkEnd w:id="16"/>
    </w:p>
    <w:p>
      <w:pPr>
        <w:spacing w:line="360" w:lineRule="auto"/>
        <w:ind w:firstLine="480" w:firstLineChars="200"/>
        <w:jc w:val="left"/>
        <w:rPr>
          <w:rFonts w:ascii="宋体" w:hAnsi="宋体" w:cs="宋体"/>
          <w:color w:val="auto"/>
          <w:sz w:val="24"/>
        </w:rPr>
      </w:pPr>
      <w:r>
        <w:rPr>
          <w:rFonts w:hint="eastAsia" w:ascii="宋体" w:hAnsi="宋体" w:cs="宋体"/>
          <w:sz w:val="24"/>
        </w:rPr>
        <w:t>（一）时间：</w:t>
      </w:r>
      <w:r>
        <w:rPr>
          <w:rFonts w:hint="eastAsia" w:ascii="宋体" w:hAnsi="宋体" w:cs="宋体"/>
          <w:color w:val="auto"/>
          <w:sz w:val="24"/>
          <w:u w:val="single"/>
        </w:rPr>
        <w:t>2022年</w:t>
      </w:r>
      <w:r>
        <w:rPr>
          <w:rFonts w:hint="eastAsia" w:ascii="宋体" w:hAnsi="宋体" w:cs="宋体"/>
          <w:color w:val="auto"/>
          <w:sz w:val="24"/>
          <w:u w:val="single"/>
          <w:lang w:val="en-US" w:eastAsia="zh-CN"/>
        </w:rPr>
        <w:t>9</w:t>
      </w:r>
      <w:r>
        <w:rPr>
          <w:rFonts w:hint="eastAsia" w:ascii="宋体" w:hAnsi="宋体" w:cs="宋体"/>
          <w:color w:val="auto"/>
          <w:sz w:val="24"/>
          <w:u w:val="single"/>
        </w:rPr>
        <w:t>月</w:t>
      </w:r>
      <w:r>
        <w:rPr>
          <w:rFonts w:hint="eastAsia" w:ascii="宋体" w:hAnsi="宋体" w:cs="宋体"/>
          <w:color w:val="auto"/>
          <w:sz w:val="24"/>
          <w:u w:val="single"/>
          <w:lang w:val="en-US" w:eastAsia="zh-CN"/>
        </w:rPr>
        <w:t>27</w:t>
      </w:r>
      <w:r>
        <w:rPr>
          <w:rFonts w:hint="eastAsia" w:ascii="宋体" w:hAnsi="宋体" w:cs="宋体"/>
          <w:color w:val="auto"/>
          <w:sz w:val="24"/>
          <w:u w:val="single"/>
        </w:rPr>
        <w:t>日</w:t>
      </w:r>
      <w:r>
        <w:rPr>
          <w:rFonts w:hint="eastAsia" w:ascii="宋体" w:hAnsi="宋体" w:cs="宋体"/>
          <w:color w:val="auto"/>
          <w:sz w:val="24"/>
        </w:rPr>
        <w:t>至</w:t>
      </w:r>
      <w:r>
        <w:rPr>
          <w:rFonts w:hint="eastAsia" w:ascii="宋体" w:hAnsi="宋体" w:cs="宋体"/>
          <w:color w:val="auto"/>
          <w:sz w:val="24"/>
          <w:u w:val="single"/>
        </w:rPr>
        <w:t>2022年</w:t>
      </w:r>
      <w:r>
        <w:rPr>
          <w:rFonts w:hint="eastAsia" w:ascii="宋体" w:hAnsi="宋体" w:cs="宋体"/>
          <w:color w:val="auto"/>
          <w:sz w:val="24"/>
          <w:u w:val="single"/>
          <w:lang w:val="en-US" w:eastAsia="zh-CN"/>
        </w:rPr>
        <w:t>10</w:t>
      </w:r>
      <w:r>
        <w:rPr>
          <w:rFonts w:hint="eastAsia" w:ascii="宋体" w:hAnsi="宋体" w:cs="宋体"/>
          <w:color w:val="auto"/>
          <w:sz w:val="24"/>
          <w:u w:val="single"/>
        </w:rPr>
        <w:t>月</w:t>
      </w:r>
      <w:r>
        <w:rPr>
          <w:rFonts w:hint="eastAsia" w:ascii="宋体" w:hAnsi="宋体" w:cs="宋体"/>
          <w:color w:val="auto"/>
          <w:sz w:val="24"/>
          <w:u w:val="single"/>
          <w:lang w:val="en-US" w:eastAsia="zh-CN"/>
        </w:rPr>
        <w:t>8</w:t>
      </w:r>
      <w:r>
        <w:rPr>
          <w:rFonts w:hint="eastAsia" w:ascii="宋体" w:hAnsi="宋体" w:cs="宋体"/>
          <w:color w:val="auto"/>
          <w:sz w:val="24"/>
          <w:u w:val="single"/>
        </w:rPr>
        <w:t>日</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（二）方式：浙江政府采购网（</w:t>
      </w:r>
      <w:r>
        <w:rPr>
          <w:rFonts w:ascii="宋体" w:hAnsi="宋体" w:cs="宋体"/>
          <w:color w:val="auto"/>
          <w:sz w:val="24"/>
        </w:rPr>
        <w:t>https://zfcg.czt.zj.gov.cn</w:t>
      </w:r>
      <w:r>
        <w:rPr>
          <w:rFonts w:hint="eastAsia" w:ascii="宋体" w:hAnsi="宋体" w:cs="宋体"/>
          <w:color w:val="auto"/>
          <w:sz w:val="24"/>
        </w:rPr>
        <w:t>）免费下载</w:t>
      </w:r>
    </w:p>
    <w:p>
      <w:pPr>
        <w:pStyle w:val="4"/>
        <w:ind w:right="0" w:firstLine="482" w:firstLineChars="200"/>
        <w:rPr>
          <w:rFonts w:cs="宋体"/>
          <w:bCs/>
          <w:color w:val="auto"/>
          <w:sz w:val="24"/>
          <w:szCs w:val="24"/>
        </w:rPr>
      </w:pPr>
      <w:bookmarkStart w:id="17" w:name="_Toc28359082"/>
      <w:bookmarkStart w:id="18" w:name="_Toc28359005"/>
      <w:bookmarkStart w:id="19" w:name="_Toc35393793"/>
      <w:bookmarkStart w:id="20" w:name="_Toc35393624"/>
      <w:r>
        <w:rPr>
          <w:rFonts w:hint="eastAsia" w:cs="宋体"/>
          <w:bCs/>
          <w:color w:val="auto"/>
          <w:sz w:val="24"/>
          <w:szCs w:val="24"/>
        </w:rPr>
        <w:t>四、提交投标文件</w:t>
      </w:r>
      <w:bookmarkEnd w:id="17"/>
      <w:bookmarkEnd w:id="18"/>
      <w:bookmarkEnd w:id="19"/>
      <w:bookmarkEnd w:id="20"/>
    </w:p>
    <w:p>
      <w:pPr>
        <w:spacing w:line="360" w:lineRule="auto"/>
        <w:ind w:firstLine="480" w:firstLineChars="200"/>
        <w:jc w:val="left"/>
        <w:rPr>
          <w:rFonts w:ascii="宋体" w:hAnsi="宋体" w:cs="宋体"/>
          <w:sz w:val="24"/>
        </w:rPr>
      </w:pPr>
      <w:bookmarkStart w:id="21" w:name="_Toc28359084"/>
      <w:bookmarkStart w:id="22" w:name="_Toc28359007"/>
      <w:bookmarkStart w:id="23" w:name="_Toc35393625"/>
      <w:bookmarkStart w:id="24" w:name="_Toc35393794"/>
      <w:r>
        <w:rPr>
          <w:rFonts w:hint="eastAsia" w:ascii="宋体" w:hAnsi="宋体" w:cs="宋体"/>
          <w:color w:val="auto"/>
          <w:sz w:val="24"/>
        </w:rPr>
        <w:t>（一）截止时间（开标时间）：</w:t>
      </w:r>
      <w:r>
        <w:rPr>
          <w:rFonts w:hint="eastAsia" w:ascii="宋体" w:hAnsi="宋体" w:cs="宋体"/>
          <w:bCs/>
          <w:color w:val="auto"/>
          <w:sz w:val="24"/>
          <w:u w:val="single"/>
        </w:rPr>
        <w:t>2022年</w:t>
      </w:r>
      <w:r>
        <w:rPr>
          <w:rFonts w:hint="eastAsia" w:ascii="宋体" w:hAnsi="宋体" w:cs="宋体"/>
          <w:color w:val="auto"/>
          <w:sz w:val="24"/>
          <w:u w:val="single"/>
          <w:lang w:val="en-US" w:eastAsia="zh-CN"/>
        </w:rPr>
        <w:t>10</w:t>
      </w:r>
      <w:r>
        <w:rPr>
          <w:rFonts w:hint="eastAsia" w:ascii="宋体" w:hAnsi="宋体" w:cs="宋体"/>
          <w:bCs/>
          <w:color w:val="auto"/>
          <w:sz w:val="24"/>
          <w:u w:val="single"/>
        </w:rPr>
        <w:t>月</w:t>
      </w:r>
      <w:r>
        <w:rPr>
          <w:rFonts w:hint="eastAsia" w:ascii="宋体" w:hAnsi="宋体" w:cs="宋体"/>
          <w:color w:val="auto"/>
          <w:sz w:val="24"/>
          <w:u w:val="single"/>
          <w:lang w:val="en-US" w:eastAsia="zh-CN"/>
        </w:rPr>
        <w:t>21</w:t>
      </w:r>
      <w:r>
        <w:rPr>
          <w:rFonts w:hint="eastAsia" w:ascii="宋体" w:hAnsi="宋体" w:cs="宋体"/>
          <w:bCs/>
          <w:color w:val="auto"/>
          <w:sz w:val="24"/>
          <w:u w:val="single"/>
        </w:rPr>
        <w:t>日</w:t>
      </w:r>
      <w:r>
        <w:rPr>
          <w:rFonts w:hint="eastAsia" w:ascii="宋体" w:hAnsi="宋体" w:cs="宋体"/>
          <w:bCs/>
          <w:color w:val="auto"/>
          <w:sz w:val="24"/>
          <w:u w:val="single"/>
          <w:lang w:val="en-US" w:eastAsia="zh-CN"/>
        </w:rPr>
        <w:t>09:10</w:t>
      </w:r>
      <w:r>
        <w:rPr>
          <w:rFonts w:hint="eastAsia" w:ascii="宋体" w:hAnsi="宋体" w:cs="宋体"/>
          <w:color w:val="auto"/>
          <w:sz w:val="24"/>
        </w:rPr>
        <w:t>（</w:t>
      </w:r>
      <w:r>
        <w:rPr>
          <w:rFonts w:hint="eastAsia" w:ascii="宋体" w:hAnsi="宋体" w:cs="宋体"/>
          <w:sz w:val="24"/>
        </w:rPr>
        <w:t>北京时间）</w:t>
      </w:r>
    </w:p>
    <w:p>
      <w:pPr>
        <w:spacing w:line="360" w:lineRule="auto"/>
        <w:ind w:firstLine="480" w:firstLineChars="200"/>
        <w:jc w:val="left"/>
        <w:rPr>
          <w:rFonts w:ascii="宋体" w:hAnsi="宋体" w:cs="宋体"/>
          <w:sz w:val="24"/>
        </w:rPr>
      </w:pPr>
      <w:r>
        <w:rPr>
          <w:rFonts w:hint="eastAsia" w:ascii="宋体" w:hAnsi="宋体" w:cs="宋体"/>
          <w:sz w:val="24"/>
        </w:rPr>
        <w:t>（二）投标网址：浙江政府采购云平台（http://www.zcygov.cn）</w:t>
      </w:r>
    </w:p>
    <w:bookmarkEnd w:id="21"/>
    <w:bookmarkEnd w:id="22"/>
    <w:bookmarkEnd w:id="23"/>
    <w:bookmarkEnd w:id="24"/>
    <w:p>
      <w:pPr>
        <w:pStyle w:val="19"/>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）、台州市公共资源交易网（https://tzztb.zjtz.gov.cn）</w:t>
      </w:r>
    </w:p>
    <w:p>
      <w:pPr>
        <w:pStyle w:val="19"/>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5" w:name="_Toc35393795"/>
      <w:bookmarkStart w:id="26" w:name="_Toc35393626"/>
      <w:r>
        <w:rPr>
          <w:rFonts w:hint="eastAsia" w:cs="宋体"/>
          <w:bCs/>
          <w:sz w:val="24"/>
          <w:szCs w:val="24"/>
        </w:rPr>
        <w:t>六、</w:t>
      </w:r>
      <w:bookmarkEnd w:id="25"/>
      <w:bookmarkEnd w:id="26"/>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7" w:name="_Toc28359085"/>
      <w:bookmarkStart w:id="28" w:name="_Toc35393627"/>
      <w:bookmarkStart w:id="29" w:name="_Toc35393796"/>
      <w:bookmarkStart w:id="30" w:name="_Toc28359008"/>
      <w:r>
        <w:rPr>
          <w:rFonts w:hint="eastAsia" w:cs="宋体"/>
          <w:bCs/>
          <w:sz w:val="24"/>
          <w:szCs w:val="24"/>
        </w:rPr>
        <w:t>七、</w:t>
      </w:r>
      <w:bookmarkEnd w:id="27"/>
      <w:bookmarkEnd w:id="28"/>
      <w:bookmarkEnd w:id="29"/>
      <w:bookmarkEnd w:id="30"/>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称：台州市水利局</w:t>
      </w:r>
    </w:p>
    <w:p>
      <w:pPr>
        <w:spacing w:line="360" w:lineRule="auto"/>
        <w:ind w:firstLine="480" w:firstLineChars="200"/>
        <w:rPr>
          <w:rFonts w:ascii="宋体" w:hAnsi="宋体" w:cs="宋体"/>
          <w:sz w:val="24"/>
          <w:u w:val="single"/>
        </w:rPr>
      </w:pPr>
      <w:r>
        <w:rPr>
          <w:rFonts w:hint="eastAsia" w:ascii="宋体" w:hAnsi="宋体" w:cs="宋体"/>
          <w:sz w:val="24"/>
        </w:rPr>
        <w:t>地 址：台州市椒江区白云山西路300号</w:t>
      </w:r>
    </w:p>
    <w:p>
      <w:pPr>
        <w:spacing w:line="360" w:lineRule="auto"/>
        <w:ind w:firstLine="480" w:firstLineChars="200"/>
        <w:rPr>
          <w:rFonts w:ascii="宋体" w:hAnsi="宋体" w:cs="宋体"/>
          <w:sz w:val="24"/>
          <w:u w:val="single"/>
        </w:rPr>
      </w:pPr>
      <w:r>
        <w:rPr>
          <w:rFonts w:hint="eastAsia" w:ascii="宋体" w:hAnsi="宋体" w:cs="宋体"/>
          <w:sz w:val="24"/>
        </w:rPr>
        <w:t>联系人：</w:t>
      </w:r>
      <w:bookmarkStart w:id="31" w:name="_Toc28359086"/>
      <w:bookmarkStart w:id="32" w:name="_Toc28359009"/>
      <w:r>
        <w:rPr>
          <w:rFonts w:hint="eastAsia" w:ascii="宋体" w:hAnsi="宋体" w:cs="宋体"/>
          <w:sz w:val="24"/>
        </w:rPr>
        <w:t>王先生</w:t>
      </w:r>
    </w:p>
    <w:p>
      <w:pPr>
        <w:spacing w:line="360" w:lineRule="auto"/>
        <w:ind w:firstLine="480" w:firstLineChars="200"/>
        <w:rPr>
          <w:rFonts w:ascii="宋体" w:hAnsi="宋体" w:cs="宋体"/>
          <w:sz w:val="24"/>
          <w:u w:val="single"/>
        </w:rPr>
      </w:pPr>
      <w:r>
        <w:rPr>
          <w:rFonts w:hint="eastAsia" w:ascii="宋体" w:hAnsi="宋体" w:cs="宋体"/>
          <w:sz w:val="24"/>
        </w:rPr>
        <w:t>联系电话：0576-88504170</w:t>
      </w:r>
    </w:p>
    <w:bookmarkEnd w:id="31"/>
    <w:bookmarkEnd w:id="32"/>
    <w:p>
      <w:pPr>
        <w:spacing w:line="360" w:lineRule="auto"/>
        <w:ind w:firstLine="482" w:firstLineChars="200"/>
        <w:rPr>
          <w:rFonts w:ascii="宋体" w:hAnsi="宋体" w:cs="宋体"/>
          <w:b/>
          <w:sz w:val="24"/>
        </w:rPr>
      </w:pPr>
      <w:bookmarkStart w:id="33" w:name="_Toc28359010"/>
      <w:bookmarkStart w:id="34" w:name="_Toc28359087"/>
      <w:r>
        <w:rPr>
          <w:rFonts w:hint="eastAsia" w:ascii="宋体" w:hAnsi="宋体" w:cs="宋体"/>
          <w:b/>
          <w:bCs/>
          <w:sz w:val="24"/>
        </w:rPr>
        <w:t>（二）采购组织机构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称：台州市政府采购中心</w:t>
      </w:r>
    </w:p>
    <w:p>
      <w:pPr>
        <w:spacing w:line="360" w:lineRule="auto"/>
        <w:ind w:firstLine="480" w:firstLineChars="200"/>
        <w:jc w:val="left"/>
        <w:rPr>
          <w:rFonts w:ascii="宋体" w:hAnsi="宋体" w:cs="宋体"/>
          <w:sz w:val="24"/>
          <w:u w:val="single"/>
        </w:rPr>
      </w:pPr>
      <w:r>
        <w:rPr>
          <w:rFonts w:hint="eastAsia" w:ascii="宋体" w:hAnsi="宋体" w:cs="宋体"/>
          <w:sz w:val="24"/>
        </w:rPr>
        <w:t>地 址：台州市市府大道777号</w:t>
      </w:r>
    </w:p>
    <w:p>
      <w:pPr>
        <w:spacing w:line="360" w:lineRule="auto"/>
        <w:ind w:firstLine="480" w:firstLineChars="200"/>
        <w:jc w:val="left"/>
        <w:rPr>
          <w:rFonts w:ascii="宋体" w:hAnsi="宋体" w:cs="宋体"/>
          <w:sz w:val="24"/>
          <w:u w:val="single"/>
        </w:rPr>
      </w:pPr>
      <w:r>
        <w:rPr>
          <w:rFonts w:hint="eastAsia" w:ascii="宋体" w:hAnsi="宋体" w:cs="宋体"/>
          <w:sz w:val="24"/>
        </w:rPr>
        <w:t>项目联系人：陈先生</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联系电话：0576-88325289</w:t>
      </w:r>
    </w:p>
    <w:p>
      <w:pPr>
        <w:spacing w:line="360" w:lineRule="auto"/>
        <w:ind w:firstLine="480" w:firstLineChars="200"/>
        <w:jc w:val="left"/>
        <w:rPr>
          <w:rFonts w:ascii="宋体" w:hAnsi="宋体" w:cs="宋体"/>
          <w:sz w:val="24"/>
        </w:rPr>
      </w:pPr>
      <w:r>
        <w:rPr>
          <w:rFonts w:hint="eastAsia" w:ascii="宋体" w:hAnsi="宋体" w:cs="宋体"/>
          <w:sz w:val="24"/>
        </w:rPr>
        <w:t>受理联系人：侯女士（受理注册、中标结果相关质疑及答复）</w:t>
      </w:r>
    </w:p>
    <w:p>
      <w:pPr>
        <w:spacing w:line="360" w:lineRule="auto"/>
        <w:ind w:firstLine="480" w:firstLineChars="200"/>
        <w:jc w:val="left"/>
        <w:rPr>
          <w:rFonts w:ascii="宋体" w:hAnsi="宋体" w:cs="宋体"/>
          <w:sz w:val="24"/>
        </w:rPr>
      </w:pPr>
      <w:r>
        <w:rPr>
          <w:rFonts w:hint="eastAsia" w:ascii="宋体" w:hAnsi="宋体" w:cs="宋体"/>
          <w:sz w:val="24"/>
        </w:rPr>
        <w:t>联系电话：0576-88685121</w:t>
      </w:r>
    </w:p>
    <w:p>
      <w:pPr>
        <w:spacing w:line="360" w:lineRule="auto"/>
        <w:ind w:firstLine="480" w:firstLineChars="200"/>
        <w:jc w:val="left"/>
        <w:rPr>
          <w:rFonts w:ascii="宋体" w:hAnsi="宋体" w:cs="宋体"/>
          <w:sz w:val="24"/>
        </w:rPr>
      </w:pPr>
      <w:r>
        <w:rPr>
          <w:rFonts w:hint="eastAsia" w:ascii="宋体" w:hAnsi="宋体" w:cs="宋体"/>
          <w:sz w:val="24"/>
        </w:rPr>
        <w:t xml:space="preserve">技术人员：徐女士 </w:t>
      </w:r>
    </w:p>
    <w:p>
      <w:pPr>
        <w:spacing w:line="360" w:lineRule="auto"/>
        <w:ind w:firstLine="480" w:firstLineChars="200"/>
        <w:rPr>
          <w:rFonts w:ascii="宋体" w:hAnsi="宋体" w:cs="宋体"/>
          <w:sz w:val="24"/>
        </w:rPr>
      </w:pPr>
      <w:r>
        <w:rPr>
          <w:rFonts w:hint="eastAsia" w:ascii="宋体" w:hAnsi="宋体" w:cs="宋体"/>
          <w:sz w:val="24"/>
        </w:rPr>
        <w:t>联系电话：0576-88685161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ascii="宋体" w:hAnsi="宋体" w:cs="宋体"/>
          <w:sz w:val="24"/>
          <w:u w:val="single"/>
        </w:rPr>
      </w:pPr>
      <w:r>
        <w:rPr>
          <w:rFonts w:hint="eastAsia" w:ascii="宋体" w:hAnsi="宋体" w:cs="宋体"/>
          <w:sz w:val="24"/>
        </w:rPr>
        <w:t>名 称：台州市财政局政府采购监管处</w:t>
      </w:r>
    </w:p>
    <w:p>
      <w:pPr>
        <w:spacing w:line="360" w:lineRule="auto"/>
        <w:ind w:firstLine="480" w:firstLineChars="200"/>
        <w:jc w:val="left"/>
        <w:rPr>
          <w:rFonts w:ascii="宋体" w:hAnsi="宋体" w:cs="宋体"/>
          <w:sz w:val="24"/>
          <w:u w:val="single"/>
        </w:rPr>
      </w:pPr>
      <w:r>
        <w:rPr>
          <w:rFonts w:hint="eastAsia" w:ascii="宋体" w:hAnsi="宋体" w:cs="宋体"/>
          <w:sz w:val="24"/>
        </w:rPr>
        <w:t>地 址：台州市财政局</w:t>
      </w:r>
    </w:p>
    <w:p>
      <w:pPr>
        <w:spacing w:line="360" w:lineRule="auto"/>
        <w:ind w:firstLine="480" w:firstLineChars="200"/>
        <w:jc w:val="left"/>
        <w:rPr>
          <w:rFonts w:ascii="宋体" w:hAnsi="宋体" w:cs="宋体"/>
          <w:sz w:val="24"/>
          <w:u w:val="single"/>
        </w:rPr>
      </w:pPr>
      <w:r>
        <w:rPr>
          <w:rFonts w:hint="eastAsia" w:ascii="宋体" w:hAnsi="宋体" w:cs="宋体"/>
          <w:sz w:val="24"/>
        </w:rPr>
        <w:t>联系人：陈女士</w:t>
      </w:r>
    </w:p>
    <w:p>
      <w:pPr>
        <w:spacing w:line="360" w:lineRule="auto"/>
        <w:ind w:firstLine="480" w:firstLineChars="200"/>
        <w:jc w:val="left"/>
        <w:rPr>
          <w:rFonts w:ascii="宋体" w:hAnsi="宋体" w:cs="宋体"/>
          <w:sz w:val="24"/>
          <w:u w:val="single"/>
        </w:rPr>
      </w:pPr>
      <w:r>
        <w:rPr>
          <w:rFonts w:hint="eastAsia" w:ascii="宋体" w:hAnsi="宋体" w:cs="宋体"/>
          <w:sz w:val="24"/>
        </w:rPr>
        <w:t>联系电话：0576-88206705</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联系电话：44008817190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ascii="宋体" w:hAnsi="宋体" w:cs="宋体"/>
          <w:sz w:val="24"/>
          <w:shd w:val="clear" w:color="auto" w:fill="FFFFFF"/>
        </w:rPr>
      </w:pPr>
      <w:r>
        <w:rPr>
          <w:rFonts w:hint="eastAsia" w:ascii="宋体" w:hAnsi="宋体" w:cs="宋体"/>
          <w:sz w:val="24"/>
          <w:shd w:val="clear" w:color="auto" w:fill="FFFFFF"/>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 w:val="24"/>
        </w:rPr>
      </w:pPr>
      <w:r>
        <w:rPr>
          <w:rFonts w:hint="eastAsia" w:ascii="宋体" w:hAnsi="宋体" w:cs="宋体"/>
          <w:sz w:val="24"/>
          <w:shd w:val="clear" w:color="auto" w:fill="FFFFFF"/>
        </w:rPr>
        <w:t>台州市政府采购中心</w:t>
      </w:r>
      <w:r>
        <w:rPr>
          <w:rFonts w:hint="eastAsia" w:ascii="宋体" w:hAnsi="宋体" w:cs="宋体"/>
          <w:kern w:val="0"/>
          <w:sz w:val="24"/>
        </w:rPr>
        <w:t xml:space="preserve">  </w:t>
      </w:r>
    </w:p>
    <w:p>
      <w:pPr>
        <w:widowControl/>
        <w:spacing w:line="360" w:lineRule="auto"/>
        <w:ind w:firstLine="200"/>
        <w:jc w:val="right"/>
        <w:rPr>
          <w:rFonts w:ascii="宋体" w:hAnsi="宋体" w:cs="宋体"/>
          <w:kern w:val="0"/>
          <w:sz w:val="24"/>
        </w:rPr>
      </w:pPr>
      <w:r>
        <w:rPr>
          <w:rFonts w:hint="eastAsia" w:ascii="宋体" w:hAnsi="宋体" w:cs="宋体"/>
          <w:kern w:val="0"/>
          <w:sz w:val="24"/>
        </w:rPr>
        <w:t xml:space="preserve">                                                    </w:t>
      </w:r>
      <w:r>
        <w:rPr>
          <w:rFonts w:hint="eastAsia" w:ascii="宋体" w:hAnsi="宋体" w:cs="宋体"/>
          <w:color w:val="auto"/>
          <w:kern w:val="0"/>
          <w:sz w:val="24"/>
        </w:rPr>
        <w:t xml:space="preserve">  </w:t>
      </w:r>
      <w:r>
        <w:rPr>
          <w:rFonts w:hint="eastAsia" w:asciiTheme="minorEastAsia" w:hAnsiTheme="minorEastAsia" w:eastAsiaTheme="minorEastAsia" w:cstheme="minorEastAsia"/>
          <w:color w:val="auto"/>
          <w:kern w:val="0"/>
          <w:sz w:val="24"/>
        </w:rPr>
        <w:t>2022年</w:t>
      </w:r>
      <w:r>
        <w:rPr>
          <w:rFonts w:hint="eastAsia" w:asciiTheme="minorEastAsia" w:hAnsiTheme="minorEastAsia" w:eastAsiaTheme="minorEastAsia" w:cstheme="minorEastAsia"/>
          <w:color w:val="auto"/>
          <w:sz w:val="24"/>
          <w:lang w:val="en-US" w:eastAsia="zh-CN"/>
        </w:rPr>
        <w:t>9</w:t>
      </w:r>
      <w:r>
        <w:rPr>
          <w:rFonts w:hint="eastAsia" w:asciiTheme="minorEastAsia" w:hAnsiTheme="minorEastAsia" w:eastAsiaTheme="minorEastAsia" w:cstheme="minorEastAsia"/>
          <w:color w:val="auto"/>
          <w:kern w:val="0"/>
          <w:sz w:val="24"/>
        </w:rPr>
        <w:t>月</w:t>
      </w:r>
      <w:r>
        <w:rPr>
          <w:rFonts w:hint="eastAsia" w:asciiTheme="minorEastAsia" w:hAnsiTheme="minorEastAsia" w:eastAsiaTheme="minorEastAsia" w:cstheme="minorEastAsia"/>
          <w:color w:val="auto"/>
          <w:kern w:val="0"/>
          <w:sz w:val="24"/>
          <w:lang w:val="en-US" w:eastAsia="zh-CN"/>
        </w:rPr>
        <w:t>26</w:t>
      </w:r>
      <w:r>
        <w:rPr>
          <w:rFonts w:hint="eastAsia" w:asciiTheme="minorEastAsia" w:hAnsiTheme="minorEastAsia" w:eastAsiaTheme="minorEastAsia" w:cstheme="minorEastAsia"/>
          <w:color w:val="auto"/>
          <w:kern w:val="0"/>
          <w:sz w:val="24"/>
        </w:rPr>
        <w:t>日</w:t>
      </w:r>
    </w:p>
    <w:bookmarkEnd w:id="33"/>
    <w:bookmarkEnd w:id="34"/>
    <w:p>
      <w:pPr>
        <w:rPr>
          <w:rFonts w:asciiTheme="minorEastAsia" w:hAnsiTheme="minorEastAsia" w:eastAsiaTheme="minorEastAsia"/>
          <w:b/>
          <w:sz w:val="36"/>
          <w:szCs w:val="36"/>
        </w:rPr>
      </w:pPr>
      <w:bookmarkStart w:id="35" w:name="_Toc25017_WPSOffice_Level1"/>
      <w:r>
        <w:rPr>
          <w:rFonts w:hint="eastAsia" w:asciiTheme="minorEastAsia" w:hAnsiTheme="minorEastAsia" w:eastAsiaTheme="minorEastAsia"/>
          <w:b/>
          <w:sz w:val="36"/>
          <w:szCs w:val="36"/>
        </w:rPr>
        <w:br w:type="page"/>
      </w:r>
    </w:p>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bookmarkEnd w:id="35"/>
    </w:p>
    <w:p>
      <w:pPr>
        <w:numPr>
          <w:ilvl w:val="0"/>
          <w:numId w:val="5"/>
        </w:numPr>
        <w:ind w:firstLine="482" w:firstLineChars="200"/>
      </w:pPr>
      <w:r>
        <w:rPr>
          <w:rFonts w:hint="eastAsia" w:asciiTheme="minorEastAsia" w:hAnsiTheme="minorEastAsia" w:eastAsiaTheme="minorEastAsia"/>
          <w:b/>
          <w:sz w:val="24"/>
        </w:rPr>
        <w:t>前附表</w:t>
      </w:r>
    </w:p>
    <w:tbl>
      <w:tblPr>
        <w:tblStyle w:val="20"/>
        <w:tblpPr w:leftFromText="181" w:rightFromText="181" w:bottomFromText="170" w:vertAnchor="text" w:horzAnchor="page" w:tblpXSpec="center" w:tblpY="449"/>
        <w:tblOverlap w:val="never"/>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11"/>
        <w:gridCol w:w="6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b/>
                <w:bCs/>
              </w:rPr>
            </w:pPr>
            <w:r>
              <w:rPr>
                <w:rFonts w:hint="eastAsia" w:ascii="宋体" w:hAnsi="宋体" w:cs="宋体"/>
                <w:b/>
                <w:bCs/>
              </w:rPr>
              <w:t>序 号</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b/>
                <w:bCs/>
              </w:rPr>
            </w:pPr>
            <w:r>
              <w:rPr>
                <w:rFonts w:hint="eastAsia" w:ascii="宋体" w:hAnsi="宋体" w:cs="宋体"/>
                <w:b/>
                <w:bCs/>
              </w:rPr>
              <w:t>事 项</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b/>
                <w:bCs/>
              </w:rPr>
            </w:pPr>
            <w:r>
              <w:rPr>
                <w:rFonts w:hint="eastAsia" w:ascii="宋体" w:hAnsi="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是否允许联合体</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2</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是否允许分包</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 是（但主体部分不得分包，详见招标需求内容）/☑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3</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答疑会或</w:t>
            </w:r>
          </w:p>
          <w:p>
            <w:pPr>
              <w:spacing w:line="300" w:lineRule="auto"/>
              <w:jc w:val="center"/>
              <w:rPr>
                <w:rFonts w:ascii="宋体" w:hAnsi="宋体" w:cs="宋体"/>
              </w:rPr>
            </w:pPr>
            <w:r>
              <w:rPr>
                <w:rFonts w:hint="eastAsia" w:ascii="宋体" w:hAnsi="宋体" w:cs="宋体"/>
              </w:rPr>
              <w:t>现场踏勘</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fldChar w:fldCharType="begin"/>
            </w:r>
            <w:r>
              <w:rPr>
                <w:rFonts w:hint="eastAsia" w:ascii="宋体" w:hAnsi="宋体" w:cs="宋体"/>
              </w:rPr>
              <w:instrText xml:space="preserve"> HYPERLINK "mailto:获取招标文件后，各潜在投标人可在开标之日前将公司名称、联系人、联系电话通过邮件的方式发送至526544856@qq.com，并注明项目名称及项目编号，采购人收到后在一个" </w:instrText>
            </w:r>
            <w:r>
              <w:rPr>
                <w:rFonts w:hint="eastAsia" w:ascii="宋体" w:hAnsi="宋体" w:cs="宋体"/>
              </w:rPr>
              <w:fldChar w:fldCharType="separate"/>
            </w:r>
            <w:r>
              <w:rPr>
                <w:rFonts w:hint="eastAsia" w:ascii="宋体" w:hAnsi="宋体" w:cs="宋体"/>
              </w:rPr>
              <w:t>获取招标文件后，各潜在投标人可在开标之日前将公司名称、联系人、联系电话通过邮件的方式发送至</w:t>
            </w:r>
            <w:r>
              <w:rPr>
                <w:rFonts w:hint="eastAsia" w:ascii="宋体" w:hAnsi="宋体" w:cs="宋体"/>
                <w:u w:val="single"/>
              </w:rPr>
              <w:t>526544856@qq.com</w:t>
            </w:r>
            <w:r>
              <w:rPr>
                <w:rFonts w:hint="eastAsia" w:ascii="宋体" w:hAnsi="宋体" w:cs="宋体"/>
              </w:rPr>
              <w:t>，并注明项目名称及项目编号，采购人收到后</w:t>
            </w:r>
            <w:r>
              <w:rPr>
                <w:rFonts w:hint="eastAsia" w:ascii="宋体" w:hAnsi="宋体" w:cs="宋体"/>
                <w:lang w:val="en-US" w:eastAsia="zh-CN"/>
              </w:rPr>
              <w:t>在一个</w:t>
            </w:r>
            <w:r>
              <w:rPr>
                <w:rFonts w:hint="eastAsia" w:ascii="宋体" w:hAnsi="宋体" w:cs="宋体"/>
              </w:rPr>
              <w:fldChar w:fldCharType="end"/>
            </w:r>
            <w:r>
              <w:rPr>
                <w:rFonts w:hint="eastAsia" w:ascii="宋体" w:hAnsi="宋体" w:cs="宋体"/>
                <w:lang w:val="en-US" w:eastAsia="zh-CN"/>
              </w:rPr>
              <w:t>工作日内</w:t>
            </w:r>
            <w:r>
              <w:rPr>
                <w:rFonts w:hint="eastAsia" w:ascii="宋体" w:hAnsi="宋体" w:cs="宋体"/>
              </w:rPr>
              <w:t>通过邮件回复的方式发放椒江流域预报调度一体化平台的测试账号。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4</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投标文件的制作和投标</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请投标人在投标前仔细阅读《政府采购项目电子交易操作指南》。</w:t>
            </w:r>
          </w:p>
          <w:p>
            <w:pPr>
              <w:spacing w:line="300" w:lineRule="auto"/>
              <w:ind w:firstLine="420" w:firstLineChars="200"/>
              <w:rPr>
                <w:rFonts w:ascii="宋体" w:hAnsi="宋体" w:cs="宋体"/>
              </w:rPr>
            </w:pPr>
            <w:r>
              <w:rPr>
                <w:rFonts w:hint="eastAsia" w:ascii="宋体" w:hAnsi="宋体" w:cs="宋体"/>
              </w:rPr>
              <w:t>1.投标文件的制作：投标人按照本项目招标文件和政采云平台的要求，通过“政采云电子交易客户端”编制、加密并递交投标文件（下载网址：</w:t>
            </w:r>
            <w:r>
              <w:fldChar w:fldCharType="begin"/>
            </w:r>
            <w:r>
              <w:instrText xml:space="preserve"> HYPERLINK "http://www.zjzfcg.gov.cn/bidClientTemplate/2019-09-24/12975.html）。" </w:instrText>
            </w:r>
            <w:r>
              <w:fldChar w:fldCharType="separate"/>
            </w:r>
            <w:r>
              <w:rPr>
                <w:rFonts w:hint="eastAsia" w:ascii="宋体" w:hAnsi="宋体" w:cs="宋体"/>
              </w:rPr>
              <w:t>https://zfcg.czt.zj.gov.cn/download/index.html）。</w:t>
            </w:r>
            <w:r>
              <w:rPr>
                <w:rFonts w:hint="eastAsia" w:ascii="宋体" w:hAnsi="宋体" w:cs="宋体"/>
              </w:rPr>
              <w:fldChar w:fldCharType="end"/>
            </w:r>
          </w:p>
          <w:p>
            <w:pPr>
              <w:spacing w:line="300" w:lineRule="auto"/>
              <w:ind w:firstLine="420" w:firstLineChars="200"/>
              <w:rPr>
                <w:rFonts w:ascii="宋体" w:hAnsi="宋体" w:cs="宋体"/>
              </w:rPr>
            </w:pPr>
            <w:r>
              <w:rPr>
                <w:rFonts w:hint="eastAsia" w:ascii="宋体" w:hAnsi="宋体" w:cs="宋体"/>
                <w:color w:val="auto"/>
              </w:rPr>
              <w:t>2.投标：投标人应当在投标截止时间前（开标当天北京时间</w:t>
            </w:r>
            <w:r>
              <w:rPr>
                <w:rFonts w:hint="eastAsia" w:ascii="宋体" w:hAnsi="宋体" w:cs="宋体"/>
                <w:color w:val="auto"/>
                <w:u w:val="single"/>
              </w:rPr>
              <w:t>09:10</w:t>
            </w:r>
            <w:r>
              <w:rPr>
                <w:rFonts w:hint="eastAsia" w:ascii="宋体" w:hAnsi="宋体" w:cs="宋体"/>
              </w:rPr>
              <w:t>）完成投标文件的传输递交，逾期上传的投标文件恕不接受。补充或者修改投标文件的，应当先行撤回原文件，补充、修改后重新传输递交。投标截止时间前未完成上传的，视为撤回投标文件。</w:t>
            </w:r>
          </w:p>
          <w:p>
            <w:pPr>
              <w:spacing w:line="300" w:lineRule="auto"/>
              <w:ind w:firstLine="420" w:firstLineChars="200"/>
              <w:rPr>
                <w:rFonts w:ascii="宋体" w:hAnsi="宋体" w:cs="宋体"/>
              </w:rPr>
            </w:pPr>
            <w:r>
              <w:rPr>
                <w:rFonts w:hint="eastAsia" w:ascii="宋体" w:hAnsi="宋体" w:cs="宋体"/>
              </w:rPr>
              <w:t>3.投标文件解密：投标人应在开标当天北京时</w:t>
            </w:r>
            <w:r>
              <w:rPr>
                <w:rFonts w:hint="eastAsia" w:ascii="宋体" w:hAnsi="宋体" w:cs="宋体"/>
                <w:color w:val="auto"/>
              </w:rPr>
              <w:t>间</w:t>
            </w:r>
            <w:r>
              <w:rPr>
                <w:rFonts w:hint="eastAsia" w:ascii="宋体" w:hAnsi="宋体" w:cs="宋体"/>
                <w:color w:val="auto"/>
                <w:u w:val="single"/>
              </w:rPr>
              <w:t>09:10</w:t>
            </w:r>
            <w:r>
              <w:rPr>
                <w:rFonts w:hint="eastAsia" w:ascii="宋体" w:hAnsi="宋体" w:cs="宋体"/>
                <w:color w:val="auto"/>
              </w:rPr>
              <w:t>至</w:t>
            </w:r>
            <w:r>
              <w:rPr>
                <w:rFonts w:hint="eastAsia" w:ascii="宋体" w:hAnsi="宋体" w:cs="宋体"/>
                <w:color w:val="auto"/>
                <w:u w:val="single"/>
              </w:rPr>
              <w:t>09:40</w:t>
            </w:r>
            <w:r>
              <w:rPr>
                <w:rFonts w:hint="eastAsia" w:ascii="宋体" w:hAnsi="宋体" w:cs="宋体"/>
                <w:color w:val="auto"/>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5</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备份投标文件的递交</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备份投标文件是通过政采云电子交易客户端制作投标文件产生的备份文件，请投标人自行妥善保管。</w:t>
            </w:r>
          </w:p>
          <w:p>
            <w:pPr>
              <w:spacing w:line="300" w:lineRule="auto"/>
              <w:ind w:firstLine="420" w:firstLineChars="200"/>
              <w:rPr>
                <w:rFonts w:ascii="宋体" w:hAnsi="宋体" w:cs="宋体"/>
                <w:szCs w:val="21"/>
              </w:rPr>
            </w:pPr>
            <w:r>
              <w:rPr>
                <w:rFonts w:hint="eastAsia" w:ascii="宋体" w:hAnsi="宋体" w:cs="宋体"/>
                <w:szCs w:val="21"/>
              </w:rPr>
              <w:t>1.使用前提：在解密截止时间前，投标人自行在线解密操作失败，又未能及时联系技术人员帮助解密，或者投标人寻求技术人员帮助仍无法完成解密。</w:t>
            </w:r>
          </w:p>
          <w:p>
            <w:pPr>
              <w:spacing w:line="300" w:lineRule="auto"/>
              <w:ind w:firstLine="420" w:firstLineChars="200"/>
              <w:rPr>
                <w:rFonts w:ascii="宋体" w:hAnsi="宋体" w:cs="宋体"/>
                <w:szCs w:val="21"/>
              </w:rPr>
            </w:pPr>
            <w:r>
              <w:rPr>
                <w:rFonts w:hint="eastAsia" w:ascii="宋体" w:hAnsi="宋体" w:cs="宋体"/>
                <w:szCs w:val="21"/>
              </w:rPr>
              <w:t>2.递交截止时间：开标当天</w:t>
            </w:r>
            <w:r>
              <w:rPr>
                <w:rFonts w:hint="eastAsia" w:ascii="宋体" w:hAnsi="宋体" w:cs="宋体"/>
                <w:szCs w:val="21"/>
                <w:u w:val="single"/>
              </w:rPr>
              <w:t>10:00</w:t>
            </w:r>
            <w:r>
              <w:rPr>
                <w:rFonts w:hint="eastAsia" w:ascii="宋体" w:hAnsi="宋体" w:cs="宋体"/>
                <w:szCs w:val="21"/>
              </w:rPr>
              <w:t>（北京时间）。</w:t>
            </w:r>
          </w:p>
          <w:p>
            <w:pPr>
              <w:spacing w:line="300" w:lineRule="auto"/>
              <w:ind w:firstLine="420" w:firstLineChars="200"/>
              <w:rPr>
                <w:rFonts w:ascii="宋体" w:hAnsi="宋体" w:cs="宋体"/>
                <w:szCs w:val="21"/>
              </w:rPr>
            </w:pPr>
            <w:r>
              <w:rPr>
                <w:rFonts w:hint="eastAsia" w:ascii="宋体" w:hAnsi="宋体" w:cs="宋体"/>
                <w:szCs w:val="21"/>
              </w:rPr>
              <w:t>3.投递邮箱：开标当天公布的指定邮箱。</w:t>
            </w:r>
          </w:p>
          <w:p>
            <w:pPr>
              <w:spacing w:line="300" w:lineRule="auto"/>
              <w:ind w:firstLine="420" w:firstLineChars="200"/>
              <w:rPr>
                <w:rFonts w:ascii="宋体" w:hAnsi="宋体" w:cs="宋体"/>
                <w:szCs w:val="21"/>
              </w:rPr>
            </w:pPr>
            <w:r>
              <w:rPr>
                <w:rFonts w:hint="eastAsia" w:ascii="宋体" w:hAnsi="宋体" w:cs="宋体"/>
                <w:szCs w:val="21"/>
              </w:rPr>
              <w:t>4.未按上述要求递交备份投标文件或所提供的备份投标文件不符合要求的视同放弃投标，仅提交备份投标文件的，投标无效。</w:t>
            </w:r>
          </w:p>
          <w:p>
            <w:pPr>
              <w:spacing w:line="300" w:lineRule="auto"/>
              <w:ind w:firstLine="420" w:firstLineChars="200"/>
              <w:rPr>
                <w:rFonts w:ascii="宋体" w:hAnsi="宋体" w:cs="宋体"/>
                <w:szCs w:val="21"/>
              </w:rPr>
            </w:pPr>
            <w:r>
              <w:rPr>
                <w:rFonts w:hint="eastAsia" w:ascii="宋体" w:hAnsi="宋体" w:cs="宋体"/>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6</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不见面开标</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本项目开评标环节实行全流程电子化，采取政采云不见面开标大厅实现，投标人可自行登录政采云平台进入开标大厅观看现场直播画面。采购组织机构按照采购文件规定的时间通过电子交易平台组织开标、开启投标文件，所有投标人均应当准时在线参加。如未参加，造成无法响应或响应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7</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szCs w:val="21"/>
              </w:rPr>
            </w:pPr>
            <w:r>
              <w:rPr>
                <w:rFonts w:hint="eastAsia" w:ascii="宋体" w:hAnsi="宋体" w:cs="宋体"/>
                <w:szCs w:val="21"/>
              </w:rPr>
              <w:t>远程询标/远程在线演示要求</w:t>
            </w:r>
          </w:p>
          <w:p>
            <w:pPr>
              <w:spacing w:line="300" w:lineRule="auto"/>
              <w:jc w:val="center"/>
              <w:rPr>
                <w:rFonts w:ascii="宋体" w:hAnsi="宋体" w:cs="宋体"/>
              </w:rPr>
            </w:pPr>
            <w:r>
              <w:rPr>
                <w:rFonts w:hint="eastAsia" w:ascii="宋体" w:hAnsi="宋体" w:cs="宋体"/>
                <w:szCs w:val="21"/>
              </w:rPr>
              <w:t>要求</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numPr>
                <w:ilvl w:val="0"/>
                <w:numId w:val="6"/>
              </w:numPr>
              <w:spacing w:line="300" w:lineRule="auto"/>
              <w:ind w:firstLine="420" w:firstLineChars="200"/>
              <w:rPr>
                <w:rFonts w:ascii="宋体" w:hAnsi="宋体" w:cs="宋体"/>
                <w:szCs w:val="21"/>
              </w:rPr>
            </w:pPr>
            <w:r>
              <w:rPr>
                <w:rFonts w:hint="eastAsia" w:ascii="宋体" w:hAnsi="宋体" w:cs="宋体"/>
                <w:szCs w:val="21"/>
              </w:rPr>
              <w:t>评审小组可能向投标人发起远程询标，投标人需提前做好准备。</w:t>
            </w:r>
          </w:p>
          <w:p>
            <w:pPr>
              <w:numPr>
                <w:ilvl w:val="0"/>
                <w:numId w:val="6"/>
              </w:numPr>
              <w:spacing w:line="300" w:lineRule="auto"/>
              <w:ind w:firstLine="420" w:firstLineChars="200"/>
              <w:rPr>
                <w:rFonts w:ascii="宋体" w:hAnsi="宋体" w:cs="宋体"/>
                <w:szCs w:val="21"/>
              </w:rPr>
            </w:pPr>
            <w:r>
              <w:rPr>
                <w:rFonts w:hint="eastAsia" w:ascii="宋体" w:hAnsi="宋体" w:cs="宋体"/>
                <w:szCs w:val="21"/>
              </w:rPr>
              <w:t>本项目是否需要远程在线演示要求详见采购需求。</w:t>
            </w:r>
          </w:p>
          <w:p>
            <w:pPr>
              <w:numPr>
                <w:ilvl w:val="0"/>
                <w:numId w:val="6"/>
              </w:numPr>
              <w:spacing w:line="300" w:lineRule="auto"/>
              <w:ind w:firstLine="420" w:firstLineChars="200"/>
              <w:rPr>
                <w:rFonts w:ascii="宋体" w:hAnsi="宋体" w:cs="宋体"/>
                <w:szCs w:val="21"/>
              </w:rPr>
            </w:pPr>
            <w:r>
              <w:rPr>
                <w:rFonts w:hint="eastAsia" w:ascii="宋体" w:hAnsi="宋体" w:cs="宋体"/>
                <w:szCs w:val="21"/>
              </w:rPr>
              <w:t>远程询标/远程在线演示要求通过“政采云视频讲标系统”进行线上问答，投标人在接到政采云信息推送后登录政采云系统--进入开标大厅--进入本项目进行操作，单方面视频下回答评委询问。</w:t>
            </w:r>
          </w:p>
          <w:p>
            <w:pPr>
              <w:numPr>
                <w:ilvl w:val="0"/>
                <w:numId w:val="6"/>
              </w:numPr>
              <w:spacing w:line="300" w:lineRule="auto"/>
              <w:ind w:firstLine="420" w:firstLineChars="200"/>
              <w:rPr>
                <w:rFonts w:ascii="宋体" w:hAnsi="宋体" w:cs="宋体"/>
                <w:szCs w:val="21"/>
              </w:rPr>
            </w:pPr>
            <w:r>
              <w:rPr>
                <w:rFonts w:hint="eastAsia" w:ascii="宋体" w:hAnsi="宋体" w:cs="宋体"/>
                <w:szCs w:val="21"/>
              </w:rPr>
              <w:t>投标人进行远程在线演示可通过共享桌面来实现，具体操作指南在《政府采购项目电子交易管理操作指南-供应商》2.4.4项。</w:t>
            </w:r>
          </w:p>
          <w:p>
            <w:pPr>
              <w:numPr>
                <w:ilvl w:val="0"/>
                <w:numId w:val="6"/>
              </w:numPr>
              <w:spacing w:line="300" w:lineRule="auto"/>
              <w:ind w:firstLine="420" w:firstLineChars="200"/>
              <w:rPr>
                <w:rFonts w:ascii="宋体" w:hAnsi="宋体" w:cs="宋体"/>
                <w:szCs w:val="21"/>
              </w:rPr>
            </w:pPr>
            <w:r>
              <w:rPr>
                <w:rFonts w:hint="eastAsia" w:ascii="宋体" w:hAnsi="宋体" w:cs="宋体"/>
                <w:szCs w:val="21"/>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8</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投标与开标</w:t>
            </w:r>
          </w:p>
          <w:p>
            <w:pPr>
              <w:spacing w:line="300" w:lineRule="auto"/>
              <w:jc w:val="center"/>
              <w:rPr>
                <w:rFonts w:ascii="宋体" w:hAnsi="宋体" w:cs="宋体"/>
              </w:rPr>
            </w:pPr>
            <w:r>
              <w:rPr>
                <w:rFonts w:hint="eastAsia" w:ascii="宋体" w:hAnsi="宋体" w:cs="宋体"/>
              </w:rPr>
              <w:t>注意事项</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szCs w:val="21"/>
              </w:rPr>
            </w:pPr>
            <w:r>
              <w:rPr>
                <w:rFonts w:hint="eastAsia" w:ascii="宋体" w:hAnsi="宋体" w:cs="宋体"/>
                <w:szCs w:val="21"/>
              </w:rPr>
              <w:t>1.本项目实行电子投标，投标人自行承担投标一切费用。</w:t>
            </w:r>
          </w:p>
          <w:p>
            <w:pPr>
              <w:spacing w:line="300" w:lineRule="auto"/>
              <w:ind w:firstLine="420" w:firstLineChars="200"/>
              <w:rPr>
                <w:rFonts w:ascii="宋体" w:hAnsi="宋体" w:cs="宋体"/>
                <w:szCs w:val="21"/>
              </w:rPr>
            </w:pPr>
            <w:r>
              <w:rPr>
                <w:rFonts w:hint="eastAsia" w:ascii="宋体" w:hAnsi="宋体" w:cs="宋体"/>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9</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信用信息</w:t>
            </w:r>
          </w:p>
          <w:p>
            <w:pPr>
              <w:spacing w:line="300" w:lineRule="auto"/>
              <w:jc w:val="center"/>
              <w:rPr>
                <w:rFonts w:ascii="宋体" w:hAnsi="宋体" w:cs="宋体"/>
              </w:rPr>
            </w:pPr>
            <w:r>
              <w:rPr>
                <w:rFonts w:hint="eastAsia" w:ascii="宋体" w:hAnsi="宋体" w:cs="宋体"/>
              </w:rPr>
              <w:t>查询渠道</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信用中国（网址：</w:t>
            </w:r>
            <w:r>
              <w:fldChar w:fldCharType="begin"/>
            </w:r>
            <w:r>
              <w:instrText xml:space="preserve"> HYPERLINK "http://www.creditchina.gov.cn" </w:instrText>
            </w:r>
            <w:r>
              <w:fldChar w:fldCharType="separate"/>
            </w:r>
            <w:r>
              <w:rPr>
                <w:rFonts w:hint="eastAsia" w:ascii="宋体" w:hAnsi="宋体" w:cs="宋体"/>
              </w:rPr>
              <w:t>http://www.creditchina.gov.cn</w:t>
            </w:r>
            <w:r>
              <w:rPr>
                <w:rFonts w:hint="eastAsia" w:ascii="宋体" w:hAnsi="宋体" w:cs="宋体"/>
              </w:rPr>
              <w:fldChar w:fldCharType="end"/>
            </w:r>
            <w:r>
              <w:rPr>
                <w:rFonts w:hint="eastAsia" w:ascii="宋体" w:hAnsi="宋体" w:cs="宋体"/>
              </w:rPr>
              <w:t>）</w:t>
            </w:r>
          </w:p>
          <w:p>
            <w:pPr>
              <w:spacing w:line="300" w:lineRule="auto"/>
              <w:ind w:firstLine="420" w:firstLineChars="200"/>
              <w:rPr>
                <w:rFonts w:ascii="宋体" w:hAnsi="宋体" w:cs="宋体"/>
              </w:rPr>
            </w:pPr>
            <w:r>
              <w:rPr>
                <w:rFonts w:hint="eastAsia" w:ascii="宋体" w:hAnsi="宋体" w:cs="宋体"/>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10</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中小企业预留</w:t>
            </w:r>
          </w:p>
          <w:p>
            <w:pPr>
              <w:spacing w:line="300" w:lineRule="auto"/>
              <w:jc w:val="center"/>
              <w:rPr>
                <w:rFonts w:ascii="宋体" w:hAnsi="宋体" w:cs="宋体"/>
              </w:rPr>
            </w:pPr>
            <w:r>
              <w:rPr>
                <w:rFonts w:hint="eastAsia" w:ascii="宋体" w:hAnsi="宋体" w:cs="宋体"/>
              </w:rPr>
              <w:t>份额情况</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根据《政府采购促进中小企业发展管理办法》（财库〔2020〕46号）文件的规定，本项目(□ 是/☑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11</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中小企业</w:t>
            </w:r>
          </w:p>
          <w:p>
            <w:pPr>
              <w:spacing w:line="300" w:lineRule="auto"/>
              <w:jc w:val="center"/>
              <w:rPr>
                <w:rFonts w:ascii="宋体" w:hAnsi="宋体" w:cs="宋体"/>
              </w:rPr>
            </w:pPr>
            <w:r>
              <w:rPr>
                <w:rFonts w:hint="eastAsia" w:ascii="宋体" w:hAnsi="宋体" w:cs="宋体"/>
              </w:rPr>
              <w:t>优惠措施</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1.项目属性：</w:t>
            </w:r>
            <w:r>
              <w:rPr>
                <w:rFonts w:hint="eastAsia" w:ascii="宋体" w:hAnsi="宋体" w:cs="宋体"/>
                <w:u w:val="single"/>
              </w:rPr>
              <w:t xml:space="preserve"> 服务类 </w:t>
            </w:r>
            <w:r>
              <w:rPr>
                <w:rFonts w:hint="eastAsia" w:ascii="宋体" w:hAnsi="宋体" w:cs="宋体"/>
              </w:rPr>
              <w:t>。</w:t>
            </w:r>
          </w:p>
          <w:p>
            <w:pPr>
              <w:spacing w:line="300" w:lineRule="auto"/>
              <w:ind w:firstLine="420" w:firstLineChars="200"/>
              <w:rPr>
                <w:rFonts w:ascii="宋体" w:hAnsi="宋体" w:cs="宋体"/>
              </w:rPr>
            </w:pPr>
            <w:r>
              <w:rPr>
                <w:rFonts w:hint="eastAsia" w:ascii="宋体" w:hAnsi="宋体" w:cs="宋体"/>
              </w:rPr>
              <w:t>2.中小企业划分标准所属行业（具体根据《中小企业划型标准规定》执行）：</w:t>
            </w:r>
          </w:p>
          <w:p>
            <w:pPr>
              <w:spacing w:line="300" w:lineRule="auto"/>
              <w:ind w:firstLine="420" w:firstLineChars="200"/>
              <w:jc w:val="left"/>
              <w:rPr>
                <w:rFonts w:ascii="宋体" w:hAnsi="宋体" w:cs="宋体"/>
                <w:szCs w:val="21"/>
              </w:rPr>
            </w:pPr>
            <w:r>
              <w:rPr>
                <w:rFonts w:hint="eastAsia" w:ascii="宋体" w:hAnsi="宋体" w:cs="宋体"/>
                <w:szCs w:val="21"/>
              </w:rPr>
              <w:t>采购标的：</w:t>
            </w:r>
            <w:r>
              <w:rPr>
                <w:rFonts w:hint="eastAsia" w:ascii="宋体" w:hAnsi="宋体" w:cs="宋体"/>
                <w:szCs w:val="21"/>
                <w:u w:val="single"/>
              </w:rPr>
              <w:t xml:space="preserve"> 数字孪生椒江建设先行先试项目 </w:t>
            </w:r>
            <w:r>
              <w:rPr>
                <w:rFonts w:hint="eastAsia" w:ascii="宋体" w:hAnsi="宋体" w:cs="宋体"/>
                <w:szCs w:val="21"/>
              </w:rPr>
              <w:t>，所属行业：</w:t>
            </w:r>
            <w:r>
              <w:rPr>
                <w:rFonts w:hint="eastAsia" w:ascii="宋体" w:hAnsi="宋体" w:cs="宋体"/>
                <w:szCs w:val="21"/>
                <w:u w:val="single"/>
              </w:rPr>
              <w:t xml:space="preserve"> 软件和信息技术服务业 </w:t>
            </w:r>
            <w:r>
              <w:rPr>
                <w:rFonts w:hint="eastAsia" w:ascii="宋体" w:hAnsi="宋体" w:cs="宋体"/>
                <w:szCs w:val="21"/>
              </w:rPr>
              <w:t>。</w:t>
            </w:r>
          </w:p>
          <w:p>
            <w:pPr>
              <w:spacing w:line="30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3.属于享受政府采购支持政策的残疾人福利性单位，</w:t>
            </w:r>
            <w:r>
              <w:rPr>
                <w:rFonts w:hint="eastAsia" w:ascii="宋体" w:hAnsi="宋体" w:cs="宋体"/>
                <w:color w:val="000000" w:themeColor="text1"/>
                <w:szCs w:val="21"/>
                <w14:textFill>
                  <w14:solidFill>
                    <w14:schemeClr w14:val="tx1"/>
                  </w14:solidFill>
                </w14:textFill>
              </w:rPr>
              <w:t>应符合财库</w:t>
            </w:r>
            <w:r>
              <w:rPr>
                <w:rFonts w:hint="eastAsia" w:ascii="宋体" w:hAnsi="宋体" w:cs="宋体"/>
                <w:szCs w:val="21"/>
              </w:rPr>
              <w:t>〔2017〕</w:t>
            </w:r>
            <w:r>
              <w:rPr>
                <w:rFonts w:hint="eastAsia" w:ascii="宋体" w:hAnsi="宋体" w:cs="宋体"/>
                <w:color w:val="000000" w:themeColor="text1"/>
                <w:szCs w:val="21"/>
                <w14:textFill>
                  <w14:solidFill>
                    <w14:schemeClr w14:val="tx1"/>
                  </w14:solidFill>
                </w14:textFill>
              </w:rPr>
              <w:t>141号文件规定，</w:t>
            </w:r>
            <w:r>
              <w:rPr>
                <w:rFonts w:hint="eastAsia" w:ascii="宋体" w:hAnsi="宋体" w:cs="宋体"/>
                <w:szCs w:val="21"/>
              </w:rPr>
              <w:t>视同小型、微型企业，</w:t>
            </w:r>
            <w:r>
              <w:rPr>
                <w:rFonts w:hint="eastAsia" w:ascii="宋体" w:hAnsi="宋体" w:cs="宋体"/>
                <w:color w:val="000000" w:themeColor="text1"/>
                <w:szCs w:val="21"/>
                <w14:textFill>
                  <w14:solidFill>
                    <w14:schemeClr w14:val="tx1"/>
                  </w14:solidFill>
                </w14:textFill>
              </w:rPr>
              <w:t>在投标文件中提供《残疾人福利性单位声明函》（见附件），</w:t>
            </w:r>
            <w:r>
              <w:rPr>
                <w:rFonts w:hint="eastAsia" w:ascii="宋体" w:hAnsi="宋体" w:cs="宋体"/>
                <w:szCs w:val="21"/>
              </w:rPr>
              <w:t>享受评审中价格扣除政策</w:t>
            </w:r>
            <w:r>
              <w:rPr>
                <w:rFonts w:hint="eastAsia" w:ascii="宋体" w:hAnsi="宋体" w:cs="宋体"/>
                <w:color w:val="000000" w:themeColor="text1"/>
                <w:szCs w:val="21"/>
                <w14:textFill>
                  <w14:solidFill>
                    <w14:schemeClr w14:val="tx1"/>
                  </w14:solidFill>
                </w14:textFill>
              </w:rPr>
              <w:t>。</w:t>
            </w:r>
          </w:p>
          <w:p>
            <w:pPr>
              <w:spacing w:line="300" w:lineRule="auto"/>
              <w:ind w:firstLine="420" w:firstLineChars="200"/>
              <w:rPr>
                <w:rFonts w:ascii="宋体" w:hAnsi="宋体" w:cs="宋体"/>
                <w:szCs w:val="21"/>
              </w:rPr>
            </w:pPr>
            <w:r>
              <w:rPr>
                <w:rFonts w:hint="eastAsia" w:ascii="宋体" w:hAnsi="宋体" w:cs="宋体"/>
                <w:szCs w:val="21"/>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spacing w:line="300" w:lineRule="auto"/>
              <w:ind w:firstLine="420" w:firstLineChars="200"/>
              <w:rPr>
                <w:rFonts w:ascii="宋体" w:hAnsi="宋体" w:cs="宋体"/>
              </w:rPr>
            </w:pPr>
            <w:r>
              <w:rPr>
                <w:rFonts w:hint="eastAsia" w:ascii="宋体" w:hAnsi="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12</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质疑渠道</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13</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lang w:val="zh-CN"/>
              </w:rPr>
              <w:t>实质性条款</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lang w:val="zh-CN"/>
              </w:rPr>
              <w:t>带“</w:t>
            </w:r>
            <w:r>
              <w:rPr>
                <w:rFonts w:hint="eastAsia" w:ascii="宋体" w:hAnsi="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14</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主要性能参数</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15</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书面形式</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16</w:t>
            </w:r>
          </w:p>
        </w:tc>
        <w:tc>
          <w:tcPr>
            <w:tcW w:w="171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jc w:val="center"/>
              <w:rPr>
                <w:rFonts w:ascii="宋体" w:hAnsi="宋体" w:cs="宋体"/>
              </w:rPr>
            </w:pPr>
            <w:r>
              <w:rPr>
                <w:rFonts w:hint="eastAsia" w:ascii="宋体" w:hAnsi="宋体" w:cs="宋体"/>
              </w:rPr>
              <w:t>解释权</w:t>
            </w:r>
          </w:p>
        </w:tc>
        <w:tc>
          <w:tcPr>
            <w:tcW w:w="645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00" w:lineRule="auto"/>
              <w:ind w:firstLine="420" w:firstLineChars="200"/>
              <w:rPr>
                <w:rFonts w:ascii="宋体" w:hAnsi="宋体" w:cs="宋体"/>
              </w:rPr>
            </w:pPr>
            <w:r>
              <w:rPr>
                <w:rFonts w:hint="eastAsia" w:ascii="宋体" w:hAnsi="宋体" w:cs="宋体"/>
              </w:rPr>
              <w:t>本招标文件解释权属于采购人和采购组织机构。</w:t>
            </w:r>
          </w:p>
        </w:tc>
      </w:tr>
    </w:tbl>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1"/>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8"/>
        <w:spacing w:line="360" w:lineRule="auto"/>
        <w:ind w:firstLine="480" w:firstLineChars="200"/>
      </w:pPr>
      <w:r>
        <w:t>本招标文件仅适用于本次招标公告中所涉及的项目和内容。</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p>
    <w:p>
      <w:pPr>
        <w:snapToGrid w:val="0"/>
        <w:spacing w:line="360" w:lineRule="auto"/>
        <w:ind w:firstLine="480" w:firstLineChars="200"/>
        <w:rPr>
          <w:rFonts w:ascii="宋体" w:hAnsi="宋体"/>
          <w:sz w:val="24"/>
          <w:lang w:val="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sz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0"/>
        <w:snapToGrid w:val="0"/>
        <w:spacing w:line="360" w:lineRule="auto"/>
        <w:ind w:left="2" w:leftChars="1" w:firstLine="482" w:firstLineChars="200"/>
        <w:rPr>
          <w:rFonts w:hAnsi="宋体"/>
          <w:b/>
          <w:sz w:val="24"/>
        </w:rPr>
      </w:pPr>
      <w:r>
        <w:rPr>
          <w:rFonts w:hint="eastAsia" w:hAnsi="宋体"/>
          <w:b/>
          <w:sz w:val="24"/>
        </w:rPr>
        <w:t>（七）特别说明</w:t>
      </w:r>
    </w:p>
    <w:p>
      <w:pPr>
        <w:pStyle w:val="10"/>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6"/>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本招标文件中关于电子招投标的内容、流程，如与政采云系统中最新的内容、操作不一致的，以政采云系统中的要求为准。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rPr>
        <w:t>（以联合体形式参加本项目投标的，联合体各方均应当提供如下资格证明材料。</w:t>
      </w:r>
      <w:r>
        <w:rPr>
          <w:rFonts w:hint="eastAsia" w:ascii="宋体" w:hAnsi="宋体"/>
          <w:b/>
          <w:sz w:val="24"/>
        </w:rPr>
        <w:t>）</w:t>
      </w:r>
    </w:p>
    <w:p>
      <w:pPr>
        <w:snapToGrid w:val="0"/>
        <w:spacing w:line="360" w:lineRule="auto"/>
        <w:ind w:firstLine="480" w:firstLineChars="200"/>
        <w:rPr>
          <w:rFonts w:ascii="宋体" w:hAnsi="宋体" w:cs="宋体"/>
          <w:sz w:val="24"/>
        </w:rPr>
      </w:pPr>
      <w:r>
        <w:rPr>
          <w:rFonts w:hint="eastAsia" w:ascii="宋体" w:hAnsi="宋体"/>
          <w:bCs/>
          <w:sz w:val="24"/>
        </w:rPr>
        <w:t>（1）</w:t>
      </w:r>
      <w:r>
        <w:rPr>
          <w:rFonts w:hint="eastAsia" w:ascii="宋体" w:hAnsi="宋体" w:cs="宋体"/>
          <w:sz w:val="24"/>
        </w:rPr>
        <w:t>投标声明书；</w:t>
      </w:r>
    </w:p>
    <w:p>
      <w:pPr>
        <w:snapToGrid w:val="0"/>
        <w:spacing w:line="360" w:lineRule="auto"/>
        <w:ind w:firstLine="480" w:firstLineChars="200"/>
        <w:rPr>
          <w:rFonts w:ascii="宋体" w:hAnsi="宋体" w:cs="宋体"/>
          <w:sz w:val="24"/>
        </w:rPr>
      </w:pPr>
      <w:r>
        <w:rPr>
          <w:rFonts w:hint="eastAsia" w:ascii="宋体" w:hAnsi="宋体" w:cs="宋体"/>
          <w:sz w:val="24"/>
        </w:rPr>
        <w:t>（2）授权委托书或联合体授权委托书（法定代表人亲自办理投标事宜的，则无需提交授权委托书；以联合体形式投标时需提供联合体授权委托书）；</w:t>
      </w:r>
    </w:p>
    <w:p>
      <w:pPr>
        <w:snapToGrid w:val="0"/>
        <w:spacing w:line="360" w:lineRule="auto"/>
        <w:ind w:firstLine="480" w:firstLineChars="200"/>
        <w:rPr>
          <w:rFonts w:ascii="宋体" w:hAnsi="宋体" w:cs="宋体"/>
          <w:sz w:val="24"/>
        </w:rPr>
      </w:pPr>
      <w:r>
        <w:rPr>
          <w:rFonts w:hint="eastAsia" w:ascii="宋体" w:hAnsi="宋体" w:cs="宋体"/>
          <w:sz w:val="24"/>
        </w:rPr>
        <w:t>（3）联合体共同投标协议书（以联合体形式投标时需提供）；</w:t>
      </w:r>
    </w:p>
    <w:p>
      <w:pPr>
        <w:snapToGrid w:val="0"/>
        <w:spacing w:line="360" w:lineRule="auto"/>
        <w:ind w:firstLine="480" w:firstLineChars="200"/>
        <w:rPr>
          <w:rFonts w:ascii="宋体" w:hAnsi="宋体" w:cs="宋体"/>
          <w:sz w:val="24"/>
        </w:rPr>
      </w:pPr>
      <w:r>
        <w:rPr>
          <w:rFonts w:hint="eastAsia" w:ascii="宋体" w:hAnsi="宋体" w:cs="宋体"/>
          <w:sz w:val="24"/>
        </w:rPr>
        <w:t>（4）法人或者其他组织的营业执照等证明文件，自然人的身份证明；</w:t>
      </w:r>
    </w:p>
    <w:p>
      <w:pPr>
        <w:snapToGrid w:val="0"/>
        <w:spacing w:line="360" w:lineRule="auto"/>
        <w:ind w:firstLine="480" w:firstLineChars="200"/>
        <w:rPr>
          <w:rFonts w:ascii="宋体" w:hAnsi="宋体" w:cs="宋体"/>
          <w:sz w:val="24"/>
        </w:rPr>
      </w:pPr>
      <w:r>
        <w:rPr>
          <w:rFonts w:hint="eastAsia" w:ascii="宋体" w:hAnsi="宋体" w:cs="宋体"/>
          <w:sz w:val="24"/>
        </w:rPr>
        <w:t>（5）符合参与政府采购活动的资格条件并且没有税收缴纳、社会保障等方面的失信记录的承诺函；</w:t>
      </w:r>
    </w:p>
    <w:p>
      <w:pPr>
        <w:snapToGrid w:val="0"/>
        <w:spacing w:line="360" w:lineRule="auto"/>
        <w:ind w:firstLine="480" w:firstLineChars="200"/>
        <w:rPr>
          <w:rFonts w:ascii="宋体" w:hAnsi="宋体" w:cs="宋体"/>
          <w:sz w:val="24"/>
        </w:rPr>
      </w:pPr>
      <w:r>
        <w:rPr>
          <w:rFonts w:hint="eastAsia" w:ascii="宋体" w:hAnsi="宋体" w:cs="宋体"/>
          <w:sz w:val="24"/>
        </w:rPr>
        <w:t>（6）具备履行合同所必需的设备和专业技术能力的证明材料（根据项目性质提供）；</w:t>
      </w:r>
    </w:p>
    <w:p>
      <w:pPr>
        <w:snapToGrid w:val="0"/>
        <w:spacing w:line="360" w:lineRule="auto"/>
        <w:ind w:firstLine="480" w:firstLineChars="200"/>
        <w:rPr>
          <w:rFonts w:ascii="宋体" w:hAnsi="宋体" w:cs="宋体"/>
          <w:sz w:val="24"/>
        </w:rPr>
      </w:pPr>
      <w:r>
        <w:rPr>
          <w:rFonts w:hint="eastAsia" w:ascii="宋体" w:hAnsi="宋体" w:cs="宋体"/>
          <w:sz w:val="24"/>
        </w:rPr>
        <w:t>（7）提供采购公告中符合投标人特定条件的有效资质证书扫描件，以及需要说明的其他资料。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b/>
          <w:bCs/>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投标人对项目现状及需求的理解状况，对项目现状和需求描述的全面性、准确性、针对性，项目功能设计完备、对系统各组成部分等功能进行准确的分析，对项目重点、难点的把握，解决方案及合理化建议）；</w:t>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numPr>
          <w:ilvl w:val="0"/>
          <w:numId w:val="8"/>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项目分包方案；</w:t>
      </w:r>
      <w:r>
        <w:rPr>
          <w:rFonts w:hint="eastAsia" w:ascii="Calibri" w:hAnsi="Calibri" w:cs="Calibri"/>
          <w:sz w:val="24"/>
          <w:szCs w:val="24"/>
        </w:rPr>
        <w:tab/>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asciiTheme="minorEastAsia" w:hAnsiTheme="minorEastAsia" w:eastAsiaTheme="minorEastAsia"/>
          <w:b/>
          <w:bCs/>
          <w:color w:val="000000" w:themeColor="text1"/>
          <w:kern w:val="0"/>
          <w:sz w:val="24"/>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lang w:val="en-GB"/>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p>
    <w:p>
      <w:pPr>
        <w:autoSpaceDE w:val="0"/>
        <w:autoSpaceDN w:val="0"/>
        <w:adjustRightInd w:val="0"/>
        <w:spacing w:line="360" w:lineRule="auto"/>
        <w:ind w:firstLine="482" w:firstLineChars="200"/>
        <w:rPr>
          <w:rFonts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如采购组织机构顺延截止时间和开标时间，采购组织机构和投标人的权利和义务将受到新的截止时间和开标时间的约束。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0"/>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rPr>
        <w:t>六、评标（详见第四章）</w:t>
      </w:r>
    </w:p>
    <w:p>
      <w:pPr>
        <w:pStyle w:val="16"/>
        <w:widowControl w:val="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6"/>
        <w:widowControl w:val="0"/>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（一）</w:t>
      </w:r>
      <w:r>
        <w:rPr>
          <w:b/>
          <w:bCs/>
        </w:rPr>
        <w:t>确定中标人</w:t>
      </w:r>
    </w:p>
    <w:p>
      <w:pPr>
        <w:pStyle w:val="16"/>
        <w:widowControl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rPr>
        <w:t>1</w:t>
      </w:r>
      <w:r>
        <w:rPr>
          <w:rFonts w:ascii="宋体" w:hAnsi="宋体"/>
          <w:kern w:val="0"/>
          <w:sz w:val="24"/>
        </w:rPr>
        <w:t>个</w:t>
      </w:r>
      <w:r>
        <w:rPr>
          <w:sz w:val="24"/>
        </w:rPr>
        <w:t>工作日</w:t>
      </w:r>
      <w:r>
        <w:rPr>
          <w:rFonts w:hint="eastAsia" w:ascii="宋体" w:hAnsi="宋体"/>
          <w:kern w:val="0"/>
          <w:sz w:val="24"/>
        </w:rPr>
        <w:t>。</w:t>
      </w:r>
    </w:p>
    <w:p>
      <w:pPr>
        <w:spacing w:line="360" w:lineRule="auto"/>
        <w:ind w:firstLine="482" w:firstLineChars="200"/>
        <w:rPr>
          <w:b/>
          <w:bCs/>
          <w:sz w:val="24"/>
        </w:rPr>
      </w:pPr>
      <w:r>
        <w:rPr>
          <w:rFonts w:hint="eastAsia"/>
          <w:b/>
          <w:bCs/>
          <w:sz w:val="24"/>
        </w:rPr>
        <w:t>（三）发放中标通知书</w:t>
      </w:r>
    </w:p>
    <w:p>
      <w:pPr>
        <w:spacing w:line="360" w:lineRule="auto"/>
        <w:ind w:firstLine="480" w:firstLineChars="200"/>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6"/>
        <w:widowControl w:val="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6"/>
        <w:widowControl w:val="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2.采购人不得向中标人提出任何不合理的要求作为签订合同的条件。</w:t>
      </w:r>
    </w:p>
    <w:p>
      <w:pPr>
        <w:pStyle w:val="16"/>
        <w:widowControl w:val="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3.中标人无故拖延、拒签合同的，将取消中标资格。</w:t>
      </w:r>
    </w:p>
    <w:p>
      <w:pPr>
        <w:pStyle w:val="16"/>
        <w:widowControl w:val="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6"/>
        <w:widowControl w:val="0"/>
        <w:spacing w:before="0" w:beforeAutospacing="0" w:after="0" w:afterAutospacing="0" w:line="360" w:lineRule="auto"/>
        <w:ind w:firstLine="480" w:firstLineChars="200"/>
        <w:jc w:val="both"/>
        <w:rPr>
          <w:rFonts w:hint="default" w:asciiTheme="minorEastAsia" w:hAnsiTheme="minorEastAsia" w:eastAsiaTheme="minorEastAsia" w:cstheme="minorEastAsia"/>
        </w:rPr>
      </w:pPr>
      <w:r>
        <w:rPr>
          <w:rFonts w:asciiTheme="minorEastAsia" w:hAnsiTheme="minorEastAsia" w:eastAsiaTheme="minorEastAsia" w:cstheme="minorEastAsia"/>
        </w:rPr>
        <w:t>5.询问或者质疑事项可能影响中标结果的，采购人应当暂停签订合同，已经签订合同的，应当中止履行合同。</w:t>
      </w:r>
    </w:p>
    <w:p>
      <w:pPr>
        <w:pStyle w:val="16"/>
        <w:widowControl w:val="0"/>
        <w:spacing w:before="0" w:beforeAutospacing="0" w:after="0" w:afterAutospacing="0" w:line="360" w:lineRule="auto"/>
        <w:ind w:firstLine="482" w:firstLineChars="200"/>
        <w:jc w:val="both"/>
        <w:rPr>
          <w:rFonts w:hint="default" w:cs="仿宋_GB2312"/>
          <w:b/>
        </w:rPr>
      </w:pPr>
      <w:r>
        <w:rPr>
          <w:b/>
        </w:rPr>
        <w:t>（二）合同公告及备案</w:t>
      </w:r>
    </w:p>
    <w:p>
      <w:pPr>
        <w:pStyle w:val="9"/>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7"/>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7"/>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7"/>
        <w:spacing w:line="360" w:lineRule="auto"/>
        <w:ind w:firstLine="482" w:firstLineChars="200"/>
        <w:jc w:val="both"/>
        <w:rPr>
          <w:rFonts w:ascii="宋体" w:hAnsi="宋体"/>
          <w:b/>
          <w:bCs/>
          <w:sz w:val="24"/>
        </w:rPr>
      </w:pPr>
      <w:r>
        <w:rPr>
          <w:rFonts w:hint="eastAsia" w:ascii="宋体" w:hAnsi="宋体"/>
          <w:b/>
          <w:bCs/>
          <w:sz w:val="24"/>
        </w:rPr>
        <w:t>（一）询问</w:t>
      </w:r>
    </w:p>
    <w:p>
      <w:pPr>
        <w:pStyle w:val="7"/>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7"/>
        <w:spacing w:line="360" w:lineRule="auto"/>
        <w:ind w:firstLine="482" w:firstLineChars="200"/>
        <w:jc w:val="both"/>
        <w:rPr>
          <w:rFonts w:ascii="宋体" w:hAnsi="宋体"/>
          <w:b/>
          <w:bCs/>
          <w:sz w:val="24"/>
        </w:rPr>
      </w:pPr>
      <w:r>
        <w:rPr>
          <w:rFonts w:hint="eastAsia" w:ascii="宋体" w:hAnsi="宋体"/>
          <w:b/>
          <w:bCs/>
          <w:sz w:val="24"/>
        </w:rPr>
        <w:t>（二）质疑</w:t>
      </w:r>
    </w:p>
    <w:p>
      <w:pPr>
        <w:pStyle w:val="7"/>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7"/>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7"/>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7"/>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7"/>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7"/>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7"/>
        <w:spacing w:line="360" w:lineRule="auto"/>
        <w:ind w:firstLine="482" w:firstLineChars="200"/>
        <w:jc w:val="both"/>
        <w:rPr>
          <w:rFonts w:ascii="宋体" w:hAnsi="宋体"/>
          <w:b/>
          <w:bCs/>
          <w:sz w:val="24"/>
        </w:rPr>
      </w:pPr>
      <w:r>
        <w:rPr>
          <w:rFonts w:hint="eastAsia" w:ascii="宋体" w:hAnsi="宋体"/>
          <w:b/>
          <w:bCs/>
          <w:sz w:val="24"/>
        </w:rPr>
        <w:t>（三）投诉</w:t>
      </w:r>
    </w:p>
    <w:p>
      <w:pPr>
        <w:pStyle w:val="7"/>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7"/>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1 </w:t>
      </w:r>
      <w:r>
        <w:rPr>
          <w:rFonts w:hint="eastAsia" w:asciiTheme="minorEastAsia" w:hAnsiTheme="minorEastAsia" w:eastAsiaTheme="minorEastAsia"/>
          <w:sz w:val="24"/>
        </w:rPr>
        <w:t>个标项，具体内容如下表：</w:t>
      </w:r>
    </w:p>
    <w:tbl>
      <w:tblPr>
        <w:tblStyle w:val="20"/>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标项号</w:t>
            </w:r>
          </w:p>
        </w:tc>
        <w:tc>
          <w:tcPr>
            <w:tcW w:w="1477"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项目名称</w:t>
            </w:r>
          </w:p>
        </w:tc>
        <w:tc>
          <w:tcPr>
            <w:tcW w:w="1991" w:type="dxa"/>
            <w:vAlign w:val="center"/>
          </w:tcPr>
          <w:p>
            <w:pPr>
              <w:tabs>
                <w:tab w:val="left" w:pos="8280"/>
              </w:tabs>
              <w:autoSpaceDE w:val="0"/>
              <w:autoSpaceDN w:val="0"/>
              <w:adjustRightInd w:val="0"/>
              <w:jc w:val="center"/>
              <w:rPr>
                <w:rFonts w:ascii="宋体"/>
                <w:b/>
                <w:szCs w:val="21"/>
              </w:rPr>
            </w:pPr>
            <w:r>
              <w:rPr>
                <w:rFonts w:hint="eastAsia" w:ascii="宋体" w:hAnsi="宋体" w:cs="宋体"/>
                <w:b/>
                <w:kern w:val="0"/>
                <w:szCs w:val="21"/>
              </w:rPr>
              <w:t>简要技术要求</w:t>
            </w:r>
          </w:p>
        </w:tc>
        <w:tc>
          <w:tcPr>
            <w:tcW w:w="1099"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数量</w:t>
            </w:r>
          </w:p>
        </w:tc>
        <w:tc>
          <w:tcPr>
            <w:tcW w:w="85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单位</w:t>
            </w:r>
          </w:p>
        </w:tc>
        <w:tc>
          <w:tcPr>
            <w:tcW w:w="1142" w:type="dxa"/>
            <w:vAlign w:val="center"/>
          </w:tcPr>
          <w:p>
            <w:pPr>
              <w:tabs>
                <w:tab w:val="left" w:pos="8280"/>
              </w:tabs>
              <w:autoSpaceDE w:val="0"/>
              <w:autoSpaceDN w:val="0"/>
              <w:adjustRightInd w:val="0"/>
              <w:jc w:val="center"/>
              <w:rPr>
                <w:rFonts w:ascii="宋体"/>
                <w:b/>
                <w:szCs w:val="21"/>
              </w:rPr>
            </w:pPr>
            <w:r>
              <w:rPr>
                <w:rFonts w:hint="eastAsia" w:ascii="宋体" w:hAnsi="宋体"/>
                <w:b/>
                <w:szCs w:val="21"/>
              </w:rPr>
              <w:t>总预算（万元）</w:t>
            </w:r>
          </w:p>
        </w:tc>
        <w:tc>
          <w:tcPr>
            <w:tcW w:w="1203" w:type="dxa"/>
            <w:vAlign w:val="center"/>
          </w:tcPr>
          <w:p>
            <w:pPr>
              <w:tabs>
                <w:tab w:val="left" w:pos="8280"/>
              </w:tabs>
              <w:autoSpaceDE w:val="0"/>
              <w:autoSpaceDN w:val="0"/>
              <w:adjustRightInd w:val="0"/>
              <w:jc w:val="center"/>
              <w:rPr>
                <w:rFonts w:ascii="宋体" w:hAnsi="宋体"/>
                <w:b/>
                <w:szCs w:val="21"/>
              </w:rPr>
            </w:pPr>
            <w:r>
              <w:rPr>
                <w:rFonts w:hint="eastAsia" w:ascii="宋体" w:hAnsi="宋体"/>
                <w:b/>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ascii="宋体" w:hAnsi="宋体" w:cs="宋体"/>
                <w:szCs w:val="21"/>
              </w:rPr>
            </w:pPr>
            <w:r>
              <w:rPr>
                <w:rFonts w:hint="eastAsia" w:ascii="宋体" w:hAnsi="宋体" w:cs="宋体"/>
                <w:szCs w:val="21"/>
              </w:rPr>
              <w:t>1</w:t>
            </w:r>
          </w:p>
        </w:tc>
        <w:tc>
          <w:tcPr>
            <w:tcW w:w="1477"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bCs/>
                <w:szCs w:val="21"/>
              </w:rPr>
              <w:t>数字孪生椒江建设先行先试项目</w:t>
            </w:r>
          </w:p>
        </w:tc>
        <w:tc>
          <w:tcPr>
            <w:tcW w:w="1991" w:type="dxa"/>
            <w:vAlign w:val="center"/>
          </w:tcPr>
          <w:p>
            <w:pPr>
              <w:tabs>
                <w:tab w:val="left" w:pos="8280"/>
              </w:tabs>
              <w:autoSpaceDE w:val="0"/>
              <w:autoSpaceDN w:val="0"/>
              <w:adjustRightInd w:val="0"/>
              <w:jc w:val="center"/>
              <w:rPr>
                <w:rFonts w:ascii="宋体" w:hAnsi="宋体" w:cs="宋体"/>
                <w:b/>
                <w:szCs w:val="21"/>
              </w:rPr>
            </w:pPr>
            <w:r>
              <w:rPr>
                <w:rFonts w:hint="eastAsia" w:ascii="宋体" w:hAnsi="宋体" w:cs="宋体"/>
                <w:szCs w:val="21"/>
              </w:rPr>
              <w:t>详见技术需求</w:t>
            </w:r>
          </w:p>
        </w:tc>
        <w:tc>
          <w:tcPr>
            <w:tcW w:w="1099"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1</w:t>
            </w:r>
          </w:p>
        </w:tc>
        <w:tc>
          <w:tcPr>
            <w:tcW w:w="85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bCs/>
                <w:szCs w:val="21"/>
              </w:rPr>
              <w:t>项</w:t>
            </w:r>
          </w:p>
        </w:tc>
        <w:tc>
          <w:tcPr>
            <w:tcW w:w="1142" w:type="dxa"/>
            <w:vAlign w:val="center"/>
          </w:tcPr>
          <w:p>
            <w:pPr>
              <w:tabs>
                <w:tab w:val="left" w:pos="8280"/>
              </w:tabs>
              <w:autoSpaceDE w:val="0"/>
              <w:autoSpaceDN w:val="0"/>
              <w:adjustRightInd w:val="0"/>
              <w:jc w:val="center"/>
              <w:rPr>
                <w:rFonts w:ascii="宋体" w:hAnsi="宋体" w:cs="宋体"/>
                <w:bCs/>
                <w:szCs w:val="21"/>
              </w:rPr>
            </w:pPr>
            <w:r>
              <w:rPr>
                <w:rFonts w:hint="eastAsia" w:ascii="宋体" w:hAnsi="宋体" w:cs="宋体"/>
                <w:sz w:val="24"/>
              </w:rPr>
              <w:t>1088.5</w:t>
            </w:r>
          </w:p>
        </w:tc>
        <w:tc>
          <w:tcPr>
            <w:tcW w:w="1203" w:type="dxa"/>
            <w:vAlign w:val="center"/>
          </w:tcPr>
          <w:p>
            <w:pPr>
              <w:tabs>
                <w:tab w:val="left" w:pos="8280"/>
              </w:tabs>
              <w:autoSpaceDE w:val="0"/>
              <w:autoSpaceDN w:val="0"/>
              <w:adjustRightInd w:val="0"/>
              <w:jc w:val="center"/>
              <w:rPr>
                <w:rFonts w:ascii="宋体" w:hAnsi="宋体" w:cs="宋体"/>
                <w:szCs w:val="21"/>
              </w:rPr>
            </w:pPr>
            <w:r>
              <w:rPr>
                <w:rFonts w:hint="eastAsia" w:ascii="宋体" w:hAnsi="宋体" w:cs="宋体"/>
                <w:sz w:val="24"/>
              </w:rPr>
              <w:t>1088.5</w:t>
            </w:r>
          </w:p>
        </w:tc>
      </w:tr>
    </w:tbl>
    <w:p>
      <w:pPr>
        <w:tabs>
          <w:tab w:val="left" w:pos="8280"/>
        </w:tabs>
        <w:autoSpaceDE w:val="0"/>
        <w:autoSpaceDN w:val="0"/>
        <w:adjustRightInd w:val="0"/>
        <w:spacing w:line="360" w:lineRule="auto"/>
        <w:ind w:right="25"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二、技术需求</w:t>
      </w:r>
    </w:p>
    <w:p>
      <w:pPr>
        <w:pStyle w:val="2"/>
        <w:spacing w:line="360" w:lineRule="auto"/>
        <w:ind w:firstLine="482" w:firstLineChars="200"/>
      </w:pPr>
      <w:r>
        <w:rPr>
          <w:rFonts w:hint="eastAsia" w:asciiTheme="minorEastAsia" w:hAnsiTheme="minorEastAsia" w:eastAsiaTheme="minorEastAsia"/>
          <w:b/>
          <w:color w:val="000000" w:themeColor="text1"/>
          <w:kern w:val="0"/>
          <w:sz w:val="24"/>
          <w14:textFill>
            <w14:solidFill>
              <w14:schemeClr w14:val="tx1"/>
            </w14:solidFill>
          </w14:textFill>
        </w:rPr>
        <w:t>（一）</w:t>
      </w:r>
      <w:r>
        <w:rPr>
          <w:rFonts w:hint="eastAsia" w:ascii="宋体" w:hAnsi="宋体" w:cs="宋体"/>
          <w:b/>
          <w:color w:val="000000" w:themeColor="text1"/>
          <w:kern w:val="0"/>
          <w:sz w:val="24"/>
          <w:szCs w:val="24"/>
          <w14:textFill>
            <w14:solidFill>
              <w14:schemeClr w14:val="tx1"/>
            </w14:solidFill>
          </w14:textFill>
        </w:rPr>
        <w:t>项目概述</w:t>
      </w:r>
    </w:p>
    <w:p>
      <w:pPr>
        <w:pStyle w:val="2"/>
        <w:spacing w:line="360" w:lineRule="auto"/>
        <w:ind w:firstLine="482" w:firstLineChars="200"/>
      </w:pPr>
      <w:r>
        <w:rPr>
          <w:rFonts w:hint="eastAsia" w:asciiTheme="minorEastAsia" w:hAnsiTheme="minorEastAsia" w:eastAsiaTheme="minorEastAsia"/>
          <w:b/>
          <w:color w:val="000000" w:themeColor="text1"/>
          <w:kern w:val="0"/>
          <w:sz w:val="24"/>
          <w14:textFill>
            <w14:solidFill>
              <w14:schemeClr w14:val="tx1"/>
            </w14:solidFill>
          </w14:textFill>
        </w:rPr>
        <w:t>1.项目背景</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为贯彻落实2022年全国水利工作会议和水利部推进数字孪生流域建设工作会议精神，按照《关于大力推进智慧水利建设的指导意见》《智慧水利建设顶层设计》《“十四五”智慧水利建设规划》《“十四五”期间推进智慧水利建设实施方案》要求，水利部决定开展数字孪生流域建设先行先试工作。按照“需求牵引、应用至上、数字赋能、提升能力”要求，以数字孪生流域建设为主线，以数字孪生水利工程建设为切入点和突破口，以数字化场景、智慧化模拟、精准化决策为路径，以实现预报、预警、预演、预案（以下简称“四预”）功能为目的，在大江大河重点河段、主要支流及重要水利工程开展数字孪生流域建设先行先试，示范引领数字孪生流域建设有力有序有效推进，加快构建智慧水利体系，为新阶段水利高质量发展提供有力支撑和强力驱动。</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按照《水利部关于开展数字孪生流域建设先行先试工作的通知》的精神和“优先在七大江河主要支流及其重要水利工程”的具体要求，分析椒江流域分布特点和管理权属，遵循“需求牵引、应用至上”的原则，综合考虑流域信息基础建设情况、河流影响程度、建设能力，预期成果推广价值等因素，将椒江流域作为浙江省数字孪生流域建设先行先试试点流域。</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椒江流域位于浙江省中部沿海，是浙江省第三大流域，台州市最大的河流，北接新昌县、磐安县境，西邻缙云县境，南接金清港流域，东濒东海，介于东经120°17′6′′～121°41′00′′，北纬28°32′2′′～29°20′29′′之间。主要包括台州市的仙居县、天台县、临海市、椒江区、黄岩区，源头区涉及绍兴市新昌县、金华市磐安县、丽水市缙云县、温州市永嘉县等。流域面积6603km2。椒江流域受降雨时空分布不均及台风季节的影响，灾害性天气较频繁，常受台风洪潮袭击，是一个洪涝灾害多发的地区。</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椒江干流总长度210km，自河源西北流入缙云县，折向东北流入仙居县，至仙居县横溪镇流经下岸水库；续向东北流，水系呈羽状，左岸有杨岸港、中央溪、九都坑、北岙坑、盂溪、双港溪6条支流汇入，右岸有曹店港、六都坑、十三都坑、十七都坑、十八都坑、二十都坑、朱溪、方溪8条支流汇入；至临海市永丰镇三江村左纳最大支流始丰溪，河道折向东南流15km至临海市大洋街道五孔岙村大田港闸左纳大田港，至临海市江南街道增棚埠村右纳义城港；续向东南流至临海市涌泉镇塘头村右纳永宁江，而后折向东流7.1km左纳龙溪，续东流24km入台州湾。其中下游段主要支流有大田港、义城港、永宁江和龙溪。</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椒江干流划分为上游、中游、下游三段，总长度210km，曹店港汇合断面以上称金坑、曹店港汇合断面以下至始丰溪汇合断面以上称永安溪，始丰溪汇合断面以下至永宁江汇合断面以上称灵江。其中北岙坑汇合断面以上为上游河段，长103km；北岙坑汇合断面以下至始丰溪汇合断面以上为中游河段，长40km；始丰溪汇合断面以下为下游河段、长67km。</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按照急用先行、分步实施的原则，本次数字孪生流域先试先行河段选取椒江干流下游段（三江村～椒江口）及支流永宁江。其中灵江长47km，椒江长20km，永宁江长38km，涉及河段总长约103km。试点工程方面，考虑到朱溪水库、永宁江闸信息化基础较好，故选择朱溪水库、永宁江闸为数字孪生试点工程，本项目需要集成朱溪水库、永宁江闸相关数字化成果。</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2.建设目标</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基于云计算、大数据、人工智能、物联网、数字孪生等新一代信息技术，以数字孪生流域建设为主线，以数字孪生水利工程建设为切入点和突破口，以数字化场景、智慧化模拟、精准化决策为路径，以实现预报、预警、预演、预案（以下简称“四预”）功能为目的，建设数字孪生椒江建设先行先试项目。通过本项目建设，重点建设椒江流域L2级数据底板、提升流域水文监测预报能力，实现洪潮防御的智能高效，构建数字化、网络化、智能化的智慧水利体系。</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3.项目所需要执行的标准规范</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根据水利部《数字孪生流域建设技术大纲（试行）》、《水利业务“四预”基本技术要求（试行）》、《数字孪生水利工程建设技术导则（试行）》、《数字孪生流域共建共享管理办法（试行）》，省水利厅《数字孪生流域建设统筹技术要求》、《数字孪生流域建设先行先试统筹推进机制方案》等文件要求进行项目建设，满足《水利部关于开展数字孪生流域建设先行先试工作的通知》文件的所有要求。</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（二）采购清单</w:t>
      </w:r>
    </w:p>
    <w:tbl>
      <w:tblPr>
        <w:tblStyle w:val="20"/>
        <w:tblW w:w="9222" w:type="dxa"/>
        <w:jc w:val="center"/>
        <w:tblLayout w:type="fixed"/>
        <w:tblCellMar>
          <w:top w:w="0" w:type="dxa"/>
          <w:left w:w="108" w:type="dxa"/>
          <w:bottom w:w="0" w:type="dxa"/>
          <w:right w:w="108" w:type="dxa"/>
        </w:tblCellMar>
      </w:tblPr>
      <w:tblGrid>
        <w:gridCol w:w="698"/>
        <w:gridCol w:w="1863"/>
        <w:gridCol w:w="3405"/>
        <w:gridCol w:w="825"/>
        <w:gridCol w:w="840"/>
        <w:gridCol w:w="1591"/>
      </w:tblGrid>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bCs/>
              </w:rPr>
            </w:pPr>
            <w:r>
              <w:rPr>
                <w:rFonts w:hint="eastAsia"/>
                <w:b/>
                <w:bCs/>
                <w:kern w:val="0"/>
                <w:lang w:bidi="ar"/>
              </w:rPr>
              <w:t>序号</w:t>
            </w:r>
          </w:p>
        </w:tc>
        <w:tc>
          <w:tcPr>
            <w:tcW w:w="526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bCs/>
              </w:rPr>
            </w:pPr>
            <w:r>
              <w:rPr>
                <w:rFonts w:hint="eastAsia"/>
                <w:b/>
                <w:bCs/>
                <w:kern w:val="0"/>
                <w:lang w:bidi="ar"/>
              </w:rPr>
              <w:t>名称</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bCs/>
              </w:rPr>
            </w:pPr>
            <w:r>
              <w:rPr>
                <w:rFonts w:hint="eastAsia"/>
                <w:b/>
                <w:bCs/>
                <w:kern w:val="0"/>
                <w:lang w:bidi="ar"/>
              </w:rPr>
              <w:t>数量</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bCs/>
              </w:rPr>
            </w:pPr>
            <w:r>
              <w:rPr>
                <w:rFonts w:hint="eastAsia"/>
                <w:b/>
                <w:bCs/>
                <w:kern w:val="0"/>
                <w:lang w:bidi="ar"/>
              </w:rPr>
              <w:t>单位</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bCs/>
                <w:kern w:val="0"/>
                <w:lang w:bidi="ar"/>
              </w:rPr>
            </w:pPr>
            <w:r>
              <w:rPr>
                <w:rFonts w:hint="eastAsia"/>
                <w:b/>
                <w:bCs/>
                <w:kern w:val="0"/>
                <w:lang w:bidi="ar"/>
              </w:rPr>
              <w:t>备注</w:t>
            </w: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1</w:t>
            </w:r>
          </w:p>
        </w:tc>
        <w:tc>
          <w:tcPr>
            <w:tcW w:w="1863" w:type="dxa"/>
            <w:vMerge w:val="restart"/>
            <w:tcBorders>
              <w:top w:val="single" w:color="auto" w:sz="4" w:space="0"/>
              <w:left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数字孪生平台</w:t>
            </w: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数据底板</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2</w:t>
            </w:r>
          </w:p>
        </w:tc>
        <w:tc>
          <w:tcPr>
            <w:tcW w:w="1863" w:type="dxa"/>
            <w:vMerge w:val="continue"/>
            <w:tcBorders>
              <w:left w:val="single" w:color="000000" w:sz="4" w:space="0"/>
              <w:right w:val="single" w:color="000000" w:sz="4" w:space="0"/>
            </w:tcBorders>
            <w:noWrap/>
            <w:vAlign w:val="center"/>
          </w:tcPr>
          <w:p>
            <w:pPr>
              <w:jc w:val="center"/>
              <w:rPr>
                <w:rFonts w:ascii="宋体" w:hAnsi="宋体" w:cs="宋体"/>
              </w:rPr>
            </w:pP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模型平台</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3</w:t>
            </w:r>
          </w:p>
        </w:tc>
        <w:tc>
          <w:tcPr>
            <w:tcW w:w="1863" w:type="dxa"/>
            <w:vMerge w:val="continue"/>
            <w:tcBorders>
              <w:left w:val="single" w:color="000000" w:sz="4" w:space="0"/>
              <w:bottom w:val="single" w:color="auto" w:sz="4" w:space="0"/>
              <w:right w:val="single" w:color="000000" w:sz="4" w:space="0"/>
            </w:tcBorders>
            <w:noWrap/>
            <w:vAlign w:val="center"/>
          </w:tcPr>
          <w:p>
            <w:pPr>
              <w:jc w:val="center"/>
              <w:rPr>
                <w:rFonts w:ascii="宋体" w:hAnsi="宋体" w:cs="宋体"/>
              </w:rPr>
            </w:pP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知识平台</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4</w:t>
            </w:r>
          </w:p>
        </w:tc>
        <w:tc>
          <w:tcPr>
            <w:tcW w:w="1863" w:type="dxa"/>
            <w:vMerge w:val="restart"/>
            <w:tcBorders>
              <w:top w:val="single" w:color="auto" w:sz="4" w:space="0"/>
              <w:left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专业应用</w:t>
            </w: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流域防洪业务应用</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5</w:t>
            </w:r>
          </w:p>
        </w:tc>
        <w:tc>
          <w:tcPr>
            <w:tcW w:w="1863" w:type="dxa"/>
            <w:vMerge w:val="continue"/>
            <w:tcBorders>
              <w:left w:val="single" w:color="000000" w:sz="4" w:space="0"/>
              <w:right w:val="single" w:color="000000" w:sz="4" w:space="0"/>
            </w:tcBorders>
            <w:noWrap/>
            <w:vAlign w:val="center"/>
          </w:tcPr>
          <w:p>
            <w:pPr>
              <w:jc w:val="center"/>
              <w:rPr>
                <w:rFonts w:ascii="宋体" w:hAnsi="宋体" w:cs="宋体"/>
              </w:rPr>
            </w:pP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水资源管理与调配应用</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sz w:val="24"/>
              </w:rPr>
            </w:pPr>
            <w:r>
              <w:rPr>
                <w:rFonts w:hint="eastAsia" w:ascii="宋体" w:hAnsi="宋体" w:cs="宋体"/>
              </w:rPr>
              <w:t>6</w:t>
            </w:r>
          </w:p>
        </w:tc>
        <w:tc>
          <w:tcPr>
            <w:tcW w:w="1863" w:type="dxa"/>
            <w:vMerge w:val="continue"/>
            <w:tcBorders>
              <w:left w:val="single" w:color="000000" w:sz="4" w:space="0"/>
              <w:right w:val="single" w:color="000000" w:sz="4" w:space="0"/>
            </w:tcBorders>
            <w:noWrap/>
            <w:vAlign w:val="center"/>
          </w:tcPr>
          <w:p>
            <w:pPr>
              <w:jc w:val="center"/>
              <w:rPr>
                <w:rFonts w:ascii="宋体" w:hAnsi="宋体" w:cs="宋体"/>
                <w:sz w:val="24"/>
              </w:rPr>
            </w:pP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rPr>
              <w:t>水利工程运行管理应用</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7</w:t>
            </w:r>
          </w:p>
        </w:tc>
        <w:tc>
          <w:tcPr>
            <w:tcW w:w="1863" w:type="dxa"/>
            <w:vMerge w:val="continue"/>
            <w:tcBorders>
              <w:left w:val="single" w:color="000000" w:sz="4" w:space="0"/>
              <w:right w:val="single" w:color="000000" w:sz="4" w:space="0"/>
            </w:tcBorders>
            <w:noWrap/>
            <w:vAlign w:val="center"/>
          </w:tcPr>
          <w:p>
            <w:pPr>
              <w:jc w:val="center"/>
              <w:rPr>
                <w:rFonts w:ascii="宋体" w:hAnsi="宋体" w:cs="宋体"/>
              </w:rPr>
            </w:pP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rPr>
              <w:t>大屏端应用</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8</w:t>
            </w:r>
          </w:p>
        </w:tc>
        <w:tc>
          <w:tcPr>
            <w:tcW w:w="1863" w:type="dxa"/>
            <w:vMerge w:val="continue"/>
            <w:tcBorders>
              <w:left w:val="single" w:color="000000" w:sz="4" w:space="0"/>
              <w:right w:val="single" w:color="000000" w:sz="4" w:space="0"/>
            </w:tcBorders>
            <w:noWrap/>
            <w:vAlign w:val="center"/>
          </w:tcPr>
          <w:p>
            <w:pPr>
              <w:jc w:val="center"/>
              <w:rPr>
                <w:rFonts w:ascii="宋体" w:hAnsi="宋体" w:cs="宋体"/>
              </w:rPr>
            </w:pP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4"/>
              </w:rPr>
            </w:pPr>
            <w:r>
              <w:rPr>
                <w:rFonts w:hint="eastAsia" w:ascii="宋体" w:hAnsi="宋体" w:cs="宋体"/>
              </w:rPr>
              <w:t>移动端应用</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sz w:val="24"/>
                <w:lang w:bidi="ar"/>
              </w:rPr>
            </w:pPr>
            <w:r>
              <w:rPr>
                <w:rFonts w:hint="eastAsia" w:ascii="宋体" w:hAnsi="宋体" w:cs="宋体"/>
                <w:kern w:val="0"/>
                <w:lang w:bidi="ar"/>
              </w:rPr>
              <w:t>项</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9</w:t>
            </w:r>
          </w:p>
        </w:tc>
        <w:tc>
          <w:tcPr>
            <w:tcW w:w="1863" w:type="dxa"/>
            <w:vMerge w:val="restart"/>
            <w:tcBorders>
              <w:top w:val="single" w:color="auto" w:sz="4" w:space="0"/>
              <w:left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业务系统集成及数据融合</w:t>
            </w: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数字孪生永宁江闸应用系统</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项</w:t>
            </w:r>
          </w:p>
        </w:tc>
        <w:tc>
          <w:tcPr>
            <w:tcW w:w="159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sz w:val="24"/>
                <w:lang w:bidi="ar"/>
              </w:rPr>
              <w:t>由采购人协调提供接口</w:t>
            </w: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10</w:t>
            </w:r>
          </w:p>
        </w:tc>
        <w:tc>
          <w:tcPr>
            <w:tcW w:w="1863" w:type="dxa"/>
            <w:vMerge w:val="continue"/>
            <w:tcBorders>
              <w:left w:val="single" w:color="000000" w:sz="4" w:space="0"/>
              <w:bottom w:val="single" w:color="auto" w:sz="4" w:space="0"/>
              <w:right w:val="single" w:color="000000" w:sz="4" w:space="0"/>
            </w:tcBorders>
            <w:noWrap/>
            <w:vAlign w:val="center"/>
          </w:tcPr>
          <w:p>
            <w:pPr>
              <w:jc w:val="center"/>
              <w:rPr>
                <w:rFonts w:ascii="宋体" w:hAnsi="宋体" w:cs="宋体"/>
              </w:rPr>
            </w:pP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数字孪生朱溪水库应用系统</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项</w:t>
            </w:r>
          </w:p>
        </w:tc>
        <w:tc>
          <w:tcPr>
            <w:tcW w:w="159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r>
        <w:tblPrEx>
          <w:tblCellMar>
            <w:top w:w="0" w:type="dxa"/>
            <w:left w:w="108" w:type="dxa"/>
            <w:bottom w:w="0" w:type="dxa"/>
            <w:right w:w="108" w:type="dxa"/>
          </w:tblCellMar>
        </w:tblPrEx>
        <w:trPr>
          <w:trHeight w:val="454" w:hRule="atLeast"/>
          <w:jc w:val="center"/>
        </w:trPr>
        <w:tc>
          <w:tcPr>
            <w:tcW w:w="69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rPr>
            </w:pPr>
            <w:r>
              <w:rPr>
                <w:rFonts w:hint="eastAsia" w:ascii="宋体" w:hAnsi="宋体" w:cs="宋体"/>
              </w:rPr>
              <w:t>11</w:t>
            </w:r>
          </w:p>
        </w:tc>
        <w:tc>
          <w:tcPr>
            <w:tcW w:w="1863" w:type="dxa"/>
            <w:tcBorders>
              <w:top w:val="single" w:color="auto" w:sz="4" w:space="0"/>
              <w:left w:val="single" w:color="000000" w:sz="4" w:space="0"/>
              <w:bottom w:val="single" w:color="auto" w:sz="4" w:space="0"/>
              <w:right w:val="single" w:color="000000" w:sz="4" w:space="0"/>
            </w:tcBorders>
            <w:noWrap/>
            <w:vAlign w:val="center"/>
          </w:tcPr>
          <w:p>
            <w:pPr>
              <w:jc w:val="center"/>
              <w:rPr>
                <w:rFonts w:ascii="宋体" w:hAnsi="宋体" w:cs="宋体"/>
              </w:rPr>
            </w:pPr>
            <w:r>
              <w:rPr>
                <w:rFonts w:hint="eastAsia" w:ascii="宋体" w:hAnsi="宋体" w:cs="宋体"/>
              </w:rPr>
              <w:t>软件产品采购</w:t>
            </w:r>
          </w:p>
        </w:tc>
        <w:tc>
          <w:tcPr>
            <w:tcW w:w="34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rPr>
            </w:pPr>
            <w:r>
              <w:rPr>
                <w:rFonts w:hint="eastAsia" w:ascii="宋体" w:hAnsi="宋体" w:cs="宋体"/>
              </w:rPr>
              <w:t>地理信息平台软件</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r>
              <w:rPr>
                <w:rFonts w:hint="eastAsia" w:ascii="宋体" w:hAnsi="宋体" w:cs="宋体"/>
                <w:kern w:val="0"/>
                <w:lang w:bidi="ar"/>
              </w:rPr>
              <w:t>套</w:t>
            </w:r>
          </w:p>
        </w:tc>
        <w:tc>
          <w:tcPr>
            <w:tcW w:w="1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kern w:val="0"/>
                <w:lang w:bidi="ar"/>
              </w:rPr>
            </w:pPr>
          </w:p>
        </w:tc>
      </w:tr>
    </w:tbl>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（三）采购内容及要求（本项为内容及要求简要描述，具体内容及要求详见附件15：《数字孪生椒江建设先行先试项目可行性研究报告及实施方案》）</w:t>
      </w:r>
    </w:p>
    <w:p>
      <w:p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1.数字孪生平台</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（1）数据底板</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① 数据资源</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根据本项目业务需求，基于台州市水利数据仓补充完善基础数据、监测数据、业务数据、外部共享数据和地理空间数据，其中地理空间数据包括流域遥感影像数据、数字高程数据、易涝区域倾斜摄影数据等，范围和精度满足数字孪生流域要求。</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A.基础数据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包括流域、河流、湖泊、水利工程等水利对象的主要属性数据和空间数据。</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B.监测数据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包括水文、水资源、水生态环境、水灾害、水利工程等水利业务的监测数据。</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C.业务管理数据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包括流域防洪、水资源管理与调配、工程运行管理业务应用数据。</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D.跨行业共享数据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跨行业共享数据包括需从其他行业部门共享的经济社会、土地利用、生态环境、气象、遥感等相关数据。</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E.地理空间数据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地理空间数据主要包括数字正射影像图DOM、数字高程模型DEM、倾斜摄影影像、水下地形、建筑信息模型（BIM）等数据。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a.流域遥感影像数据（DOM）</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在浙江省水利厅建设的浙江省水利一张图L2级数据底板的基础上，补充椒江流域6603km²范围内的空间卫星遥感分辨率5m精度的影像数据，增加优于1m精度的DOM影像数据，构建流域基础数据底板。</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b.流域数字高程数据（DEM）</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补充椒江流域6603km²范围内5m×5m格网的地形数据（DEM），构建流域基础数据底板。</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c.易涝区域倾斜摄影数据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本次选取试点流域内临海古城如下易涝区域范围约20km²，采集构建水动力演进模型必须的5cm分辨率的航空倾斜摄影数据。</w:t>
      </w:r>
    </w:p>
    <w:p>
      <w:pPr>
        <w:tabs>
          <w:tab w:val="left" w:pos="8280"/>
        </w:tabs>
        <w:autoSpaceDE w:val="0"/>
        <w:autoSpaceDN w:val="0"/>
        <w:adjustRightInd w:val="0"/>
        <w:spacing w:line="360" w:lineRule="auto"/>
        <w:ind w:right="25" w:firstLine="420" w:firstLineChars="200"/>
        <w:jc w:val="center"/>
        <w:rPr>
          <w:rFonts w:asciiTheme="minorEastAsia" w:hAnsiTheme="minorEastAsia" w:eastAsiaTheme="minorEastAsia"/>
          <w:bCs/>
          <w:color w:val="000000" w:themeColor="text1"/>
          <w:sz w:val="24"/>
          <w14:textFill>
            <w14:solidFill>
              <w14:schemeClr w14:val="tx1"/>
            </w14:solidFill>
          </w14:textFill>
        </w:rPr>
      </w:pPr>
      <w:r>
        <w:rPr>
          <w:bCs/>
        </w:rPr>
        <w:drawing>
          <wp:inline distT="0" distB="0" distL="114300" distR="114300">
            <wp:extent cx="3653790" cy="2947035"/>
            <wp:effectExtent l="0" t="0" r="3810" b="5715"/>
            <wp:docPr id="6" name="图片 6"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包含 游戏机&#10;&#10;描述已自动生成"/>
                    <pic:cNvPicPr>
                      <a:picLocks noChangeAspect="1"/>
                    </pic:cNvPicPr>
                  </pic:nvPicPr>
                  <pic:blipFill>
                    <a:blip r:embed="rId12"/>
                    <a:stretch>
                      <a:fillRect/>
                    </a:stretch>
                  </pic:blipFill>
                  <pic:spPr>
                    <a:xfrm>
                      <a:off x="0" y="0"/>
                      <a:ext cx="3653790" cy="2947035"/>
                    </a:xfrm>
                    <a:prstGeom prst="rect">
                      <a:avLst/>
                    </a:prstGeom>
                    <a:noFill/>
                    <a:ln>
                      <a:noFill/>
                    </a:ln>
                  </pic:spPr>
                </pic:pic>
              </a:graphicData>
            </a:graphic>
          </wp:inline>
        </w:drawing>
      </w:r>
    </w:p>
    <w:p>
      <w:pPr>
        <w:tabs>
          <w:tab w:val="left" w:pos="8280"/>
        </w:tabs>
        <w:autoSpaceDE w:val="0"/>
        <w:autoSpaceDN w:val="0"/>
        <w:adjustRightInd w:val="0"/>
        <w:spacing w:line="360" w:lineRule="auto"/>
        <w:ind w:right="25" w:firstLine="420" w:firstLineChars="200"/>
        <w:jc w:val="center"/>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倾斜摄影范围示意图</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d.重点区域水上数字高程数据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为精细化推演椒江干流洪水演进情况，提高洪水预测预报模型计算精度，采集椒江下游（三江村～椒江入海口，始丰溪汇合断面以下）约70km长度河道的水上地形高程，往河道2侧各延伸1.5km，共计约210 km²。采集精度为2m网格间距。</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e.水下地形断面</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为精细化推演椒江干流洪水演进情况，提高洪水预测预报模型计算精度，采集重点断面水下地形，采样间距1000m，约70个断面。</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f.永宁江等数据底板接入与融合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永宁江、朱溪水库数据底板由黄岩区水利局、朱溪水库开发有限公司自行采集，本项目需要接入永宁江大闸和朱溪水库BIM模型、朱溪水库倾斜摄影数据等可视化模型。</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② 数据模型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通过建立对象与对象之间的关联关系，从而实现对象属性、业务等数据的关联。本次承接椒江流域L2数据底板，建设椒江流域水利数据模型。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水利数据模型是面向水利业务应用多目标、多层次复杂需求，构建的完整描述水利对象的空间特征、业务特征、关系特征和时间特征一体化组织的数据模型。水利数据模型通过对水利对象多尺度空间表达、多维度业务属性、多重空间关系与时态特征的完整描述，使面向对象的数据组织能适应面向事件的对象重组、面向过程的时态追踪等多种应用需要，实现数据成果由静态数据库变为可维护的时态数据库。根据椒江流域特点，构建水库、海塘、堤防、水闸等水利对象数据模型。</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③ 数据引擎</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数据引擎主要包括数据汇聚、数据治理、数据挖掘、数据服务等内容。椒江流域数据引擎基于台州市水利数据仓进行完善升级。</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A.数据汇聚</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分析梳理数据资源及业务应用需求，明确数据输入输出及数据流向，完成已建系统数据接入数据底板，形成全要素数据资源库，包括基础数据库、监测数据库、业务数据库，并分析各库的数据流转关系，确定各库的主数据及外联数据，为数据治理与数据服务做准备。数据汇聚实现各类数据资源的统一管控，满足数据治理与挖掘和各类重要业务的要求，为知识平台和模型平台提供数据支撑。</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B.数据治理</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基于台州市水利数据仓，对本次新采集的数字孪生流域多维多源时空数据进行统一、规范管理，完成本次数字孪生椒江流域先行先试段的数据治理，形成全要素大数据支撑能力，提升数据的规范性、可用性，从数据底层保障数据安全。</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C.数据挖掘</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基于台州市水利数据仓，在对数据资源进行数据治理形成数据资产后，利用大数据分析方法和AI技术，对数据价值进行挖掘。</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D.数据服务</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结合数字孪生流域业务应用实施数据清洗、治理和融合，应用大数据分析方法挖掘和利用数据，将分散的数字孪生流域大数据逐步整合为高质量、高价值的数据资产，完善数据资源目录服务，通过对这些服务的统一授权和统一管理，提供全流域统一的数据共享服务。</w:t>
      </w:r>
    </w:p>
    <w:p>
      <w:pPr>
        <w:pStyle w:val="2"/>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（2）模型平台</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① 水利专业模型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根据核心业务需求，针对预报、预警、预演、预案业务相关的洪水预报预警、三维演进、联合调度所需的水利专业模型进行建设。本次规划建设内容包括完善并集成椒江流域洪水预报调度一体化平台中的水文预报模型、水动力学模型、风暴潮预报模型、水工程调度模型共四大类模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水文预报模型：水文预报模型能够为防洪调度及水资源管理与调配等业务提供气象、洪水、径流等预报支撑，根据模型现状与业务新需求，本次规划建设内容包括水文产汇流模型、马斯京根演算模型人工神经网络模型等模型，从加强人类活动影响下的产汇流规律研究、优化模型参数、模拟结果智能化订正、提高预报效率等方面进行提升。</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水动力学模型：水动力学模型为水灾害防御、水资源管理与调配等业务提供洪水演进计算等方面支持，根据模型现状与业务需求，本次规划建设包括河道一维非恒定水动力学模型、二维水动力学模型。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风暴潮预报模型：风暴潮漫滩数值预报模型，通过对风暴潮潮位过程及漫滩淹没范围的计算，可以实现对风暴潮增水过程的实时预报。风暴潮预报模型主要是用来预报河口地区的潮位过程及风浪影响。</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水工程调度模型：水工程调度模型为水灾害防御、水资源管理与调配业务提供水库调节计算、河道演进模拟、调度方案生成及比选等方面支持。</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② 智能模型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智能识别模型将人工智能与水利特定业务场景相结合，实现对水利对象特征的自动识别，进一步提升水利感知能力。本次建设主要应用视觉智能模型，识别相关水事事件，如大坝、水闸等工程建筑物保护范围内人员入侵识别，溢洪道、闸门前漂浮物阻水等。</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③ 模拟仿真可视化模型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模拟仿真可视化模型以数据底板为基础，实现数字孪生流域与物理流域同步仿真运行，包括水流体物理模型通用仿真、三维数字流场可视化仿真模型、三维场景淹没可视化仿真模型。</w:t>
      </w:r>
    </w:p>
    <w:p>
      <w:pPr>
        <w:pStyle w:val="2"/>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（3）知识平台</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参照水利部《“十四五”智慧水利建设规划》《数字孪生流域建设技术大纲》《水利业务“四预”功能基本技术要求》等技术指导文件，依托L2级浙江省数据底板（浙江省水利一张图）和部分L3级数据底板，构建数字孪生椒江知识平台，包括建设预报调度方案库、历史场景模式库、业务规则库、专家经验库等，为椒江水利业务智能应用的知识积累、经验提炼和分析研判等基础能力支撑。</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水利对象关联关系用于描述物理流域中的江河湖泊、水利工程和水利对象治理管理活动等实体、概念及其关系，是其他水利知识融合的基础，对数据资源进行抽取、对齐、融合等处理，并进行结构化分类和关联，便于水利知识的快速检索和定位。</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业务规则用于描述一系列可组合应用的结构化规则集。将相关法律法规、规章制度、技术标准、管理办法、规范规程等文档内容进行结构化处理，通过对业务规则的抽取、表示和管理，支撑新业务场景的规则适配，规范和约束水利业务管理行为。</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历史场景用于描述历史事件发展过程及时空特征属性的相关事实。通过对数据表格或文本记录的历史场景数据进行典型时空属性及特征指标的抽取、融合、挖掘和结构化存储，支撑历史场景发生的关键过程及主要应对措施的复盘，对历史场景下的调度执行方案数字化和暴雨洪水特征等进行挖掘，为相似事件的精准决策提供知识化依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预报调度方案用于存储特定场景下的预报调度方案相关知识。根据物理流域特点、水利工程设计参数、影响区域范围等，结合气象预报、水文预报、水文监测、工程安全监测 等信息，基于对历史典型洪水预报、水利工程调度过程记录 或以文本形式存储的预报调度预案进行知识抽取、融合等处理，形成特定场景下预报模型运行设置和水利工程调度方案 等知识，支撑预报调度方案的智能决策。</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专家经验用于描述特定业务场景决策时的专家经验。通过文字、公式、图形图像等形式固化专家经验，进行抽取、融合、挖掘和结构化处理等，支撑专家经验的有效复用和持续积累。</w:t>
      </w:r>
    </w:p>
    <w:p>
      <w:pPr>
        <w:pStyle w:val="2"/>
      </w:pPr>
    </w:p>
    <w:p>
      <w:p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2.专业应用</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（1）流域防洪业务应用</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在本次数字孪生椒江流域平台上针对椒江的重点防洪地区（椒江干流下游段、临海古城）的防洪核心业务上实现“精准化预报、自动化预警、可视化预演、场景化智能预案”，构建数字孪生椒江洪潮防御“四预”业务场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① 水雨情</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展示不同时段内椒江流域累计降雨的空间分布情况，可查看流域内各场历史洪水场景下累计降雨空间分布与重要站点水雨情的变化过程，并提供流域内雨量、水位、水库站点水雨情实测数据的查询功能。</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A.降雨分布</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雨量分布支持按等值面、点位图两种模式查询。等值面表示区域面雨量累计值，点位图表示雨量站点实测累计值。支持按行政区划、流域范围对雨量分布云图的范围进行筛选和搜索。</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B.历史洪水</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包括面雨量动态变化展示与站点数据交互查看两部分功能，来复盘某场历史洪水场景中水雨情的变化过程。</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C.测站数据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通过选定某一测站及监测始末时间，来查看时段内降雨量、水位和流量的实测、报警和缺测等信息，也可查看选中站点的基本信息。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② 成果发布</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A.预报发布</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生成预报单，并管理所有已生成的预报单。包含预报单列表和预报单发布。</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B.预警发布</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包括列表记录历史预警信息与发布预警信息。预警列表信息应包括预警编号、预警名称、预警等级、创建时间等。预警信息发布应完成拟稿、核稿、签发、发送传真四项工作。</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C.调令发布</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生成调令，并管理所有已生成的调令。包含调令列表和调令发布。调令发布应完成拟稿、核稿、签发、收到的流程。</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③ 预报管理</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A.测站预报</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测站的所有预报记录进行管理，包含自动测报和人工干预两种预报方式。测站预报记录包含未来预报降雨、预报最大流量、预报最高水位、峰现时间等信息，提供重要测站一键筛选功能。记录可导出为Excel、PDF等格式。</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B.误差统计</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统计预报与实测降雨/洪水的误差，为模型参数率定提供参考。可从任意时间范围和场次洪水两个维度进行预报误差统计。误差统计信息应包含预报与实测降雨的误差、预报与实测最大流量的误差、预报与实测最大流量出现时间的误差、预报与实测最高水位的误差、预报与实测最高水位出现时间的误差等。记录可导出为Excel、PDF等格式。</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C.预报规则</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对测站预报方案的基础配置进行设置与管理，包含基本信息、预报调度默认配置。</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④ 预警管理</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A.预警规则</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根据不同洪水预警等级对应的预警规则，对其进行结构化处理，用于预警自动触发与提醒。发布条件主要有气象预警、测站水位流量预警、测站超限预警等类型。预警发布条件可进行新增、编辑、删除等操作。</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B.预警配置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预警配置的工作内容是针对水位站、水库等测站，对其影响区域、预警接收单位进行提前设置，后续预警填报发布时相关信息可自动嵌入。</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⑤ 预演管理</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A.调度方案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对水库调度方案（单库和库群）进行管理，协助调度人员整理、比较调度方案，提供简洁直观的决策依据。包含单库方案列表、联调方案列表、新增调度方案。</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B.自定义推演方案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对自定义推演方案进行管理，自定义推演方案列表包含场景描述、涉及的水库工程等信息，可对每条方案进行查看、编辑、复制、删除的操作。</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⑥ 预案管理</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A.工程调度预案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对流域内里石门、下岸、牛头山、龙溪、长潭等主要水库运行调度方案进行结构化处理，生成工程调度规则。</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B.抢险物资</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对接台州市水管理平台现有物资管理、抢险支持系统。</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展示流域内所有在库抢险物资的基本信息，包含物资名称、规格型号、数量、物资类别、所在仓库名称、入库时间、物资状态等信息。</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展示流域内所有抢险仓库的基本信息，主要包含仓库名称、行政区划、仓库级别、负责人等信息。</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展示流域内所有防洪物资的分类情况，及各类别所包含的物资信息。</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展示社会企业所持有防洪物资的基本情况。</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C.抢险队伍</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展示椒江流域内主要行政区域抗洪抢险队伍的基本信息，包括队伍名称、行政区划、队伍级别、抢险专业、联系方式、通讯地址等信息。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D.抢险专家</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展示椒江流域内主要行政区域抗洪抢险专家的基本信息，包括专家名称、行政区划、专家级别、所在单位、职务职称、联系方式等信息。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E.转移安置</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展示椒江流域内主要村镇基本信息，包括村庄名称、行政区划、所属乡镇、负责人、联系方式、人数、对应安置点等信息。</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展示椒江流域内主要防洪安置点基本信息，包括安置点名称、行政区划、负责人、联系方式、可容纳人口等信息。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F.预案库</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对椒江流域内主要行政区域的防汛防台应急预案进行管理，作为流域洪潮防御的资料库，进行预案的新增和删除操作，也可根据需要，搜索查看并下载所需防御应急预案。</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（2）水资源管理与调配应用</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① 生态流量管控</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A.生态流量实时监控</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实现椒江流域内小水电生态流量的实时监控与预警，提供流域内小水电分布、生态流量监控的一张图展示。需要展示小水电实时水位、流量、视频监控的展示和流量预警信息。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B.生态流量数据查询</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提供椒江流域内小水电生态流量监测信息和预警信息的数据报表。监测数据报表需要展示各小水电站断面的生态流量监测过程与达标情况，提供分时段查看功能。预警信息需要根据时间进行筛选，展示时段内所有站点的预警内容与预警处理情况。</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C.水库水资源兴利调度</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对朱溪水库～长潭水库引水工程运行实况进行展示，主要包括朱溪水库、长潭水库及其他断面的实时水位、实时引水流量、实时水质与引水工程的累计引水量等信息。</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引水工程中朱溪水库、长潭水库及其他主要断面的水雨情、水质信息的历史监测过程，并提供分时段查看功能。水雨情信息包括降雨、水位、流量及水库蓄水量等的历史实测信息，水质信息包括PH值、水温、氨氮、溶解氧、总氮、的总磷等主要水质参数的历史实测信息。</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（3）水利工程运行管理应用</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基于台州市水管平台、台州水利数据仓，对水利工程运行管理业务进行集成展示。集成数字孪生永宁江闸、朱溪水库业务场景。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① 标准化管理</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台州市水管平台已基本实现水利工程标准化管理，本次重点集成标准化管理系统业务数据，并结合数据底板进行展示，展示内容涵盖工程安全检查、维修养护、防汛管理、注册登记、安全鉴定等重要业务信息。基于水库基础信息和地理信息系统，提供查询、统计等功能，为水库运行管理提供数据支撑、业务保障、决策支持。</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② 朱溪水库数字化集成</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集成朱溪水库BIM+GIS模型及工程运行状态、维护等数据。集成数字孪生永宁江闸工程数字一张图、防汛调度、运行管理、安全管护、应急管理、数字档案等功能。</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③ 永宁江闸数字化集成</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集成永宁江闸BIM模型及工程运行状态、维护等数据。集成数字孪生朱溪水库智慧数字化运维、智能空间管控、智能监测分析、智慧调度决策、综合指挥等功能。</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（4）大屏端应用</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大屏端对流域防洪、水资源管理和水利工程运行管理3大业务进行展示，重点实现流域防洪四预场景，供防汛会商决策。</w:t>
      </w:r>
      <w:r>
        <w:rPr>
          <w:rFonts w:hint="eastAsia" w:ascii="宋体" w:hAnsi="宋体" w:cs="宋体"/>
          <w:sz w:val="24"/>
        </w:rPr>
        <w:t>大屏端与台州市九龙联动治水平台连接。</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① 洪潮防御</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A.实时态势</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对椒江流域实时雨情、河道水情、水库水情、潮汐水情、气象预报、工程情况、险情灾情、山洪风险进行全要素监测、一张图展示，当发生超限、险情工况时，进行告警。</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B.预报预警</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对椒江流域预报雨情、河道水情、水库水情、潮汐水情、气象预报等预报数据进行一张图展示，当预报降雨达到暴雨、预报最高水位超限等工况时，进行预警。</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C.场景预演</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对气象预估降雨预报洪水、典型历史洪水、不同情境设计洪水等多场景下的水工程进行模拟调度仿真，开展多方案对比分析和动态洪水风险分析，为防洪决策提供科学依据。</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D.方案预案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根据预演确定的方案，考虑水利工程最新工况、经济社会情况，明确规定各类水利工程的具体运用方式，确保调度方案可操作性。</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一张图上展示包含村庄、重要基础设施、物资仓库、抢险队伍、安置地点等重要点位信息与分布情况。可根据物资需求，在页面中搜索查看物资所在仓库，加快抢险物资调配进程。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针对某一受灾点，根据距离需求选择抢险物资、抢险队伍与安置地点，并在地图上自动生成抢险救援路线与人群转移路线。</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② 水资源管理</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主要展示生态流量数据的监控和预警信息，以及汛前汛末水库水位和水量的对比信息。</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③ 水利工程运行管理</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展示台州市水利工程标准化管理情况；接入朱溪水库、永宁江大闸的大屏应用。</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（5）移动端应用</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移动端按照“浙政钉应用设计规范”、“浙政钉应用接口设计规范”和“浙政钉应用验收规范”进行建设。</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移动端以查询和轻量化任务处理为主，业务应用包括：流域防洪、水资源管理和水利工程运行管理。</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3.业务系统集成及数据融合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对目前在建的数字孪生永宁江闸应用系统和数字孪生朱溪水库应用系统进行集成和数据融合。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集成数字孪生永宁江闸工程数字一张图、防汛调度、运行管理、安全管护、应急管理、数字档案等功能。</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集成数字孪生朱溪水库智慧数字化运维、智能空间管控、智能监测分析、智慧调度决策、综合指挥等功能。</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数据融合包括对永宁江流域L2级数据底板、永宁江大闸BIM模型、朱溪水库BIM模型进行融合，构建完整的先行先试段椒江流域L2级数据底板。</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4.软件产品采购</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采购一套地理信息平台软件（国产成套成熟产品），用于二三维地理空间数据发布用。</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5.非功能性要求</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（1）稳定性指标</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① 系统有效工作时间：≥99.9%；</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② 系统故障恢复时间不超过30分钟；</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③ 不出现以下情况：无故退出系统；发生系统不可控制的故障提示；因系统故障导致操作系统或机器无法正常操作。</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（2）并发支持指标</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系统并发数支持指标：≥500个。</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（3）响应指标</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① 数据对接接口：平均响应时间≤5s（500名并发用户）；</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② 简单事务处理（包含各类信息录入、修改、查询业务、主要页面平均响应时间等）≤3s（500名并发用户）；</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③ 信息录入、修改型简单事务：平均响应时间≤3s（500名并发用户）；</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④ 复杂事务处理≤5s（500名并发用户）；</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⑤ 各类固定统计报表形成时间：≤5s。</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6.信息安全要求</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系统拟定级为信息安全等保三级，系统部署在台州市政务云。项目按照等保2.0三级防护的技术要求，从物理安全、通信网络安全、区域边界安全、计算环境安全、安全管理中心、安全管理制度等方面进行整体、全面的安全防护设计。</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中标供应商在本项目最终验收前须通过三级等保测评，针对测评过程中提出的问题进行整改。等保测评由采购人另行采购，本项目所有费用不包括等保测评费用。</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562" w:firstLineChars="200"/>
        <w:jc w:val="lef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7.信创适配要求</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本项目建设的系统要求对信创终端进行适配，以适应信创终端和非信创终端访问的需求</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要求系统功能与国产化数据库、服务器、中间件、操作系统等适配开发，并兼容国产化浏览器适配。保证系统服务端在国产服务器上的正常运行，并能与客户端浏览器正常通信。</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客户端要求适配飞腾、麒麟、海光、兆芯、龙芯等CPU+统信UOS操作系统+UOS、360浏览器。具体以采购人实际需求为准。</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▲（四）项目验收标准</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1.在项目竣工验收之前，要求通过采购人组织的测试。</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2.项目验收时，中标人须承诺将所有项目文档（包括需求规格说明书、概要设计说明书、详细设计说明书、数据库设计说明书、用户操作手册、维护手册、测试方案、测试报告等）完整移交采购人。</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▲（五）培训服务要求</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1.中标人提供总计不少于10人日的培训服务，培训时间和地点由采购人确定。投标人在投标文件中应制定详细的人员培训方案。</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2.中标人负责提供培训资料，所有资料必须是中文书写。</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中标人须按照系统中的角色需要，有序组织对系统维护管理人员、业务管理人员和业务经办人员等进行不同层次的培训（培训地点为台州市本地），以便对项目实施进行有效的管理，同时保证项目验收移交后，项目采购单位能够胜任系统的全部运行、操作、维护和故障分析处理。</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4.培训费用由中标人承担。</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▲（六）售后服务要求</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应用系统部分维保期内售后服务内容要求如下：</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1.提供7×24小时技术支持和服务；</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2.出现故障后2小时内做出实质性响应，8小时内解决问题，问题解决后24小时内提交问题处理报告，说明问题种类、问题原因、问题解决中使用的方法及造成的损失等情况；</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3.根据采购人要求，对重大或紧急问题提供现场技术支持。</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（七）风险及处理要求</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为保障项目的顺利实施，防范项目风险，避免因沟通不畅等原因引起项目执行问题，中标人应定期向采购人项目负责人及相关领导对项目执行状况、问题、风险进行汇报。</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▲（八）其他要求</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1.本项目合同生效日前已存在的版权及其他知识产权，其所有权权属不发生任何变更。任何一方均不得凭借本合同取得另一方拥有的版权、专利、商业秘密、商标或任何其他知识产权的所有权。</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2.采购人在使用中标人提供的属于第三方软件时，应当依照中标人与第三方对该软件使用的约定进行。中标人应将该约定的书面文件的复印件交采购人参阅。</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3.针对本项目新开发的软件著作权归双方共同所有。</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4.维保期限结束后，针对本项目新开发的软件除著作权外的其他产权需移交给采购人，具体时间由采购人提出。</w:t>
      </w:r>
    </w:p>
    <w:p>
      <w:pPr>
        <w:tabs>
          <w:tab w:val="left" w:pos="8280"/>
        </w:tabs>
        <w:autoSpaceDE w:val="0"/>
        <w:autoSpaceDN w:val="0"/>
        <w:adjustRightInd w:val="0"/>
        <w:spacing w:line="360" w:lineRule="auto"/>
        <w:ind w:right="25" w:firstLine="480" w:firstLineChars="200"/>
        <w:jc w:val="left"/>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5.本项目涉及其他系统的接口均为免费开放，相关对接工作由采购人负责协调。</w:t>
      </w: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p>
    <w:p>
      <w:pPr>
        <w:tabs>
          <w:tab w:val="left" w:pos="8280"/>
        </w:tabs>
        <w:autoSpaceDE w:val="0"/>
        <w:autoSpaceDN w:val="0"/>
        <w:adjustRightInd w:val="0"/>
        <w:spacing w:line="360" w:lineRule="auto"/>
        <w:ind w:right="25" w:firstLine="482" w:firstLineChars="200"/>
        <w:jc w:val="left"/>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三、商务需求</w:t>
      </w:r>
    </w:p>
    <w:p>
      <w:pPr>
        <w:pStyle w:val="10"/>
        <w:snapToGrid w:val="0"/>
        <w:spacing w:line="360" w:lineRule="auto"/>
        <w:ind w:firstLine="482" w:firstLineChars="200"/>
        <w:outlineLvl w:val="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（一）维保期：</w:t>
      </w:r>
      <w:r>
        <w:rPr>
          <w:rFonts w:hint="eastAsia" w:asciiTheme="minorEastAsia" w:hAnsiTheme="minorEastAsia" w:eastAsiaTheme="minorEastAsia"/>
          <w:bCs/>
          <w:color w:val="000000" w:themeColor="text1"/>
          <w:sz w:val="24"/>
          <w14:textFill>
            <w14:solidFill>
              <w14:schemeClr w14:val="tx1"/>
            </w14:solidFill>
          </w14:textFill>
        </w:rPr>
        <w:t>软件系统维保期至少1年，自项目竣工</w:t>
      </w:r>
      <w:r>
        <w:rPr>
          <w:rFonts w:hint="eastAsia" w:asciiTheme="minorEastAsia" w:hAnsiTheme="minorEastAsia" w:eastAsiaTheme="minorEastAsia"/>
          <w:bCs/>
          <w:color w:val="000000" w:themeColor="text1"/>
          <w:kern w:val="0"/>
          <w:sz w:val="24"/>
          <w14:textFill>
            <w14:solidFill>
              <w14:schemeClr w14:val="tx1"/>
            </w14:solidFill>
          </w14:textFill>
        </w:rPr>
        <w:t>验收</w:t>
      </w:r>
      <w:r>
        <w:rPr>
          <w:rFonts w:hint="eastAsia" w:asciiTheme="minorEastAsia" w:hAnsiTheme="minorEastAsia" w:eastAsiaTheme="minorEastAsia"/>
          <w:bCs/>
          <w:color w:val="000000" w:themeColor="text1"/>
          <w:sz w:val="24"/>
          <w14:textFill>
            <w14:solidFill>
              <w14:schemeClr w14:val="tx1"/>
            </w14:solidFill>
          </w14:textFill>
        </w:rPr>
        <w:t>之日起算。</w:t>
      </w:r>
    </w:p>
    <w:p>
      <w:pPr>
        <w:pStyle w:val="10"/>
        <w:snapToGrid w:val="0"/>
        <w:spacing w:line="360" w:lineRule="auto"/>
        <w:ind w:firstLine="482" w:firstLineChars="200"/>
        <w:outlineLvl w:val="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（二）项目工期：</w:t>
      </w:r>
      <w:r>
        <w:rPr>
          <w:rFonts w:hint="eastAsia" w:asciiTheme="minorEastAsia" w:hAnsiTheme="minorEastAsia" w:eastAsiaTheme="minorEastAsia"/>
          <w:bCs/>
          <w:color w:val="000000" w:themeColor="text1"/>
          <w:kern w:val="0"/>
          <w:sz w:val="24"/>
          <w14:textFill>
            <w14:solidFill>
              <w14:schemeClr w14:val="tx1"/>
            </w14:solidFill>
          </w14:textFill>
        </w:rPr>
        <w:t>项目要求在合同签订后1个月内完成阶段成果，以迎接水利部中期评估。2023年5月31日前完成系统开发部署上线并通过初验后进入试运行，试运行3个月，2023年10月底前完成项目竣工验收。</w:t>
      </w:r>
    </w:p>
    <w:p>
      <w:pPr>
        <w:pStyle w:val="10"/>
        <w:snapToGrid w:val="0"/>
        <w:spacing w:line="360" w:lineRule="auto"/>
        <w:ind w:firstLine="482" w:firstLineChars="200"/>
        <w:outlineLvl w:val="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hAnsi="宋体" w:cs="宋体"/>
          <w:sz w:val="24"/>
        </w:rPr>
        <w:t>合同签订后7个工作日内预付合同款项的30％，系统开发、部署、测试完成并通过初步验收投入试运行后7个工作日内支付合同款项的40％，</w:t>
      </w:r>
      <w:r>
        <w:rPr>
          <w:rFonts w:hint="eastAsia" w:asciiTheme="minorEastAsia" w:hAnsiTheme="minorEastAsia" w:eastAsiaTheme="minorEastAsia"/>
          <w:bCs/>
          <w:kern w:val="0"/>
          <w:sz w:val="24"/>
        </w:rPr>
        <w:t>竣工验收</w:t>
      </w:r>
      <w:r>
        <w:rPr>
          <w:rFonts w:hint="eastAsia" w:hAnsi="宋体" w:cs="宋体"/>
          <w:sz w:val="24"/>
        </w:rPr>
        <w:t>合格后7个工作日内支付合同款项的30％</w:t>
      </w:r>
      <w:r>
        <w:rPr>
          <w:rFonts w:hint="eastAsia" w:asciiTheme="minorEastAsia" w:hAnsiTheme="minorEastAsia" w:eastAsiaTheme="minorEastAsia"/>
          <w:kern w:val="0"/>
          <w:sz w:val="24"/>
        </w:rPr>
        <w:t>。</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（四）履约保证金：</w:t>
      </w:r>
      <w:r>
        <w:rPr>
          <w:rFonts w:hint="eastAsia" w:ascii="宋体" w:hAnsi="宋体" w:cs="宋体"/>
          <w:sz w:val="24"/>
        </w:rPr>
        <w:t>合同签订前，中标人应先缴纳合同总金额1%的履约保证金，履约保证金在采购人</w:t>
      </w:r>
      <w:r>
        <w:rPr>
          <w:rFonts w:hint="eastAsia" w:asciiTheme="minorEastAsia" w:hAnsiTheme="minorEastAsia" w:eastAsiaTheme="minorEastAsia"/>
          <w:bCs/>
          <w:color w:val="000000" w:themeColor="text1"/>
          <w:kern w:val="0"/>
          <w:sz w:val="24"/>
          <w14:textFill>
            <w14:solidFill>
              <w14:schemeClr w14:val="tx1"/>
            </w14:solidFill>
          </w14:textFill>
        </w:rPr>
        <w:t>竣工</w:t>
      </w:r>
      <w:r>
        <w:rPr>
          <w:rFonts w:hint="eastAsia" w:ascii="宋体" w:hAnsi="宋体" w:cs="宋体"/>
          <w:sz w:val="24"/>
        </w:rPr>
        <w:t>验收通过后及时返还。（供应商以电汇、转账、或者金融机构、担保机构出具的保函等形式提交履约保证金，注明用途为“履约保证金”。）</w:t>
      </w: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综合评分法，是指投标文件满足招标文件全部实质性要求，且按照评审因素的量化指标评审得分最高的投标人为中标候选人的评标方法。</w:t>
      </w:r>
    </w:p>
    <w:p>
      <w:pPr>
        <w:pStyle w:val="19"/>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6"/>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7"/>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（七）投标文件存在虚假材料的；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（八）有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6"/>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（九）</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（十一）投标文件有效期不足的；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（十二）逾期或未按要求提交投标文件的；</w:t>
      </w:r>
    </w:p>
    <w:p>
      <w:pPr>
        <w:pStyle w:val="2"/>
        <w:spacing w:line="360" w:lineRule="auto"/>
        <w:ind w:firstLine="480" w:firstLineChars="200"/>
      </w:pPr>
      <w:r>
        <w:rPr>
          <w:rFonts w:hint="eastAsia" w:ascii="宋体" w:hAnsi="宋体" w:cs="宋体"/>
          <w:sz w:val="24"/>
          <w:szCs w:val="24"/>
        </w:rPr>
        <w:t>（十三）未</w:t>
      </w:r>
      <w:r>
        <w:rPr>
          <w:rFonts w:hint="eastAsia" w:ascii="宋体" w:hAnsi="宋体"/>
          <w:kern w:val="0"/>
          <w:sz w:val="24"/>
          <w:szCs w:val="24"/>
        </w:rPr>
        <w:t>按要求提供资格证明文件的；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6"/>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0"/>
        <w:snapToGrid w:val="0"/>
        <w:spacing w:line="360" w:lineRule="auto"/>
        <w:ind w:firstLine="482" w:firstLineChars="200"/>
        <w:rPr>
          <w:rFonts w:hAnsi="宋体" w:cs="宋体"/>
          <w:b/>
          <w:sz w:val="24"/>
        </w:rPr>
      </w:pPr>
      <w:r>
        <w:rPr>
          <w:rFonts w:hint="eastAsia" w:hAnsi="宋体" w:cs="宋体"/>
          <w:b/>
          <w:sz w:val="24"/>
        </w:rPr>
        <w:t>六、评标过程的监控</w:t>
      </w:r>
    </w:p>
    <w:p>
      <w:pPr>
        <w:pStyle w:val="16"/>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0"/>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10</w:t>
      </w:r>
      <w:r>
        <w:rPr>
          <w:rFonts w:hint="eastAsia" w:ascii="宋体"/>
          <w:color w:val="000000"/>
          <w:sz w:val="24"/>
          <w:lang w:val="zh-CN"/>
        </w:rPr>
        <w:t>%-</w:t>
      </w:r>
      <w:r>
        <w:rPr>
          <w:rFonts w:hint="eastAsia" w:ascii="宋体"/>
          <w:color w:val="000000"/>
          <w:sz w:val="24"/>
        </w:rPr>
        <w:t>20</w:t>
      </w:r>
      <w:r>
        <w:rPr>
          <w:rFonts w:hint="eastAsia" w:ascii="宋体"/>
          <w:color w:val="000000"/>
          <w:sz w:val="24"/>
          <w:lang w:val="zh-CN"/>
        </w:rPr>
        <w:t>%的扣除；联合协议或者分包意向协议约定小微企业的合同份额占到合同总金额30%以上的，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w:t>
      </w:r>
      <w:r>
        <w:rPr>
          <w:rFonts w:hint="eastAsia" w:ascii="宋体"/>
          <w:color w:val="000000"/>
          <w:sz w:val="24"/>
        </w:rPr>
        <w:t>4</w:t>
      </w:r>
      <w:r>
        <w:rPr>
          <w:rFonts w:hint="eastAsia" w:ascii="宋体"/>
          <w:color w:val="000000"/>
          <w:sz w:val="24"/>
          <w:lang w:val="zh-CN"/>
        </w:rPr>
        <w:t>%</w:t>
      </w:r>
      <w:r>
        <w:rPr>
          <w:rFonts w:hint="eastAsia" w:ascii="宋体"/>
          <w:color w:val="000000"/>
          <w:sz w:val="24"/>
        </w:rPr>
        <w:t>-6%</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7"/>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0"/>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cs="宋体"/>
                <w:szCs w:val="21"/>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按投标文件格式填报设备及专业技术能力情况（根据附件4《投标人基本情况表》和附件5《项目实施人员一览表》填报）。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1.截止时点：开标后评标前。</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Cs w:val="21"/>
                <w14:textFill>
                  <w14:solidFill>
                    <w14:schemeClr w14:val="tx1"/>
                  </w14:solidFill>
                </w14:textFill>
              </w:rPr>
              <w:br w:type="textWrapping"/>
            </w:r>
            <w:r>
              <w:rPr>
                <w:rFonts w:hint="eastAsia" w:ascii="宋体" w:hAnsi="宋体" w:cs="宋体"/>
                <w:color w:val="000000" w:themeColor="text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1.单位负责人为同一人或者存在直接控股、管理关系的不同供应商，不得同时参加本项目投标。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szCs w:val="21"/>
              </w:rPr>
              <w:t>1</w:t>
            </w:r>
            <w:r>
              <w:rPr>
                <w:rFonts w:hint="eastAsia" w:ascii="宋体" w:hAnsi="宋体" w:cs="宋体"/>
                <w:color w:val="000000" w:themeColor="text1"/>
                <w:szCs w:val="21"/>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2.若以联合体形式投标，联合体各方均须满足上方条款，并提供相应承诺或说明。</w:t>
            </w:r>
          </w:p>
        </w:tc>
      </w:tr>
    </w:tbl>
    <w:p>
      <w:pPr>
        <w:pStyle w:val="7"/>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7"/>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0"/>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980" w:type="dxa"/>
            <w:tcMar>
              <w:top w:w="57" w:type="dxa"/>
              <w:left w:w="108" w:type="dxa"/>
              <w:bottom w:w="0" w:type="dxa"/>
              <w:right w:w="108" w:type="dxa"/>
            </w:tcMar>
            <w:vAlign w:val="center"/>
          </w:tcPr>
          <w:p>
            <w:pPr>
              <w:pStyle w:val="45"/>
              <w:spacing w:line="300" w:lineRule="auto"/>
              <w:ind w:right="3" w:hanging="10"/>
              <w:jc w:val="center"/>
              <w:rPr>
                <w:szCs w:val="21"/>
              </w:rPr>
            </w:pPr>
            <w:r>
              <w:rPr>
                <w:rFonts w:hint="eastAsia"/>
                <w:szCs w:val="21"/>
              </w:rPr>
              <w:t>“▲”实质性条款</w:t>
            </w:r>
          </w:p>
        </w:tc>
        <w:tc>
          <w:tcPr>
            <w:tcW w:w="7183" w:type="dxa"/>
            <w:tcMar>
              <w:top w:w="57" w:type="dxa"/>
              <w:left w:w="108" w:type="dxa"/>
              <w:bottom w:w="0" w:type="dxa"/>
              <w:right w:w="108" w:type="dxa"/>
            </w:tcMar>
            <w:vAlign w:val="center"/>
          </w:tcPr>
          <w:p>
            <w:pPr>
              <w:pStyle w:val="7"/>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5"/>
              <w:spacing w:line="300" w:lineRule="auto"/>
              <w:ind w:right="3" w:hanging="10"/>
              <w:jc w:val="center"/>
              <w:rPr>
                <w:szCs w:val="21"/>
              </w:rPr>
            </w:pPr>
            <w:r>
              <w:rPr>
                <w:rFonts w:hint="eastAsia"/>
                <w:szCs w:val="21"/>
              </w:rPr>
              <w:t>串通投标</w:t>
            </w:r>
          </w:p>
        </w:tc>
        <w:tc>
          <w:tcPr>
            <w:tcW w:w="7183" w:type="dxa"/>
            <w:shd w:val="clear" w:color="auto" w:fill="F6F6F6"/>
            <w:tcMar>
              <w:top w:w="57" w:type="dxa"/>
              <w:left w:w="108" w:type="dxa"/>
              <w:bottom w:w="0" w:type="dxa"/>
              <w:right w:w="108" w:type="dxa"/>
            </w:tcMar>
            <w:vAlign w:val="center"/>
          </w:tcPr>
          <w:p>
            <w:pPr>
              <w:pStyle w:val="7"/>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5"/>
              <w:spacing w:line="300" w:lineRule="auto"/>
              <w:ind w:right="3" w:hanging="10"/>
              <w:jc w:val="center"/>
              <w:rPr>
                <w:szCs w:val="21"/>
              </w:rPr>
            </w:pPr>
            <w:r>
              <w:rPr>
                <w:rFonts w:hint="eastAsia"/>
                <w:szCs w:val="21"/>
              </w:rPr>
              <w:t>附加条件</w:t>
            </w:r>
          </w:p>
        </w:tc>
        <w:tc>
          <w:tcPr>
            <w:tcW w:w="7183" w:type="dxa"/>
            <w:tcMar>
              <w:top w:w="57" w:type="dxa"/>
              <w:left w:w="108" w:type="dxa"/>
              <w:bottom w:w="0" w:type="dxa"/>
              <w:right w:w="108" w:type="dxa"/>
            </w:tcMar>
            <w:vAlign w:val="center"/>
          </w:tcPr>
          <w:p>
            <w:pPr>
              <w:pStyle w:val="7"/>
              <w:spacing w:line="300" w:lineRule="auto"/>
              <w:ind w:left="15" w:leftChars="7" w:right="-17" w:rightChars="-8" w:firstLine="403" w:firstLineChars="192"/>
              <w:jc w:val="both"/>
              <w:rPr>
                <w:rFonts w:ascii="宋体" w:hAnsi="宋体" w:cs="宋体"/>
                <w:szCs w:val="21"/>
              </w:rPr>
            </w:pPr>
            <w:r>
              <w:rPr>
                <w:rFonts w:hint="eastAsia" w:ascii="宋体" w:hAnsi="宋体" w:cs="宋体"/>
                <w:szCs w:val="21"/>
              </w:rPr>
              <w:t>投标文件未含有采购人不可接受的附加条件。</w:t>
            </w:r>
          </w:p>
        </w:tc>
      </w:tr>
    </w:tbl>
    <w:p>
      <w:pPr>
        <w:pStyle w:val="16"/>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1.评分标准</w:t>
      </w:r>
    </w:p>
    <w:p>
      <w:pPr>
        <w:autoSpaceDE w:val="0"/>
        <w:autoSpaceDN w:val="0"/>
        <w:spacing w:line="360" w:lineRule="auto"/>
        <w:ind w:firstLine="480" w:firstLineChars="200"/>
      </w:pPr>
      <w:r>
        <w:rPr>
          <w:rFonts w:hint="eastAsia" w:ascii="宋体" w:hAnsi="宋体" w:cs="宋体"/>
          <w:sz w:val="24"/>
          <w:u w:val="single"/>
        </w:rPr>
        <w:t xml:space="preserve"> 1 </w:t>
      </w:r>
      <w:r>
        <w:rPr>
          <w:rFonts w:hint="eastAsia" w:asciiTheme="minorEastAsia" w:hAnsiTheme="minorEastAsia" w:eastAsiaTheme="minorEastAsia"/>
          <w:kern w:val="0"/>
          <w:sz w:val="24"/>
        </w:rPr>
        <w:t>标项项目评标方法为综合评分法，总计100分，评标按以下标准及要求进行：</w:t>
      </w:r>
    </w:p>
    <w:tbl>
      <w:tblPr>
        <w:tblStyle w:val="20"/>
        <w:tblpPr w:leftFromText="181" w:rightFromText="181" w:bottomFromText="170" w:vertAnchor="text" w:tblpXSpec="center" w:tblpY="1"/>
        <w:tblOverlap w:val="never"/>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113"/>
        <w:gridCol w:w="5796"/>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502" w:type="dxa"/>
            <w:shd w:val="clear" w:color="auto" w:fill="BEBEBE" w:themeFill="background1" w:themeFillShade="BF"/>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szCs w:val="18"/>
              </w:rPr>
            </w:pPr>
            <w:r>
              <w:rPr>
                <w:rFonts w:hint="eastAsia" w:cs="宋体" w:asciiTheme="minorEastAsia" w:hAnsiTheme="minorEastAsia" w:eastAsiaTheme="minorEastAsia"/>
                <w:b/>
                <w:szCs w:val="18"/>
              </w:rPr>
              <w:t>评分项目</w:t>
            </w:r>
          </w:p>
        </w:tc>
        <w:tc>
          <w:tcPr>
            <w:tcW w:w="6909" w:type="dxa"/>
            <w:gridSpan w:val="2"/>
            <w:shd w:val="clear" w:color="auto" w:fill="BEBEBE" w:themeFill="background1" w:themeFillShade="BF"/>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szCs w:val="18"/>
              </w:rPr>
            </w:pPr>
            <w:r>
              <w:rPr>
                <w:rFonts w:hint="eastAsia" w:cs="宋体" w:asciiTheme="minorEastAsia" w:hAnsiTheme="minorEastAsia" w:eastAsiaTheme="minorEastAsia"/>
                <w:b/>
                <w:szCs w:val="18"/>
              </w:rPr>
              <w:t>评分细则</w:t>
            </w:r>
          </w:p>
        </w:tc>
        <w:tc>
          <w:tcPr>
            <w:tcW w:w="740" w:type="dxa"/>
            <w:shd w:val="clear" w:color="auto" w:fill="BEBEBE" w:themeFill="background1" w:themeFillShade="BF"/>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szCs w:val="18"/>
              </w:rPr>
            </w:pPr>
            <w:r>
              <w:rPr>
                <w:rFonts w:hint="eastAsia" w:cs="宋体" w:asciiTheme="minorEastAsia" w:hAnsiTheme="minorEastAsia" w:eastAsiaTheme="minorEastAsia"/>
                <w:b/>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restart"/>
            <w:tcMar>
              <w:top w:w="57" w:type="dxa"/>
              <w:left w:w="108" w:type="dxa"/>
              <w:bottom w:w="57" w:type="dxa"/>
              <w:right w:w="108" w:type="dxa"/>
            </w:tcMar>
            <w:vAlign w:val="center"/>
          </w:tcPr>
          <w:p>
            <w:pPr>
              <w:pStyle w:val="2"/>
              <w:spacing w:line="300" w:lineRule="auto"/>
              <w:ind w:firstLine="0"/>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技术性能</w:t>
            </w:r>
          </w:p>
          <w:p>
            <w:pPr>
              <w:spacing w:line="30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58分</w:t>
            </w:r>
          </w:p>
        </w:tc>
        <w:tc>
          <w:tcPr>
            <w:tcW w:w="1113" w:type="dxa"/>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color w:val="000000"/>
                <w:kern w:val="0"/>
                <w:szCs w:val="21"/>
              </w:rPr>
              <w:t>总体建设方案</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根据投标人提供的方案的质量、总体设计与需求的吻合程度，项目建设思路、原则、技术路线进行综合评分：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①方案切实可行，总体设计与需求吻合，项目建设思路、原则、技术路线科学合理的，得2-1分；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②方案不够可行，总体设计与需求不够吻合，项目建设思路、原则、技术路线不够科学合理的，得0.9-0分。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数据底板建设方案</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根据投标人提供的数据底板建设方案，包括地理空间数据、数据资源、数据模型、数据引擎等建设内容进行综合评分：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①方案具体完善、有针对性，且能在原有方案的基础上提出独到性、建设性见解的，得2-1.5分；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②方案具体完善但较常规的，得1.4-1分；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③方案一般或缺乏针对性的，得0.9-0.1分；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④无此方案的不得分。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restart"/>
            <w:tcMar>
              <w:top w:w="57" w:type="dxa"/>
              <w:left w:w="108" w:type="dxa"/>
              <w:bottom w:w="57" w:type="dxa"/>
              <w:right w:w="108" w:type="dxa"/>
            </w:tcMar>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模型平台建设方案</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投标人应利用椒江流域预报调度一体化平台成果，集成、构建水利专业模型，提出升级完善方案，</w:t>
            </w:r>
            <w:r>
              <w:rPr>
                <w:rFonts w:hint="eastAsia" w:cs="宋体" w:asciiTheme="minorEastAsia" w:hAnsiTheme="minorEastAsia" w:eastAsiaTheme="minorEastAsia"/>
                <w:color w:val="000000"/>
                <w:kern w:val="0"/>
                <w:szCs w:val="21"/>
              </w:rPr>
              <w:t>根据</w:t>
            </w:r>
            <w:r>
              <w:rPr>
                <w:rFonts w:hint="eastAsia" w:cs="宋体" w:asciiTheme="minorEastAsia" w:hAnsiTheme="minorEastAsia" w:eastAsiaTheme="minorEastAsia"/>
                <w:szCs w:val="21"/>
              </w:rPr>
              <w:t>投标人提出关于水利专业模型的升级完善方案进行综合评分：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①集成完善方案完整，且能在原有方案的基础上提出独到性、建设性见解的，得4-3分；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②集成完善方案完整但较常规的。得2.9-2分；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②仅提出集成但完善方案一般的，得1.9-1分；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③仅集成但未提出完善方案的，得0.9-0.1分；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④未提出集成方案的不得分。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continue"/>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color w:val="000000"/>
                <w:kern w:val="0"/>
                <w:szCs w:val="21"/>
              </w:rPr>
              <w:t>根据</w:t>
            </w:r>
            <w:r>
              <w:rPr>
                <w:rFonts w:hint="eastAsia" w:cs="宋体" w:asciiTheme="minorEastAsia" w:hAnsiTheme="minorEastAsia" w:eastAsiaTheme="minorEastAsia"/>
                <w:szCs w:val="21"/>
              </w:rPr>
              <w:t>投标人提供的关于智能模型的建设方案进行综合评分：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①建设方案完善、应用具有针对性，</w:t>
            </w:r>
            <w:r>
              <w:rPr>
                <w:rFonts w:hint="eastAsia" w:cs="宋体" w:asciiTheme="minorEastAsia" w:hAnsiTheme="minorEastAsia" w:eastAsiaTheme="minorEastAsia"/>
                <w:color w:val="000000"/>
                <w:kern w:val="0"/>
                <w:szCs w:val="21"/>
              </w:rPr>
              <w:t>且能在原有方案的基础上提出独到性、建设性见解的，</w:t>
            </w:r>
            <w:r>
              <w:rPr>
                <w:rFonts w:hint="eastAsia" w:cs="宋体" w:asciiTheme="minorEastAsia" w:hAnsiTheme="minorEastAsia" w:eastAsiaTheme="minorEastAsia"/>
                <w:szCs w:val="21"/>
              </w:rPr>
              <w:t>得2-1.5分；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②</w:t>
            </w:r>
            <w:r>
              <w:rPr>
                <w:rFonts w:hint="eastAsia" w:cs="宋体" w:asciiTheme="minorEastAsia" w:hAnsiTheme="minorEastAsia" w:eastAsiaTheme="minorEastAsia"/>
                <w:color w:val="000000"/>
                <w:kern w:val="0"/>
                <w:szCs w:val="21"/>
              </w:rPr>
              <w:t>方案具体完善</w:t>
            </w:r>
            <w:r>
              <w:rPr>
                <w:rFonts w:hint="eastAsia" w:cs="宋体" w:asciiTheme="minorEastAsia" w:hAnsiTheme="minorEastAsia" w:eastAsiaTheme="minorEastAsia"/>
                <w:szCs w:val="21"/>
              </w:rPr>
              <w:t>、应用具有针对性，</w:t>
            </w:r>
            <w:r>
              <w:rPr>
                <w:rFonts w:hint="eastAsia" w:cs="宋体" w:asciiTheme="minorEastAsia" w:hAnsiTheme="minorEastAsia" w:eastAsiaTheme="minorEastAsia"/>
                <w:color w:val="000000"/>
                <w:kern w:val="0"/>
                <w:szCs w:val="21"/>
              </w:rPr>
              <w:t>但较常规的，得1.4-1分</w:t>
            </w:r>
            <w:r>
              <w:rPr>
                <w:rFonts w:hint="eastAsia" w:cs="宋体" w:asciiTheme="minorEastAsia" w:hAnsiTheme="minorEastAsia" w:eastAsiaTheme="minorEastAsia"/>
                <w:szCs w:val="21"/>
              </w:rPr>
              <w:t>；</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③仅提出智能模型方案，</w:t>
            </w:r>
            <w:r>
              <w:rPr>
                <w:rFonts w:hint="eastAsia" w:cs="宋体" w:asciiTheme="minorEastAsia" w:hAnsiTheme="minorEastAsia" w:eastAsiaTheme="minorEastAsia"/>
                <w:color w:val="000000"/>
                <w:kern w:val="0"/>
                <w:szCs w:val="21"/>
              </w:rPr>
              <w:t>方案一般且</w:t>
            </w:r>
            <w:r>
              <w:rPr>
                <w:rFonts w:hint="eastAsia" w:cs="宋体" w:asciiTheme="minorEastAsia" w:hAnsiTheme="minorEastAsia" w:eastAsiaTheme="minorEastAsia"/>
                <w:szCs w:val="21"/>
              </w:rPr>
              <w:t>实际应用缺乏针对性的，得0.9-0.1分；</w:t>
            </w:r>
          </w:p>
          <w:p>
            <w:pPr>
              <w:widowControl/>
              <w:jc w:val="left"/>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④无智能模型建设方案的不得分。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continue"/>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color w:val="000000"/>
                <w:kern w:val="0"/>
                <w:szCs w:val="21"/>
              </w:rPr>
              <w:t>根据</w:t>
            </w:r>
            <w:r>
              <w:rPr>
                <w:rFonts w:hint="eastAsia" w:cs="宋体" w:asciiTheme="minorEastAsia" w:hAnsiTheme="minorEastAsia" w:eastAsiaTheme="minorEastAsia"/>
                <w:szCs w:val="21"/>
              </w:rPr>
              <w:t>投标人提供的关于模拟仿真引擎的建设方案进行综合评分：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①建设方案完善、应用具有针对性，</w:t>
            </w:r>
            <w:r>
              <w:rPr>
                <w:rFonts w:hint="eastAsia" w:cs="宋体" w:asciiTheme="minorEastAsia" w:hAnsiTheme="minorEastAsia" w:eastAsiaTheme="minorEastAsia"/>
                <w:color w:val="000000"/>
                <w:kern w:val="0"/>
                <w:szCs w:val="21"/>
              </w:rPr>
              <w:t>且能在原有方案的基础上提出独到性、建设性见解</w:t>
            </w:r>
            <w:r>
              <w:rPr>
                <w:rFonts w:hint="eastAsia" w:cs="宋体" w:asciiTheme="minorEastAsia" w:hAnsiTheme="minorEastAsia" w:eastAsiaTheme="minorEastAsia"/>
                <w:szCs w:val="21"/>
              </w:rPr>
              <w:t>的，得2-1.5分；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②</w:t>
            </w:r>
            <w:r>
              <w:rPr>
                <w:rFonts w:hint="eastAsia" w:cs="宋体" w:asciiTheme="minorEastAsia" w:hAnsiTheme="minorEastAsia" w:eastAsiaTheme="minorEastAsia"/>
                <w:color w:val="000000"/>
                <w:kern w:val="0"/>
                <w:szCs w:val="21"/>
              </w:rPr>
              <w:t>方案具体完善</w:t>
            </w:r>
            <w:r>
              <w:rPr>
                <w:rFonts w:hint="eastAsia" w:cs="宋体" w:asciiTheme="minorEastAsia" w:hAnsiTheme="minorEastAsia" w:eastAsiaTheme="minorEastAsia"/>
                <w:szCs w:val="21"/>
              </w:rPr>
              <w:t>、应用具有针对性，</w:t>
            </w:r>
            <w:r>
              <w:rPr>
                <w:rFonts w:hint="eastAsia" w:cs="宋体" w:asciiTheme="minorEastAsia" w:hAnsiTheme="minorEastAsia" w:eastAsiaTheme="minorEastAsia"/>
                <w:color w:val="000000"/>
                <w:kern w:val="0"/>
                <w:szCs w:val="21"/>
              </w:rPr>
              <w:t>但较常规的，得1.4-1分</w:t>
            </w:r>
            <w:r>
              <w:rPr>
                <w:rFonts w:hint="eastAsia" w:cs="宋体" w:asciiTheme="minorEastAsia" w:hAnsiTheme="minorEastAsia" w:eastAsiaTheme="minorEastAsia"/>
                <w:szCs w:val="21"/>
              </w:rPr>
              <w:t>；</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③仅提出模拟仿真方案，</w:t>
            </w:r>
            <w:r>
              <w:rPr>
                <w:rFonts w:hint="eastAsia" w:cs="宋体" w:asciiTheme="minorEastAsia" w:hAnsiTheme="minorEastAsia" w:eastAsiaTheme="minorEastAsia"/>
                <w:color w:val="000000"/>
                <w:kern w:val="0"/>
                <w:szCs w:val="21"/>
              </w:rPr>
              <w:t>方案一般且</w:t>
            </w:r>
            <w:r>
              <w:rPr>
                <w:rFonts w:hint="eastAsia" w:cs="宋体" w:asciiTheme="minorEastAsia" w:hAnsiTheme="minorEastAsia" w:eastAsiaTheme="minorEastAsia"/>
                <w:szCs w:val="21"/>
              </w:rPr>
              <w:t>实际应用缺乏针对性的，得0.9-0.1分；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④无模拟仿真建设方案的不得分。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知识平台建设方案</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color w:val="000000"/>
                <w:kern w:val="0"/>
                <w:szCs w:val="21"/>
              </w:rPr>
              <w:t>根据</w:t>
            </w:r>
            <w:r>
              <w:rPr>
                <w:rFonts w:hint="eastAsia" w:cs="宋体" w:asciiTheme="minorEastAsia" w:hAnsiTheme="minorEastAsia" w:eastAsiaTheme="minorEastAsia"/>
                <w:szCs w:val="21"/>
              </w:rPr>
              <w:t>投标人提供的关于知识平台的建设方案进行综合评分：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①建设方案内容全面、完整，具有科学合理性、可行性强，</w:t>
            </w:r>
            <w:r>
              <w:rPr>
                <w:rFonts w:hint="eastAsia" w:cs="宋体" w:asciiTheme="minorEastAsia" w:hAnsiTheme="minorEastAsia" w:eastAsiaTheme="minorEastAsia"/>
                <w:color w:val="000000"/>
                <w:kern w:val="0"/>
                <w:szCs w:val="21"/>
              </w:rPr>
              <w:t>且能在原有方案的基础上提出独到性、建设性见解</w:t>
            </w:r>
            <w:r>
              <w:rPr>
                <w:rFonts w:hint="eastAsia" w:cs="宋体" w:asciiTheme="minorEastAsia" w:hAnsiTheme="minorEastAsia" w:eastAsiaTheme="minorEastAsia"/>
                <w:szCs w:val="21"/>
              </w:rPr>
              <w:t>的，得2-1.5分；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②建设</w:t>
            </w:r>
            <w:r>
              <w:rPr>
                <w:rFonts w:hint="eastAsia" w:cs="宋体" w:asciiTheme="minorEastAsia" w:hAnsiTheme="minorEastAsia" w:eastAsiaTheme="minorEastAsia"/>
                <w:color w:val="000000"/>
                <w:kern w:val="0"/>
                <w:szCs w:val="21"/>
              </w:rPr>
              <w:t>方案内容完整但较常规的，得1.4-1分</w:t>
            </w:r>
            <w:r>
              <w:rPr>
                <w:rFonts w:hint="eastAsia" w:cs="宋体" w:asciiTheme="minorEastAsia" w:hAnsiTheme="minorEastAsia" w:eastAsiaTheme="minorEastAsia"/>
                <w:szCs w:val="21"/>
              </w:rPr>
              <w:t>；</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②建设方案有所欠缺的，得0.9-0.1分；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③无知识平台建设方案的不得分。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专业应用涉及方案</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根据投标人提供的关于专业应用的设计方案进行综合评分：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①业务功能全面完整，在此基础上有创新拓展的，得3-2分；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②业务功能基本完整的，得1.9-1分；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③业务功能有所欠缺的，得0.9-0.1分；</w:t>
            </w:r>
          </w:p>
          <w:p>
            <w:pPr>
              <w:widowControl/>
              <w:jc w:val="left"/>
              <w:rPr>
                <w:rFonts w:asciiTheme="minorEastAsia" w:hAnsiTheme="minorEastAsia" w:eastAsiaTheme="minorEastAsia"/>
              </w:rPr>
            </w:pPr>
            <w:r>
              <w:rPr>
                <w:rFonts w:hint="eastAsia" w:cs="宋体" w:asciiTheme="minorEastAsia" w:hAnsiTheme="minorEastAsia" w:eastAsiaTheme="minorEastAsia"/>
                <w:szCs w:val="21"/>
              </w:rPr>
              <w:t>④无专业应用涉及方案的不得分。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业务系统集成方案</w:t>
            </w:r>
          </w:p>
        </w:tc>
        <w:tc>
          <w:tcPr>
            <w:tcW w:w="5796" w:type="dxa"/>
            <w:tcMar>
              <w:top w:w="57" w:type="dxa"/>
              <w:left w:w="108" w:type="dxa"/>
              <w:bottom w:w="57" w:type="dxa"/>
              <w:right w:w="108" w:type="dxa"/>
            </w:tcMar>
            <w:vAlign w:val="center"/>
          </w:tcPr>
          <w:p>
            <w:pPr>
              <w:widowControl/>
              <w:jc w:val="left"/>
              <w:rPr>
                <w:rFonts w:asciiTheme="minorEastAsia" w:hAnsiTheme="minorEastAsia" w:eastAsiaTheme="minorEastAsia"/>
              </w:rPr>
            </w:pPr>
            <w:r>
              <w:rPr>
                <w:rFonts w:hint="eastAsia" w:asciiTheme="minorEastAsia" w:hAnsiTheme="minorEastAsia" w:eastAsiaTheme="minorEastAsia"/>
              </w:rPr>
              <w:t>根据投标人提供的对永宁江和朱溪水库业务系统集成及数据融合方案进行综合评分：</w:t>
            </w:r>
          </w:p>
          <w:p>
            <w:pPr>
              <w:widowControl/>
              <w:jc w:val="left"/>
              <w:rPr>
                <w:rFonts w:asciiTheme="minorEastAsia" w:hAnsiTheme="minorEastAsia" w:eastAsiaTheme="minorEastAsia"/>
              </w:rPr>
            </w:pPr>
            <w:r>
              <w:rPr>
                <w:rFonts w:hint="eastAsia" w:asciiTheme="minorEastAsia" w:hAnsiTheme="minorEastAsia" w:eastAsiaTheme="minorEastAsia"/>
              </w:rPr>
              <w:t>①方案内容全面、完整，具有科学合理性、可行性强</w:t>
            </w:r>
            <w:r>
              <w:rPr>
                <w:rFonts w:hint="eastAsia" w:cs="宋体" w:asciiTheme="minorEastAsia" w:hAnsiTheme="minorEastAsia" w:eastAsiaTheme="minorEastAsia"/>
                <w:szCs w:val="21"/>
              </w:rPr>
              <w:t>，</w:t>
            </w:r>
            <w:r>
              <w:rPr>
                <w:rFonts w:hint="eastAsia" w:cs="宋体" w:asciiTheme="minorEastAsia" w:hAnsiTheme="minorEastAsia" w:eastAsiaTheme="minorEastAsia"/>
                <w:color w:val="000000"/>
                <w:kern w:val="0"/>
                <w:szCs w:val="21"/>
              </w:rPr>
              <w:t>且能在原有方案的基础上提出独到性、建设性见解</w:t>
            </w:r>
            <w:r>
              <w:rPr>
                <w:rFonts w:hint="eastAsia" w:asciiTheme="minorEastAsia" w:hAnsiTheme="minorEastAsia" w:eastAsiaTheme="minorEastAsia"/>
              </w:rPr>
              <w:t>的，得2-1.5分；</w:t>
            </w:r>
          </w:p>
          <w:p>
            <w:pPr>
              <w:widowControl/>
              <w:jc w:val="left"/>
              <w:rPr>
                <w:rFonts w:asciiTheme="minorEastAsia" w:hAnsiTheme="minorEastAsia" w:eastAsiaTheme="minorEastAsia"/>
              </w:rPr>
            </w:pPr>
            <w:r>
              <w:rPr>
                <w:rFonts w:hint="eastAsia" w:asciiTheme="minorEastAsia" w:hAnsiTheme="minorEastAsia" w:eastAsiaTheme="minorEastAsia"/>
              </w:rPr>
              <w:t>②方案内容完整但较常规的，得1.4-1分；</w:t>
            </w:r>
          </w:p>
          <w:p>
            <w:pPr>
              <w:widowControl/>
              <w:jc w:val="left"/>
              <w:rPr>
                <w:rFonts w:asciiTheme="minorEastAsia" w:hAnsiTheme="minorEastAsia" w:eastAsiaTheme="minorEastAsia"/>
              </w:rPr>
            </w:pPr>
            <w:r>
              <w:rPr>
                <w:rFonts w:hint="eastAsia" w:asciiTheme="minorEastAsia" w:hAnsiTheme="minorEastAsia" w:eastAsiaTheme="minorEastAsia"/>
              </w:rPr>
              <w:t>③方案有所欠缺的，得0.9-0.1分；</w:t>
            </w:r>
          </w:p>
          <w:p>
            <w:pPr>
              <w:pStyle w:val="2"/>
              <w:ind w:firstLine="0"/>
              <w:rPr>
                <w:rFonts w:asciiTheme="minorEastAsia" w:hAnsiTheme="minorEastAsia" w:eastAsiaTheme="minorEastAsia"/>
              </w:rPr>
            </w:pPr>
            <w:r>
              <w:rPr>
                <w:rFonts w:hint="eastAsia" w:cs="宋体" w:asciiTheme="minorEastAsia" w:hAnsiTheme="minorEastAsia" w:eastAsiaTheme="minorEastAsia"/>
                <w:color w:val="000000"/>
                <w:kern w:val="0"/>
                <w:szCs w:val="21"/>
              </w:rPr>
              <w:t>④无业务系统集成方案的不得分。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信息安全方案</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根据投标人提供的关于信息安全的设计方案进行综合评分：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①方案内容完整、技术先进的，得3-1.5分；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②方案有所欠缺的，得1.4-0.1分；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③无信息安全涉及方案的不得分。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非功能性要求、</w:t>
            </w:r>
            <w:r>
              <w:rPr>
                <w:rFonts w:hint="eastAsia" w:cs="宋体" w:asciiTheme="minorEastAsia" w:hAnsiTheme="minorEastAsia" w:eastAsiaTheme="minorEastAsia"/>
                <w:color w:val="000000"/>
                <w:kern w:val="0"/>
                <w:szCs w:val="21"/>
              </w:rPr>
              <w:t>信创适配</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根据投标人对非功能性要求、信创适配要求的响应程度进行打分：</w:t>
            </w:r>
          </w:p>
          <w:p>
            <w:pPr>
              <w:widowControl/>
              <w:jc w:val="left"/>
              <w:rPr>
                <w:rFonts w:asciiTheme="minorEastAsia" w:hAnsiTheme="minorEastAsia" w:eastAsiaTheme="minorEastAsia"/>
              </w:rPr>
            </w:pPr>
            <w:r>
              <w:rPr>
                <w:rFonts w:hint="eastAsia" w:asciiTheme="minorEastAsia" w:hAnsiTheme="minorEastAsia" w:eastAsiaTheme="minorEastAsia"/>
              </w:rPr>
              <w:t>①承诺能够完全响应稳定性指标的得0.5分，否则不得分；</w:t>
            </w:r>
          </w:p>
          <w:p>
            <w:pPr>
              <w:widowControl/>
              <w:jc w:val="left"/>
              <w:rPr>
                <w:rFonts w:asciiTheme="minorEastAsia" w:hAnsiTheme="minorEastAsia" w:eastAsiaTheme="minorEastAsia"/>
              </w:rPr>
            </w:pPr>
            <w:r>
              <w:rPr>
                <w:rFonts w:hint="eastAsia" w:asciiTheme="minorEastAsia" w:hAnsiTheme="minorEastAsia" w:eastAsiaTheme="minorEastAsia"/>
              </w:rPr>
              <w:t>②承诺能够完全响应并发支持指标的得0.5分，否则不得分；</w:t>
            </w:r>
          </w:p>
          <w:p>
            <w:pPr>
              <w:widowControl/>
              <w:jc w:val="left"/>
              <w:rPr>
                <w:rFonts w:asciiTheme="minorEastAsia" w:hAnsiTheme="minorEastAsia" w:eastAsiaTheme="minorEastAsia"/>
              </w:rPr>
            </w:pPr>
            <w:r>
              <w:rPr>
                <w:rFonts w:hint="eastAsia" w:asciiTheme="minorEastAsia" w:hAnsiTheme="minorEastAsia" w:eastAsiaTheme="minorEastAsia"/>
              </w:rPr>
              <w:t>③承诺能够完全响应响应指标的得0.5分，否则不得分；</w:t>
            </w:r>
          </w:p>
          <w:p>
            <w:pPr>
              <w:pStyle w:val="2"/>
              <w:ind w:firstLine="0"/>
              <w:rPr>
                <w:rFonts w:asciiTheme="minorEastAsia" w:hAnsiTheme="minorEastAsia" w:eastAsiaTheme="minorEastAsia"/>
              </w:rPr>
            </w:pPr>
            <w:r>
              <w:rPr>
                <w:rFonts w:hint="eastAsia" w:asciiTheme="minorEastAsia" w:hAnsiTheme="minorEastAsia" w:eastAsiaTheme="minorEastAsia"/>
              </w:rPr>
              <w:t>④承诺能够完全响应</w:t>
            </w:r>
            <w:r>
              <w:rPr>
                <w:rFonts w:hint="eastAsia" w:cs="宋体" w:asciiTheme="minorEastAsia" w:hAnsiTheme="minorEastAsia" w:eastAsiaTheme="minorEastAsia"/>
                <w:kern w:val="0"/>
                <w:szCs w:val="21"/>
              </w:rPr>
              <w:t>信创适配要求的得0.5分，否则不得分。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restart"/>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重难点梳理及应对办法</w:t>
            </w:r>
          </w:p>
        </w:tc>
        <w:tc>
          <w:tcPr>
            <w:tcW w:w="5796" w:type="dxa"/>
            <w:tcMar>
              <w:top w:w="57" w:type="dxa"/>
              <w:left w:w="108" w:type="dxa"/>
              <w:bottom w:w="57" w:type="dxa"/>
              <w:right w:w="108" w:type="dxa"/>
            </w:tcMar>
            <w:vAlign w:val="center"/>
          </w:tcPr>
          <w:p>
            <w:pPr>
              <w:widowControl/>
              <w:jc w:val="left"/>
              <w:rPr>
                <w:rFonts w:asciiTheme="minorEastAsia" w:hAnsiTheme="minorEastAsia" w:eastAsiaTheme="minorEastAsia"/>
              </w:rPr>
            </w:pPr>
            <w:r>
              <w:rPr>
                <w:rFonts w:hint="eastAsia" w:asciiTheme="minorEastAsia" w:hAnsiTheme="minorEastAsia" w:eastAsiaTheme="minorEastAsia"/>
              </w:rPr>
              <w:t>根据投标人针对本项目可能遇到的重难点的梳理情况进行综合评分：</w:t>
            </w:r>
          </w:p>
          <w:p>
            <w:pPr>
              <w:widowControl/>
              <w:jc w:val="left"/>
              <w:rPr>
                <w:rFonts w:asciiTheme="minorEastAsia" w:hAnsiTheme="minorEastAsia" w:eastAsiaTheme="minorEastAsia"/>
              </w:rPr>
            </w:pPr>
            <w:r>
              <w:rPr>
                <w:rFonts w:hint="eastAsia" w:asciiTheme="minorEastAsia" w:hAnsiTheme="minorEastAsia" w:eastAsiaTheme="minorEastAsia"/>
              </w:rPr>
              <w:t>①重难点掌握深入透彻，内容清晰，情况客观或切合实际的，得7-4.5分；</w:t>
            </w:r>
          </w:p>
          <w:p>
            <w:pPr>
              <w:widowControl/>
              <w:jc w:val="left"/>
              <w:rPr>
                <w:rFonts w:asciiTheme="minorEastAsia" w:hAnsiTheme="minorEastAsia" w:eastAsiaTheme="minorEastAsia"/>
              </w:rPr>
            </w:pPr>
            <w:r>
              <w:rPr>
                <w:rFonts w:hint="eastAsia" w:asciiTheme="minorEastAsia" w:hAnsiTheme="minorEastAsia" w:eastAsiaTheme="minorEastAsia"/>
              </w:rPr>
              <w:t>②重难点内容尚有，但不完整或部分内容与实际不相符的，得4.4-2.5分；</w:t>
            </w:r>
          </w:p>
          <w:p>
            <w:pPr>
              <w:widowControl/>
              <w:jc w:val="left"/>
              <w:rPr>
                <w:rFonts w:asciiTheme="minorEastAsia" w:hAnsiTheme="minorEastAsia" w:eastAsiaTheme="minorEastAsia"/>
              </w:rPr>
            </w:pPr>
            <w:r>
              <w:rPr>
                <w:rFonts w:hint="eastAsia" w:asciiTheme="minorEastAsia" w:hAnsiTheme="minorEastAsia" w:eastAsiaTheme="minorEastAsia"/>
              </w:rPr>
              <w:t>③重难点掌握初浅，内容极少或大部分内容与实际不相符的，得2.4-0.1分；</w:t>
            </w:r>
          </w:p>
          <w:p>
            <w:pPr>
              <w:pStyle w:val="2"/>
              <w:ind w:firstLine="0"/>
              <w:rPr>
                <w:rFonts w:asciiTheme="minorEastAsia" w:hAnsiTheme="minorEastAsia" w:eastAsiaTheme="minorEastAsia"/>
              </w:rPr>
            </w:pPr>
            <w:r>
              <w:rPr>
                <w:rFonts w:hint="eastAsia" w:asciiTheme="minorEastAsia" w:hAnsiTheme="minorEastAsia" w:eastAsiaTheme="minorEastAsia"/>
              </w:rPr>
              <w:t>④无重难点分析梳理的不得分。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continue"/>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p>
        </w:tc>
        <w:tc>
          <w:tcPr>
            <w:tcW w:w="5796" w:type="dxa"/>
            <w:tcMar>
              <w:top w:w="57" w:type="dxa"/>
              <w:left w:w="108" w:type="dxa"/>
              <w:bottom w:w="57" w:type="dxa"/>
              <w:right w:w="108" w:type="dxa"/>
            </w:tcMar>
            <w:vAlign w:val="center"/>
          </w:tcPr>
          <w:p>
            <w:pPr>
              <w:widowControl/>
              <w:jc w:val="left"/>
              <w:rPr>
                <w:rFonts w:asciiTheme="minorEastAsia" w:hAnsiTheme="minorEastAsia" w:eastAsiaTheme="minorEastAsia"/>
              </w:rPr>
            </w:pPr>
            <w:r>
              <w:rPr>
                <w:rFonts w:hint="eastAsia" w:asciiTheme="minorEastAsia" w:hAnsiTheme="minorEastAsia" w:eastAsiaTheme="minorEastAsia"/>
              </w:rPr>
              <w:t>根据投标人针对可能遇到的重难点提出的相应应对办法进行综合评分：</w:t>
            </w:r>
          </w:p>
          <w:p>
            <w:pPr>
              <w:widowControl/>
              <w:jc w:val="left"/>
              <w:rPr>
                <w:rFonts w:asciiTheme="minorEastAsia" w:hAnsiTheme="minorEastAsia" w:eastAsiaTheme="minorEastAsia"/>
              </w:rPr>
            </w:pPr>
            <w:r>
              <w:rPr>
                <w:rFonts w:hint="eastAsia" w:asciiTheme="minorEastAsia" w:hAnsiTheme="minorEastAsia" w:eastAsiaTheme="minorEastAsia"/>
              </w:rPr>
              <w:t>①应对办法完整，措施切实、阐述详细，有针对性的，得7-4.5分；</w:t>
            </w:r>
          </w:p>
          <w:p>
            <w:pPr>
              <w:widowControl/>
              <w:jc w:val="left"/>
              <w:rPr>
                <w:rFonts w:asciiTheme="minorEastAsia" w:hAnsiTheme="minorEastAsia" w:eastAsiaTheme="minorEastAsia"/>
              </w:rPr>
            </w:pPr>
            <w:r>
              <w:rPr>
                <w:rFonts w:hint="eastAsia" w:asciiTheme="minorEastAsia" w:hAnsiTheme="minorEastAsia" w:eastAsiaTheme="minorEastAsia"/>
              </w:rPr>
              <w:t>②应对办法不完整，阐述有缺陷，但措施有针对性，可采纳程度尚可的，得4.4-2.5分；</w:t>
            </w:r>
          </w:p>
          <w:p>
            <w:pPr>
              <w:widowControl/>
              <w:suppressLineNumbers/>
              <w:jc w:val="left"/>
              <w:rPr>
                <w:rFonts w:asciiTheme="minorEastAsia" w:hAnsiTheme="minorEastAsia" w:eastAsiaTheme="minorEastAsia"/>
              </w:rPr>
            </w:pPr>
            <w:r>
              <w:rPr>
                <w:rFonts w:hint="eastAsia" w:asciiTheme="minorEastAsia" w:hAnsiTheme="minorEastAsia" w:eastAsiaTheme="minorEastAsia"/>
              </w:rPr>
              <w:t>③应对办法尚有，但针对性不强，可采纳内容很少的，得2.4-0.1分；</w:t>
            </w:r>
          </w:p>
          <w:p>
            <w:pPr>
              <w:pStyle w:val="2"/>
              <w:ind w:firstLine="0"/>
              <w:rPr>
                <w:rFonts w:asciiTheme="minorEastAsia" w:hAnsiTheme="minorEastAsia" w:eastAsiaTheme="minorEastAsia"/>
              </w:rPr>
            </w:pPr>
            <w:r>
              <w:rPr>
                <w:rFonts w:hint="eastAsia" w:cs="宋体" w:asciiTheme="minorEastAsia" w:hAnsiTheme="minorEastAsia" w:eastAsiaTheme="minorEastAsia"/>
                <w:color w:val="000000"/>
                <w:kern w:val="0"/>
                <w:szCs w:val="21"/>
              </w:rPr>
              <w:t>④</w:t>
            </w:r>
            <w:r>
              <w:rPr>
                <w:rFonts w:hint="eastAsia" w:asciiTheme="minorEastAsia" w:hAnsiTheme="minorEastAsia" w:eastAsiaTheme="minorEastAsia"/>
              </w:rPr>
              <w:t>无重难点应对办法的不得分。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系统功能及界面设计图</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投标人应针对专业应用中的流域防洪业务应用的要求进行设计，提供流域防洪业务应用高保真界面设计图。根据投标人提供的设计图的完整性、针对性进行综合评分：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①设计完整，针对性强，满足洪潮防御数字孪生四预场景，易用性强、设计交互逻辑清晰的，得20-16分；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②设计较完整，针对性较强，满足洪潮防御数字孪生四预要求的，得15.9-12分；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③设计基本完整，基本满足洪潮防御数字孪生四预要求，但针对性不足的，得11.9-8分；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④设计基本完整，距离洪潮防御数字孪生四预要求差距较大，且针对性不足的，得7.9-4分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⑤设计内容缺失较多或不满足洪潮防御四预要求的，得3.9-0.</w:t>
            </w:r>
            <w:r>
              <w:rPr>
                <w:rFonts w:cs="宋体" w:asciiTheme="minorEastAsia" w:hAnsiTheme="minorEastAsia" w:eastAsiaTheme="minorEastAsia"/>
                <w:szCs w:val="21"/>
              </w:rPr>
              <w:t>1</w:t>
            </w:r>
            <w:r>
              <w:rPr>
                <w:rFonts w:hint="eastAsia" w:cs="宋体" w:asciiTheme="minorEastAsia" w:hAnsiTheme="minorEastAsia" w:eastAsiaTheme="minorEastAsia"/>
                <w:szCs w:val="21"/>
              </w:rPr>
              <w:t>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szCs w:val="21"/>
              </w:rPr>
              <w:t>⑥未提供设计图的，此项不得分。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restart"/>
            <w:tcMar>
              <w:top w:w="57" w:type="dxa"/>
              <w:left w:w="108" w:type="dxa"/>
              <w:bottom w:w="57" w:type="dxa"/>
              <w:right w:w="108" w:type="dxa"/>
            </w:tcMar>
            <w:vAlign w:val="center"/>
          </w:tcPr>
          <w:p>
            <w:pPr>
              <w:pStyle w:val="2"/>
              <w:spacing w:line="300" w:lineRule="auto"/>
              <w:ind w:firstLine="0"/>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实力信誉及业绩</w:t>
            </w:r>
          </w:p>
          <w:p>
            <w:pPr>
              <w:spacing w:line="30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22分</w:t>
            </w:r>
          </w:p>
        </w:tc>
        <w:tc>
          <w:tcPr>
            <w:tcW w:w="1113" w:type="dxa"/>
            <w:vMerge w:val="restart"/>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投标人资质</w:t>
            </w:r>
          </w:p>
        </w:tc>
        <w:tc>
          <w:tcPr>
            <w:tcW w:w="5796" w:type="dxa"/>
            <w:tcMar>
              <w:top w:w="57" w:type="dxa"/>
              <w:left w:w="108" w:type="dxa"/>
              <w:bottom w:w="57" w:type="dxa"/>
              <w:right w:w="108" w:type="dxa"/>
            </w:tcMar>
            <w:vAlign w:val="center"/>
          </w:tcPr>
          <w:p>
            <w:pPr>
              <w:widowControl/>
              <w:jc w:val="left"/>
              <w:rPr>
                <w:rFonts w:asciiTheme="minorEastAsia" w:hAnsiTheme="minorEastAsia" w:eastAsiaTheme="minorEastAsia"/>
              </w:rPr>
            </w:pPr>
            <w:r>
              <w:rPr>
                <w:rFonts w:hint="eastAsia" w:asciiTheme="minorEastAsia" w:hAnsiTheme="minorEastAsia" w:eastAsiaTheme="minorEastAsia"/>
              </w:rPr>
              <w:t>投标人具有：</w:t>
            </w:r>
          </w:p>
          <w:p>
            <w:pPr>
              <w:widowControl/>
              <w:jc w:val="left"/>
              <w:rPr>
                <w:rFonts w:asciiTheme="minorEastAsia" w:hAnsiTheme="minorEastAsia" w:eastAsiaTheme="minorEastAsia"/>
              </w:rPr>
            </w:pPr>
            <w:r>
              <w:rPr>
                <w:rFonts w:hint="eastAsia" w:asciiTheme="minorEastAsia" w:hAnsiTheme="minorEastAsia" w:eastAsiaTheme="minorEastAsia"/>
              </w:rPr>
              <w:t>①质量管理体系认证证书的，得</w:t>
            </w:r>
            <w:r>
              <w:rPr>
                <w:rFonts w:asciiTheme="minorEastAsia" w:hAnsiTheme="minorEastAsia" w:eastAsiaTheme="minorEastAsia"/>
              </w:rPr>
              <w:t>1</w:t>
            </w:r>
            <w:r>
              <w:rPr>
                <w:rFonts w:hint="eastAsia" w:asciiTheme="minorEastAsia" w:hAnsiTheme="minorEastAsia" w:eastAsiaTheme="minorEastAsia"/>
              </w:rPr>
              <w:t>分；</w:t>
            </w:r>
          </w:p>
          <w:p>
            <w:pPr>
              <w:widowControl/>
              <w:jc w:val="left"/>
              <w:rPr>
                <w:rFonts w:asciiTheme="minorEastAsia" w:hAnsiTheme="minorEastAsia" w:eastAsiaTheme="minorEastAsia"/>
              </w:rPr>
            </w:pPr>
            <w:r>
              <w:rPr>
                <w:rFonts w:hint="eastAsia" w:asciiTheme="minorEastAsia" w:hAnsiTheme="minorEastAsia" w:eastAsiaTheme="minorEastAsia"/>
              </w:rPr>
              <w:t>②环境管理体系认证证书的，得</w:t>
            </w:r>
            <w:r>
              <w:rPr>
                <w:rFonts w:asciiTheme="minorEastAsia" w:hAnsiTheme="minorEastAsia" w:eastAsiaTheme="minorEastAsia"/>
              </w:rPr>
              <w:t>1</w:t>
            </w:r>
            <w:r>
              <w:rPr>
                <w:rFonts w:hint="eastAsia" w:asciiTheme="minorEastAsia" w:hAnsiTheme="minorEastAsia" w:eastAsiaTheme="minorEastAsia"/>
              </w:rPr>
              <w:t>分；</w:t>
            </w:r>
          </w:p>
          <w:p>
            <w:pPr>
              <w:widowControl/>
              <w:jc w:val="left"/>
              <w:rPr>
                <w:rFonts w:asciiTheme="minorEastAsia" w:hAnsiTheme="minorEastAsia" w:eastAsiaTheme="minorEastAsia"/>
              </w:rPr>
            </w:pPr>
            <w:r>
              <w:rPr>
                <w:rFonts w:hint="eastAsia" w:asciiTheme="minorEastAsia" w:hAnsiTheme="minorEastAsia" w:eastAsiaTheme="minorEastAsia"/>
              </w:rPr>
              <w:t>③职业健康安全管理体系认证证书的，得</w:t>
            </w:r>
            <w:r>
              <w:rPr>
                <w:rFonts w:asciiTheme="minorEastAsia" w:hAnsiTheme="minorEastAsia" w:eastAsiaTheme="minorEastAsia"/>
              </w:rPr>
              <w:t>1</w:t>
            </w:r>
            <w:r>
              <w:rPr>
                <w:rFonts w:hint="eastAsia" w:asciiTheme="minorEastAsia" w:hAnsiTheme="minorEastAsia" w:eastAsiaTheme="minorEastAsia"/>
              </w:rPr>
              <w:t>分；</w:t>
            </w:r>
          </w:p>
          <w:p>
            <w:pPr>
              <w:pStyle w:val="2"/>
              <w:ind w:firstLine="0"/>
              <w:rPr>
                <w:rFonts w:asciiTheme="minorEastAsia" w:hAnsiTheme="minorEastAsia" w:eastAsiaTheme="minorEastAsia"/>
              </w:rPr>
            </w:pPr>
            <w:r>
              <w:rPr>
                <w:rFonts w:hint="eastAsia" w:cs="宋体" w:asciiTheme="minorEastAsia" w:hAnsiTheme="minorEastAsia" w:eastAsiaTheme="minorEastAsia"/>
                <w:szCs w:val="21"/>
              </w:rPr>
              <w:t>④</w:t>
            </w:r>
            <w:r>
              <w:rPr>
                <w:rFonts w:hint="eastAsia" w:asciiTheme="minorEastAsia" w:hAnsiTheme="minorEastAsia" w:eastAsiaTheme="minorEastAsia"/>
              </w:rPr>
              <w:t>高新技术企业证书的，得</w:t>
            </w:r>
            <w:r>
              <w:rPr>
                <w:rFonts w:asciiTheme="minorEastAsia" w:hAnsiTheme="minorEastAsia" w:eastAsiaTheme="minorEastAsia"/>
              </w:rPr>
              <w:t>1</w:t>
            </w:r>
            <w:r>
              <w:rPr>
                <w:rFonts w:hint="eastAsia" w:asciiTheme="minorEastAsia" w:hAnsiTheme="minorEastAsia" w:eastAsiaTheme="minorEastAsia"/>
              </w:rPr>
              <w:t>分。</w:t>
            </w:r>
          </w:p>
          <w:p>
            <w:pPr>
              <w:widowControl/>
              <w:jc w:val="left"/>
              <w:rPr>
                <w:rFonts w:asciiTheme="minorEastAsia" w:hAnsiTheme="minorEastAsia" w:eastAsiaTheme="minorEastAsia"/>
              </w:rPr>
            </w:pPr>
            <w:r>
              <w:rPr>
                <w:rFonts w:hint="eastAsia" w:asciiTheme="minorEastAsia" w:hAnsiTheme="minorEastAsia" w:eastAsiaTheme="minorEastAsia"/>
              </w:rPr>
              <w:t>注：投标文件内提供有效证书的扫描件并加盖公章。</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continue"/>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投标人具有：</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①</w:t>
            </w:r>
            <w:r>
              <w:rPr>
                <w:rFonts w:hint="eastAsia" w:asciiTheme="minorEastAsia" w:hAnsiTheme="minorEastAsia" w:eastAsiaTheme="minorEastAsia"/>
              </w:rPr>
              <w:t>信息安全管理体系</w:t>
            </w:r>
            <w:r>
              <w:rPr>
                <w:rFonts w:asciiTheme="minorEastAsia" w:hAnsiTheme="minorEastAsia" w:eastAsiaTheme="minorEastAsia"/>
              </w:rPr>
              <w:t>(ISMS)的，得2.5</w:t>
            </w:r>
            <w:r>
              <w:rPr>
                <w:rFonts w:hint="eastAsia" w:asciiTheme="minorEastAsia" w:hAnsiTheme="minorEastAsia" w:eastAsiaTheme="minorEastAsia"/>
              </w:rPr>
              <w:t>分；</w:t>
            </w:r>
          </w:p>
          <w:p>
            <w:pPr>
              <w:widowControl/>
              <w:jc w:val="left"/>
              <w:rPr>
                <w:rFonts w:asciiTheme="minorEastAsia" w:hAnsiTheme="minorEastAsia" w:eastAsiaTheme="minorEastAsia"/>
              </w:rPr>
            </w:pPr>
            <w:r>
              <w:rPr>
                <w:rFonts w:hint="eastAsia" w:asciiTheme="minorEastAsia" w:hAnsiTheme="minorEastAsia" w:eastAsiaTheme="minorEastAsia"/>
              </w:rPr>
              <w:t>②信息技术服务管理体系</w:t>
            </w:r>
            <w:r>
              <w:rPr>
                <w:rFonts w:asciiTheme="minorEastAsia" w:hAnsiTheme="minorEastAsia" w:eastAsiaTheme="minorEastAsia"/>
              </w:rPr>
              <w:t>(ITSMS)认证的，得2</w:t>
            </w:r>
            <w:r>
              <w:rPr>
                <w:rFonts w:hint="eastAsia" w:asciiTheme="minorEastAsia" w:hAnsiTheme="minorEastAsia" w:eastAsiaTheme="minorEastAsia"/>
              </w:rPr>
              <w:t>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注：投标文件内提供有效证书的扫描件并加盖公章。</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投标人荣誉</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投标人</w:t>
            </w:r>
            <w:r>
              <w:rPr>
                <w:rFonts w:hint="eastAsia" w:cs="宋体" w:asciiTheme="minorEastAsia" w:hAnsiTheme="minorEastAsia" w:eastAsiaTheme="minorEastAsia"/>
                <w:kern w:val="0"/>
                <w:szCs w:val="21"/>
              </w:rPr>
              <w:t>自2019年12月</w:t>
            </w:r>
            <w:r>
              <w:rPr>
                <w:rFonts w:hint="eastAsia" w:cs="宋体" w:asciiTheme="minorEastAsia" w:hAnsiTheme="minorEastAsia" w:eastAsiaTheme="minorEastAsia"/>
                <w:color w:val="000000"/>
                <w:kern w:val="0"/>
                <w:szCs w:val="21"/>
              </w:rPr>
              <w:t>以来（以获奖时间为准）获得国家知识产权示范企业荣誉</w:t>
            </w:r>
            <w:r>
              <w:rPr>
                <w:rFonts w:hint="eastAsia" w:cs="宋体" w:asciiTheme="minorEastAsia" w:hAnsiTheme="minorEastAsia" w:eastAsiaTheme="minorEastAsia"/>
                <w:color w:val="000000"/>
                <w:kern w:val="0"/>
                <w:szCs w:val="21"/>
                <w:lang w:val="en-US" w:eastAsia="zh-CN"/>
              </w:rPr>
              <w:t>的，</w:t>
            </w:r>
            <w:r>
              <w:rPr>
                <w:rFonts w:hint="eastAsia" w:cs="宋体" w:asciiTheme="minorEastAsia" w:hAnsiTheme="minorEastAsia" w:eastAsiaTheme="minorEastAsia"/>
                <w:color w:val="000000"/>
                <w:kern w:val="0"/>
                <w:szCs w:val="21"/>
              </w:rPr>
              <w:t>得2分，</w:t>
            </w:r>
            <w:r>
              <w:rPr>
                <w:rFonts w:hint="eastAsia" w:cs="宋体" w:asciiTheme="minorEastAsia" w:hAnsiTheme="minorEastAsia" w:eastAsiaTheme="minorEastAsia"/>
                <w:color w:val="000000"/>
                <w:kern w:val="0"/>
                <w:szCs w:val="21"/>
                <w:lang w:val="en-US" w:eastAsia="zh-CN"/>
              </w:rPr>
              <w:t>否则</w:t>
            </w:r>
            <w:r>
              <w:rPr>
                <w:rFonts w:hint="eastAsia" w:cs="宋体" w:asciiTheme="minorEastAsia" w:hAnsiTheme="minorEastAsia" w:eastAsiaTheme="minorEastAsia"/>
                <w:color w:val="000000"/>
                <w:kern w:val="0"/>
                <w:szCs w:val="21"/>
              </w:rPr>
              <w:t>不得分。</w:t>
            </w:r>
          </w:p>
          <w:p>
            <w:pPr>
              <w:widowControl/>
              <w:jc w:val="left"/>
              <w:rPr>
                <w:rFonts w:cs="宋体" w:asciiTheme="minorEastAsia" w:hAnsiTheme="minorEastAsia" w:eastAsiaTheme="minorEastAsia"/>
                <w:color w:val="000000"/>
                <w:kern w:val="0"/>
                <w:szCs w:val="21"/>
              </w:rPr>
            </w:pPr>
            <w:r>
              <w:rPr>
                <w:rFonts w:hint="eastAsia" w:asciiTheme="minorEastAsia" w:hAnsiTheme="minorEastAsia" w:eastAsiaTheme="minorEastAsia"/>
              </w:rPr>
              <w:t>注：投标文件内提供有效证明文件的扫描件并加盖公章。</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投标人实力</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投标人具有与本项目相关的发明专利的（需取得授权且在有效期内），每项得0.5分，最高得1.5分。</w:t>
            </w:r>
          </w:p>
          <w:p>
            <w:pPr>
              <w:widowControl/>
              <w:jc w:val="left"/>
              <w:rPr>
                <w:rFonts w:cs="宋体" w:asciiTheme="minorEastAsia" w:hAnsiTheme="minorEastAsia" w:eastAsiaTheme="minorEastAsia"/>
                <w:color w:val="000000"/>
                <w:kern w:val="0"/>
                <w:szCs w:val="21"/>
              </w:rPr>
            </w:pPr>
            <w:r>
              <w:rPr>
                <w:rFonts w:hint="eastAsia" w:asciiTheme="minorEastAsia" w:hAnsiTheme="minorEastAsia" w:eastAsiaTheme="minorEastAsia"/>
              </w:rPr>
              <w:t>注：投标文件内提供有效证明文件的扫描件并加盖公章。</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投标人业绩</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投标人自2019年9月以来（以合同签订时间为准），具有类似项目建设案例的，每个合同得0.5分，最高得1分。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注：业绩证明材料应提供合同扫描件或中标通知书扫描件，并加盖公章，如为联合体，需为联合体牵头单位。</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restart"/>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项目团队能力</w:t>
            </w:r>
          </w:p>
        </w:tc>
        <w:tc>
          <w:tcPr>
            <w:tcW w:w="5796" w:type="dxa"/>
            <w:tcMar>
              <w:top w:w="57" w:type="dxa"/>
              <w:left w:w="108" w:type="dxa"/>
              <w:bottom w:w="57" w:type="dxa"/>
              <w:right w:w="108" w:type="dxa"/>
            </w:tcMar>
            <w:vAlign w:val="center"/>
          </w:tcPr>
          <w:p>
            <w:pPr>
              <w:widowControl/>
              <w:jc w:val="left"/>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根据投标人提出的拟担任本项目的项目负责人（1名）的经验、资质、能力进行打分：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①自2018年1月1日以来担任过类似项目的项目经理的，每项得1分，本项最多得2分；</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证明材料：投标人须提供能证明项目负责人业绩的证明文件，可以是合同或验收证明或用户证明或项目任命文件等有盖章的材料（需含工程名称、项目经理或项目负责人及单位名称）。</w:t>
            </w:r>
            <w:r>
              <w:rPr>
                <w:rFonts w:hint="eastAsia" w:cs="宋体" w:asciiTheme="minorEastAsia" w:hAnsiTheme="minorEastAsia" w:eastAsiaTheme="minorEastAsia"/>
                <w:kern w:val="0"/>
                <w:szCs w:val="21"/>
              </w:rPr>
              <w:br w:type="textWrapping"/>
            </w:r>
            <w:r>
              <w:rPr>
                <w:rFonts w:hint="eastAsia" w:cs="宋体" w:asciiTheme="minorEastAsia" w:hAnsiTheme="minorEastAsia" w:eastAsiaTheme="minorEastAsia"/>
                <w:kern w:val="0"/>
                <w:szCs w:val="21"/>
              </w:rPr>
              <w:t>②获得</w:t>
            </w:r>
            <w:r>
              <w:rPr>
                <w:rFonts w:hint="eastAsia" w:cs="宋体" w:asciiTheme="minorEastAsia" w:hAnsiTheme="minorEastAsia" w:eastAsiaTheme="minorEastAsia"/>
                <w:kern w:val="0"/>
                <w:szCs w:val="21"/>
                <w:lang w:val="en-US" w:eastAsia="zh-CN"/>
              </w:rPr>
              <w:t>与本项目相关的</w:t>
            </w:r>
            <w:r>
              <w:rPr>
                <w:rFonts w:hint="eastAsia" w:cs="宋体" w:asciiTheme="minorEastAsia" w:hAnsiTheme="minorEastAsia" w:eastAsiaTheme="minorEastAsia"/>
                <w:kern w:val="0"/>
                <w:szCs w:val="21"/>
              </w:rPr>
              <w:t>省部级及以上</w:t>
            </w:r>
            <w:r>
              <w:rPr>
                <w:rFonts w:hint="eastAsia" w:cs="宋体" w:asciiTheme="minorEastAsia" w:hAnsiTheme="minorEastAsia" w:eastAsiaTheme="minorEastAsia"/>
                <w:kern w:val="0"/>
                <w:szCs w:val="21"/>
                <w:lang w:val="en-US" w:eastAsia="zh-CN"/>
              </w:rPr>
              <w:t>奖项</w:t>
            </w:r>
            <w:r>
              <w:rPr>
                <w:rFonts w:hint="eastAsia" w:cs="宋体" w:asciiTheme="minorEastAsia" w:hAnsiTheme="minorEastAsia" w:eastAsiaTheme="minorEastAsia"/>
                <w:kern w:val="0"/>
                <w:szCs w:val="21"/>
              </w:rPr>
              <w:t>的，得</w:t>
            </w:r>
            <w:r>
              <w:rPr>
                <w:rFonts w:hint="eastAsia" w:cs="宋体" w:asciiTheme="minorEastAsia" w:hAnsiTheme="minorEastAsia" w:eastAsiaTheme="minorEastAsia"/>
                <w:kern w:val="0"/>
                <w:szCs w:val="21"/>
                <w:lang w:eastAsia="zh"/>
              </w:rPr>
              <w:t>1</w:t>
            </w:r>
            <w:r>
              <w:rPr>
                <w:rFonts w:hint="eastAsia" w:cs="宋体" w:asciiTheme="minorEastAsia" w:hAnsiTheme="minorEastAsia" w:eastAsiaTheme="minorEastAsia"/>
                <w:kern w:val="0"/>
                <w:szCs w:val="21"/>
              </w:rPr>
              <w:t>分</w:t>
            </w:r>
            <w:r>
              <w:rPr>
                <w:rFonts w:hint="eastAsia" w:cs="宋体" w:asciiTheme="minorEastAsia" w:hAnsiTheme="minorEastAsia" w:eastAsiaTheme="minorEastAsia"/>
                <w:kern w:val="0"/>
                <w:szCs w:val="21"/>
                <w:lang w:eastAsia="zh-CN"/>
              </w:rPr>
              <w:t>。</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注：需提供相关证书扫描件并加盖单位公章，否则不得分。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lang w:eastAsia="zh"/>
              </w:rPr>
            </w:pPr>
            <w:r>
              <w:rPr>
                <w:rFonts w:hint="eastAsia" w:cs="宋体" w:asciiTheme="minorEastAsia" w:hAnsiTheme="minorEastAsia" w:eastAsiaTheme="minorEastAsia"/>
                <w:szCs w:val="21"/>
                <w:lang w:eastAsia="zh"/>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continue"/>
            <w:tcMar>
              <w:top w:w="57" w:type="dxa"/>
              <w:left w:w="108" w:type="dxa"/>
              <w:bottom w:w="57" w:type="dxa"/>
              <w:right w:w="108" w:type="dxa"/>
            </w:tcMar>
            <w:vAlign w:val="center"/>
          </w:tcPr>
          <w:p>
            <w:pPr>
              <w:pStyle w:val="7"/>
              <w:spacing w:line="300" w:lineRule="auto"/>
              <w:jc w:val="center"/>
              <w:rPr>
                <w:rFonts w:cs="宋体" w:asciiTheme="minorEastAsia" w:hAnsiTheme="minorEastAsia" w:eastAsiaTheme="minorEastAsia"/>
                <w:szCs w:val="21"/>
              </w:rPr>
            </w:pP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项目组成员具备的地理信息工程、水文水资源、软件工程、安全监测、软件开发、计算机工程与技术的高级工程师及以上职称，专业人员配置齐全的得</w:t>
            </w:r>
            <w:r>
              <w:rPr>
                <w:rFonts w:cs="宋体" w:asciiTheme="minorEastAsia" w:hAnsiTheme="minorEastAsia" w:eastAsiaTheme="minorEastAsia"/>
                <w:kern w:val="0"/>
                <w:szCs w:val="21"/>
                <w:lang w:eastAsia="zh"/>
              </w:rPr>
              <w:t>6</w:t>
            </w:r>
            <w:r>
              <w:rPr>
                <w:rFonts w:hint="eastAsia" w:cs="宋体" w:asciiTheme="minorEastAsia" w:hAnsiTheme="minorEastAsia" w:eastAsiaTheme="minorEastAsia"/>
                <w:kern w:val="0"/>
                <w:szCs w:val="21"/>
              </w:rPr>
              <w:t>分，每缺一个专业扣</w:t>
            </w:r>
            <w:r>
              <w:rPr>
                <w:rFonts w:cs="宋体" w:asciiTheme="minorEastAsia" w:hAnsiTheme="minorEastAsia" w:eastAsiaTheme="minorEastAsia"/>
                <w:kern w:val="0"/>
                <w:szCs w:val="21"/>
                <w:lang w:eastAsia="zh"/>
              </w:rPr>
              <w:t>1</w:t>
            </w:r>
            <w:r>
              <w:rPr>
                <w:rFonts w:hint="eastAsia" w:cs="宋体" w:asciiTheme="minorEastAsia" w:hAnsiTheme="minorEastAsia" w:eastAsiaTheme="minorEastAsia"/>
                <w:kern w:val="0"/>
                <w:szCs w:val="21"/>
              </w:rPr>
              <w:t>分。</w:t>
            </w:r>
          </w:p>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注：需提供相关证书扫描件并加盖公章，否则不得分。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lang w:eastAsia="zh"/>
              </w:rPr>
            </w:pPr>
            <w:r>
              <w:rPr>
                <w:rFonts w:hint="eastAsia" w:cs="宋体" w:asciiTheme="minorEastAsia" w:hAnsiTheme="minorEastAsia" w:eastAsiaTheme="minorEastAsia"/>
                <w:szCs w:val="21"/>
                <w:lang w:eastAsia="zh"/>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restart"/>
            <w:tcMar>
              <w:top w:w="57" w:type="dxa"/>
              <w:left w:w="108" w:type="dxa"/>
              <w:bottom w:w="57" w:type="dxa"/>
              <w:right w:w="108" w:type="dxa"/>
            </w:tcMar>
            <w:vAlign w:val="center"/>
          </w:tcPr>
          <w:p>
            <w:pPr>
              <w:pStyle w:val="2"/>
              <w:spacing w:line="300" w:lineRule="auto"/>
              <w:ind w:firstLine="0"/>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售后服务承诺</w:t>
            </w:r>
          </w:p>
          <w:p>
            <w:pPr>
              <w:spacing w:line="30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10分</w:t>
            </w:r>
          </w:p>
        </w:tc>
        <w:tc>
          <w:tcPr>
            <w:tcW w:w="1113" w:type="dxa"/>
            <w:vMerge w:val="restart"/>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售后服务保障</w:t>
            </w:r>
          </w:p>
        </w:tc>
        <w:tc>
          <w:tcPr>
            <w:tcW w:w="5796" w:type="dxa"/>
            <w:tcMar>
              <w:top w:w="57" w:type="dxa"/>
              <w:left w:w="108" w:type="dxa"/>
              <w:bottom w:w="57" w:type="dxa"/>
              <w:right w:w="108" w:type="dxa"/>
            </w:tcMar>
            <w:vAlign w:val="center"/>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在满足招标文件要求的免费维保期满后，</w:t>
            </w:r>
            <w:r>
              <w:rPr>
                <w:rFonts w:hint="eastAsia" w:cs="宋体" w:asciiTheme="minorEastAsia" w:hAnsiTheme="minorEastAsia" w:eastAsiaTheme="minorEastAsia"/>
                <w:szCs w:val="21"/>
              </w:rPr>
              <w:t>承诺免费增加1年的，得1分，最高得2分。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vMerge w:val="continue"/>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p>
        </w:tc>
        <w:tc>
          <w:tcPr>
            <w:tcW w:w="5796" w:type="dxa"/>
            <w:tcMar>
              <w:top w:w="57" w:type="dxa"/>
              <w:left w:w="108" w:type="dxa"/>
              <w:bottom w:w="57" w:type="dxa"/>
              <w:right w:w="108" w:type="dxa"/>
            </w:tcMar>
            <w:vAlign w:val="center"/>
          </w:tcPr>
          <w:p>
            <w:pPr>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根据投标人提出的关于售后服务的方案进行综合评分：</w:t>
            </w:r>
          </w:p>
          <w:p>
            <w:pPr>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①项目实施过程中及项目完成后，提供的服务有实质性内容，对本项目的推动有促进作用，有额外服务承诺，且承诺切实、优秀的，得5-3分；</w:t>
            </w:r>
          </w:p>
          <w:p>
            <w:pPr>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②有额外服务承诺，但对本项目或采购人带来实质性作用较少的，得2.9-1分；</w:t>
            </w:r>
          </w:p>
          <w:p>
            <w:pPr>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③有服务承诺，但只是常规份内服务的，得0.9-0.1分；</w:t>
            </w:r>
          </w:p>
          <w:p>
            <w:pPr>
              <w:jc w:val="left"/>
              <w:rPr>
                <w:rFonts w:cs="宋体" w:asciiTheme="minorEastAsia" w:hAnsiTheme="minorEastAsia" w:eastAsiaTheme="minorEastAsia"/>
                <w:szCs w:val="21"/>
              </w:rPr>
            </w:pPr>
            <w:r>
              <w:rPr>
                <w:rFonts w:hint="eastAsia" w:cs="宋体" w:asciiTheme="minorEastAsia" w:hAnsiTheme="minorEastAsia" w:eastAsiaTheme="minorEastAsia"/>
                <w:color w:val="000000"/>
                <w:kern w:val="0"/>
                <w:szCs w:val="21"/>
              </w:rPr>
              <w:t>④未有服务承诺阐述的，不得分。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02" w:type="dxa"/>
            <w:vMerge w:val="continue"/>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b/>
                <w:bCs/>
                <w:szCs w:val="21"/>
              </w:rPr>
            </w:pPr>
          </w:p>
        </w:tc>
        <w:tc>
          <w:tcPr>
            <w:tcW w:w="1113" w:type="dxa"/>
            <w:tcMar>
              <w:top w:w="57" w:type="dxa"/>
              <w:left w:w="108" w:type="dxa"/>
              <w:bottom w:w="57" w:type="dxa"/>
              <w:right w:w="108" w:type="dxa"/>
            </w:tcMar>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培训方案</w:t>
            </w:r>
          </w:p>
        </w:tc>
        <w:tc>
          <w:tcPr>
            <w:tcW w:w="5796" w:type="dxa"/>
            <w:tcMar>
              <w:top w:w="57" w:type="dxa"/>
              <w:left w:w="108" w:type="dxa"/>
              <w:bottom w:w="57" w:type="dxa"/>
              <w:right w:w="108" w:type="dxa"/>
            </w:tcMar>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根据供应商针对本项目制定的培训方案的合理性、科学性、可行性等情况进行综合评分：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①方案满足考虑周全、可操作性强得3-1.5分；</w:t>
            </w:r>
          </w:p>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②方案考虑不够周全、可操作性较差得1.4-0.1分；</w:t>
            </w:r>
          </w:p>
          <w:p>
            <w:pPr>
              <w:widowControl/>
              <w:jc w:val="left"/>
              <w:rPr>
                <w:rFonts w:cs="宋体" w:asciiTheme="minorEastAsia" w:hAnsiTheme="minorEastAsia" w:eastAsiaTheme="minorEastAsia"/>
                <w:szCs w:val="21"/>
              </w:rPr>
            </w:pPr>
            <w:r>
              <w:rPr>
                <w:rFonts w:hint="eastAsia" w:cs="宋体" w:asciiTheme="minorEastAsia" w:hAnsiTheme="minorEastAsia" w:eastAsiaTheme="minorEastAsia"/>
                <w:color w:val="000000"/>
                <w:kern w:val="0"/>
                <w:szCs w:val="21"/>
              </w:rPr>
              <w:t>③无培训方案的不得分。</w:t>
            </w:r>
          </w:p>
        </w:tc>
        <w:tc>
          <w:tcPr>
            <w:tcW w:w="740" w:type="dxa"/>
            <w:tcMar>
              <w:top w:w="57" w:type="dxa"/>
              <w:left w:w="108" w:type="dxa"/>
              <w:bottom w:w="57" w:type="dxa"/>
              <w:right w:w="108" w:type="dxa"/>
            </w:tcMar>
            <w:vAlign w:val="center"/>
          </w:tcPr>
          <w:p>
            <w:pPr>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502" w:type="dxa"/>
            <w:tcMar>
              <w:top w:w="57" w:type="dxa"/>
              <w:left w:w="108" w:type="dxa"/>
              <w:bottom w:w="57" w:type="dxa"/>
              <w:right w:w="108" w:type="dxa"/>
            </w:tcMar>
            <w:vAlign w:val="center"/>
          </w:tcPr>
          <w:p>
            <w:pPr>
              <w:widowControl/>
              <w:spacing w:line="300" w:lineRule="auto"/>
              <w:jc w:val="center"/>
              <w:rPr>
                <w:rFonts w:cs="宋体" w:asciiTheme="minorEastAsia" w:hAnsiTheme="minorEastAsia" w:eastAsiaTheme="minorEastAsia"/>
                <w:b/>
                <w:bCs/>
                <w:szCs w:val="21"/>
              </w:rPr>
            </w:pPr>
            <w:r>
              <w:rPr>
                <w:rFonts w:hint="eastAsia" w:cs="宋体" w:asciiTheme="minorEastAsia" w:hAnsiTheme="minorEastAsia" w:eastAsiaTheme="minorEastAsia"/>
                <w:b/>
                <w:bCs/>
                <w:color w:val="000000" w:themeColor="text1"/>
                <w:szCs w:val="21"/>
                <w14:textFill>
                  <w14:solidFill>
                    <w14:schemeClr w14:val="tx1"/>
                  </w14:solidFill>
                </w14:textFill>
              </w:rPr>
              <w:t>价格</w:t>
            </w:r>
            <w:r>
              <w:rPr>
                <w:rFonts w:hint="eastAsia" w:cs="宋体" w:asciiTheme="minorEastAsia" w:hAnsiTheme="minorEastAsia" w:eastAsiaTheme="minorEastAsia"/>
                <w:b/>
                <w:szCs w:val="21"/>
              </w:rPr>
              <w:t>10分</w:t>
            </w:r>
          </w:p>
        </w:tc>
        <w:tc>
          <w:tcPr>
            <w:tcW w:w="6909" w:type="dxa"/>
            <w:gridSpan w:val="2"/>
            <w:tcMar>
              <w:top w:w="57" w:type="dxa"/>
              <w:left w:w="108" w:type="dxa"/>
              <w:bottom w:w="57" w:type="dxa"/>
              <w:right w:w="108" w:type="dxa"/>
            </w:tcMar>
            <w:vAlign w:val="center"/>
          </w:tcPr>
          <w:p>
            <w:pPr>
              <w:pStyle w:val="7"/>
              <w:tabs>
                <w:tab w:val="left" w:pos="220"/>
              </w:tabs>
              <w:rPr>
                <w:rFonts w:cs="宋体" w:asciiTheme="minorEastAsia" w:hAnsiTheme="minorEastAsia" w:eastAsiaTheme="minorEastAsia"/>
                <w:szCs w:val="21"/>
              </w:rPr>
            </w:pPr>
            <w:r>
              <w:rPr>
                <w:rFonts w:hint="eastAsia" w:cs="宋体" w:asciiTheme="minorEastAsia" w:hAnsiTheme="minorEastAsia" w:eastAsiaTheme="minorEastAsia"/>
                <w:szCs w:val="21"/>
              </w:rPr>
              <w:t>以合格投标人有效投标总报价中的最低价为基准价，基准价为10分。投标报价得分＝（评标基准价/投标报价）×</w:t>
            </w:r>
            <w:r>
              <w:rPr>
                <w:rFonts w:hint="eastAsia" w:cs="宋体" w:asciiTheme="minorEastAsia" w:hAnsiTheme="minorEastAsia" w:eastAsiaTheme="minorEastAsia"/>
                <w:kern w:val="0"/>
                <w:szCs w:val="21"/>
              </w:rPr>
              <w:t>10%</w:t>
            </w:r>
            <w:r>
              <w:rPr>
                <w:rFonts w:hint="eastAsia" w:cs="宋体" w:asciiTheme="minorEastAsia" w:hAnsiTheme="minorEastAsia" w:eastAsiaTheme="minorEastAsia"/>
                <w:szCs w:val="21"/>
              </w:rPr>
              <w:t>×</w:t>
            </w:r>
            <w:r>
              <w:rPr>
                <w:rFonts w:hint="eastAsia" w:cs="宋体" w:asciiTheme="minorEastAsia" w:hAnsiTheme="minorEastAsia" w:eastAsiaTheme="minorEastAsia"/>
                <w:kern w:val="0"/>
                <w:szCs w:val="21"/>
              </w:rPr>
              <w:t>100</w:t>
            </w:r>
            <w:r>
              <w:rPr>
                <w:rFonts w:hint="eastAsia" w:cs="宋体" w:asciiTheme="minorEastAsia" w:hAnsiTheme="minorEastAsia" w:eastAsiaTheme="minorEastAsia"/>
                <w:szCs w:val="21"/>
              </w:rPr>
              <w:t>（小数点后保留2位小数）。</w:t>
            </w:r>
            <w:r>
              <w:rPr>
                <w:rFonts w:hint="eastAsia" w:cs="宋体" w:asciiTheme="minorEastAsia" w:hAnsiTheme="minorEastAsia" w:eastAsiaTheme="minorEastAsia"/>
                <w:color w:val="000000" w:themeColor="text1"/>
                <w:szCs w:val="21"/>
                <w14:textFill>
                  <w14:solidFill>
                    <w14:schemeClr w14:val="tx1"/>
                  </w14:solidFill>
                </w14:textFill>
              </w:rPr>
              <w:t>注：</w:t>
            </w:r>
            <w:r>
              <w:rPr>
                <w:rFonts w:hint="eastAsia" w:cs="宋体" w:asciiTheme="minorEastAsia" w:hAnsiTheme="minorEastAsia" w:eastAsiaTheme="minorEastAsia"/>
                <w:szCs w:val="21"/>
              </w:rPr>
              <w:t>符合本章第七点政府采购政策的，根据对应情形，对报价给予</w:t>
            </w:r>
            <w:r>
              <w:rPr>
                <w:rFonts w:hint="eastAsia" w:cs="宋体" w:asciiTheme="minorEastAsia" w:hAnsiTheme="minorEastAsia" w:eastAsiaTheme="minorEastAsia"/>
                <w:szCs w:val="21"/>
                <w:u w:val="single"/>
              </w:rPr>
              <w:t xml:space="preserve"> 20%</w:t>
            </w:r>
            <w:r>
              <w:rPr>
                <w:rFonts w:hint="eastAsia" w:cs="宋体" w:asciiTheme="minorEastAsia" w:hAnsiTheme="minorEastAsia" w:eastAsiaTheme="minorEastAsia"/>
                <w:szCs w:val="21"/>
              </w:rPr>
              <w:t xml:space="preserve"> 或</w:t>
            </w:r>
            <w:r>
              <w:rPr>
                <w:rFonts w:hint="eastAsia" w:cs="宋体" w:asciiTheme="minorEastAsia" w:hAnsiTheme="minorEastAsia" w:eastAsiaTheme="minorEastAsia"/>
                <w:szCs w:val="21"/>
                <w:u w:val="single"/>
              </w:rPr>
              <w:t xml:space="preserve"> 6%</w:t>
            </w:r>
            <w:r>
              <w:rPr>
                <w:rFonts w:hint="eastAsia" w:cs="宋体" w:asciiTheme="minorEastAsia" w:hAnsiTheme="minorEastAsia" w:eastAsiaTheme="minorEastAsia"/>
                <w:szCs w:val="21"/>
              </w:rPr>
              <w:t>的价格扣除，用扣除后的价格参与评审。</w:t>
            </w:r>
          </w:p>
        </w:tc>
        <w:tc>
          <w:tcPr>
            <w:tcW w:w="740" w:type="dxa"/>
            <w:tcMar>
              <w:top w:w="57" w:type="dxa"/>
              <w:left w:w="108" w:type="dxa"/>
              <w:bottom w:w="57" w:type="dxa"/>
              <w:right w:w="108" w:type="dxa"/>
            </w:tcMar>
            <w:vAlign w:val="center"/>
          </w:tcPr>
          <w:p>
            <w:pPr>
              <w:autoSpaceDE w:val="0"/>
              <w:autoSpaceDN w:val="0"/>
              <w:spacing w:line="30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r>
    </w:tbl>
    <w:p>
      <w:pPr>
        <w:spacing w:line="360" w:lineRule="auto"/>
      </w:pPr>
      <w:r>
        <w:rPr>
          <w:rFonts w:hint="eastAsia"/>
          <w:b/>
          <w:bCs/>
        </w:rPr>
        <w:t>注</w:t>
      </w:r>
      <w:r>
        <w:rPr>
          <w:rFonts w:hint="eastAsia"/>
        </w:rPr>
        <w:t>：①请扫描上传合同、证书、报告及其他相关证明材料的原件扫描件至投标文件，并加盖公章。</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rPr>
        <w:t>（2）对于投标文件报价出现前后不一致的，除招标文件另有规定外，按照下列规定修正：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5"/>
      </w:pPr>
    </w:p>
    <w:p>
      <w:pPr>
        <w:pStyle w:val="25"/>
      </w:pPr>
    </w:p>
    <w:p>
      <w:pPr>
        <w:pStyle w:val="25"/>
      </w:pPr>
    </w:p>
    <w:p>
      <w:pPr>
        <w:spacing w:line="360" w:lineRule="auto"/>
        <w:rPr>
          <w:rFonts w:asciiTheme="minorEastAsia" w:hAnsiTheme="minorEastAsia" w:eastAsiaTheme="minorEastAsia"/>
          <w:b/>
          <w:sz w:val="36"/>
          <w:szCs w:val="36"/>
        </w:rPr>
      </w:pPr>
    </w:p>
    <w:p>
      <w:pPr>
        <w:pStyle w:val="19"/>
        <w:ind w:left="0" w:leftChars="0" w:firstLine="0"/>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bookmarkStart w:id="38" w:name="_Toc27944_WPSOffice_Level1"/>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p>
    <w:p>
      <w:pPr>
        <w:spacing w:line="360" w:lineRule="auto"/>
        <w:jc w:val="center"/>
        <w:rPr>
          <w:rFonts w:asciiTheme="minorEastAsia" w:hAnsiTheme="minorEastAsia" w:eastAsiaTheme="minorEastAsia"/>
          <w:b/>
          <w:sz w:val="36"/>
          <w:szCs w:val="36"/>
        </w:rPr>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0"/>
        <w:snapToGrid w:val="0"/>
        <w:spacing w:line="360" w:lineRule="auto"/>
        <w:rPr>
          <w:rFonts w:hAnsi="宋体"/>
          <w:sz w:val="24"/>
        </w:rPr>
      </w:pPr>
      <w:r>
        <w:rPr>
          <w:rFonts w:hAnsi="宋体"/>
          <w:sz w:val="24"/>
        </w:rPr>
        <w:t>项目名称：                                项目编号：</w:t>
      </w:r>
    </w:p>
    <w:p>
      <w:pPr>
        <w:pStyle w:val="10"/>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0"/>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0"/>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0"/>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0"/>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6"/>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6"/>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6"/>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6"/>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0"/>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0"/>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0"/>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0"/>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0"/>
        <w:snapToGrid w:val="0"/>
        <w:spacing w:line="360" w:lineRule="auto"/>
        <w:ind w:firstLine="480" w:firstLineChars="200"/>
        <w:rPr>
          <w:rFonts w:hAnsi="宋体"/>
          <w:sz w:val="24"/>
        </w:rPr>
      </w:pPr>
      <w:r>
        <w:rPr>
          <w:rFonts w:hint="eastAsia" w:hAnsi="宋体"/>
          <w:sz w:val="24"/>
        </w:rPr>
        <w:t>（二）若侵犯，由乙方赔偿甲方因此遭受的损失（包括但不限于应对及追偿过程中所支付的律师费、差旅费、诉讼费、保全费、鉴定费、评估费等）。</w:t>
      </w:r>
    </w:p>
    <w:p>
      <w:pPr>
        <w:pStyle w:val="10"/>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0"/>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0"/>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0"/>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0"/>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0"/>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0"/>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0"/>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0"/>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0"/>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0"/>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0"/>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0"/>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0"/>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0"/>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0"/>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0"/>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0"/>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0"/>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0"/>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0"/>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0"/>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0"/>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0"/>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0"/>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0"/>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0"/>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0"/>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9" w:name="_Toc5481_WPSOffice_Level1"/>
      <w:r>
        <w:rPr>
          <w:rFonts w:hint="eastAsia" w:asciiTheme="minorEastAsia" w:hAnsiTheme="minorEastAsia" w:eastAsiaTheme="minorEastAsia"/>
          <w:b/>
          <w:sz w:val="36"/>
          <w:szCs w:val="36"/>
        </w:rPr>
        <w:t>第六章 投标文件格式</w:t>
      </w:r>
      <w:bookmarkEnd w:id="39"/>
    </w:p>
    <w:p>
      <w:pPr>
        <w:rPr>
          <w:rFonts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4956_WPSOffice_Level1"/>
      <w:bookmarkStart w:id="41" w:name="_Toc19093_WPSOffice_Level1"/>
      <w:bookmarkStart w:id="42" w:name="_Toc32372_WPSOffice_Level1"/>
      <w:r>
        <w:rPr>
          <w:rFonts w:hint="eastAsia"/>
          <w:sz w:val="52"/>
          <w:szCs w:val="52"/>
        </w:rPr>
        <w:t>项目名称</w:t>
      </w:r>
      <w:bookmarkEnd w:id="40"/>
      <w:bookmarkEnd w:id="41"/>
      <w:bookmarkEnd w:id="42"/>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9"/>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0"/>
        </w:numPr>
        <w:spacing w:line="360" w:lineRule="auto"/>
        <w:ind w:hanging="5"/>
        <w:rPr>
          <w:sz w:val="28"/>
          <w:szCs w:val="36"/>
        </w:rPr>
      </w:pPr>
      <w:bookmarkStart w:id="43" w:name="_Toc27049_WPSOffice_Level1"/>
      <w:bookmarkStart w:id="44" w:name="_Toc12587_WPSOffice_Level1"/>
      <w:bookmarkStart w:id="45" w:name="_Toc32100_WPSOffice_Level1"/>
      <w:bookmarkStart w:id="46" w:name="_Toc29616_WPSOffice_Level1"/>
      <w:r>
        <w:rPr>
          <w:rFonts w:hint="eastAsia"/>
          <w:sz w:val="28"/>
          <w:szCs w:val="36"/>
        </w:rPr>
        <w:t>投标声明书（附件1）</w:t>
      </w:r>
      <w:bookmarkEnd w:id="43"/>
      <w:bookmarkEnd w:id="44"/>
    </w:p>
    <w:p>
      <w:pPr>
        <w:numPr>
          <w:ilvl w:val="0"/>
          <w:numId w:val="10"/>
        </w:numPr>
        <w:spacing w:line="360" w:lineRule="auto"/>
        <w:ind w:hanging="5"/>
        <w:rPr>
          <w:sz w:val="28"/>
          <w:szCs w:val="36"/>
        </w:rPr>
      </w:pPr>
      <w:bookmarkStart w:id="47" w:name="_Toc25574_WPSOffice_Level1"/>
      <w:bookmarkStart w:id="48" w:name="_Toc28306_WPSOffice_Level1"/>
      <w:r>
        <w:rPr>
          <w:rFonts w:hint="eastAsia"/>
          <w:sz w:val="28"/>
          <w:szCs w:val="36"/>
        </w:rPr>
        <w:t>授权委托书或联合体授权委托书（法定代表人办理投标事宜的，则无需提交授权委托书；以联合体形式投标时需提供联合体授权委托书）（附件2-1、附件2-2）</w:t>
      </w:r>
      <w:bookmarkEnd w:id="47"/>
      <w:bookmarkEnd w:id="48"/>
    </w:p>
    <w:p>
      <w:pPr>
        <w:numPr>
          <w:ilvl w:val="0"/>
          <w:numId w:val="10"/>
        </w:numPr>
        <w:spacing w:line="360" w:lineRule="auto"/>
        <w:ind w:hanging="5"/>
        <w:rPr>
          <w:sz w:val="28"/>
          <w:szCs w:val="36"/>
        </w:rPr>
      </w:pPr>
      <w:r>
        <w:rPr>
          <w:rFonts w:hint="eastAsia"/>
          <w:sz w:val="28"/>
          <w:szCs w:val="36"/>
        </w:rPr>
        <w:t>联合体共同投标协议书（以联合体形式投标时需提供）（附件3）</w:t>
      </w:r>
    </w:p>
    <w:p>
      <w:pPr>
        <w:numPr>
          <w:ilvl w:val="0"/>
          <w:numId w:val="10"/>
        </w:numPr>
        <w:spacing w:line="360" w:lineRule="auto"/>
        <w:ind w:hanging="5"/>
        <w:rPr>
          <w:sz w:val="28"/>
          <w:szCs w:val="36"/>
        </w:rPr>
      </w:pPr>
      <w:r>
        <w:rPr>
          <w:rFonts w:hint="eastAsia"/>
          <w:sz w:val="28"/>
          <w:szCs w:val="36"/>
        </w:rPr>
        <w:t>法人或者其他组织的营业执照等证明文件，自然人的身份证明</w:t>
      </w:r>
      <w:bookmarkEnd w:id="45"/>
      <w:bookmarkEnd w:id="46"/>
    </w:p>
    <w:p>
      <w:pPr>
        <w:numPr>
          <w:ilvl w:val="0"/>
          <w:numId w:val="10"/>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0"/>
        </w:numPr>
        <w:spacing w:line="360" w:lineRule="auto"/>
        <w:ind w:hanging="5"/>
        <w:rPr>
          <w:sz w:val="28"/>
          <w:szCs w:val="36"/>
        </w:rPr>
      </w:pPr>
      <w:bookmarkStart w:id="49" w:name="_Toc30751_WPSOffice_Level1"/>
      <w:bookmarkStart w:id="50" w:name="_Toc2696_WPSOffice_Level1"/>
      <w:r>
        <w:rPr>
          <w:rFonts w:hint="eastAsia"/>
          <w:sz w:val="28"/>
          <w:szCs w:val="36"/>
        </w:rPr>
        <w:t>具备履行合同所必需的设备和专业技术能力的证明材料</w:t>
      </w:r>
      <w:bookmarkEnd w:id="49"/>
      <w:bookmarkEnd w:id="50"/>
    </w:p>
    <w:p>
      <w:pPr>
        <w:numPr>
          <w:ilvl w:val="0"/>
          <w:numId w:val="10"/>
        </w:numPr>
        <w:spacing w:line="360" w:lineRule="auto"/>
        <w:ind w:hanging="5"/>
        <w:rPr>
          <w:sz w:val="28"/>
          <w:szCs w:val="36"/>
        </w:rPr>
      </w:pPr>
      <w:bookmarkStart w:id="51" w:name="_Toc14150_WPSOffice_Level1"/>
      <w:bookmarkStart w:id="52" w:name="_Toc4587_WPSOffice_Level1"/>
      <w:r>
        <w:rPr>
          <w:rFonts w:hint="eastAsia"/>
          <w:sz w:val="28"/>
          <w:szCs w:val="36"/>
        </w:rPr>
        <w:t>本项目要求的特定资质证书</w:t>
      </w:r>
      <w:bookmarkEnd w:id="51"/>
      <w:bookmarkEnd w:id="52"/>
    </w:p>
    <w:p>
      <w:pPr>
        <w:spacing w:line="360" w:lineRule="auto"/>
        <w:rPr>
          <w:rFonts w:ascii="宋体" w:hAnsi="宋体"/>
          <w:b/>
          <w:sz w:val="28"/>
        </w:rPr>
      </w:pPr>
    </w:p>
    <w:p>
      <w:pPr>
        <w:spacing w:line="360" w:lineRule="auto"/>
        <w:ind w:left="420"/>
        <w:rPr>
          <w:rFonts w:ascii="宋体" w:hAnsi="宋体"/>
          <w:b/>
          <w:sz w:val="28"/>
        </w:rPr>
      </w:pPr>
    </w:p>
    <w:p>
      <w:pPr>
        <w:pStyle w:val="25"/>
        <w:rPr>
          <w:rFonts w:ascii="宋体" w:hAnsi="宋体"/>
          <w:b/>
          <w:sz w:val="28"/>
        </w:rPr>
      </w:pPr>
    </w:p>
    <w:p>
      <w:pPr>
        <w:pStyle w:val="25"/>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pStyle w:val="2"/>
        <w:ind w:firstLine="0"/>
        <w:rPr>
          <w:rFonts w:ascii="宋体" w:hAnsi="宋体"/>
          <w:b/>
          <w:sz w:val="28"/>
        </w:rPr>
      </w:pPr>
    </w:p>
    <w:p>
      <w:pPr>
        <w:pStyle w:val="2"/>
        <w:rPr>
          <w:rFonts w:ascii="宋体" w:hAnsi="宋体"/>
          <w:b/>
          <w:sz w:val="28"/>
        </w:rPr>
      </w:pP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53" w:name="_Toc30723_WPSOffice_Level1"/>
      <w:bookmarkStart w:id="54" w:name="_Toc31708_WPSOffice_Level1"/>
      <w:r>
        <w:rPr>
          <w:rFonts w:hint="eastAsia" w:ascii="宋体" w:hAnsi="宋体"/>
          <w:b/>
          <w:kern w:val="0"/>
          <w:sz w:val="32"/>
          <w:szCs w:val="32"/>
          <w:lang w:val="zh-CN"/>
        </w:rPr>
        <w:t>投标声明书</w:t>
      </w:r>
      <w:bookmarkEnd w:id="53"/>
      <w:bookmarkEnd w:id="54"/>
    </w:p>
    <w:p>
      <w:pPr>
        <w:snapToGrid w:val="0"/>
        <w:spacing w:before="120"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1"/>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19"/>
        <w:ind w:left="0" w:leftChars="0" w:firstLine="0"/>
      </w:pPr>
    </w:p>
    <w:p>
      <w:pPr>
        <w:pStyle w:val="19"/>
        <w:ind w:left="0" w:leftChars="0" w:firstLine="0"/>
      </w:pP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firstLine="4838" w:firstLineChars="2016"/>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bookmarkStart w:id="55" w:name="_Toc6870_WPSOffice_Level1"/>
      <w:bookmarkStart w:id="56" w:name="_Toc24373_WPSOffice_Level1"/>
      <w:r>
        <w:rPr>
          <w:b/>
          <w:sz w:val="32"/>
          <w:szCs w:val="32"/>
        </w:rPr>
        <w:t>授权</w:t>
      </w:r>
      <w:r>
        <w:rPr>
          <w:rFonts w:hint="eastAsia"/>
          <w:b/>
          <w:sz w:val="32"/>
          <w:szCs w:val="32"/>
        </w:rPr>
        <w:t>委托</w:t>
      </w:r>
      <w:r>
        <w:rPr>
          <w:b/>
          <w:sz w:val="32"/>
          <w:szCs w:val="32"/>
        </w:rPr>
        <w:t>书</w:t>
      </w:r>
      <w:bookmarkEnd w:id="55"/>
      <w:bookmarkEnd w:id="56"/>
    </w:p>
    <w:p>
      <w:pPr>
        <w:snapToGrid w:val="0"/>
        <w:spacing w:before="120"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0"/>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0"/>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0"/>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0"/>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ascii="宋体" w:hAnsi="宋体" w:cs="宋体"/>
          <w:b/>
          <w:bCs/>
          <w:sz w:val="32"/>
          <w:szCs w:val="32"/>
        </w:rPr>
      </w:pPr>
      <w:r>
        <w:rPr>
          <w:rFonts w:hint="eastAsia" w:ascii="宋体" w:hAnsi="宋体"/>
          <w:b/>
          <w:sz w:val="28"/>
        </w:rPr>
        <w:br w:type="page"/>
      </w: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120"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0"/>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int="eastAsia" w:hAnsi="宋体"/>
          <w:sz w:val="24"/>
          <w:u w:val="single"/>
        </w:rPr>
        <w:t xml:space="preserve">  </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0"/>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0"/>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 xml:space="preserve">                                                       日期：</w:t>
      </w:r>
    </w:p>
    <w:p>
      <w:pPr>
        <w:spacing w:line="360" w:lineRule="auto"/>
        <w:rPr>
          <w:b/>
          <w:sz w:val="24"/>
        </w:rPr>
      </w:pPr>
      <w:r>
        <w:rPr>
          <w:rFonts w:hint="eastAsia" w:ascii="宋体"/>
          <w:b/>
          <w:sz w:val="24"/>
        </w:rPr>
        <w:t>附：</w:t>
      </w:r>
    </w:p>
    <w:tbl>
      <w:tblPr>
        <w:tblStyle w:val="2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0"/>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0"/>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rFonts w:hint="eastAsia"/>
          <w:kern w:val="0"/>
          <w:sz w:val="24"/>
          <w:u w:val="single"/>
        </w:rPr>
        <w:t xml:space="preserve"> </w:t>
      </w:r>
      <w:r>
        <w:rPr>
          <w:kern w:val="0"/>
          <w:sz w:val="24"/>
          <w:u w:val="single"/>
        </w:rPr>
        <w:t>（联合体所有成员名称）</w:t>
      </w:r>
      <w:r>
        <w:rPr>
          <w:rFonts w:hint="eastAsia"/>
          <w:kern w:val="0"/>
          <w:sz w:val="24"/>
          <w:u w:val="single"/>
        </w:rPr>
        <w:t xml:space="preserve"> </w:t>
      </w:r>
      <w:r>
        <w:rPr>
          <w:kern w:val="0"/>
          <w:sz w:val="24"/>
        </w:rPr>
        <w:t>自愿</w:t>
      </w:r>
      <w:r>
        <w:rPr>
          <w:kern w:val="0"/>
          <w:sz w:val="24"/>
          <w:lang w:val="zh-CN"/>
        </w:rPr>
        <w:t>组成联合体，以一个投标人的身份</w:t>
      </w:r>
      <w:r>
        <w:rPr>
          <w:rFonts w:hint="eastAsia"/>
          <w:kern w:val="0"/>
          <w:sz w:val="24"/>
        </w:rPr>
        <w:t>共同参加贵单位组织的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的</w:t>
      </w:r>
      <w:r>
        <w:rPr>
          <w:kern w:val="0"/>
          <w:sz w:val="24"/>
          <w:lang w:val="zh-CN"/>
        </w:rPr>
        <w:t>投标。</w:t>
      </w:r>
      <w:r>
        <w:rPr>
          <w:rFonts w:hint="eastAsia"/>
          <w:kern w:val="0"/>
          <w:sz w:val="24"/>
        </w:rPr>
        <w:t>现就联合体投标事宜订立如下协议：</w:t>
      </w:r>
      <w:r>
        <w:rPr>
          <w:kern w:val="0"/>
          <w:sz w:val="24"/>
          <w:lang w:val="zh-CN"/>
        </w:rPr>
        <w:t xml:space="preserve"> </w:t>
      </w:r>
    </w:p>
    <w:p>
      <w:pPr>
        <w:numPr>
          <w:ilvl w:val="0"/>
          <w:numId w:val="12"/>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12"/>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12"/>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12"/>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作和义务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kern w:val="0"/>
          <w:sz w:val="24"/>
          <w:lang w:val="zh-CN"/>
        </w:rPr>
        <w:t>；</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rFonts w:hint="eastAsia"/>
          <w:sz w:val="24"/>
        </w:rPr>
        <w:t>。  ……</w:t>
      </w:r>
    </w:p>
    <w:p>
      <w:pPr>
        <w:numPr>
          <w:ilvl w:val="0"/>
          <w:numId w:val="12"/>
        </w:numPr>
        <w:snapToGrid w:val="0"/>
        <w:spacing w:line="360" w:lineRule="auto"/>
        <w:ind w:firstLine="576"/>
        <w:rPr>
          <w:kern w:val="0"/>
          <w:sz w:val="24"/>
        </w:rPr>
      </w:pPr>
      <w:r>
        <w:rPr>
          <w:rFonts w:hint="eastAsia"/>
          <w:kern w:val="0"/>
          <w:sz w:val="24"/>
        </w:rPr>
        <w:t>本次联合投标中，各方对于分享项目成果和知识产权的约定为：</w:t>
      </w:r>
      <w:r>
        <w:rPr>
          <w:rFonts w:hint="eastAsia"/>
          <w:kern w:val="0"/>
          <w:sz w:val="24"/>
          <w:u w:val="single"/>
        </w:rPr>
        <w:t xml:space="preserve">     </w:t>
      </w:r>
    </w:p>
    <w:p>
      <w:pPr>
        <w:snapToGrid w:val="0"/>
        <w:spacing w:line="360" w:lineRule="auto"/>
        <w:rPr>
          <w:kern w:val="0"/>
          <w:sz w:val="24"/>
          <w:u w:val="single"/>
        </w:rPr>
      </w:pPr>
      <w:r>
        <w:rPr>
          <w:rFonts w:hint="eastAsia"/>
          <w:kern w:val="0"/>
          <w:sz w:val="24"/>
          <w:u w:val="single"/>
        </w:rPr>
        <w:t xml:space="preserve">                                                                   。</w:t>
      </w:r>
    </w:p>
    <w:p>
      <w:pPr>
        <w:numPr>
          <w:ilvl w:val="0"/>
          <w:numId w:val="12"/>
        </w:numPr>
        <w:snapToGrid w:val="0"/>
        <w:spacing w:line="360" w:lineRule="auto"/>
        <w:ind w:firstLine="576"/>
        <w:rPr>
          <w:kern w:val="0"/>
          <w:sz w:val="24"/>
        </w:rPr>
      </w:pPr>
      <w:r>
        <w:rPr>
          <w:rFonts w:hint="eastAsia"/>
          <w:kern w:val="0"/>
          <w:sz w:val="24"/>
        </w:rPr>
        <w:t>各方具体的责任、权利、义务，在中标后经各方协商后报采购人同意后在合同中明确。</w:t>
      </w:r>
    </w:p>
    <w:p>
      <w:pPr>
        <w:numPr>
          <w:ilvl w:val="0"/>
          <w:numId w:val="12"/>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2"/>
        </w:numPr>
        <w:snapToGrid w:val="0"/>
        <w:spacing w:line="360" w:lineRule="auto"/>
        <w:ind w:firstLine="576"/>
        <w:rPr>
          <w:kern w:val="0"/>
          <w:sz w:val="24"/>
          <w:lang w:val="zh-CN"/>
        </w:rPr>
      </w:pPr>
      <w:r>
        <w:rPr>
          <w:rFonts w:hint="eastAsia"/>
          <w:kern w:val="0"/>
          <w:sz w:val="24"/>
        </w:rPr>
        <w:t>未中标，本协议自动废止。</w:t>
      </w:r>
    </w:p>
    <w:p>
      <w:pPr>
        <w:pStyle w:val="2"/>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kern w:val="0"/>
          <w:sz w:val="24"/>
          <w:lang w:val="zh-CN"/>
        </w:rPr>
        <w:t xml:space="preserve">                                         </w:t>
      </w:r>
      <w:r>
        <w:rPr>
          <w:rFonts w:hint="eastAsia"/>
          <w:kern w:val="0"/>
          <w:sz w:val="24"/>
        </w:rPr>
        <w:t xml:space="preserve">   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ascii="宋体" w:hAnsi="宋体"/>
          <w:b/>
          <w:sz w:val="28"/>
        </w:rPr>
      </w:pPr>
    </w:p>
    <w:p>
      <w:pPr>
        <w:jc w:val="center"/>
        <w:rPr>
          <w:sz w:val="52"/>
          <w:szCs w:val="52"/>
        </w:rPr>
      </w:pPr>
      <w:bookmarkStart w:id="57" w:name="_Toc16825_WPSOffice_Level1"/>
      <w:bookmarkStart w:id="58" w:name="_Toc12331_WPSOffice_Level1"/>
      <w:bookmarkStart w:id="59" w:name="_Toc26389_WPSOffice_Level1"/>
    </w:p>
    <w:p>
      <w:pPr>
        <w:jc w:val="center"/>
        <w:rPr>
          <w:sz w:val="52"/>
          <w:szCs w:val="52"/>
        </w:rPr>
      </w:pPr>
    </w:p>
    <w:p>
      <w:pPr>
        <w:jc w:val="center"/>
        <w:rPr>
          <w:sz w:val="52"/>
          <w:szCs w:val="52"/>
        </w:rPr>
      </w:pPr>
    </w:p>
    <w:p>
      <w:pPr>
        <w:jc w:val="center"/>
        <w:rPr>
          <w:sz w:val="52"/>
          <w:szCs w:val="52"/>
        </w:rPr>
      </w:pPr>
    </w:p>
    <w:p>
      <w:pPr>
        <w:jc w:val="center"/>
        <w:rPr>
          <w:sz w:val="52"/>
          <w:szCs w:val="52"/>
        </w:rPr>
      </w:pPr>
      <w:r>
        <w:rPr>
          <w:rFonts w:hint="eastAsia"/>
          <w:sz w:val="52"/>
          <w:szCs w:val="52"/>
        </w:rPr>
        <w:t>项目名称</w:t>
      </w:r>
      <w:bookmarkEnd w:id="57"/>
      <w:bookmarkEnd w:id="58"/>
      <w:bookmarkEnd w:id="59"/>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Cs/>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Cs/>
          <w:sz w:val="28"/>
          <w:szCs w:val="28"/>
        </w:rPr>
        <w:t>）</w:t>
      </w:r>
    </w:p>
    <w:p>
      <w:pPr>
        <w:pStyle w:val="19"/>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rPr>
          <w:b/>
          <w:bCs/>
          <w:sz w:val="32"/>
          <w:szCs w:val="32"/>
          <w:lang w:val="zh-CN"/>
        </w:rPr>
      </w:pPr>
      <w:bookmarkStart w:id="60" w:name="_Toc11308_WPSOffice_Level1"/>
      <w:bookmarkStart w:id="61"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rPr>
      </w:pPr>
    </w:p>
    <w:p>
      <w:pPr>
        <w:spacing w:line="360" w:lineRule="auto"/>
        <w:ind w:firstLine="562" w:firstLineChars="200"/>
        <w:rPr>
          <w:b/>
          <w:bCs/>
          <w:sz w:val="28"/>
          <w:szCs w:val="28"/>
        </w:rPr>
      </w:pPr>
      <w:bookmarkStart w:id="62" w:name="_Toc21250_WPSOffice_Level1"/>
      <w:bookmarkStart w:id="63" w:name="_Toc20529_WPSOffice_Level1"/>
      <w:r>
        <w:rPr>
          <w:rFonts w:hint="eastAsia"/>
          <w:b/>
          <w:bCs/>
          <w:sz w:val="28"/>
          <w:szCs w:val="28"/>
        </w:rPr>
        <w:t>第一部分  技术方案描述部分</w:t>
      </w:r>
      <w:bookmarkEnd w:id="62"/>
      <w:bookmarkEnd w:id="63"/>
    </w:p>
    <w:p>
      <w:pPr>
        <w:numPr>
          <w:ilvl w:val="0"/>
          <w:numId w:val="13"/>
        </w:numPr>
        <w:spacing w:line="360" w:lineRule="auto"/>
        <w:ind w:left="5" w:firstLine="415"/>
        <w:rPr>
          <w:sz w:val="28"/>
          <w:szCs w:val="28"/>
        </w:rPr>
      </w:pPr>
      <w:r>
        <w:rPr>
          <w:rFonts w:hint="eastAsia"/>
          <w:sz w:val="28"/>
          <w:szCs w:val="28"/>
        </w:rPr>
        <w:t>投标人情况介绍（附件4）</w:t>
      </w:r>
    </w:p>
    <w:p>
      <w:pPr>
        <w:numPr>
          <w:ilvl w:val="0"/>
          <w:numId w:val="13"/>
        </w:numPr>
        <w:spacing w:line="360" w:lineRule="auto"/>
        <w:ind w:left="5" w:firstLine="415"/>
        <w:rPr>
          <w:sz w:val="28"/>
          <w:szCs w:val="28"/>
        </w:rPr>
      </w:pPr>
      <w:r>
        <w:rPr>
          <w:rFonts w:hint="eastAsia"/>
          <w:sz w:val="28"/>
          <w:szCs w:val="28"/>
        </w:rPr>
        <w:t>项目需求的理解与分析</w:t>
      </w:r>
    </w:p>
    <w:p>
      <w:pPr>
        <w:numPr>
          <w:ilvl w:val="0"/>
          <w:numId w:val="13"/>
        </w:numPr>
        <w:spacing w:line="360" w:lineRule="auto"/>
        <w:ind w:left="5" w:firstLine="415"/>
        <w:rPr>
          <w:sz w:val="28"/>
          <w:szCs w:val="28"/>
        </w:rPr>
      </w:pPr>
      <w:r>
        <w:rPr>
          <w:rFonts w:hint="eastAsia"/>
          <w:sz w:val="28"/>
          <w:szCs w:val="28"/>
        </w:rPr>
        <w:t>总体设计（技术、服务）方案</w:t>
      </w:r>
    </w:p>
    <w:p>
      <w:pPr>
        <w:numPr>
          <w:ilvl w:val="0"/>
          <w:numId w:val="13"/>
        </w:numPr>
        <w:spacing w:line="360" w:lineRule="auto"/>
        <w:ind w:left="5" w:firstLine="415"/>
        <w:rPr>
          <w:sz w:val="28"/>
          <w:szCs w:val="28"/>
        </w:rPr>
      </w:pPr>
      <w:r>
        <w:rPr>
          <w:rFonts w:hint="eastAsia"/>
          <w:sz w:val="28"/>
          <w:szCs w:val="28"/>
        </w:rPr>
        <w:t>功能设计方案</w:t>
      </w:r>
    </w:p>
    <w:p>
      <w:pPr>
        <w:numPr>
          <w:ilvl w:val="0"/>
          <w:numId w:val="13"/>
        </w:numPr>
        <w:spacing w:line="360" w:lineRule="auto"/>
        <w:ind w:left="5" w:firstLine="415"/>
        <w:rPr>
          <w:sz w:val="28"/>
          <w:szCs w:val="28"/>
        </w:rPr>
      </w:pPr>
      <w:r>
        <w:rPr>
          <w:rFonts w:hint="eastAsia"/>
          <w:sz w:val="28"/>
          <w:szCs w:val="28"/>
        </w:rPr>
        <w:t>质量保证方案</w:t>
      </w:r>
    </w:p>
    <w:p>
      <w:pPr>
        <w:numPr>
          <w:ilvl w:val="0"/>
          <w:numId w:val="13"/>
        </w:numPr>
        <w:spacing w:line="360" w:lineRule="auto"/>
        <w:ind w:left="5" w:firstLine="415"/>
      </w:pPr>
      <w:r>
        <w:rPr>
          <w:rFonts w:hint="eastAsia"/>
          <w:sz w:val="28"/>
          <w:szCs w:val="28"/>
        </w:rPr>
        <w:t>项目实施方案</w:t>
      </w:r>
    </w:p>
    <w:p>
      <w:pPr>
        <w:numPr>
          <w:ilvl w:val="0"/>
          <w:numId w:val="13"/>
        </w:numPr>
        <w:spacing w:line="360" w:lineRule="auto"/>
        <w:ind w:left="5" w:firstLine="415"/>
      </w:pPr>
      <w:r>
        <w:rPr>
          <w:rFonts w:hint="eastAsia"/>
          <w:sz w:val="28"/>
          <w:szCs w:val="28"/>
        </w:rPr>
        <w:t>分包方案</w:t>
      </w:r>
    </w:p>
    <w:p>
      <w:pPr>
        <w:numPr>
          <w:ilvl w:val="0"/>
          <w:numId w:val="13"/>
        </w:numPr>
        <w:spacing w:line="360" w:lineRule="auto"/>
        <w:ind w:left="5" w:firstLine="415"/>
        <w:rPr>
          <w:sz w:val="28"/>
          <w:szCs w:val="28"/>
        </w:rPr>
      </w:pPr>
      <w:r>
        <w:rPr>
          <w:rFonts w:hint="eastAsia"/>
          <w:sz w:val="28"/>
          <w:szCs w:val="28"/>
        </w:rPr>
        <w:t>技术需求响应表（附件5）</w:t>
      </w:r>
    </w:p>
    <w:p>
      <w:pPr>
        <w:numPr>
          <w:ilvl w:val="0"/>
          <w:numId w:val="13"/>
        </w:numPr>
        <w:spacing w:line="360" w:lineRule="auto"/>
        <w:ind w:left="5" w:firstLine="415"/>
        <w:rPr>
          <w:sz w:val="28"/>
          <w:szCs w:val="28"/>
        </w:rPr>
      </w:pPr>
      <w:r>
        <w:rPr>
          <w:rFonts w:hint="eastAsia"/>
          <w:sz w:val="28"/>
          <w:szCs w:val="28"/>
        </w:rPr>
        <w:t>项目实施人员一览表（附件6）</w:t>
      </w:r>
    </w:p>
    <w:p>
      <w:pPr>
        <w:numPr>
          <w:ilvl w:val="0"/>
          <w:numId w:val="13"/>
        </w:numPr>
        <w:spacing w:line="360" w:lineRule="auto"/>
        <w:ind w:left="5" w:firstLine="415"/>
        <w:rPr>
          <w:sz w:val="28"/>
          <w:szCs w:val="28"/>
        </w:rPr>
      </w:pPr>
      <w:r>
        <w:rPr>
          <w:rFonts w:hint="eastAsia"/>
          <w:sz w:val="28"/>
          <w:szCs w:val="28"/>
        </w:rPr>
        <w:t>工程量/原材料、人工费清单（均不含报价）</w:t>
      </w:r>
    </w:p>
    <w:p>
      <w:pPr>
        <w:numPr>
          <w:ilvl w:val="0"/>
          <w:numId w:val="13"/>
        </w:numPr>
        <w:spacing w:line="360" w:lineRule="auto"/>
        <w:ind w:left="5" w:firstLine="415"/>
        <w:rPr>
          <w:sz w:val="28"/>
          <w:szCs w:val="28"/>
        </w:rPr>
      </w:pPr>
      <w:r>
        <w:rPr>
          <w:rFonts w:hint="eastAsia"/>
          <w:sz w:val="28"/>
          <w:szCs w:val="28"/>
        </w:rPr>
        <w:t>项目负责人资格情况表（附件7）</w:t>
      </w:r>
    </w:p>
    <w:p>
      <w:pPr>
        <w:numPr>
          <w:ilvl w:val="0"/>
          <w:numId w:val="13"/>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3"/>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实施服务与保障的能力及方案（包括服务方式、服务网点、技术培训、实施期与运维期服务的内容和措施等）（附件8）</w:t>
      </w:r>
    </w:p>
    <w:p>
      <w:pPr>
        <w:numPr>
          <w:ilvl w:val="0"/>
          <w:numId w:val="13"/>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30029_WPSOffice_Level1"/>
      <w:bookmarkStart w:id="65" w:name="_Toc20986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4"/>
        </w:numPr>
        <w:spacing w:line="360" w:lineRule="auto"/>
        <w:ind w:hanging="5"/>
        <w:rPr>
          <w:sz w:val="28"/>
          <w:szCs w:val="28"/>
        </w:rPr>
      </w:pPr>
      <w:r>
        <w:rPr>
          <w:rFonts w:hint="eastAsia"/>
          <w:sz w:val="28"/>
          <w:szCs w:val="28"/>
        </w:rPr>
        <w:t>证书一览表（附件9）</w:t>
      </w:r>
    </w:p>
    <w:p>
      <w:pPr>
        <w:numPr>
          <w:ilvl w:val="0"/>
          <w:numId w:val="14"/>
        </w:numPr>
        <w:spacing w:line="360" w:lineRule="auto"/>
        <w:ind w:hanging="5"/>
        <w:rPr>
          <w:sz w:val="28"/>
          <w:szCs w:val="28"/>
        </w:rPr>
      </w:pPr>
      <w:r>
        <w:rPr>
          <w:rFonts w:hint="eastAsia"/>
          <w:sz w:val="28"/>
          <w:szCs w:val="28"/>
        </w:rPr>
        <w:t>近三年来类似项目的成功案例（附件10）</w:t>
      </w:r>
    </w:p>
    <w:p>
      <w:pPr>
        <w:pStyle w:val="2"/>
        <w:numPr>
          <w:ilvl w:val="0"/>
          <w:numId w:val="14"/>
        </w:numPr>
        <w:spacing w:line="360" w:lineRule="auto"/>
        <w:ind w:hanging="5"/>
        <w:rPr>
          <w:sz w:val="28"/>
          <w:szCs w:val="28"/>
        </w:rPr>
      </w:pPr>
      <w:r>
        <w:rPr>
          <w:rFonts w:hint="eastAsia"/>
          <w:sz w:val="28"/>
          <w:szCs w:val="28"/>
        </w:rPr>
        <w:t>商务需求响应表（附件11）</w:t>
      </w:r>
    </w:p>
    <w:p>
      <w:pPr>
        <w:pStyle w:val="2"/>
        <w:spacing w:line="360" w:lineRule="auto"/>
        <w:ind w:firstLine="480" w:firstLineChars="200"/>
        <w:rPr>
          <w:sz w:val="24"/>
          <w:szCs w:val="24"/>
        </w:rPr>
      </w:pPr>
    </w:p>
    <w:p>
      <w:pPr>
        <w:pStyle w:val="2"/>
        <w:ind w:firstLine="0"/>
        <w:rPr>
          <w:sz w:val="28"/>
          <w:szCs w:val="28"/>
        </w:rPr>
      </w:pPr>
    </w:p>
    <w:p>
      <w:pPr>
        <w:pStyle w:val="29"/>
        <w:shd w:val="clear" w:color="auto" w:fill="FFFFFF"/>
        <w:spacing w:before="0" w:beforeAutospacing="0" w:after="0" w:afterAutospacing="0" w:line="360" w:lineRule="auto"/>
        <w:rPr>
          <w:b/>
          <w:sz w:val="28"/>
        </w:rPr>
      </w:pPr>
      <w:r>
        <w:rPr>
          <w:rFonts w:hint="eastAsia"/>
          <w:b/>
          <w:sz w:val="28"/>
        </w:rPr>
        <w:t>附件4</w:t>
      </w:r>
    </w:p>
    <w:p>
      <w:pPr>
        <w:pStyle w:val="29"/>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6" w:name="_Toc14261_WPSOffice_Level1"/>
      <w:bookmarkStart w:id="67" w:name="_Toc13307_WPSOffice_Level1"/>
      <w:r>
        <w:rPr>
          <w:rFonts w:hint="eastAsia"/>
          <w:b/>
          <w:sz w:val="32"/>
          <w:szCs w:val="32"/>
        </w:rPr>
        <w:t>投标</w:t>
      </w:r>
      <w:r>
        <w:rPr>
          <w:rFonts w:hint="eastAsia"/>
          <w:b/>
          <w:bCs/>
          <w:sz w:val="32"/>
          <w:szCs w:val="32"/>
        </w:rPr>
        <w:t>人基本情况表</w:t>
      </w:r>
      <w:bookmarkEnd w:id="66"/>
      <w:bookmarkEnd w:id="67"/>
    </w:p>
    <w:tbl>
      <w:tblPr>
        <w:tblStyle w:val="20"/>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bCs/>
              </w:rPr>
              <w:t>1</w:t>
            </w:r>
            <w:r>
              <w:rPr>
                <w:rFonts w:hint="eastAsia"/>
                <w:bCs/>
              </w:rPr>
              <w:t>.</w:t>
            </w:r>
          </w:p>
          <w:p>
            <w:pPr>
              <w:pStyle w:val="29"/>
              <w:shd w:val="clear" w:color="auto" w:fill="FFFFFF"/>
              <w:spacing w:before="0" w:beforeAutospacing="0" w:after="0" w:afterAutospacing="0"/>
              <w:jc w:val="center"/>
              <w:rPr>
                <w:bCs/>
              </w:rPr>
            </w:pPr>
            <w:r>
              <w:rPr>
                <w:rFonts w:hint="eastAsia"/>
                <w:bCs/>
              </w:rPr>
              <w:t>企</w:t>
            </w:r>
          </w:p>
          <w:p>
            <w:pPr>
              <w:pStyle w:val="29"/>
              <w:shd w:val="clear" w:color="auto" w:fill="FFFFFF"/>
              <w:spacing w:before="0" w:beforeAutospacing="0" w:after="0" w:afterAutospacing="0"/>
              <w:jc w:val="center"/>
              <w:rPr>
                <w:bCs/>
              </w:rPr>
            </w:pPr>
            <w:r>
              <w:rPr>
                <w:rFonts w:hint="eastAsia"/>
                <w:bCs/>
              </w:rPr>
              <w:t>业</w:t>
            </w:r>
          </w:p>
          <w:p>
            <w:pPr>
              <w:pStyle w:val="29"/>
              <w:shd w:val="clear" w:color="auto" w:fill="FFFFFF"/>
              <w:spacing w:before="0" w:beforeAutospacing="0" w:after="0" w:afterAutospacing="0"/>
              <w:jc w:val="center"/>
              <w:rPr>
                <w:bCs/>
              </w:rPr>
            </w:pPr>
            <w:r>
              <w:rPr>
                <w:rFonts w:hint="eastAsia"/>
                <w:bCs/>
              </w:rPr>
              <w:t>概</w:t>
            </w:r>
          </w:p>
          <w:p>
            <w:pPr>
              <w:pStyle w:val="29"/>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平方米</w:t>
            </w:r>
          </w:p>
          <w:p>
            <w:pPr>
              <w:pStyle w:val="29"/>
              <w:shd w:val="clear" w:color="auto" w:fill="FFFFFF"/>
              <w:spacing w:before="0" w:beforeAutospacing="0" w:after="0" w:afterAutospacing="0"/>
              <w:jc w:val="center"/>
              <w:rPr>
                <w:bCs/>
              </w:rPr>
            </w:pPr>
            <w:r>
              <w:rPr>
                <w:rFonts w:hint="eastAsia"/>
                <w:bCs/>
              </w:rPr>
              <w:t>□自有</w:t>
            </w:r>
          </w:p>
          <w:p>
            <w:pPr>
              <w:pStyle w:val="29"/>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29"/>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bCs/>
              </w:rPr>
              <w:t>2</w:t>
            </w:r>
            <w:r>
              <w:rPr>
                <w:rFonts w:hint="eastAsia"/>
                <w:bCs/>
              </w:rPr>
              <w:t>．</w:t>
            </w:r>
          </w:p>
          <w:p>
            <w:pPr>
              <w:pStyle w:val="29"/>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29"/>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29"/>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29"/>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29"/>
              <w:spacing w:before="0" w:beforeAutospacing="0" w:after="0" w:afterAutospacing="0"/>
              <w:jc w:val="center"/>
              <w:rPr>
                <w:bCs/>
              </w:rPr>
            </w:pPr>
          </w:p>
        </w:tc>
        <w:tc>
          <w:tcPr>
            <w:tcW w:w="1276" w:type="dxa"/>
            <w:tcMar>
              <w:top w:w="57" w:type="dxa"/>
              <w:left w:w="85" w:type="dxa"/>
              <w:bottom w:w="0" w:type="dxa"/>
              <w:right w:w="85" w:type="dxa"/>
            </w:tcMar>
            <w:vAlign w:val="center"/>
          </w:tcPr>
          <w:p>
            <w:pPr>
              <w:pStyle w:val="29"/>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29"/>
              <w:spacing w:before="0" w:beforeAutospacing="0" w:after="0" w:afterAutospacing="0"/>
              <w:jc w:val="center"/>
              <w:rPr>
                <w:bCs/>
              </w:rPr>
            </w:pPr>
          </w:p>
        </w:tc>
        <w:tc>
          <w:tcPr>
            <w:tcW w:w="933" w:type="dxa"/>
            <w:tcMar>
              <w:top w:w="57" w:type="dxa"/>
              <w:left w:w="85" w:type="dxa"/>
              <w:bottom w:w="0" w:type="dxa"/>
              <w:right w:w="85" w:type="dxa"/>
            </w:tcMar>
            <w:vAlign w:val="center"/>
          </w:tcPr>
          <w:p>
            <w:pPr>
              <w:pStyle w:val="29"/>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29"/>
              <w:shd w:val="clear" w:color="auto" w:fill="FFFFFF"/>
              <w:spacing w:before="0" w:beforeAutospacing="0" w:after="0" w:afterAutospacing="0"/>
              <w:jc w:val="center"/>
              <w:rPr>
                <w:bCs/>
              </w:rPr>
            </w:pPr>
          </w:p>
        </w:tc>
      </w:tr>
    </w:tbl>
    <w:p>
      <w:pPr>
        <w:pStyle w:val="29"/>
        <w:shd w:val="clear" w:color="auto" w:fill="FFFFFF"/>
        <w:spacing w:before="0" w:beforeAutospacing="0" w:after="0" w:afterAutospacing="0" w:line="360" w:lineRule="auto"/>
        <w:rPr>
          <w:b/>
          <w:sz w:val="21"/>
          <w:szCs w:val="21"/>
        </w:rPr>
      </w:pPr>
      <w:r>
        <w:rPr>
          <w:rFonts w:hint="eastAsia"/>
          <w:b/>
          <w:sz w:val="21"/>
          <w:szCs w:val="21"/>
        </w:rPr>
        <w:t>要求：</w:t>
      </w:r>
    </w:p>
    <w:p>
      <w:pPr>
        <w:pStyle w:val="29"/>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19"/>
      </w:pPr>
    </w:p>
    <w:p>
      <w:pPr>
        <w:pStyle w:val="19"/>
      </w:pPr>
    </w:p>
    <w:p>
      <w:pPr>
        <w:pStyle w:val="19"/>
      </w:pPr>
    </w:p>
    <w:p>
      <w:pPr>
        <w:pStyle w:val="19"/>
      </w:pPr>
    </w:p>
    <w:p>
      <w:pPr>
        <w:pStyle w:val="19"/>
      </w:pPr>
    </w:p>
    <w:p>
      <w:pPr>
        <w:pStyle w:val="19"/>
      </w:pPr>
    </w:p>
    <w:p>
      <w:pPr>
        <w:pStyle w:val="19"/>
      </w:pPr>
    </w:p>
    <w:p>
      <w:pPr>
        <w:pStyle w:val="19"/>
      </w:pPr>
    </w:p>
    <w:p>
      <w:pPr>
        <w:pStyle w:val="19"/>
        <w:ind w:left="0" w:leftChars="0" w:firstLine="0"/>
      </w:pPr>
    </w:p>
    <w:p>
      <w:pPr>
        <w:spacing w:line="360" w:lineRule="auto"/>
        <w:rPr>
          <w:rFonts w:ascii="宋体" w:hAnsi="宋体"/>
          <w:b/>
          <w:sz w:val="28"/>
        </w:rPr>
      </w:pPr>
      <w:r>
        <w:rPr>
          <w:rFonts w:hint="eastAsia" w:ascii="宋体" w:hAnsi="宋体"/>
          <w:b/>
          <w:sz w:val="28"/>
        </w:rPr>
        <w:t>附件5</w:t>
      </w:r>
    </w:p>
    <w:p>
      <w:pPr>
        <w:spacing w:line="360" w:lineRule="auto"/>
        <w:jc w:val="center"/>
        <w:rPr>
          <w:rFonts w:ascii="宋体" w:hAnsi="宋体"/>
          <w:sz w:val="24"/>
        </w:rPr>
      </w:pPr>
      <w:bookmarkStart w:id="68" w:name="_Toc26601_WPSOffice_Level1"/>
      <w:bookmarkStart w:id="69"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0"/>
        <w:tblpPr w:leftFromText="181" w:rightFromText="181" w:bottomFromText="170" w:vertAnchor="tex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560" w:type="dxa"/>
            <w:tcMar>
              <w:top w:w="57" w:type="dxa"/>
              <w:left w:w="108" w:type="dxa"/>
              <w:bottom w:w="0" w:type="dxa"/>
              <w:right w:w="108" w:type="dxa"/>
            </w:tcMar>
            <w:vAlign w:val="center"/>
          </w:tcPr>
          <w:p>
            <w:pPr>
              <w:ind w:left="152"/>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306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c>
          <w:tcPr>
            <w:tcW w:w="934" w:type="dxa"/>
            <w:tcMar>
              <w:top w:w="57" w:type="dxa"/>
              <w:left w:w="108" w:type="dxa"/>
              <w:bottom w:w="0" w:type="dxa"/>
              <w:right w:w="108" w:type="dxa"/>
            </w:tcMar>
            <w:vAlign w:val="center"/>
          </w:tcPr>
          <w:p>
            <w:pPr>
              <w:jc w:val="center"/>
              <w:rPr>
                <w:rFonts w:asciiTheme="minorEastAsia" w:hAnsiTheme="minorEastAsia" w:eastAsiaTheme="minorEastAsia" w:cstheme="minorEastAsia"/>
                <w:szCs w:val="21"/>
              </w:rPr>
            </w:pPr>
          </w:p>
        </w:tc>
      </w:tr>
    </w:tbl>
    <w:p>
      <w:pPr>
        <w:pStyle w:val="31"/>
        <w:tabs>
          <w:tab w:val="left" w:pos="360"/>
        </w:tabs>
        <w:spacing w:line="360" w:lineRule="auto"/>
        <w:ind w:right="84" w:rightChars="40"/>
        <w:rPr>
          <w:rFonts w:ascii="宋体"/>
          <w:b/>
          <w:szCs w:val="21"/>
        </w:rPr>
      </w:pPr>
      <w:r>
        <w:rPr>
          <w:rFonts w:hint="eastAsia" w:ascii="宋体"/>
          <w:b/>
          <w:szCs w:val="21"/>
        </w:rPr>
        <w:t>要求：</w:t>
      </w:r>
    </w:p>
    <w:p>
      <w:pPr>
        <w:pStyle w:val="31"/>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1"/>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1"/>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sz w:val="24"/>
        </w:rPr>
      </w:pPr>
      <w:r>
        <w:rPr>
          <w:rFonts w:hint="eastAsia" w:ascii="宋体" w:hAnsi="宋体"/>
          <w:b/>
          <w:sz w:val="28"/>
        </w:rPr>
        <w:t>附件6</w:t>
      </w:r>
    </w:p>
    <w:p>
      <w:pPr>
        <w:snapToGrid w:val="0"/>
        <w:spacing w:line="360" w:lineRule="auto"/>
        <w:jc w:val="center"/>
        <w:rPr>
          <w:rFonts w:ascii="宋体" w:hAnsi="宋体"/>
          <w:b/>
          <w:sz w:val="32"/>
          <w:szCs w:val="32"/>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snapToGrid w:val="0"/>
        <w:spacing w:line="360" w:lineRule="auto"/>
        <w:jc w:val="center"/>
        <w:rPr>
          <w:rFonts w:ascii="宋体" w:hAnsi="宋体"/>
          <w:sz w:val="24"/>
        </w:rPr>
      </w:pPr>
      <w:r>
        <w:rPr>
          <w:rFonts w:hint="eastAsia" w:ascii="宋体" w:hAnsi="宋体"/>
          <w:sz w:val="24"/>
        </w:rPr>
        <w:t>（主要从业人员及其技术资格）</w:t>
      </w:r>
    </w:p>
    <w:tbl>
      <w:tblPr>
        <w:tblStyle w:val="20"/>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Cs w:val="21"/>
              </w:rPr>
            </w:pPr>
            <w:r>
              <w:rPr>
                <w:rFonts w:hint="eastAsia" w:ascii="宋体" w:hAnsi="宋体"/>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Cs w:val="21"/>
              </w:rPr>
            </w:pPr>
            <w:r>
              <w:rPr>
                <w:rFonts w:hint="eastAsia" w:ascii="宋体" w:hAnsi="宋体"/>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120"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120"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宋体" w:hAnsi="宋体"/>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Cs/>
          <w:szCs w:val="21"/>
        </w:rPr>
        <w:t>1.在填</w:t>
      </w:r>
      <w:r>
        <w:rPr>
          <w:rFonts w:hint="eastAsia" w:ascii="宋体" w:hAnsi="宋体"/>
          <w:szCs w:val="21"/>
        </w:rPr>
        <w:t>写时，如本表格不适合投标单位的实际情况，可根据本表格式自行划表填写。</w:t>
      </w:r>
    </w:p>
    <w:p>
      <w:pPr>
        <w:pStyle w:val="30"/>
        <w:spacing w:line="360" w:lineRule="auto"/>
        <w:ind w:left="424" w:leftChars="202"/>
        <w:rPr>
          <w:rFonts w:ascii="宋体" w:hAnsi="宋体"/>
          <w:szCs w:val="21"/>
        </w:rPr>
      </w:pPr>
      <w:r>
        <w:rPr>
          <w:rFonts w:hint="eastAsia" w:ascii="宋体" w:hAnsi="宋体"/>
          <w:szCs w:val="21"/>
        </w:rPr>
        <w:t>2.附人员证书。</w:t>
      </w:r>
    </w:p>
    <w:p>
      <w:pPr>
        <w:pStyle w:val="30"/>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19"/>
      </w:pPr>
    </w:p>
    <w:p>
      <w:pPr>
        <w:spacing w:line="360" w:lineRule="auto"/>
        <w:rPr>
          <w:rFonts w:ascii="宋体" w:hAnsi="宋体"/>
          <w:b/>
          <w:sz w:val="28"/>
        </w:rPr>
      </w:pPr>
    </w:p>
    <w:p>
      <w:pPr>
        <w:spacing w:line="360" w:lineRule="auto"/>
        <w:rPr>
          <w:rFonts w:ascii="宋体" w:hAnsi="宋体"/>
        </w:rPr>
      </w:pPr>
      <w:r>
        <w:rPr>
          <w:rFonts w:hint="eastAsia" w:ascii="宋体" w:hAnsi="宋体"/>
          <w:b/>
          <w:sz w:val="28"/>
        </w:rPr>
        <w:t>附件7</w:t>
      </w:r>
    </w:p>
    <w:p>
      <w:pPr>
        <w:spacing w:before="120" w:beforeLines="50" w:after="120" w:afterLines="50" w:line="360" w:lineRule="auto"/>
        <w:ind w:right="-10"/>
        <w:jc w:val="center"/>
        <w:rPr>
          <w:rFonts w:ascii="宋体" w:hAnsi="宋体"/>
          <w:b/>
          <w:bCs/>
          <w:sz w:val="32"/>
          <w:szCs w:val="32"/>
        </w:rPr>
      </w:pPr>
      <w:bookmarkStart w:id="72" w:name="_Toc12710_WPSOffice_Level1"/>
      <w:bookmarkStart w:id="73" w:name="_Toc23055_WPSOffice_Level1"/>
      <w:r>
        <w:rPr>
          <w:rFonts w:hint="eastAsia" w:ascii="宋体" w:hAnsi="宋体"/>
          <w:b/>
          <w:bCs/>
          <w:sz w:val="32"/>
          <w:szCs w:val="32"/>
        </w:rPr>
        <w:t>项目负责人资格情况表</w:t>
      </w:r>
      <w:bookmarkEnd w:id="72"/>
      <w:bookmarkEnd w:id="73"/>
    </w:p>
    <w:tbl>
      <w:tblPr>
        <w:tblStyle w:val="2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0"/>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
                <w:szCs w:val="21"/>
              </w:rPr>
            </w:pPr>
            <w:r>
              <w:rPr>
                <w:rFonts w:hint="eastAsia" w:ascii="宋体" w:hAnsi="宋体" w:cs="Arial"/>
                <w:b/>
                <w:szCs w:val="21"/>
              </w:rPr>
              <w:t>序号</w:t>
            </w:r>
          </w:p>
        </w:tc>
        <w:tc>
          <w:tcPr>
            <w:tcW w:w="3159" w:type="dxa"/>
            <w:tcMar>
              <w:top w:w="57" w:type="dxa"/>
              <w:left w:w="108" w:type="dxa"/>
              <w:bottom w:w="0" w:type="dxa"/>
              <w:right w:w="108" w:type="dxa"/>
            </w:tcMar>
            <w:vAlign w:val="center"/>
          </w:tcPr>
          <w:p>
            <w:pPr>
              <w:pStyle w:val="34"/>
              <w:spacing w:line="360" w:lineRule="auto"/>
              <w:jc w:val="center"/>
              <w:rPr>
                <w:rFonts w:ascii="宋体" w:hAnsi="宋体" w:cs="Arial"/>
                <w:b/>
                <w:szCs w:val="21"/>
              </w:rPr>
            </w:pPr>
            <w:r>
              <w:rPr>
                <w:rFonts w:hint="eastAsia" w:ascii="宋体" w:hAnsi="宋体" w:cs="Arial"/>
                <w:b/>
                <w:szCs w:val="21"/>
              </w:rPr>
              <w:t>项目</w:t>
            </w:r>
          </w:p>
        </w:tc>
        <w:tc>
          <w:tcPr>
            <w:tcW w:w="3731" w:type="dxa"/>
            <w:tcMar>
              <w:top w:w="57" w:type="dxa"/>
              <w:left w:w="108" w:type="dxa"/>
              <w:bottom w:w="0" w:type="dxa"/>
              <w:right w:w="108" w:type="dxa"/>
            </w:tcMar>
            <w:vAlign w:val="center"/>
          </w:tcPr>
          <w:p>
            <w:pPr>
              <w:pStyle w:val="34"/>
              <w:spacing w:line="360" w:lineRule="auto"/>
              <w:jc w:val="center"/>
              <w:rPr>
                <w:rFonts w:ascii="宋体" w:hAnsi="宋体" w:cs="Arial"/>
                <w:b/>
                <w:szCs w:val="21"/>
              </w:rPr>
            </w:pPr>
            <w:r>
              <w:rPr>
                <w:rFonts w:hint="eastAsia" w:ascii="宋体" w:hAnsi="宋体" w:cs="Arial"/>
                <w:b/>
                <w:szCs w:val="21"/>
              </w:rPr>
              <w:t>投标人承诺</w:t>
            </w:r>
          </w:p>
        </w:tc>
        <w:tc>
          <w:tcPr>
            <w:tcW w:w="1373" w:type="dxa"/>
            <w:tcMar>
              <w:top w:w="57" w:type="dxa"/>
              <w:left w:w="108" w:type="dxa"/>
              <w:bottom w:w="0" w:type="dxa"/>
              <w:right w:w="108" w:type="dxa"/>
            </w:tcMar>
            <w:vAlign w:val="center"/>
          </w:tcPr>
          <w:p>
            <w:pPr>
              <w:pStyle w:val="34"/>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4"/>
              <w:spacing w:line="360" w:lineRule="auto"/>
              <w:jc w:val="center"/>
              <w:rPr>
                <w:rFonts w:ascii="宋体" w:hAnsi="宋体" w:cs="Arial"/>
                <w:bCs/>
                <w:szCs w:val="21"/>
              </w:rPr>
            </w:pPr>
            <w:r>
              <w:rPr>
                <w:rFonts w:hint="eastAsia" w:ascii="宋体" w:hAnsi="宋体" w:cs="Arial"/>
                <w:bCs/>
                <w:szCs w:val="21"/>
              </w:rPr>
              <w:t>1</w:t>
            </w:r>
          </w:p>
        </w:tc>
        <w:tc>
          <w:tcPr>
            <w:tcW w:w="3159" w:type="dxa"/>
            <w:vMerge w:val="restart"/>
            <w:tcMar>
              <w:top w:w="57" w:type="dxa"/>
              <w:left w:w="108" w:type="dxa"/>
              <w:bottom w:w="0" w:type="dxa"/>
              <w:right w:w="108" w:type="dxa"/>
            </w:tcMar>
            <w:vAlign w:val="center"/>
          </w:tcPr>
          <w:p>
            <w:pPr>
              <w:pStyle w:val="34"/>
              <w:widowControl/>
              <w:spacing w:line="360" w:lineRule="auto"/>
              <w:jc w:val="left"/>
              <w:rPr>
                <w:rFonts w:ascii="宋体" w:hAnsi="宋体" w:cs="Arial"/>
                <w:bCs/>
                <w:szCs w:val="21"/>
              </w:rPr>
            </w:pPr>
            <w:r>
              <w:rPr>
                <w:rFonts w:hint="eastAsia" w:ascii="宋体" w:hAnsi="宋体" w:cs="Arial"/>
                <w:bCs/>
                <w:szCs w:val="21"/>
              </w:rPr>
              <w:t>服务实施期内服务情况(</w:t>
            </w:r>
            <w:r>
              <w:rPr>
                <w:rFonts w:ascii="宋体" w:hAnsi="宋体" w:cs="Arial"/>
                <w:bCs/>
                <w:szCs w:val="21"/>
              </w:rPr>
              <w:t>服务</w:t>
            </w:r>
            <w:r>
              <w:rPr>
                <w:rFonts w:hint="eastAsia" w:ascii="宋体" w:hAnsi="宋体" w:cs="Arial"/>
                <w:bCs/>
                <w:szCs w:val="21"/>
              </w:rPr>
              <w:t>方式、</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34"/>
              <w:spacing w:line="360" w:lineRule="auto"/>
              <w:rPr>
                <w:rFonts w:ascii="宋体" w:hAnsi="宋体" w:cs="Arial"/>
                <w:bCs/>
                <w:szCs w:val="21"/>
              </w:rPr>
            </w:pPr>
            <w:r>
              <w:rPr>
                <w:rFonts w:hint="eastAsia" w:ascii="宋体" w:hAnsi="宋体" w:cs="Arial"/>
                <w:bCs/>
                <w:szCs w:val="21"/>
              </w:rPr>
              <w:t>生产厂商售后服务情况：</w:t>
            </w:r>
          </w:p>
        </w:tc>
        <w:tc>
          <w:tcPr>
            <w:tcW w:w="1373" w:type="dxa"/>
            <w:tcMar>
              <w:top w:w="57" w:type="dxa"/>
              <w:left w:w="108" w:type="dxa"/>
              <w:bottom w:w="0" w:type="dxa"/>
              <w:right w:w="108" w:type="dxa"/>
            </w:tcMar>
          </w:tcPr>
          <w:p>
            <w:pPr>
              <w:pStyle w:val="34"/>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Cs w:val="21"/>
              </w:rPr>
            </w:pPr>
          </w:p>
        </w:tc>
        <w:tc>
          <w:tcPr>
            <w:tcW w:w="315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Cs w:val="21"/>
              </w:rPr>
            </w:pPr>
          </w:p>
        </w:tc>
        <w:tc>
          <w:tcPr>
            <w:tcW w:w="3731" w:type="dxa"/>
            <w:tcMar>
              <w:top w:w="57" w:type="dxa"/>
              <w:left w:w="108" w:type="dxa"/>
              <w:bottom w:w="0" w:type="dxa"/>
              <w:right w:w="108" w:type="dxa"/>
            </w:tcMar>
          </w:tcPr>
          <w:p>
            <w:pPr>
              <w:pStyle w:val="34"/>
              <w:spacing w:line="360" w:lineRule="auto"/>
              <w:rPr>
                <w:rFonts w:ascii="宋体" w:hAnsi="宋体" w:cs="Arial"/>
                <w:bCs/>
                <w:szCs w:val="21"/>
              </w:rPr>
            </w:pPr>
            <w:r>
              <w:rPr>
                <w:rFonts w:hint="eastAsia" w:ascii="宋体" w:hAnsi="宋体" w:cs="Arial"/>
                <w:bCs/>
                <w:szCs w:val="21"/>
              </w:rPr>
              <w:t>投标人售后服务情况：</w:t>
            </w:r>
          </w:p>
        </w:tc>
        <w:tc>
          <w:tcPr>
            <w:tcW w:w="1373" w:type="dxa"/>
            <w:tcMar>
              <w:top w:w="57" w:type="dxa"/>
              <w:left w:w="108" w:type="dxa"/>
              <w:bottom w:w="0" w:type="dxa"/>
              <w:right w:w="108" w:type="dxa"/>
            </w:tcMar>
          </w:tcPr>
          <w:p>
            <w:pPr>
              <w:pStyle w:val="34"/>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Cs/>
                <w:szCs w:val="21"/>
              </w:rPr>
            </w:pPr>
            <w:r>
              <w:rPr>
                <w:rFonts w:hint="eastAsia" w:ascii="宋体" w:hAnsi="宋体" w:cs="Arial"/>
                <w:bCs/>
                <w:szCs w:val="21"/>
              </w:rPr>
              <w:t>2</w:t>
            </w:r>
          </w:p>
        </w:tc>
        <w:tc>
          <w:tcPr>
            <w:tcW w:w="3159" w:type="dxa"/>
            <w:tcMar>
              <w:top w:w="57" w:type="dxa"/>
              <w:left w:w="108" w:type="dxa"/>
              <w:bottom w:w="0" w:type="dxa"/>
              <w:right w:w="108" w:type="dxa"/>
            </w:tcMar>
            <w:vAlign w:val="center"/>
          </w:tcPr>
          <w:p>
            <w:pPr>
              <w:pStyle w:val="34"/>
              <w:spacing w:line="360" w:lineRule="auto"/>
              <w:rPr>
                <w:rFonts w:ascii="宋体" w:hAnsi="宋体" w:cs="Arial"/>
                <w:bCs/>
                <w:szCs w:val="21"/>
              </w:rPr>
            </w:pPr>
            <w:r>
              <w:rPr>
                <w:rFonts w:hint="eastAsia" w:ascii="宋体" w:hAnsi="宋体" w:cs="Arial"/>
                <w:bCs/>
                <w:szCs w:val="21"/>
              </w:rPr>
              <w:t>运维期服务情况(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、服务的内容和措施</w:t>
            </w:r>
            <w:r>
              <w:rPr>
                <w:rFonts w:hint="eastAsia" w:ascii="宋体" w:hAnsi="宋体" w:cs="Arial"/>
                <w:bCs/>
                <w:szCs w:val="21"/>
              </w:rPr>
              <w:t>等等，可用附页和宣传材料)。</w:t>
            </w:r>
          </w:p>
        </w:tc>
        <w:tc>
          <w:tcPr>
            <w:tcW w:w="3731" w:type="dxa"/>
            <w:tcMar>
              <w:top w:w="57" w:type="dxa"/>
              <w:left w:w="108" w:type="dxa"/>
              <w:bottom w:w="0" w:type="dxa"/>
              <w:right w:w="108" w:type="dxa"/>
            </w:tcMar>
          </w:tcPr>
          <w:p>
            <w:pPr>
              <w:pStyle w:val="34"/>
              <w:widowControl/>
              <w:spacing w:line="360" w:lineRule="auto"/>
              <w:jc w:val="left"/>
              <w:rPr>
                <w:rFonts w:ascii="宋体" w:hAnsi="宋体" w:cs="Arial"/>
                <w:bCs/>
                <w:szCs w:val="21"/>
              </w:rPr>
            </w:pPr>
          </w:p>
          <w:p>
            <w:pPr>
              <w:pStyle w:val="34"/>
              <w:widowControl/>
              <w:spacing w:line="360" w:lineRule="auto"/>
              <w:jc w:val="left"/>
              <w:rPr>
                <w:rFonts w:ascii="宋体" w:hAnsi="宋体" w:cs="Arial"/>
                <w:bCs/>
                <w:szCs w:val="21"/>
              </w:rPr>
            </w:pPr>
          </w:p>
          <w:p>
            <w:pPr>
              <w:pStyle w:val="34"/>
              <w:spacing w:line="360" w:lineRule="auto"/>
              <w:rPr>
                <w:rFonts w:ascii="宋体" w:hAnsi="宋体" w:cs="Arial"/>
                <w:bCs/>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szCs w:val="21"/>
              </w:rPr>
            </w:pPr>
          </w:p>
          <w:p>
            <w:pPr>
              <w:pStyle w:val="34"/>
              <w:widowControl/>
              <w:spacing w:line="360" w:lineRule="auto"/>
              <w:jc w:val="left"/>
              <w:rPr>
                <w:rFonts w:ascii="宋体" w:hAnsi="宋体" w:cs="Arial"/>
                <w:bCs/>
                <w:szCs w:val="21"/>
              </w:rPr>
            </w:pPr>
          </w:p>
          <w:p>
            <w:pPr>
              <w:pStyle w:val="34"/>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Cs w:val="21"/>
              </w:rPr>
            </w:pPr>
            <w:r>
              <w:rPr>
                <w:rFonts w:hint="eastAsia" w:ascii="宋体" w:hAnsi="宋体" w:cs="Arial"/>
                <w:bCs/>
                <w:szCs w:val="21"/>
              </w:rPr>
              <w:t xml:space="preserve"> 3</w:t>
            </w:r>
          </w:p>
        </w:tc>
        <w:tc>
          <w:tcPr>
            <w:tcW w:w="3159" w:type="dxa"/>
            <w:tcMar>
              <w:top w:w="57" w:type="dxa"/>
              <w:left w:w="108" w:type="dxa"/>
              <w:bottom w:w="0" w:type="dxa"/>
              <w:right w:w="108" w:type="dxa"/>
            </w:tcMar>
            <w:vAlign w:val="center"/>
          </w:tcPr>
          <w:p>
            <w:pPr>
              <w:pStyle w:val="34"/>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3731" w:type="dxa"/>
            <w:tcMar>
              <w:top w:w="57" w:type="dxa"/>
              <w:left w:w="108" w:type="dxa"/>
              <w:bottom w:w="0" w:type="dxa"/>
              <w:right w:w="108" w:type="dxa"/>
            </w:tcMar>
          </w:tcPr>
          <w:p>
            <w:pPr>
              <w:pStyle w:val="34"/>
              <w:widowControl/>
              <w:spacing w:line="360" w:lineRule="auto"/>
              <w:jc w:val="left"/>
              <w:rPr>
                <w:rFonts w:ascii="宋体" w:hAnsi="宋体" w:cs="Arial"/>
                <w:bCs/>
                <w:i/>
                <w:szCs w:val="21"/>
              </w:rPr>
            </w:pPr>
          </w:p>
          <w:p>
            <w:pPr>
              <w:pStyle w:val="34"/>
              <w:widowControl/>
              <w:spacing w:line="360" w:lineRule="auto"/>
              <w:jc w:val="left"/>
              <w:rPr>
                <w:rFonts w:ascii="宋体" w:hAnsi="宋体" w:cs="Arial"/>
                <w:bCs/>
                <w:i/>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i/>
                <w:szCs w:val="21"/>
              </w:rPr>
            </w:pPr>
          </w:p>
          <w:p>
            <w:pPr>
              <w:pStyle w:val="34"/>
              <w:widowControl/>
              <w:spacing w:line="360" w:lineRule="auto"/>
              <w:jc w:val="left"/>
              <w:rPr>
                <w:rFonts w:ascii="宋体" w:hAnsi="宋体" w:cs="Arial"/>
                <w:bCs/>
                <w:i/>
                <w:szCs w:val="21"/>
              </w:rPr>
            </w:pPr>
          </w:p>
          <w:p>
            <w:pPr>
              <w:pStyle w:val="34"/>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Cs w:val="21"/>
              </w:rPr>
            </w:pPr>
            <w:r>
              <w:rPr>
                <w:rFonts w:ascii="宋体" w:hAnsi="宋体" w:cs="Arial"/>
                <w:bCs/>
                <w:szCs w:val="21"/>
              </w:rPr>
              <w:t>……</w:t>
            </w:r>
          </w:p>
        </w:tc>
        <w:tc>
          <w:tcPr>
            <w:tcW w:w="3159" w:type="dxa"/>
            <w:tcMar>
              <w:top w:w="57" w:type="dxa"/>
              <w:left w:w="108" w:type="dxa"/>
              <w:bottom w:w="0" w:type="dxa"/>
              <w:right w:w="108" w:type="dxa"/>
            </w:tcMar>
            <w:vAlign w:val="center"/>
          </w:tcPr>
          <w:p>
            <w:pPr>
              <w:pStyle w:val="34"/>
              <w:widowControl/>
              <w:spacing w:line="360" w:lineRule="auto"/>
              <w:jc w:val="left"/>
              <w:rPr>
                <w:rFonts w:ascii="宋体" w:hAnsi="宋体" w:cs="Arial"/>
                <w:bCs/>
                <w:szCs w:val="21"/>
              </w:rPr>
            </w:pPr>
            <w:r>
              <w:rPr>
                <w:rFonts w:ascii="宋体" w:hAnsi="宋体" w:cs="Arial"/>
                <w:bCs/>
                <w:szCs w:val="21"/>
              </w:rPr>
              <w:t>……</w:t>
            </w:r>
          </w:p>
        </w:tc>
        <w:tc>
          <w:tcPr>
            <w:tcW w:w="3731" w:type="dxa"/>
            <w:tcMar>
              <w:top w:w="57" w:type="dxa"/>
              <w:left w:w="108" w:type="dxa"/>
              <w:bottom w:w="0" w:type="dxa"/>
              <w:right w:w="108" w:type="dxa"/>
            </w:tcMar>
          </w:tcPr>
          <w:p>
            <w:pPr>
              <w:pStyle w:val="34"/>
              <w:widowControl/>
              <w:spacing w:line="360" w:lineRule="auto"/>
              <w:jc w:val="left"/>
              <w:rPr>
                <w:rFonts w:ascii="宋体" w:hAnsi="宋体" w:cs="Arial"/>
                <w:bCs/>
                <w:szCs w:val="21"/>
              </w:rPr>
            </w:pPr>
          </w:p>
        </w:tc>
        <w:tc>
          <w:tcPr>
            <w:tcW w:w="1373" w:type="dxa"/>
            <w:tcMar>
              <w:top w:w="57" w:type="dxa"/>
              <w:left w:w="108" w:type="dxa"/>
              <w:bottom w:w="0" w:type="dxa"/>
              <w:right w:w="108" w:type="dxa"/>
            </w:tcMar>
          </w:tcPr>
          <w:p>
            <w:pPr>
              <w:pStyle w:val="34"/>
              <w:widowControl/>
              <w:spacing w:line="360" w:lineRule="auto"/>
              <w:jc w:val="left"/>
              <w:rPr>
                <w:rFonts w:ascii="宋体" w:hAnsi="宋体" w:cs="Arial"/>
                <w:bCs/>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2"/>
        <w:spacing w:line="360" w:lineRule="auto"/>
        <w:jc w:val="left"/>
        <w:rPr>
          <w:rFonts w:ascii="宋体" w:hAnsi="宋体"/>
          <w:b/>
          <w:sz w:val="28"/>
        </w:rPr>
      </w:pPr>
    </w:p>
    <w:p>
      <w:pPr>
        <w:pStyle w:val="32"/>
        <w:spacing w:line="360" w:lineRule="auto"/>
        <w:jc w:val="left"/>
        <w:rPr>
          <w:rFonts w:ascii="宋体" w:hAnsi="宋体"/>
          <w:b/>
          <w:sz w:val="28"/>
        </w:rPr>
      </w:pPr>
    </w:p>
    <w:p>
      <w:pPr>
        <w:pStyle w:val="32"/>
        <w:spacing w:line="360" w:lineRule="auto"/>
        <w:jc w:val="left"/>
        <w:rPr>
          <w:rFonts w:ascii="宋体" w:hAnsi="宋体"/>
          <w:b/>
          <w:sz w:val="28"/>
        </w:rPr>
      </w:pPr>
      <w:r>
        <w:rPr>
          <w:rFonts w:hint="eastAsia" w:ascii="宋体" w:hAnsi="宋体"/>
          <w:b/>
          <w:sz w:val="28"/>
        </w:rPr>
        <w:t>附件9</w:t>
      </w:r>
    </w:p>
    <w:p>
      <w:pPr>
        <w:pStyle w:val="33"/>
        <w:spacing w:line="360" w:lineRule="auto"/>
        <w:jc w:val="center"/>
        <w:rPr>
          <w:rFonts w:ascii="宋体" w:hAnsi="宋体" w:cs="Arial"/>
          <w:sz w:val="28"/>
          <w:szCs w:val="28"/>
        </w:rPr>
      </w:pPr>
      <w:bookmarkStart w:id="74" w:name="_Toc11030_WPSOffice_Level1"/>
      <w:bookmarkStart w:id="75" w:name="_Toc17604_WPSOffice_Level1"/>
      <w:r>
        <w:rPr>
          <w:rFonts w:hint="eastAsia" w:ascii="宋体" w:hAnsi="宋体"/>
          <w:b/>
          <w:sz w:val="32"/>
          <w:szCs w:val="32"/>
        </w:rPr>
        <w:t>证书一览表</w:t>
      </w:r>
      <w:bookmarkEnd w:id="74"/>
      <w:bookmarkEnd w:id="75"/>
    </w:p>
    <w:tbl>
      <w:tblPr>
        <w:tblStyle w:val="20"/>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tcPr>
          <w:p>
            <w:pPr>
              <w:pStyle w:val="33"/>
              <w:spacing w:line="360" w:lineRule="auto"/>
              <w:jc w:val="center"/>
              <w:rPr>
                <w:rFonts w:ascii="宋体" w:hAnsi="宋体" w:cs="Arial"/>
                <w:b/>
                <w:bCs/>
                <w:szCs w:val="21"/>
              </w:rPr>
            </w:pPr>
            <w:r>
              <w:rPr>
                <w:rFonts w:hint="eastAsia" w:ascii="宋体" w:hAnsi="宋体" w:cs="Arial"/>
                <w:b/>
                <w:bCs/>
                <w:szCs w:val="21"/>
              </w:rPr>
              <w:t>证书名称</w:t>
            </w:r>
          </w:p>
        </w:tc>
        <w:tc>
          <w:tcPr>
            <w:tcW w:w="2258" w:type="dxa"/>
            <w:tcBorders>
              <w:top w:val="single" w:color="auto" w:sz="4" w:space="0"/>
              <w:bottom w:val="single" w:color="auto" w:sz="4" w:space="0"/>
            </w:tcBorders>
            <w:tcMar>
              <w:top w:w="57" w:type="dxa"/>
              <w:left w:w="85" w:type="dxa"/>
              <w:bottom w:w="0" w:type="dxa"/>
              <w:right w:w="85" w:type="dxa"/>
            </w:tcMar>
          </w:tcPr>
          <w:p>
            <w:pPr>
              <w:pStyle w:val="33"/>
              <w:spacing w:line="360" w:lineRule="auto"/>
              <w:jc w:val="center"/>
              <w:rPr>
                <w:rFonts w:ascii="宋体" w:hAnsi="宋体" w:cs="Arial"/>
                <w:b/>
                <w:bCs/>
                <w:szCs w:val="21"/>
              </w:rPr>
            </w:pPr>
            <w:r>
              <w:rPr>
                <w:rFonts w:hint="eastAsia" w:ascii="宋体" w:hAnsi="宋体" w:cs="Arial"/>
                <w:b/>
                <w:bCs/>
                <w:szCs w:val="21"/>
              </w:rPr>
              <w:t>发证单位</w:t>
            </w:r>
          </w:p>
        </w:tc>
        <w:tc>
          <w:tcPr>
            <w:tcW w:w="2260" w:type="dxa"/>
            <w:tcBorders>
              <w:top w:val="single" w:color="auto" w:sz="4" w:space="0"/>
              <w:bottom w:val="single" w:color="auto" w:sz="4" w:space="0"/>
            </w:tcBorders>
            <w:tcMar>
              <w:top w:w="57" w:type="dxa"/>
              <w:left w:w="85" w:type="dxa"/>
              <w:bottom w:w="0" w:type="dxa"/>
              <w:right w:w="85" w:type="dxa"/>
            </w:tcMar>
          </w:tcPr>
          <w:p>
            <w:pPr>
              <w:pStyle w:val="33"/>
              <w:spacing w:line="360" w:lineRule="auto"/>
              <w:jc w:val="center"/>
              <w:rPr>
                <w:rFonts w:ascii="宋体" w:hAnsi="宋体" w:cs="Arial"/>
                <w:b/>
                <w:bCs/>
                <w:szCs w:val="21"/>
              </w:rPr>
            </w:pPr>
            <w:r>
              <w:rPr>
                <w:rFonts w:hint="eastAsia" w:ascii="宋体" w:hAnsi="宋体" w:cs="Arial"/>
                <w:b/>
                <w:bCs/>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tcPr>
          <w:p>
            <w:pPr>
              <w:pStyle w:val="33"/>
              <w:spacing w:line="360" w:lineRule="auto"/>
              <w:jc w:val="center"/>
              <w:rPr>
                <w:rFonts w:ascii="宋体" w:hAnsi="宋体" w:cs="Arial"/>
                <w:b/>
                <w:bCs/>
                <w:szCs w:val="21"/>
              </w:rPr>
            </w:pPr>
            <w:r>
              <w:rPr>
                <w:rFonts w:hint="eastAsia" w:ascii="宋体" w:hAnsi="宋体" w:cs="Arial"/>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58" w:type="dxa"/>
            <w:tcMar>
              <w:top w:w="57" w:type="dxa"/>
              <w:left w:w="85" w:type="dxa"/>
              <w:bottom w:w="0" w:type="dxa"/>
              <w:right w:w="85" w:type="dxa"/>
            </w:tcMar>
          </w:tcPr>
          <w:p>
            <w:pPr>
              <w:pStyle w:val="33"/>
              <w:spacing w:line="360" w:lineRule="auto"/>
              <w:jc w:val="center"/>
              <w:rPr>
                <w:rFonts w:ascii="宋体" w:hAnsi="宋体" w:cs="Arial"/>
                <w:szCs w:val="21"/>
              </w:rPr>
            </w:pPr>
          </w:p>
        </w:tc>
        <w:tc>
          <w:tcPr>
            <w:tcW w:w="2260" w:type="dxa"/>
            <w:tcMar>
              <w:top w:w="57" w:type="dxa"/>
              <w:left w:w="85" w:type="dxa"/>
              <w:bottom w:w="0" w:type="dxa"/>
              <w:right w:w="85" w:type="dxa"/>
            </w:tcMar>
          </w:tcPr>
          <w:p>
            <w:pPr>
              <w:pStyle w:val="33"/>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tcPr>
          <w:p>
            <w:pPr>
              <w:pStyle w:val="33"/>
              <w:spacing w:line="360" w:lineRule="auto"/>
              <w:jc w:val="center"/>
              <w:rPr>
                <w:rFonts w:ascii="宋体" w:hAnsi="宋体" w:cs="Arial"/>
                <w:szCs w:val="21"/>
              </w:rPr>
            </w:pPr>
          </w:p>
        </w:tc>
      </w:tr>
    </w:tbl>
    <w:p>
      <w:pPr>
        <w:pStyle w:val="33"/>
        <w:tabs>
          <w:tab w:val="left" w:pos="1050"/>
        </w:tabs>
        <w:spacing w:line="360" w:lineRule="auto"/>
        <w:rPr>
          <w:rFonts w:ascii="宋体" w:hAnsi="宋体"/>
          <w:szCs w:val="21"/>
        </w:rPr>
      </w:pPr>
      <w:r>
        <w:rPr>
          <w:rFonts w:hint="eastAsia" w:ascii="宋体" w:hAnsi="宋体"/>
          <w:b/>
          <w:szCs w:val="21"/>
        </w:rPr>
        <w:t>要求：</w:t>
      </w:r>
    </w:p>
    <w:p>
      <w:pPr>
        <w:pStyle w:val="33"/>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3"/>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3"/>
        <w:tabs>
          <w:tab w:val="left" w:pos="1050"/>
        </w:tabs>
        <w:spacing w:line="360" w:lineRule="auto"/>
        <w:rPr>
          <w:rFonts w:ascii="仿宋_GB2312" w:hAnsi="宋体" w:eastAsia="仿宋_GB2312"/>
          <w:sz w:val="24"/>
        </w:rPr>
      </w:pPr>
    </w:p>
    <w:p>
      <w:pPr>
        <w:pStyle w:val="33"/>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rPr>
          <w:rFonts w:ascii="宋体" w:hAnsi="宋体"/>
          <w:b/>
          <w:sz w:val="28"/>
        </w:rPr>
      </w:pPr>
    </w:p>
    <w:p>
      <w:pPr>
        <w:pStyle w:val="19"/>
        <w:rPr>
          <w:rFonts w:ascii="宋体" w:hAnsi="宋体"/>
          <w:b/>
          <w:sz w:val="28"/>
        </w:rPr>
      </w:pPr>
    </w:p>
    <w:p>
      <w:pPr>
        <w:spacing w:line="360" w:lineRule="auto"/>
        <w:rPr>
          <w:rFonts w:ascii="宋体" w:hAnsi="宋体"/>
          <w:b/>
          <w:sz w:val="28"/>
        </w:rPr>
      </w:pPr>
      <w:r>
        <w:rPr>
          <w:rFonts w:hint="eastAsia" w:ascii="宋体" w:hAnsi="宋体"/>
          <w:b/>
          <w:sz w:val="28"/>
        </w:rPr>
        <w:t>附件10</w:t>
      </w:r>
    </w:p>
    <w:p>
      <w:pPr>
        <w:spacing w:line="360" w:lineRule="auto"/>
        <w:jc w:val="center"/>
        <w:rPr>
          <w:rFonts w:ascii="宋体" w:hAnsi="宋体"/>
          <w:b/>
          <w:bCs/>
          <w:kern w:val="0"/>
          <w:sz w:val="32"/>
          <w:szCs w:val="32"/>
        </w:rPr>
      </w:pPr>
      <w:bookmarkStart w:id="76" w:name="_Toc7134_WPSOffice_Level1"/>
      <w:bookmarkStart w:id="77" w:name="_Toc19231_WPSOffice_Level1"/>
      <w:r>
        <w:rPr>
          <w:rFonts w:hint="eastAsia" w:ascii="宋体" w:hAnsi="宋体"/>
          <w:b/>
          <w:bCs/>
          <w:kern w:val="0"/>
          <w:sz w:val="32"/>
          <w:szCs w:val="32"/>
        </w:rPr>
        <w:t>投标人类似项目实施情况一览表</w:t>
      </w:r>
      <w:bookmarkEnd w:id="76"/>
      <w:bookmarkEnd w:id="77"/>
    </w:p>
    <w:tbl>
      <w:tblPr>
        <w:tblStyle w:val="20"/>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19"/>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3"/>
        <w:tabs>
          <w:tab w:val="left" w:pos="1050"/>
        </w:tabs>
        <w:spacing w:line="360" w:lineRule="auto"/>
        <w:rPr>
          <w:rFonts w:ascii="宋体" w:hAnsi="宋体"/>
          <w:b/>
          <w:sz w:val="28"/>
        </w:rPr>
      </w:pPr>
    </w:p>
    <w:p>
      <w:pPr>
        <w:pStyle w:val="33"/>
        <w:tabs>
          <w:tab w:val="left" w:pos="1050"/>
        </w:tabs>
        <w:spacing w:line="360" w:lineRule="auto"/>
        <w:rPr>
          <w:rFonts w:ascii="仿宋_GB2312" w:hAnsi="宋体"/>
          <w:sz w:val="24"/>
        </w:rPr>
      </w:pPr>
      <w:r>
        <w:rPr>
          <w:rFonts w:hint="eastAsia" w:ascii="宋体" w:hAnsi="宋体"/>
          <w:b/>
          <w:sz w:val="28"/>
        </w:rPr>
        <w:t>附件11</w:t>
      </w:r>
    </w:p>
    <w:p>
      <w:pPr>
        <w:spacing w:line="360" w:lineRule="auto"/>
        <w:ind w:left="549" w:hanging="549" w:hangingChars="171"/>
        <w:jc w:val="center"/>
        <w:rPr>
          <w:rFonts w:ascii="宋体" w:hAnsi="宋体"/>
          <w:b/>
          <w:sz w:val="18"/>
          <w:szCs w:val="18"/>
        </w:rPr>
      </w:pPr>
      <w:bookmarkStart w:id="78" w:name="_Toc3068_WPSOffice_Level1"/>
      <w:bookmarkStart w:id="79" w:name="_Toc21582_WPSOffice_Level1"/>
      <w:r>
        <w:rPr>
          <w:rFonts w:hint="eastAsia" w:ascii="宋体" w:hAnsi="宋体"/>
          <w:b/>
          <w:sz w:val="32"/>
          <w:szCs w:val="32"/>
        </w:rPr>
        <w:t>商务需求响应表(第 标)</w:t>
      </w:r>
      <w:bookmarkEnd w:id="78"/>
      <w:bookmarkEnd w:id="79"/>
    </w:p>
    <w:tbl>
      <w:tblPr>
        <w:tblStyle w:val="20"/>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序号</w:t>
            </w:r>
          </w:p>
        </w:tc>
        <w:tc>
          <w:tcPr>
            <w:tcW w:w="2534" w:type="dxa"/>
            <w:tcMar>
              <w:top w:w="57" w:type="dxa"/>
              <w:left w:w="108" w:type="dxa"/>
              <w:bottom w:w="0" w:type="dxa"/>
              <w:right w:w="108" w:type="dxa"/>
            </w:tcMar>
            <w:vAlign w:val="center"/>
          </w:tcPr>
          <w:p>
            <w:pPr>
              <w:rPr>
                <w:rFonts w:ascii="宋体" w:hAnsi="宋体"/>
                <w:b/>
                <w:szCs w:val="21"/>
              </w:rPr>
            </w:pPr>
            <w:r>
              <w:rPr>
                <w:rFonts w:hint="eastAsia" w:ascii="宋体" w:hAnsi="宋体"/>
                <w:b/>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Cs w:val="21"/>
              </w:rPr>
            </w:pPr>
            <w:r>
              <w:rPr>
                <w:rFonts w:hint="eastAsia" w:ascii="宋体" w:hAnsi="宋体"/>
                <w:b/>
                <w:szCs w:val="21"/>
              </w:rPr>
              <w:t>招标需求</w:t>
            </w:r>
          </w:p>
        </w:tc>
        <w:tc>
          <w:tcPr>
            <w:tcW w:w="1365" w:type="dxa"/>
            <w:tcMar>
              <w:top w:w="57" w:type="dxa"/>
              <w:left w:w="108" w:type="dxa"/>
              <w:bottom w:w="0" w:type="dxa"/>
              <w:right w:w="108" w:type="dxa"/>
            </w:tcMar>
            <w:vAlign w:val="center"/>
          </w:tcPr>
          <w:p>
            <w:pPr>
              <w:ind w:left="152"/>
              <w:rPr>
                <w:rFonts w:ascii="宋体" w:hAnsi="宋体"/>
                <w:b/>
                <w:szCs w:val="21"/>
              </w:rPr>
            </w:pPr>
            <w:r>
              <w:rPr>
                <w:rFonts w:hint="eastAsia" w:ascii="宋体" w:hAnsi="宋体"/>
                <w:b/>
                <w:szCs w:val="21"/>
              </w:rPr>
              <w:t>是否响应</w:t>
            </w:r>
          </w:p>
        </w:tc>
        <w:tc>
          <w:tcPr>
            <w:tcW w:w="2625" w:type="dxa"/>
            <w:tcMar>
              <w:top w:w="57" w:type="dxa"/>
              <w:left w:w="108" w:type="dxa"/>
              <w:bottom w:w="0" w:type="dxa"/>
              <w:right w:w="108" w:type="dxa"/>
            </w:tcMar>
            <w:vAlign w:val="center"/>
          </w:tcPr>
          <w:p>
            <w:pPr>
              <w:jc w:val="center"/>
              <w:rPr>
                <w:rFonts w:ascii="宋体" w:hAnsi="宋体"/>
                <w:b/>
                <w:szCs w:val="21"/>
              </w:rPr>
            </w:pPr>
            <w:r>
              <w:rPr>
                <w:rFonts w:hint="eastAsia" w:ascii="宋体" w:hAnsi="宋体"/>
                <w:b/>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维保期</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服务时间及地点</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付款条件</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备品备件及耗材等要求</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r>
              <w:rPr>
                <w:rFonts w:hint="eastAsia" w:ascii="宋体" w:hAnsi="宋体"/>
                <w:szCs w:val="21"/>
              </w:rPr>
              <w:t>……</w:t>
            </w: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Cs w:val="21"/>
              </w:rPr>
            </w:pPr>
          </w:p>
        </w:tc>
        <w:tc>
          <w:tcPr>
            <w:tcW w:w="2534" w:type="dxa"/>
            <w:tcMar>
              <w:top w:w="57" w:type="dxa"/>
              <w:left w:w="108" w:type="dxa"/>
              <w:bottom w:w="0" w:type="dxa"/>
              <w:right w:w="108" w:type="dxa"/>
            </w:tcMar>
          </w:tcPr>
          <w:p>
            <w:pPr>
              <w:snapToGrid w:val="0"/>
              <w:rPr>
                <w:rFonts w:ascii="宋体" w:hAnsi="宋体"/>
                <w:szCs w:val="21"/>
              </w:rPr>
            </w:pPr>
          </w:p>
        </w:tc>
        <w:tc>
          <w:tcPr>
            <w:tcW w:w="1785" w:type="dxa"/>
            <w:tcMar>
              <w:top w:w="57" w:type="dxa"/>
              <w:left w:w="108" w:type="dxa"/>
              <w:bottom w:w="0" w:type="dxa"/>
              <w:right w:w="108" w:type="dxa"/>
            </w:tcMar>
            <w:vAlign w:val="center"/>
          </w:tcPr>
          <w:p>
            <w:pPr>
              <w:rPr>
                <w:rFonts w:ascii="宋体" w:hAnsi="宋体"/>
                <w:szCs w:val="21"/>
              </w:rPr>
            </w:pPr>
          </w:p>
        </w:tc>
        <w:tc>
          <w:tcPr>
            <w:tcW w:w="1365" w:type="dxa"/>
            <w:tcMar>
              <w:top w:w="57" w:type="dxa"/>
              <w:left w:w="108" w:type="dxa"/>
              <w:bottom w:w="0" w:type="dxa"/>
              <w:right w:w="108" w:type="dxa"/>
            </w:tcMar>
            <w:vAlign w:val="center"/>
          </w:tcPr>
          <w:p>
            <w:pPr>
              <w:rPr>
                <w:rFonts w:ascii="宋体" w:hAnsi="宋体"/>
                <w:szCs w:val="21"/>
              </w:rPr>
            </w:pPr>
          </w:p>
        </w:tc>
        <w:tc>
          <w:tcPr>
            <w:tcW w:w="2625" w:type="dxa"/>
            <w:tcMar>
              <w:top w:w="57" w:type="dxa"/>
              <w:left w:w="108" w:type="dxa"/>
              <w:bottom w:w="0" w:type="dxa"/>
              <w:right w:w="108" w:type="dxa"/>
            </w:tcMar>
            <w:vAlign w:val="center"/>
          </w:tcPr>
          <w:p>
            <w:pPr>
              <w:rPr>
                <w:rFonts w:ascii="宋体" w:hAnsi="宋体"/>
                <w:szCs w:val="21"/>
              </w:rPr>
            </w:pPr>
          </w:p>
        </w:tc>
      </w:tr>
    </w:tbl>
    <w:p>
      <w:pPr>
        <w:spacing w:line="360" w:lineRule="auto"/>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sz w:val="52"/>
          <w:szCs w:val="52"/>
        </w:rPr>
      </w:pPr>
      <w:bookmarkStart w:id="80" w:name="_Toc21322_WPSOffice_Level1"/>
      <w:bookmarkStart w:id="81" w:name="_Toc4615_WPSOffice_Level1"/>
      <w:bookmarkStart w:id="82" w:name="_Toc30468_WPSOffice_Level1"/>
    </w:p>
    <w:p>
      <w:pPr>
        <w:pStyle w:val="19"/>
      </w:pPr>
    </w:p>
    <w:p>
      <w:pPr>
        <w:pStyle w:val="19"/>
      </w:pPr>
    </w:p>
    <w:p>
      <w:pPr>
        <w:jc w:val="center"/>
        <w:rPr>
          <w:sz w:val="52"/>
          <w:szCs w:val="52"/>
        </w:rPr>
      </w:pPr>
    </w:p>
    <w:p>
      <w:pPr>
        <w:jc w:val="center"/>
        <w:rPr>
          <w:sz w:val="52"/>
          <w:szCs w:val="52"/>
        </w:rPr>
      </w:pPr>
      <w:r>
        <w:rPr>
          <w:rFonts w:hint="eastAsia"/>
          <w:sz w:val="52"/>
          <w:szCs w:val="52"/>
        </w:rPr>
        <w:t>项目名称</w:t>
      </w:r>
      <w:bookmarkEnd w:id="80"/>
      <w:bookmarkEnd w:id="81"/>
      <w:bookmarkEnd w:id="82"/>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19"/>
      </w:pPr>
    </w:p>
    <w:p>
      <w:pPr>
        <w:jc w:val="center"/>
        <w:rPr>
          <w:sz w:val="84"/>
          <w:szCs w:val="84"/>
        </w:rPr>
      </w:pPr>
      <w:bookmarkStart w:id="83" w:name="_Toc8885_WPSOffice_Level1"/>
      <w:bookmarkStart w:id="84" w:name="_Toc9453_WPSOffice_Level1"/>
      <w:r>
        <w:rPr>
          <w:rFonts w:hint="eastAsia"/>
          <w:sz w:val="84"/>
          <w:szCs w:val="84"/>
        </w:rPr>
        <w:t>报</w:t>
      </w:r>
      <w:bookmarkEnd w:id="83"/>
      <w:bookmarkEnd w:id="84"/>
    </w:p>
    <w:p>
      <w:pPr>
        <w:jc w:val="center"/>
        <w:rPr>
          <w:sz w:val="84"/>
          <w:szCs w:val="84"/>
        </w:rPr>
      </w:pPr>
      <w:bookmarkStart w:id="85" w:name="_Toc7485_WPSOffice_Level1"/>
      <w:bookmarkStart w:id="86" w:name="_Toc10910_WPSOffice_Level1"/>
      <w:r>
        <w:rPr>
          <w:rFonts w:hint="eastAsia"/>
          <w:sz w:val="84"/>
          <w:szCs w:val="84"/>
        </w:rPr>
        <w:t>价</w:t>
      </w:r>
      <w:bookmarkEnd w:id="85"/>
      <w:bookmarkEnd w:id="86"/>
    </w:p>
    <w:p>
      <w:pPr>
        <w:jc w:val="center"/>
        <w:rPr>
          <w:sz w:val="84"/>
          <w:szCs w:val="84"/>
        </w:rPr>
      </w:pPr>
      <w:bookmarkStart w:id="87" w:name="_Toc14572_WPSOffice_Level1"/>
      <w:bookmarkStart w:id="88" w:name="_Toc3932_WPSOffice_Level1"/>
      <w:r>
        <w:rPr>
          <w:rFonts w:hint="eastAsia"/>
          <w:sz w:val="84"/>
          <w:szCs w:val="84"/>
        </w:rPr>
        <w:t>文</w:t>
      </w:r>
      <w:bookmarkEnd w:id="87"/>
      <w:bookmarkEnd w:id="88"/>
    </w:p>
    <w:p>
      <w:pPr>
        <w:jc w:val="center"/>
        <w:rPr>
          <w:sz w:val="84"/>
          <w:szCs w:val="84"/>
        </w:rPr>
      </w:pPr>
      <w:bookmarkStart w:id="89" w:name="_Toc7562_WPSOffice_Level1"/>
      <w:bookmarkStart w:id="90" w:name="_Toc16973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26700_WPSOffice_Level1"/>
      <w:bookmarkStart w:id="92" w:name="_Toc4603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32593_WPSOffice_Level1"/>
      <w:bookmarkStart w:id="94" w:name="_Toc1391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20938_WPSOffice_Level1"/>
      <w:bookmarkStart w:id="96" w:name="_Toc3791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19"/>
      </w:pPr>
    </w:p>
    <w:p>
      <w:pPr>
        <w:pStyle w:val="19"/>
      </w:pPr>
    </w:p>
    <w:p>
      <w:pPr>
        <w:pStyle w:val="19"/>
      </w:pPr>
    </w:p>
    <w:p>
      <w:pPr>
        <w:pStyle w:val="19"/>
      </w:pPr>
    </w:p>
    <w:p>
      <w:pPr>
        <w:pStyle w:val="19"/>
      </w:pPr>
    </w:p>
    <w:p>
      <w:pPr>
        <w:pStyle w:val="19"/>
      </w:pPr>
    </w:p>
    <w:p>
      <w:pPr>
        <w:pStyle w:val="19"/>
      </w:pPr>
    </w:p>
    <w:p>
      <w:pPr>
        <w:pStyle w:val="2"/>
        <w:rPr>
          <w:rFonts w:ascii="仿宋_GB2312" w:hAnsi="宋体" w:eastAsia="仿宋_GB2312"/>
          <w:b/>
          <w:sz w:val="36"/>
          <w:szCs w:val="36"/>
        </w:rPr>
      </w:pPr>
    </w:p>
    <w:p>
      <w:pPr>
        <w:spacing w:line="480" w:lineRule="auto"/>
        <w:jc w:val="center"/>
        <w:rPr>
          <w:rFonts w:ascii="宋体" w:hAnsi="宋体"/>
          <w:b/>
          <w:bCs/>
          <w:sz w:val="36"/>
          <w:szCs w:val="36"/>
        </w:rPr>
      </w:pPr>
      <w:bookmarkStart w:id="97" w:name="_Toc19972_WPSOffice_Level1"/>
      <w:bookmarkStart w:id="98" w:name="_Toc29537_WPSOffice_Level1"/>
      <w:r>
        <w:rPr>
          <w:rFonts w:hint="eastAsia" w:ascii="宋体" w:hAnsi="宋体"/>
          <w:b/>
          <w:bCs/>
          <w:sz w:val="36"/>
          <w:szCs w:val="36"/>
        </w:rPr>
        <w:t>报价文件目录</w:t>
      </w:r>
      <w:bookmarkEnd w:id="97"/>
      <w:bookmarkEnd w:id="98"/>
    </w:p>
    <w:p>
      <w:pPr>
        <w:pStyle w:val="19"/>
      </w:pPr>
    </w:p>
    <w:p>
      <w:pPr>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rPr>
        <w:t>1.开标一览表（附件12）</w:t>
      </w:r>
      <w:bookmarkEnd w:id="99"/>
      <w:bookmarkEnd w:id="100"/>
    </w:p>
    <w:p>
      <w:pPr>
        <w:spacing w:line="360" w:lineRule="auto"/>
        <w:rPr>
          <w:rFonts w:asciiTheme="minorEastAsia" w:hAnsiTheme="minorEastAsia" w:eastAsiaTheme="minorEastAsia" w:cstheme="minorEastAsia"/>
          <w:sz w:val="28"/>
          <w:szCs w:val="28"/>
        </w:rPr>
      </w:pPr>
      <w:bookmarkStart w:id="101" w:name="_Toc11601_WPSOffice_Level1"/>
      <w:bookmarkStart w:id="102" w:name="_Toc15601_WPSOffice_Level1"/>
      <w:r>
        <w:rPr>
          <w:rFonts w:hint="eastAsia" w:asciiTheme="minorEastAsia" w:hAnsiTheme="minorEastAsia" w:eastAsiaTheme="minorEastAsia" w:cstheme="minorEastAsia"/>
          <w:sz w:val="28"/>
          <w:szCs w:val="28"/>
        </w:rPr>
        <w:t>2.报价明细表（附件13）</w:t>
      </w:r>
      <w:bookmarkEnd w:id="101"/>
      <w:bookmarkEnd w:id="102"/>
    </w:p>
    <w:p>
      <w:pPr>
        <w:pStyle w:val="10"/>
        <w:spacing w:line="360" w:lineRule="auto"/>
        <w:outlineLvl w:val="1"/>
        <w:rPr>
          <w:rFonts w:asciiTheme="minorEastAsia" w:hAnsiTheme="minorEastAsia" w:eastAsiaTheme="minorEastAsia" w:cstheme="minorEastAsia"/>
          <w:sz w:val="28"/>
          <w:szCs w:val="28"/>
        </w:rPr>
      </w:pPr>
      <w:bookmarkStart w:id="103" w:name="_Toc17543_WPSOffice_Level1"/>
      <w:bookmarkStart w:id="104" w:name="_Toc45_WPSOffice_Level1"/>
      <w:r>
        <w:rPr>
          <w:rFonts w:hint="eastAsia" w:asciiTheme="minorEastAsia" w:hAnsiTheme="minorEastAsia" w:eastAsiaTheme="minorEastAsia" w:cstheme="minorEastAsia"/>
          <w:sz w:val="28"/>
          <w:szCs w:val="28"/>
        </w:rPr>
        <w:t>3.中小企业声明函、</w:t>
      </w:r>
      <w:r>
        <w:rPr>
          <w:rFonts w:hint="eastAsia" w:asciiTheme="minorEastAsia" w:hAnsiTheme="minorEastAsia" w:eastAsiaTheme="minorEastAsia" w:cstheme="minorEastAsia"/>
          <w:sz w:val="28"/>
          <w:szCs w:val="28"/>
          <w:lang w:val="en-GB"/>
        </w:rPr>
        <w:t>残疾人福利性单位声明函</w:t>
      </w:r>
      <w:r>
        <w:rPr>
          <w:rFonts w:hint="eastAsia" w:asciiTheme="minorEastAsia" w:hAnsiTheme="minorEastAsia" w:eastAsiaTheme="minorEastAsia" w:cstheme="minorEastAsia"/>
          <w:sz w:val="28"/>
          <w:szCs w:val="28"/>
        </w:rPr>
        <w:t>（附件14）</w:t>
      </w:r>
      <w:bookmarkEnd w:id="103"/>
      <w:bookmarkEnd w:id="104"/>
    </w:p>
    <w:p>
      <w:pPr>
        <w:spacing w:line="360" w:lineRule="auto"/>
        <w:rPr>
          <w:rFonts w:asciiTheme="minorEastAsia" w:hAnsiTheme="minorEastAsia" w:eastAsiaTheme="minorEastAsia" w:cstheme="minorEastAsia"/>
          <w:sz w:val="28"/>
          <w:szCs w:val="28"/>
        </w:rPr>
      </w:pPr>
      <w:bookmarkStart w:id="105" w:name="_Toc3001_WPSOffice_Level1"/>
      <w:bookmarkStart w:id="106" w:name="_Toc14672_WPSOffice_Level1"/>
      <w:r>
        <w:rPr>
          <w:rFonts w:hint="eastAsia" w:asciiTheme="minorEastAsia" w:hAnsiTheme="minorEastAsia" w:eastAsiaTheme="minorEastAsia" w:cstheme="minorEastAsia"/>
          <w:sz w:val="28"/>
          <w:szCs w:val="28"/>
        </w:rPr>
        <w:t>4.针对报价投标人认为其他需要说明的</w:t>
      </w:r>
      <w:bookmarkEnd w:id="105"/>
      <w:bookmarkEnd w:id="10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附件12</w:t>
      </w:r>
    </w:p>
    <w:p>
      <w:pPr>
        <w:spacing w:line="360" w:lineRule="auto"/>
        <w:ind w:left="-2" w:hanging="2"/>
        <w:jc w:val="center"/>
        <w:rPr>
          <w:rFonts w:ascii="宋体" w:hAnsi="宋体"/>
          <w:b/>
          <w:sz w:val="32"/>
          <w:szCs w:val="32"/>
        </w:rPr>
      </w:pPr>
      <w:bookmarkStart w:id="107" w:name="_Toc30363_WPSOffice_Level1"/>
      <w:bookmarkStart w:id="108" w:name="_Toc16144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0"/>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Cs w:val="21"/>
              </w:rPr>
            </w:pPr>
          </w:p>
        </w:tc>
      </w:tr>
    </w:tbl>
    <w:p>
      <w:pPr>
        <w:spacing w:line="360" w:lineRule="auto"/>
        <w:ind w:firstLine="422" w:firstLineChars="200"/>
        <w:rPr>
          <w:rFonts w:ascii="宋体" w:hAnsi="宋体"/>
          <w:sz w:val="24"/>
        </w:rPr>
      </w:pPr>
      <w:r>
        <w:rPr>
          <w:rFonts w:hint="eastAsia" w:ascii="宋体" w:hAnsi="宋体"/>
          <w:b/>
          <w:szCs w:val="21"/>
        </w:rPr>
        <w:t>填报要求：</w:t>
      </w:r>
      <w:r>
        <w:rPr>
          <w:rFonts w:hint="eastAsia" w:ascii="宋体" w:hAnsi="宋体"/>
          <w:szCs w:val="21"/>
        </w:rPr>
        <w:t>投标报价包括本项目采购需求和投入使用的所有费用，包括但不限于主件、标准附件、备品备件、施工、服务、专用工具、安装、调试、检验、培训、运输、保险、税款等。</w:t>
      </w:r>
    </w:p>
    <w:p>
      <w:pPr>
        <w:pStyle w:val="19"/>
        <w:ind w:left="0" w:leftChars="0" w:firstLine="0"/>
        <w:rPr>
          <w:rFonts w:ascii="宋体" w:hAnsi="宋体"/>
          <w:sz w:val="24"/>
        </w:rPr>
      </w:pPr>
    </w:p>
    <w:p>
      <w:pPr>
        <w:pStyle w:val="19"/>
        <w:ind w:left="0" w:leftChars="0" w:firstLine="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19"/>
        <w:ind w:left="0" w:leftChars="0" w:firstLine="0"/>
      </w:pPr>
    </w:p>
    <w:p>
      <w:pPr>
        <w:spacing w:line="360" w:lineRule="auto"/>
        <w:rPr>
          <w:rFonts w:ascii="宋体" w:hAnsi="宋体"/>
          <w:b/>
          <w:sz w:val="28"/>
        </w:rPr>
      </w:pPr>
      <w:r>
        <w:rPr>
          <w:rFonts w:hint="eastAsia" w:ascii="宋体" w:hAnsi="宋体"/>
          <w:b/>
          <w:sz w:val="28"/>
        </w:rPr>
        <w:t>附件13</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0"/>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0"/>
        <w:tblpPr w:leftFromText="181" w:rightFromText="181" w:bottomFromText="170" w:vertAnchor="text" w:tblpXSpec="center" w:tblpY="1"/>
        <w:tblOverlap w:val="never"/>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116"/>
        <w:gridCol w:w="1175"/>
        <w:gridCol w:w="1775"/>
        <w:gridCol w:w="123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序号</w:t>
            </w:r>
          </w:p>
        </w:tc>
        <w:tc>
          <w:tcPr>
            <w:tcW w:w="1921"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报价名称（成本组成内容）</w:t>
            </w:r>
          </w:p>
        </w:tc>
        <w:tc>
          <w:tcPr>
            <w:tcW w:w="1116"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人员数量</w:t>
            </w:r>
          </w:p>
        </w:tc>
        <w:tc>
          <w:tcPr>
            <w:tcW w:w="1175" w:type="dxa"/>
            <w:tcMar>
              <w:top w:w="57" w:type="dxa"/>
              <w:left w:w="108" w:type="dxa"/>
              <w:bottom w:w="0" w:type="dxa"/>
              <w:right w:w="108" w:type="dxa"/>
            </w:tcMar>
            <w:vAlign w:val="center"/>
          </w:tcPr>
          <w:p>
            <w:pPr>
              <w:spacing w:line="360" w:lineRule="auto"/>
              <w:rPr>
                <w:rFonts w:ascii="宋体" w:hAnsi="宋体"/>
                <w:b/>
                <w:szCs w:val="21"/>
              </w:rPr>
            </w:pPr>
            <w:r>
              <w:rPr>
                <w:rFonts w:hint="eastAsia" w:ascii="宋体" w:hAnsi="宋体"/>
                <w:b/>
                <w:szCs w:val="21"/>
              </w:rPr>
              <w:t>所需时间（月）</w:t>
            </w:r>
          </w:p>
        </w:tc>
        <w:tc>
          <w:tcPr>
            <w:tcW w:w="1775"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单价（元/人/月）</w:t>
            </w:r>
          </w:p>
        </w:tc>
        <w:tc>
          <w:tcPr>
            <w:tcW w:w="1230"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小计</w:t>
            </w:r>
          </w:p>
        </w:tc>
        <w:tc>
          <w:tcPr>
            <w:tcW w:w="1500" w:type="dxa"/>
            <w:tcMar>
              <w:top w:w="57" w:type="dxa"/>
              <w:left w:w="108" w:type="dxa"/>
              <w:bottom w:w="0" w:type="dxa"/>
              <w:right w:w="108" w:type="dxa"/>
            </w:tcMar>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7"/>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人员费用（不含加班补贴）</w:t>
            </w:r>
          </w:p>
        </w:tc>
        <w:tc>
          <w:tcPr>
            <w:tcW w:w="111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7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3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0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7"/>
              <w:spacing w:line="360" w:lineRule="auto"/>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1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7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3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0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1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7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3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0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92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16"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77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23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0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9451" w:type="dxa"/>
            <w:gridSpan w:val="7"/>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20" w:beforeLines="50" w:after="50" w:line="360" w:lineRule="auto"/>
        <w:rPr>
          <w:rFonts w:ascii="宋体" w:hAnsi="宋体"/>
          <w:b/>
          <w:sz w:val="28"/>
          <w:szCs w:val="28"/>
        </w:rPr>
      </w:pPr>
      <w:r>
        <w:rPr>
          <w:rFonts w:hint="eastAsia" w:ascii="宋体" w:hAnsi="宋体"/>
          <w:b/>
          <w:sz w:val="28"/>
        </w:rPr>
        <w:t>附件14</w:t>
      </w:r>
    </w:p>
    <w:p>
      <w:pPr>
        <w:pStyle w:val="39"/>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39"/>
        <w:spacing w:line="360" w:lineRule="auto"/>
        <w:jc w:val="center"/>
        <w:rPr>
          <w:rFonts w:ascii="宋体" w:hAnsi="宋体"/>
          <w:b/>
          <w:sz w:val="24"/>
          <w:lang w:val="en-GB"/>
        </w:rPr>
      </w:pPr>
    </w:p>
    <w:p>
      <w:pPr>
        <w:pStyle w:val="39"/>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39"/>
        <w:numPr>
          <w:ilvl w:val="0"/>
          <w:numId w:val="15"/>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39"/>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39"/>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39"/>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39"/>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39"/>
        <w:spacing w:line="360" w:lineRule="auto"/>
        <w:ind w:firstLine="480" w:firstLineChars="200"/>
        <w:rPr>
          <w:rFonts w:ascii="宋体" w:hAnsi="宋体" w:cs="Arial"/>
          <w:bCs/>
          <w:sz w:val="24"/>
        </w:rPr>
      </w:pPr>
    </w:p>
    <w:p>
      <w:pPr>
        <w:pStyle w:val="39"/>
        <w:spacing w:line="360" w:lineRule="auto"/>
        <w:rPr>
          <w:rFonts w:ascii="宋体" w:hAnsi="宋体"/>
          <w:sz w:val="24"/>
        </w:rPr>
      </w:pPr>
    </w:p>
    <w:p>
      <w:pPr>
        <w:pStyle w:val="39"/>
        <w:spacing w:line="360" w:lineRule="auto"/>
        <w:ind w:firstLine="4800" w:firstLineChars="2000"/>
        <w:rPr>
          <w:rFonts w:ascii="宋体" w:hAnsi="宋体"/>
          <w:sz w:val="24"/>
        </w:rPr>
      </w:pPr>
      <w:r>
        <w:rPr>
          <w:rFonts w:hint="eastAsia" w:ascii="宋体" w:hAnsi="宋体"/>
          <w:sz w:val="24"/>
        </w:rPr>
        <w:t xml:space="preserve">企业名称（盖章）：              </w:t>
      </w:r>
    </w:p>
    <w:p>
      <w:pPr>
        <w:pStyle w:val="39"/>
        <w:spacing w:line="360" w:lineRule="auto"/>
        <w:ind w:firstLine="4800" w:firstLineChars="2000"/>
        <w:rPr>
          <w:rFonts w:ascii="宋体" w:hAnsi="宋体"/>
          <w:sz w:val="24"/>
        </w:rPr>
      </w:pPr>
      <w:r>
        <w:rPr>
          <w:rFonts w:hint="eastAsia" w:ascii="宋体" w:hAnsi="宋体"/>
          <w:sz w:val="24"/>
        </w:rPr>
        <w:t>日 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5" w:type="first"/>
          <w:footerReference r:id="rId7" w:type="first"/>
          <w:headerReference r:id="rId4" w:type="default"/>
          <w:footerReference r:id="rId6"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0"/>
        <w:spacing w:line="360" w:lineRule="auto"/>
        <w:jc w:val="center"/>
        <w:outlineLvl w:val="1"/>
        <w:rPr>
          <w:rFonts w:hAnsi="宋体" w:cs="宋体"/>
          <w:b/>
          <w:sz w:val="32"/>
          <w:szCs w:val="32"/>
          <w:lang w:val="en-GB"/>
        </w:rPr>
      </w:pPr>
      <w:bookmarkStart w:id="109" w:name="_Toc27483_WPSOffice_Level1"/>
      <w:bookmarkStart w:id="110" w:name="_Toc17646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pStyle w:val="19"/>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39"/>
        <w:spacing w:line="360" w:lineRule="auto"/>
        <w:ind w:left="4788" w:leftChars="2280"/>
        <w:rPr>
          <w:rFonts w:ascii="宋体" w:hAnsi="宋体" w:cs="宋体"/>
          <w:sz w:val="24"/>
        </w:rPr>
      </w:pPr>
      <w:r>
        <w:rPr>
          <w:rFonts w:hint="eastAsia" w:ascii="宋体" w:hAnsi="宋体" w:cs="宋体"/>
          <w:sz w:val="24"/>
        </w:rPr>
        <w:t xml:space="preserve">       </w:t>
      </w:r>
    </w:p>
    <w:p>
      <w:pPr>
        <w:pStyle w:val="39"/>
        <w:spacing w:line="360" w:lineRule="auto"/>
        <w:ind w:left="4788" w:leftChars="2280"/>
        <w:rPr>
          <w:rFonts w:ascii="宋体" w:hAnsi="宋体"/>
          <w:sz w:val="24"/>
        </w:rPr>
      </w:pPr>
      <w:r>
        <w:rPr>
          <w:rFonts w:hint="eastAsia" w:ascii="宋体" w:hAnsi="宋体"/>
          <w:sz w:val="24"/>
        </w:rPr>
        <w:t>单位名称（盖章）：</w:t>
      </w:r>
    </w:p>
    <w:p>
      <w:pPr>
        <w:pStyle w:val="39"/>
        <w:spacing w:line="360" w:lineRule="auto"/>
        <w:ind w:left="3591" w:leftChars="1710" w:firstLine="1200" w:firstLineChars="500"/>
        <w:rPr>
          <w:rFonts w:ascii="宋体" w:hAnsi="宋体"/>
          <w:sz w:val="24"/>
        </w:rPr>
      </w:pPr>
      <w:r>
        <w:rPr>
          <w:rFonts w:hint="eastAsia" w:ascii="宋体" w:hAnsi="宋体"/>
          <w:sz w:val="24"/>
        </w:rPr>
        <w:t>日  期  ：</w:t>
      </w:r>
    </w:p>
    <w:p>
      <w:pPr>
        <w:spacing w:line="360" w:lineRule="auto"/>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政府采购文件公开招标服务类示范文本（试行）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C8F99F11"/>
    <w:multiLevelType w:val="singleLevel"/>
    <w:tmpl w:val="C8F99F11"/>
    <w:lvl w:ilvl="0" w:tentative="0">
      <w:start w:val="1"/>
      <w:numFmt w:val="decimal"/>
      <w:lvlText w:val="%1."/>
      <w:lvlJc w:val="left"/>
      <w:pPr>
        <w:ind w:left="425" w:hanging="425"/>
      </w:pPr>
      <w:rPr>
        <w:rFonts w:hint="default"/>
      </w:rPr>
    </w:lvl>
  </w:abstractNum>
  <w:abstractNum w:abstractNumId="3">
    <w:nsid w:val="DF48CB86"/>
    <w:multiLevelType w:val="singleLevel"/>
    <w:tmpl w:val="DF48CB86"/>
    <w:lvl w:ilvl="0" w:tentative="0">
      <w:start w:val="1"/>
      <w:numFmt w:val="chineseCounting"/>
      <w:suff w:val="nothing"/>
      <w:lvlText w:val="（%1）"/>
      <w:lvlJc w:val="left"/>
      <w:rPr>
        <w:rFonts w:hint="eastAsia"/>
      </w:rPr>
    </w:lvl>
  </w:abstractNum>
  <w:abstractNum w:abstractNumId="4">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5">
    <w:nsid w:val="F931D4A4"/>
    <w:multiLevelType w:val="singleLevel"/>
    <w:tmpl w:val="F931D4A4"/>
    <w:lvl w:ilvl="0" w:tentative="0">
      <w:start w:val="1"/>
      <w:numFmt w:val="decimal"/>
      <w:lvlText w:val="%1."/>
      <w:lvlJc w:val="left"/>
      <w:pPr>
        <w:tabs>
          <w:tab w:val="left" w:pos="312"/>
        </w:tabs>
      </w:pPr>
    </w:lvl>
  </w:abstractNum>
  <w:abstractNum w:abstractNumId="6">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7">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8">
    <w:nsid w:val="461E5E94"/>
    <w:multiLevelType w:val="singleLevel"/>
    <w:tmpl w:val="461E5E94"/>
    <w:lvl w:ilvl="0" w:tentative="0">
      <w:start w:val="2"/>
      <w:numFmt w:val="chineseCounting"/>
      <w:suff w:val="space"/>
      <w:lvlText w:val="第%1章"/>
      <w:lvlJc w:val="left"/>
      <w:rPr>
        <w:rFonts w:hint="eastAsia"/>
      </w:rPr>
    </w:lvl>
  </w:abstractNum>
  <w:abstractNum w:abstractNumId="9">
    <w:nsid w:val="53F985B4"/>
    <w:multiLevelType w:val="singleLevel"/>
    <w:tmpl w:val="53F985B4"/>
    <w:lvl w:ilvl="0" w:tentative="0">
      <w:start w:val="1"/>
      <w:numFmt w:val="decimal"/>
      <w:lvlText w:val="%1."/>
      <w:lvlJc w:val="left"/>
      <w:pPr>
        <w:tabs>
          <w:tab w:val="left" w:pos="312"/>
        </w:tabs>
      </w:pPr>
    </w:lvl>
  </w:abstractNum>
  <w:abstractNum w:abstractNumId="10">
    <w:nsid w:val="5BE338C7"/>
    <w:multiLevelType w:val="singleLevel"/>
    <w:tmpl w:val="5BE338C7"/>
    <w:lvl w:ilvl="0" w:tentative="0">
      <w:start w:val="1"/>
      <w:numFmt w:val="decimal"/>
      <w:lvlText w:val="%1."/>
      <w:lvlJc w:val="left"/>
      <w:pPr>
        <w:ind w:left="425" w:hanging="425"/>
      </w:pPr>
      <w:rPr>
        <w:rFonts w:hint="default"/>
      </w:rPr>
    </w:lvl>
  </w:abstractNum>
  <w:abstractNum w:abstractNumId="11">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2">
    <w:nsid w:val="66DDD653"/>
    <w:multiLevelType w:val="singleLevel"/>
    <w:tmpl w:val="66DDD653"/>
    <w:lvl w:ilvl="0" w:tentative="0">
      <w:start w:val="1"/>
      <w:numFmt w:val="chineseCounting"/>
      <w:suff w:val="space"/>
      <w:lvlText w:val="第%1章"/>
      <w:lvlJc w:val="left"/>
      <w:rPr>
        <w:rFonts w:hint="eastAsia"/>
      </w:rPr>
    </w:lvl>
  </w:abstractNum>
  <w:abstractNum w:abstractNumId="13">
    <w:nsid w:val="678CFB24"/>
    <w:multiLevelType w:val="singleLevel"/>
    <w:tmpl w:val="678CFB24"/>
    <w:lvl w:ilvl="0" w:tentative="0">
      <w:start w:val="1"/>
      <w:numFmt w:val="chineseCounting"/>
      <w:suff w:val="nothing"/>
      <w:lvlText w:val="%1、"/>
      <w:lvlJc w:val="left"/>
      <w:rPr>
        <w:rFonts w:hint="eastAsia"/>
      </w:rPr>
    </w:lvl>
  </w:abstractNum>
  <w:abstractNum w:abstractNumId="14">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11"/>
  </w:num>
  <w:num w:numId="2">
    <w:abstractNumId w:val="7"/>
  </w:num>
  <w:num w:numId="3">
    <w:abstractNumId w:val="12"/>
  </w:num>
  <w:num w:numId="4">
    <w:abstractNumId w:val="8"/>
  </w:num>
  <w:num w:numId="5">
    <w:abstractNumId w:val="13"/>
  </w:num>
  <w:num w:numId="6">
    <w:abstractNumId w:val="5"/>
  </w:num>
  <w:num w:numId="7">
    <w:abstractNumId w:val="3"/>
  </w:num>
  <w:num w:numId="8">
    <w:abstractNumId w:val="4"/>
  </w:num>
  <w:num w:numId="9">
    <w:abstractNumId w:val="6"/>
  </w:num>
  <w:num w:numId="10">
    <w:abstractNumId w:val="0"/>
  </w:num>
  <w:num w:numId="11">
    <w:abstractNumId w:val="10"/>
  </w:num>
  <w:num w:numId="12">
    <w:abstractNumId w:val="1"/>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30D77"/>
    <w:rsid w:val="00071BA1"/>
    <w:rsid w:val="000A2B60"/>
    <w:rsid w:val="000C6C89"/>
    <w:rsid w:val="001124A8"/>
    <w:rsid w:val="001146EF"/>
    <w:rsid w:val="00165EE9"/>
    <w:rsid w:val="00186236"/>
    <w:rsid w:val="001958CB"/>
    <w:rsid w:val="001E3BB4"/>
    <w:rsid w:val="001F6E56"/>
    <w:rsid w:val="002445F0"/>
    <w:rsid w:val="002804D4"/>
    <w:rsid w:val="00285BCD"/>
    <w:rsid w:val="00291503"/>
    <w:rsid w:val="00292E56"/>
    <w:rsid w:val="00315916"/>
    <w:rsid w:val="003B0C7D"/>
    <w:rsid w:val="003B197D"/>
    <w:rsid w:val="003B2B91"/>
    <w:rsid w:val="00406819"/>
    <w:rsid w:val="00432157"/>
    <w:rsid w:val="0049548B"/>
    <w:rsid w:val="004E5700"/>
    <w:rsid w:val="00501EE6"/>
    <w:rsid w:val="00516F8C"/>
    <w:rsid w:val="00576547"/>
    <w:rsid w:val="005B6644"/>
    <w:rsid w:val="005D0DD1"/>
    <w:rsid w:val="00602F0F"/>
    <w:rsid w:val="0062183F"/>
    <w:rsid w:val="00667357"/>
    <w:rsid w:val="006D5C96"/>
    <w:rsid w:val="006E1508"/>
    <w:rsid w:val="007046C2"/>
    <w:rsid w:val="007234BD"/>
    <w:rsid w:val="007363FA"/>
    <w:rsid w:val="007477AD"/>
    <w:rsid w:val="00763969"/>
    <w:rsid w:val="007A04D9"/>
    <w:rsid w:val="007B473B"/>
    <w:rsid w:val="00802B9A"/>
    <w:rsid w:val="008248FA"/>
    <w:rsid w:val="0083589D"/>
    <w:rsid w:val="008A70A7"/>
    <w:rsid w:val="008A7726"/>
    <w:rsid w:val="00905DA1"/>
    <w:rsid w:val="009306F7"/>
    <w:rsid w:val="00946DB5"/>
    <w:rsid w:val="00987EDA"/>
    <w:rsid w:val="009A1FBC"/>
    <w:rsid w:val="009D46C4"/>
    <w:rsid w:val="009D6A9E"/>
    <w:rsid w:val="00A016DF"/>
    <w:rsid w:val="00A04BCA"/>
    <w:rsid w:val="00A11EE1"/>
    <w:rsid w:val="00A32C3D"/>
    <w:rsid w:val="00A525C8"/>
    <w:rsid w:val="00A85AC9"/>
    <w:rsid w:val="00A921FD"/>
    <w:rsid w:val="00AB072A"/>
    <w:rsid w:val="00AB49B7"/>
    <w:rsid w:val="00AC2475"/>
    <w:rsid w:val="00AE7C37"/>
    <w:rsid w:val="00B51A95"/>
    <w:rsid w:val="00B52C37"/>
    <w:rsid w:val="00C061A0"/>
    <w:rsid w:val="00C24E0F"/>
    <w:rsid w:val="00C47BF1"/>
    <w:rsid w:val="00C50B60"/>
    <w:rsid w:val="00C52A0D"/>
    <w:rsid w:val="00C577CF"/>
    <w:rsid w:val="00C7680E"/>
    <w:rsid w:val="00C82E45"/>
    <w:rsid w:val="00CA2C6C"/>
    <w:rsid w:val="00D0009A"/>
    <w:rsid w:val="00D1496C"/>
    <w:rsid w:val="00D14AD5"/>
    <w:rsid w:val="00D325EC"/>
    <w:rsid w:val="00D40771"/>
    <w:rsid w:val="00D43775"/>
    <w:rsid w:val="00D81728"/>
    <w:rsid w:val="00DB1553"/>
    <w:rsid w:val="00DF1819"/>
    <w:rsid w:val="00E068E6"/>
    <w:rsid w:val="00E34FE7"/>
    <w:rsid w:val="00E41909"/>
    <w:rsid w:val="00E42018"/>
    <w:rsid w:val="00E5722A"/>
    <w:rsid w:val="00E751E7"/>
    <w:rsid w:val="00E8357D"/>
    <w:rsid w:val="00EA3F84"/>
    <w:rsid w:val="00EA52A6"/>
    <w:rsid w:val="00F00567"/>
    <w:rsid w:val="00F05DD2"/>
    <w:rsid w:val="00F201C9"/>
    <w:rsid w:val="00F24802"/>
    <w:rsid w:val="00FC1E7F"/>
    <w:rsid w:val="00FF7A94"/>
    <w:rsid w:val="010742D5"/>
    <w:rsid w:val="010F7B98"/>
    <w:rsid w:val="01270A4D"/>
    <w:rsid w:val="013A1150"/>
    <w:rsid w:val="01851778"/>
    <w:rsid w:val="01A729ED"/>
    <w:rsid w:val="01AE11E6"/>
    <w:rsid w:val="01B729F0"/>
    <w:rsid w:val="01E96BCD"/>
    <w:rsid w:val="01F53A09"/>
    <w:rsid w:val="02222883"/>
    <w:rsid w:val="026A343C"/>
    <w:rsid w:val="02A01370"/>
    <w:rsid w:val="02C62BA9"/>
    <w:rsid w:val="02CF7A3A"/>
    <w:rsid w:val="02E5375E"/>
    <w:rsid w:val="030A7540"/>
    <w:rsid w:val="034C79A8"/>
    <w:rsid w:val="035E327D"/>
    <w:rsid w:val="03624C71"/>
    <w:rsid w:val="037171B2"/>
    <w:rsid w:val="03723D7D"/>
    <w:rsid w:val="03A54C6B"/>
    <w:rsid w:val="03A55E37"/>
    <w:rsid w:val="04071573"/>
    <w:rsid w:val="04357EE7"/>
    <w:rsid w:val="043E0AAC"/>
    <w:rsid w:val="044F2C90"/>
    <w:rsid w:val="04604D98"/>
    <w:rsid w:val="04762FE4"/>
    <w:rsid w:val="048361AE"/>
    <w:rsid w:val="048962DE"/>
    <w:rsid w:val="04C403D8"/>
    <w:rsid w:val="04D66434"/>
    <w:rsid w:val="04DA625A"/>
    <w:rsid w:val="04EF476C"/>
    <w:rsid w:val="04FA2AA7"/>
    <w:rsid w:val="0528054A"/>
    <w:rsid w:val="05287815"/>
    <w:rsid w:val="052D2D41"/>
    <w:rsid w:val="0538232A"/>
    <w:rsid w:val="0552233D"/>
    <w:rsid w:val="05722A86"/>
    <w:rsid w:val="05782C43"/>
    <w:rsid w:val="05902EB0"/>
    <w:rsid w:val="05903056"/>
    <w:rsid w:val="059E1050"/>
    <w:rsid w:val="05A43864"/>
    <w:rsid w:val="05B01B1D"/>
    <w:rsid w:val="05C23556"/>
    <w:rsid w:val="05C66327"/>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93790"/>
    <w:rsid w:val="06FB0045"/>
    <w:rsid w:val="077B362D"/>
    <w:rsid w:val="079A6E72"/>
    <w:rsid w:val="079F3EE7"/>
    <w:rsid w:val="07AA1AB7"/>
    <w:rsid w:val="07DF5164"/>
    <w:rsid w:val="07E50580"/>
    <w:rsid w:val="07EE133F"/>
    <w:rsid w:val="08002A9F"/>
    <w:rsid w:val="08065B86"/>
    <w:rsid w:val="08274ACF"/>
    <w:rsid w:val="08310251"/>
    <w:rsid w:val="084703F0"/>
    <w:rsid w:val="08696EDC"/>
    <w:rsid w:val="08705B4A"/>
    <w:rsid w:val="087A3AC9"/>
    <w:rsid w:val="087A7753"/>
    <w:rsid w:val="08814CE3"/>
    <w:rsid w:val="08884C10"/>
    <w:rsid w:val="08986544"/>
    <w:rsid w:val="08BB6846"/>
    <w:rsid w:val="08D3627E"/>
    <w:rsid w:val="08D55A74"/>
    <w:rsid w:val="08DC3175"/>
    <w:rsid w:val="08E052CE"/>
    <w:rsid w:val="08FD3C48"/>
    <w:rsid w:val="09161D47"/>
    <w:rsid w:val="093D3ABC"/>
    <w:rsid w:val="095C563D"/>
    <w:rsid w:val="09CE19BC"/>
    <w:rsid w:val="09E70A54"/>
    <w:rsid w:val="09E84CCD"/>
    <w:rsid w:val="0A051115"/>
    <w:rsid w:val="0A3A5C5D"/>
    <w:rsid w:val="0A826512"/>
    <w:rsid w:val="0A8528D5"/>
    <w:rsid w:val="0A8A0A3A"/>
    <w:rsid w:val="0AB52BD8"/>
    <w:rsid w:val="0AC27E84"/>
    <w:rsid w:val="0AD56F1F"/>
    <w:rsid w:val="0AEA3C8C"/>
    <w:rsid w:val="0B1E0CF0"/>
    <w:rsid w:val="0B1E2894"/>
    <w:rsid w:val="0B3A637F"/>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E0D3C55"/>
    <w:rsid w:val="0F0D0D2C"/>
    <w:rsid w:val="0F385060"/>
    <w:rsid w:val="0F58781F"/>
    <w:rsid w:val="0F5D7625"/>
    <w:rsid w:val="0F6147A2"/>
    <w:rsid w:val="0F6354CF"/>
    <w:rsid w:val="0F86061B"/>
    <w:rsid w:val="0FC27645"/>
    <w:rsid w:val="0FD4645C"/>
    <w:rsid w:val="1007199F"/>
    <w:rsid w:val="101A3630"/>
    <w:rsid w:val="101C62F0"/>
    <w:rsid w:val="102C199B"/>
    <w:rsid w:val="105576A8"/>
    <w:rsid w:val="10BE1B05"/>
    <w:rsid w:val="10C64B9C"/>
    <w:rsid w:val="10CB7C05"/>
    <w:rsid w:val="10CF3933"/>
    <w:rsid w:val="10FD1FE7"/>
    <w:rsid w:val="11344EBE"/>
    <w:rsid w:val="115B5C4F"/>
    <w:rsid w:val="11696446"/>
    <w:rsid w:val="117C20D6"/>
    <w:rsid w:val="118A244C"/>
    <w:rsid w:val="11A2124C"/>
    <w:rsid w:val="11C20C82"/>
    <w:rsid w:val="11C8536C"/>
    <w:rsid w:val="11D0460B"/>
    <w:rsid w:val="11DE5C79"/>
    <w:rsid w:val="120E0957"/>
    <w:rsid w:val="120F2EE9"/>
    <w:rsid w:val="12101447"/>
    <w:rsid w:val="12215961"/>
    <w:rsid w:val="125F1817"/>
    <w:rsid w:val="128D04EC"/>
    <w:rsid w:val="12AA2320"/>
    <w:rsid w:val="12DB53B1"/>
    <w:rsid w:val="12E81B94"/>
    <w:rsid w:val="13257C63"/>
    <w:rsid w:val="133707C2"/>
    <w:rsid w:val="13441C72"/>
    <w:rsid w:val="134C77A5"/>
    <w:rsid w:val="135D525B"/>
    <w:rsid w:val="13731B39"/>
    <w:rsid w:val="13732205"/>
    <w:rsid w:val="137F0CE3"/>
    <w:rsid w:val="13C30E6E"/>
    <w:rsid w:val="13EC296F"/>
    <w:rsid w:val="13ED25C0"/>
    <w:rsid w:val="14160397"/>
    <w:rsid w:val="141B13D5"/>
    <w:rsid w:val="141C741E"/>
    <w:rsid w:val="14234B06"/>
    <w:rsid w:val="149D3DC9"/>
    <w:rsid w:val="149E1778"/>
    <w:rsid w:val="14AD4839"/>
    <w:rsid w:val="14EA3450"/>
    <w:rsid w:val="14F767B6"/>
    <w:rsid w:val="14F905C9"/>
    <w:rsid w:val="15287486"/>
    <w:rsid w:val="15483F7A"/>
    <w:rsid w:val="15840A84"/>
    <w:rsid w:val="15AF033B"/>
    <w:rsid w:val="15C012BB"/>
    <w:rsid w:val="16031113"/>
    <w:rsid w:val="160C1329"/>
    <w:rsid w:val="16332D75"/>
    <w:rsid w:val="16502A53"/>
    <w:rsid w:val="16725D01"/>
    <w:rsid w:val="16777B9F"/>
    <w:rsid w:val="168C6865"/>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3D079C"/>
    <w:rsid w:val="1C4235A6"/>
    <w:rsid w:val="1C4F222F"/>
    <w:rsid w:val="1CA86A15"/>
    <w:rsid w:val="1CBB4247"/>
    <w:rsid w:val="1CFA7EEF"/>
    <w:rsid w:val="1CFB1146"/>
    <w:rsid w:val="1D1338EC"/>
    <w:rsid w:val="1D37062D"/>
    <w:rsid w:val="1D3B199E"/>
    <w:rsid w:val="1D5B6D2E"/>
    <w:rsid w:val="1D6D165A"/>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EF32C98"/>
    <w:rsid w:val="1F2F246F"/>
    <w:rsid w:val="1F3E1D5D"/>
    <w:rsid w:val="1F6E3177"/>
    <w:rsid w:val="1F6F04BA"/>
    <w:rsid w:val="1F8129BD"/>
    <w:rsid w:val="20027E74"/>
    <w:rsid w:val="2024650C"/>
    <w:rsid w:val="204663FA"/>
    <w:rsid w:val="20624FA2"/>
    <w:rsid w:val="206A1137"/>
    <w:rsid w:val="20835E3C"/>
    <w:rsid w:val="209232CC"/>
    <w:rsid w:val="209937A3"/>
    <w:rsid w:val="20AA1825"/>
    <w:rsid w:val="20BB1EB1"/>
    <w:rsid w:val="20C370D8"/>
    <w:rsid w:val="210E499E"/>
    <w:rsid w:val="21144C23"/>
    <w:rsid w:val="212A75E7"/>
    <w:rsid w:val="21593740"/>
    <w:rsid w:val="215C6880"/>
    <w:rsid w:val="2163612C"/>
    <w:rsid w:val="217039C6"/>
    <w:rsid w:val="21754AF5"/>
    <w:rsid w:val="217A6B5C"/>
    <w:rsid w:val="217E7700"/>
    <w:rsid w:val="218158E0"/>
    <w:rsid w:val="218F0080"/>
    <w:rsid w:val="21BA53F5"/>
    <w:rsid w:val="220B781D"/>
    <w:rsid w:val="2220525E"/>
    <w:rsid w:val="224449F5"/>
    <w:rsid w:val="225D16C1"/>
    <w:rsid w:val="2266010D"/>
    <w:rsid w:val="226E674C"/>
    <w:rsid w:val="22712A0D"/>
    <w:rsid w:val="22734646"/>
    <w:rsid w:val="229C477C"/>
    <w:rsid w:val="22B609EC"/>
    <w:rsid w:val="22C23296"/>
    <w:rsid w:val="22CF4727"/>
    <w:rsid w:val="22E35CB6"/>
    <w:rsid w:val="230D1B73"/>
    <w:rsid w:val="23280561"/>
    <w:rsid w:val="2330019D"/>
    <w:rsid w:val="234D2500"/>
    <w:rsid w:val="235E2799"/>
    <w:rsid w:val="23666663"/>
    <w:rsid w:val="23693289"/>
    <w:rsid w:val="23795972"/>
    <w:rsid w:val="239147E1"/>
    <w:rsid w:val="23BB34F7"/>
    <w:rsid w:val="23CB333E"/>
    <w:rsid w:val="23DD710D"/>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4345D3"/>
    <w:rsid w:val="26546373"/>
    <w:rsid w:val="26841C6E"/>
    <w:rsid w:val="26934343"/>
    <w:rsid w:val="2697330D"/>
    <w:rsid w:val="26B424FB"/>
    <w:rsid w:val="26B73D93"/>
    <w:rsid w:val="26E62133"/>
    <w:rsid w:val="270616A1"/>
    <w:rsid w:val="277F68D2"/>
    <w:rsid w:val="27870FB2"/>
    <w:rsid w:val="278F0AAA"/>
    <w:rsid w:val="27B84345"/>
    <w:rsid w:val="27CB7A47"/>
    <w:rsid w:val="27CF31D6"/>
    <w:rsid w:val="27E53B63"/>
    <w:rsid w:val="27F52A10"/>
    <w:rsid w:val="280E4470"/>
    <w:rsid w:val="283E405F"/>
    <w:rsid w:val="28D9203E"/>
    <w:rsid w:val="293D309F"/>
    <w:rsid w:val="295E1181"/>
    <w:rsid w:val="298330BD"/>
    <w:rsid w:val="29B00B02"/>
    <w:rsid w:val="29B661A7"/>
    <w:rsid w:val="29BC2723"/>
    <w:rsid w:val="29CA4207"/>
    <w:rsid w:val="29DB1483"/>
    <w:rsid w:val="29DC3277"/>
    <w:rsid w:val="29FA460F"/>
    <w:rsid w:val="2A0B6D48"/>
    <w:rsid w:val="2A397DF9"/>
    <w:rsid w:val="2A7C5019"/>
    <w:rsid w:val="2A8E3410"/>
    <w:rsid w:val="2AC017A8"/>
    <w:rsid w:val="2B127E2F"/>
    <w:rsid w:val="2B3677A4"/>
    <w:rsid w:val="2B7F5D7B"/>
    <w:rsid w:val="2B9073EB"/>
    <w:rsid w:val="2BAD682D"/>
    <w:rsid w:val="2BC41873"/>
    <w:rsid w:val="2BEE5A9C"/>
    <w:rsid w:val="2C3A67C6"/>
    <w:rsid w:val="2C5E4602"/>
    <w:rsid w:val="2C6B41B7"/>
    <w:rsid w:val="2CAF7AE9"/>
    <w:rsid w:val="2CB550EC"/>
    <w:rsid w:val="2CF947D9"/>
    <w:rsid w:val="2CFA06CC"/>
    <w:rsid w:val="2D3F090C"/>
    <w:rsid w:val="2D473273"/>
    <w:rsid w:val="2D737058"/>
    <w:rsid w:val="2D8167C0"/>
    <w:rsid w:val="2D9C1D44"/>
    <w:rsid w:val="2DAB174B"/>
    <w:rsid w:val="2DAC3053"/>
    <w:rsid w:val="2DB40F04"/>
    <w:rsid w:val="2DB55317"/>
    <w:rsid w:val="2DC93154"/>
    <w:rsid w:val="2DD04A2C"/>
    <w:rsid w:val="2E073EDF"/>
    <w:rsid w:val="2E1A2D69"/>
    <w:rsid w:val="2E1C2312"/>
    <w:rsid w:val="2E617376"/>
    <w:rsid w:val="2ED13170"/>
    <w:rsid w:val="2ED76F10"/>
    <w:rsid w:val="2EF563DD"/>
    <w:rsid w:val="2F011E82"/>
    <w:rsid w:val="2F415E64"/>
    <w:rsid w:val="2F60404A"/>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C3813"/>
    <w:rsid w:val="321F0CAE"/>
    <w:rsid w:val="321F3505"/>
    <w:rsid w:val="322B0318"/>
    <w:rsid w:val="32494369"/>
    <w:rsid w:val="324C0B81"/>
    <w:rsid w:val="32517D1E"/>
    <w:rsid w:val="329B0438"/>
    <w:rsid w:val="32B63AAA"/>
    <w:rsid w:val="33091096"/>
    <w:rsid w:val="33232830"/>
    <w:rsid w:val="3341533E"/>
    <w:rsid w:val="33843CA1"/>
    <w:rsid w:val="33910F70"/>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B00D5B"/>
    <w:rsid w:val="36E67F55"/>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E4A11"/>
    <w:rsid w:val="3A18294A"/>
    <w:rsid w:val="3A1C285D"/>
    <w:rsid w:val="3A27520A"/>
    <w:rsid w:val="3A3F654C"/>
    <w:rsid w:val="3A3F6C87"/>
    <w:rsid w:val="3A460A7B"/>
    <w:rsid w:val="3A465FD4"/>
    <w:rsid w:val="3A956A72"/>
    <w:rsid w:val="3AD70862"/>
    <w:rsid w:val="3AE76311"/>
    <w:rsid w:val="3B1109C9"/>
    <w:rsid w:val="3B2552D7"/>
    <w:rsid w:val="3B3F7D03"/>
    <w:rsid w:val="3B7641EF"/>
    <w:rsid w:val="3B970D6B"/>
    <w:rsid w:val="3B9E41DE"/>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E5041"/>
    <w:rsid w:val="3F506818"/>
    <w:rsid w:val="3F897762"/>
    <w:rsid w:val="3FE36C1C"/>
    <w:rsid w:val="3FEB19D5"/>
    <w:rsid w:val="3FF15ABF"/>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986E00"/>
    <w:rsid w:val="42F1595A"/>
    <w:rsid w:val="430B7DA4"/>
    <w:rsid w:val="430D4AC0"/>
    <w:rsid w:val="431E047F"/>
    <w:rsid w:val="431E65EF"/>
    <w:rsid w:val="43270470"/>
    <w:rsid w:val="435A4BBF"/>
    <w:rsid w:val="436A6565"/>
    <w:rsid w:val="43765214"/>
    <w:rsid w:val="437A019F"/>
    <w:rsid w:val="43891F34"/>
    <w:rsid w:val="43B21221"/>
    <w:rsid w:val="43C63987"/>
    <w:rsid w:val="43CA10CC"/>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C967C3"/>
    <w:rsid w:val="46DB6342"/>
    <w:rsid w:val="46E76BE4"/>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9276E58"/>
    <w:rsid w:val="494B4338"/>
    <w:rsid w:val="496569C4"/>
    <w:rsid w:val="497C5511"/>
    <w:rsid w:val="49B65DC9"/>
    <w:rsid w:val="49BE7413"/>
    <w:rsid w:val="4A131AB1"/>
    <w:rsid w:val="4A34760C"/>
    <w:rsid w:val="4A64259A"/>
    <w:rsid w:val="4AA4128B"/>
    <w:rsid w:val="4AAA7028"/>
    <w:rsid w:val="4AD50D4A"/>
    <w:rsid w:val="4ADC75C4"/>
    <w:rsid w:val="4B2977E3"/>
    <w:rsid w:val="4B3A3263"/>
    <w:rsid w:val="4B404F96"/>
    <w:rsid w:val="4B5F395F"/>
    <w:rsid w:val="4BB73A13"/>
    <w:rsid w:val="4BE22955"/>
    <w:rsid w:val="4C1415FC"/>
    <w:rsid w:val="4C39076D"/>
    <w:rsid w:val="4C491FB6"/>
    <w:rsid w:val="4C60411D"/>
    <w:rsid w:val="4C9743B6"/>
    <w:rsid w:val="4CA56DBD"/>
    <w:rsid w:val="4CCD70EB"/>
    <w:rsid w:val="4CD15334"/>
    <w:rsid w:val="4CDC2AC2"/>
    <w:rsid w:val="4CEF194A"/>
    <w:rsid w:val="4D123D13"/>
    <w:rsid w:val="4D4473CA"/>
    <w:rsid w:val="4D4923E7"/>
    <w:rsid w:val="4D594184"/>
    <w:rsid w:val="4D670A85"/>
    <w:rsid w:val="4D80617B"/>
    <w:rsid w:val="4D806473"/>
    <w:rsid w:val="4DB87F6B"/>
    <w:rsid w:val="4DC608A6"/>
    <w:rsid w:val="4DE862FA"/>
    <w:rsid w:val="4DF85FC0"/>
    <w:rsid w:val="4E1074C8"/>
    <w:rsid w:val="4E2B1D2E"/>
    <w:rsid w:val="4E527CB0"/>
    <w:rsid w:val="4E6F1EF6"/>
    <w:rsid w:val="4E7B029B"/>
    <w:rsid w:val="4E9C2A45"/>
    <w:rsid w:val="4EB37374"/>
    <w:rsid w:val="4ECB07EA"/>
    <w:rsid w:val="4EDA18B9"/>
    <w:rsid w:val="4F216F20"/>
    <w:rsid w:val="4F573543"/>
    <w:rsid w:val="4F6D467A"/>
    <w:rsid w:val="4FED507D"/>
    <w:rsid w:val="4FFB62E9"/>
    <w:rsid w:val="501C4E89"/>
    <w:rsid w:val="502B325D"/>
    <w:rsid w:val="505D795E"/>
    <w:rsid w:val="50630959"/>
    <w:rsid w:val="50DD3BA3"/>
    <w:rsid w:val="50E61CAB"/>
    <w:rsid w:val="50E8074E"/>
    <w:rsid w:val="50EF44FE"/>
    <w:rsid w:val="5132754D"/>
    <w:rsid w:val="513564CC"/>
    <w:rsid w:val="514E3A09"/>
    <w:rsid w:val="517C3AF1"/>
    <w:rsid w:val="51915B3D"/>
    <w:rsid w:val="519F5121"/>
    <w:rsid w:val="51CA2B0A"/>
    <w:rsid w:val="5229273F"/>
    <w:rsid w:val="52547228"/>
    <w:rsid w:val="529432E6"/>
    <w:rsid w:val="52A8026E"/>
    <w:rsid w:val="52EC7710"/>
    <w:rsid w:val="52F764BB"/>
    <w:rsid w:val="532C197B"/>
    <w:rsid w:val="534C6115"/>
    <w:rsid w:val="53561F88"/>
    <w:rsid w:val="536B5C40"/>
    <w:rsid w:val="537E0A5E"/>
    <w:rsid w:val="53BC34C4"/>
    <w:rsid w:val="53CE29B7"/>
    <w:rsid w:val="53E93F16"/>
    <w:rsid w:val="53F04BF7"/>
    <w:rsid w:val="540337E7"/>
    <w:rsid w:val="54142032"/>
    <w:rsid w:val="54143B82"/>
    <w:rsid w:val="54451376"/>
    <w:rsid w:val="545E7A81"/>
    <w:rsid w:val="54776BE8"/>
    <w:rsid w:val="547B2C44"/>
    <w:rsid w:val="547F7066"/>
    <w:rsid w:val="548C0083"/>
    <w:rsid w:val="549F3777"/>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0F7805"/>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72F56"/>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5E0A7E"/>
    <w:rsid w:val="5A886394"/>
    <w:rsid w:val="5A9F6060"/>
    <w:rsid w:val="5ACF7403"/>
    <w:rsid w:val="5B3A0005"/>
    <w:rsid w:val="5B46719F"/>
    <w:rsid w:val="5B737DCF"/>
    <w:rsid w:val="5B842E95"/>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9712A"/>
    <w:rsid w:val="5D7B7702"/>
    <w:rsid w:val="5DA55EAC"/>
    <w:rsid w:val="5DAC626B"/>
    <w:rsid w:val="5DC133FE"/>
    <w:rsid w:val="5E146811"/>
    <w:rsid w:val="5E3F1ED0"/>
    <w:rsid w:val="5E4A015A"/>
    <w:rsid w:val="5E4E1E2F"/>
    <w:rsid w:val="5E7E280E"/>
    <w:rsid w:val="5EA343F9"/>
    <w:rsid w:val="5EF37FFE"/>
    <w:rsid w:val="5EFA4F8E"/>
    <w:rsid w:val="5F164D5E"/>
    <w:rsid w:val="5F2D2E3D"/>
    <w:rsid w:val="5F4203B1"/>
    <w:rsid w:val="5F511649"/>
    <w:rsid w:val="5F741C71"/>
    <w:rsid w:val="5F884475"/>
    <w:rsid w:val="5F940261"/>
    <w:rsid w:val="5F9B7A1D"/>
    <w:rsid w:val="5FAC17B4"/>
    <w:rsid w:val="5FBE713C"/>
    <w:rsid w:val="5FDA399F"/>
    <w:rsid w:val="5FFA79ED"/>
    <w:rsid w:val="60350249"/>
    <w:rsid w:val="606D0EF6"/>
    <w:rsid w:val="6075709F"/>
    <w:rsid w:val="60806A99"/>
    <w:rsid w:val="608A128F"/>
    <w:rsid w:val="60B442A8"/>
    <w:rsid w:val="60C83E6B"/>
    <w:rsid w:val="60FD7810"/>
    <w:rsid w:val="61013040"/>
    <w:rsid w:val="610E310A"/>
    <w:rsid w:val="611C35B8"/>
    <w:rsid w:val="611D1C0E"/>
    <w:rsid w:val="61A25580"/>
    <w:rsid w:val="61AE7556"/>
    <w:rsid w:val="61C55F7F"/>
    <w:rsid w:val="61CA3612"/>
    <w:rsid w:val="61D41854"/>
    <w:rsid w:val="61F46458"/>
    <w:rsid w:val="62282B27"/>
    <w:rsid w:val="625A6442"/>
    <w:rsid w:val="62C31135"/>
    <w:rsid w:val="62C76106"/>
    <w:rsid w:val="62CC474C"/>
    <w:rsid w:val="63312626"/>
    <w:rsid w:val="636965DD"/>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1E1C1A"/>
    <w:rsid w:val="655769D7"/>
    <w:rsid w:val="658C66C4"/>
    <w:rsid w:val="65B76CC0"/>
    <w:rsid w:val="65BC4CFD"/>
    <w:rsid w:val="65C86337"/>
    <w:rsid w:val="65DC6542"/>
    <w:rsid w:val="65FE3124"/>
    <w:rsid w:val="66444E0C"/>
    <w:rsid w:val="66475BEE"/>
    <w:rsid w:val="668B029F"/>
    <w:rsid w:val="66921396"/>
    <w:rsid w:val="669A00A1"/>
    <w:rsid w:val="669A0A1D"/>
    <w:rsid w:val="66C77EC3"/>
    <w:rsid w:val="66CD32EE"/>
    <w:rsid w:val="66D44ACE"/>
    <w:rsid w:val="66EF31C1"/>
    <w:rsid w:val="67286643"/>
    <w:rsid w:val="67340A1D"/>
    <w:rsid w:val="67415D12"/>
    <w:rsid w:val="67645CC5"/>
    <w:rsid w:val="679D0438"/>
    <w:rsid w:val="679F14A6"/>
    <w:rsid w:val="67A7594A"/>
    <w:rsid w:val="67C16B67"/>
    <w:rsid w:val="67D76D1D"/>
    <w:rsid w:val="67F71CAA"/>
    <w:rsid w:val="67FC3612"/>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15E96"/>
    <w:rsid w:val="69C21FC2"/>
    <w:rsid w:val="69CB7528"/>
    <w:rsid w:val="69CC031D"/>
    <w:rsid w:val="69CC4316"/>
    <w:rsid w:val="69CC5602"/>
    <w:rsid w:val="69DE1C53"/>
    <w:rsid w:val="69DF0F70"/>
    <w:rsid w:val="69F431E5"/>
    <w:rsid w:val="69FB05D9"/>
    <w:rsid w:val="6A1A0FB2"/>
    <w:rsid w:val="6A21429B"/>
    <w:rsid w:val="6A317FEC"/>
    <w:rsid w:val="6A395739"/>
    <w:rsid w:val="6A5D1615"/>
    <w:rsid w:val="6A667351"/>
    <w:rsid w:val="6A690452"/>
    <w:rsid w:val="6A755FC4"/>
    <w:rsid w:val="6AC86B5F"/>
    <w:rsid w:val="6AD5470C"/>
    <w:rsid w:val="6AF1512E"/>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633A4C"/>
    <w:rsid w:val="6E9D5BDB"/>
    <w:rsid w:val="6EEE21D9"/>
    <w:rsid w:val="6F436F8F"/>
    <w:rsid w:val="6F4D5562"/>
    <w:rsid w:val="6F663712"/>
    <w:rsid w:val="6F6D69E8"/>
    <w:rsid w:val="6F8B29B5"/>
    <w:rsid w:val="6F9B0752"/>
    <w:rsid w:val="6FD156E3"/>
    <w:rsid w:val="6FE57223"/>
    <w:rsid w:val="6FED75FB"/>
    <w:rsid w:val="70041560"/>
    <w:rsid w:val="703467FC"/>
    <w:rsid w:val="7040732E"/>
    <w:rsid w:val="7086364B"/>
    <w:rsid w:val="709D4CF4"/>
    <w:rsid w:val="70A42103"/>
    <w:rsid w:val="70F51EA2"/>
    <w:rsid w:val="710B27AB"/>
    <w:rsid w:val="71232A8E"/>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AE0007"/>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7645B"/>
    <w:rsid w:val="73C97C37"/>
    <w:rsid w:val="73D872D7"/>
    <w:rsid w:val="73FA14E3"/>
    <w:rsid w:val="740A7F35"/>
    <w:rsid w:val="742D4CA1"/>
    <w:rsid w:val="74336AF3"/>
    <w:rsid w:val="74613585"/>
    <w:rsid w:val="747D3462"/>
    <w:rsid w:val="74812030"/>
    <w:rsid w:val="74886161"/>
    <w:rsid w:val="74A039B1"/>
    <w:rsid w:val="74E66F49"/>
    <w:rsid w:val="74EB245C"/>
    <w:rsid w:val="753C15BB"/>
    <w:rsid w:val="75585493"/>
    <w:rsid w:val="755E6626"/>
    <w:rsid w:val="75697399"/>
    <w:rsid w:val="75841DF5"/>
    <w:rsid w:val="758C4CA2"/>
    <w:rsid w:val="75D40046"/>
    <w:rsid w:val="75D96E3B"/>
    <w:rsid w:val="75FF3A13"/>
    <w:rsid w:val="762F29E5"/>
    <w:rsid w:val="764374F1"/>
    <w:rsid w:val="76944E76"/>
    <w:rsid w:val="769A26CA"/>
    <w:rsid w:val="76C34928"/>
    <w:rsid w:val="76D17FE1"/>
    <w:rsid w:val="76DF15B8"/>
    <w:rsid w:val="76FB601C"/>
    <w:rsid w:val="7708778F"/>
    <w:rsid w:val="770B7BD2"/>
    <w:rsid w:val="778364BE"/>
    <w:rsid w:val="7799548D"/>
    <w:rsid w:val="77ED1FBE"/>
    <w:rsid w:val="787764A6"/>
    <w:rsid w:val="78867CFB"/>
    <w:rsid w:val="78AE1EE3"/>
    <w:rsid w:val="78D06FA5"/>
    <w:rsid w:val="78F044C0"/>
    <w:rsid w:val="793D3D59"/>
    <w:rsid w:val="795F47C4"/>
    <w:rsid w:val="795F4B87"/>
    <w:rsid w:val="7964594B"/>
    <w:rsid w:val="799447B2"/>
    <w:rsid w:val="79993DEC"/>
    <w:rsid w:val="79AF5625"/>
    <w:rsid w:val="79BB1CC4"/>
    <w:rsid w:val="79CD1CC3"/>
    <w:rsid w:val="79D33A4B"/>
    <w:rsid w:val="79E02F00"/>
    <w:rsid w:val="79EA1578"/>
    <w:rsid w:val="79F9227E"/>
    <w:rsid w:val="7A03141B"/>
    <w:rsid w:val="7A2F68CB"/>
    <w:rsid w:val="7A532F6D"/>
    <w:rsid w:val="7A855D33"/>
    <w:rsid w:val="7A866254"/>
    <w:rsid w:val="7A9E603E"/>
    <w:rsid w:val="7AA163B3"/>
    <w:rsid w:val="7AB01F3D"/>
    <w:rsid w:val="7ACE4950"/>
    <w:rsid w:val="7ADB04CF"/>
    <w:rsid w:val="7ADD1DF2"/>
    <w:rsid w:val="7AFE0D18"/>
    <w:rsid w:val="7B2A08CC"/>
    <w:rsid w:val="7B4B5341"/>
    <w:rsid w:val="7B5B1A0B"/>
    <w:rsid w:val="7B70050C"/>
    <w:rsid w:val="7B856E03"/>
    <w:rsid w:val="7B8C602F"/>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CCD26CF"/>
    <w:rsid w:val="7D1948FD"/>
    <w:rsid w:val="7D2C6F9F"/>
    <w:rsid w:val="7D3374C2"/>
    <w:rsid w:val="7D543264"/>
    <w:rsid w:val="7D6D7156"/>
    <w:rsid w:val="7D7115AD"/>
    <w:rsid w:val="7DAE4568"/>
    <w:rsid w:val="7DC85A4E"/>
    <w:rsid w:val="7DF550BA"/>
    <w:rsid w:val="7E531FFF"/>
    <w:rsid w:val="7E5E764B"/>
    <w:rsid w:val="7EB22523"/>
    <w:rsid w:val="7ECB55B8"/>
    <w:rsid w:val="7EE626A2"/>
    <w:rsid w:val="7EEC63E7"/>
    <w:rsid w:val="7EF54C4F"/>
    <w:rsid w:val="7EFB3937"/>
    <w:rsid w:val="7F020EC4"/>
    <w:rsid w:val="7F381A2F"/>
    <w:rsid w:val="7F5957B0"/>
    <w:rsid w:val="7F6767FC"/>
    <w:rsid w:val="7F9846AE"/>
    <w:rsid w:val="7F9A7F46"/>
    <w:rsid w:val="7FAD0277"/>
    <w:rsid w:val="7FBD28C5"/>
    <w:rsid w:val="7FC50214"/>
    <w:rsid w:val="7FEF71EF"/>
    <w:rsid w:val="FFDF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6">
    <w:name w:val="List Number"/>
    <w:basedOn w:val="1"/>
    <w:qFormat/>
    <w:uiPriority w:val="0"/>
    <w:pPr>
      <w:numPr>
        <w:ilvl w:val="0"/>
        <w:numId w:val="2"/>
      </w:numPr>
    </w:pPr>
  </w:style>
  <w:style w:type="paragraph" w:styleId="7">
    <w:name w:val="annotation text"/>
    <w:basedOn w:val="1"/>
    <w:link w:val="54"/>
    <w:qFormat/>
    <w:uiPriority w:val="0"/>
    <w:pPr>
      <w:jc w:val="left"/>
    </w:pPr>
  </w:style>
  <w:style w:type="paragraph" w:styleId="8">
    <w:name w:val="Body Text"/>
    <w:basedOn w:val="1"/>
    <w:qFormat/>
    <w:uiPriority w:val="0"/>
    <w:pPr>
      <w:spacing w:line="360" w:lineRule="exact"/>
    </w:pPr>
    <w:rPr>
      <w:sz w:val="24"/>
    </w:rPr>
  </w:style>
  <w:style w:type="paragraph" w:styleId="9">
    <w:name w:val="Body Text Indent"/>
    <w:basedOn w:val="1"/>
    <w:next w:val="1"/>
    <w:qFormat/>
    <w:uiPriority w:val="0"/>
    <w:pPr>
      <w:spacing w:after="120"/>
      <w:ind w:left="420" w:leftChars="200"/>
    </w:pPr>
  </w:style>
  <w:style w:type="paragraph" w:styleId="10">
    <w:name w:val="Plain Text"/>
    <w:basedOn w:val="1"/>
    <w:next w:val="11"/>
    <w:qFormat/>
    <w:uiPriority w:val="0"/>
    <w:rPr>
      <w:rFonts w:ascii="宋体" w:hAnsi="Courier New" w:cstheme="minorBidi"/>
    </w:rPr>
  </w:style>
  <w:style w:type="paragraph" w:styleId="11">
    <w:name w:val="Date"/>
    <w:basedOn w:val="1"/>
    <w:next w:val="1"/>
    <w:qFormat/>
    <w:uiPriority w:val="0"/>
    <w:pPr>
      <w:ind w:left="2500" w:leftChars="2500"/>
    </w:pPr>
    <w:rPr>
      <w:rFonts w:eastAsia="楷体_GB2312" w:asciiTheme="minorHAnsi" w:hAnsiTheme="minorHAnsi" w:cstheme="minorBidi"/>
      <w:sz w:val="32"/>
      <w:szCs w:val="22"/>
    </w:rPr>
  </w:style>
  <w:style w:type="paragraph" w:styleId="12">
    <w:name w:val="Balloon Text"/>
    <w:basedOn w:val="1"/>
    <w:link w:val="4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7">
    <w:name w:val="annotation subject"/>
    <w:basedOn w:val="7"/>
    <w:next w:val="7"/>
    <w:link w:val="55"/>
    <w:qFormat/>
    <w:uiPriority w:val="0"/>
    <w:rPr>
      <w:b/>
      <w:bCs/>
    </w:rPr>
  </w:style>
  <w:style w:type="paragraph" w:styleId="18">
    <w:name w:val="Body Text First Indent"/>
    <w:basedOn w:val="1"/>
    <w:qFormat/>
    <w:uiPriority w:val="0"/>
    <w:pPr>
      <w:ind w:firstLine="200" w:firstLineChars="200"/>
    </w:pPr>
  </w:style>
  <w:style w:type="paragraph" w:styleId="19">
    <w:name w:val="Body Text First Indent 2"/>
    <w:basedOn w:val="9"/>
    <w:qFormat/>
    <w:uiPriority w:val="0"/>
    <w:pPr>
      <w:ind w:firstLine="420"/>
    </w:pPr>
  </w:style>
  <w:style w:type="table" w:styleId="21">
    <w:name w:val="Table Grid"/>
    <w:basedOn w:val="20"/>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character" w:styleId="23">
    <w:name w:val="Hyperlink"/>
    <w:qFormat/>
    <w:uiPriority w:val="0"/>
    <w:rPr>
      <w:color w:val="0000FF"/>
      <w:u w:val="single"/>
    </w:rPr>
  </w:style>
  <w:style w:type="character" w:styleId="24">
    <w:name w:val="annotation reference"/>
    <w:basedOn w:val="22"/>
    <w:qFormat/>
    <w:uiPriority w:val="0"/>
    <w:rPr>
      <w:sz w:val="21"/>
      <w:szCs w:val="21"/>
    </w:rPr>
  </w:style>
  <w:style w:type="paragraph" w:customStyle="1" w:styleId="25">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14"/>
    <w:qFormat/>
    <w:uiPriority w:val="0"/>
    <w:rPr>
      <w:rFonts w:ascii="Times New Roman" w:hAnsi="Times New Roman" w:eastAsia="宋体" w:cs="Times New Roman"/>
      <w:sz w:val="21"/>
      <w:szCs w:val="22"/>
      <w:lang w:val="en-US" w:eastAsia="zh-CN" w:bidi="ar-SA"/>
    </w:rPr>
  </w:style>
  <w:style w:type="paragraph" w:customStyle="1" w:styleId="3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纯文本_3"/>
    <w:basedOn w:val="34"/>
    <w:qFormat/>
    <w:uiPriority w:val="0"/>
    <w:pPr>
      <w:widowControl/>
      <w:jc w:val="left"/>
    </w:pPr>
    <w:rPr>
      <w:rFonts w:ascii="宋体" w:hAnsi="Courier New" w:eastAsiaTheme="minorEastAsia" w:cstheme="minorBidi"/>
      <w:szCs w:val="21"/>
    </w:rPr>
  </w:style>
  <w:style w:type="paragraph" w:customStyle="1" w:styleId="36">
    <w:name w:val="纯文本_0_1"/>
    <w:basedOn w:val="1"/>
    <w:qFormat/>
    <w:uiPriority w:val="0"/>
    <w:pPr>
      <w:widowControl/>
      <w:jc w:val="left"/>
    </w:pPr>
    <w:rPr>
      <w:rFonts w:ascii="宋体" w:hAnsi="Courier New" w:eastAsiaTheme="minorEastAsia" w:cstheme="minorBidi"/>
      <w:szCs w:val="21"/>
    </w:rPr>
  </w:style>
  <w:style w:type="paragraph" w:customStyle="1" w:styleId="3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font21"/>
    <w:basedOn w:val="22"/>
    <w:qFormat/>
    <w:uiPriority w:val="0"/>
    <w:rPr>
      <w:rFonts w:hint="default" w:ascii="Arial" w:hAnsi="Arial" w:cs="Arial"/>
      <w:color w:val="000000"/>
      <w:sz w:val="20"/>
      <w:szCs w:val="20"/>
      <w:u w:val="none"/>
    </w:rPr>
  </w:style>
  <w:style w:type="character" w:customStyle="1" w:styleId="42">
    <w:name w:val="font01"/>
    <w:basedOn w:val="22"/>
    <w:qFormat/>
    <w:uiPriority w:val="0"/>
    <w:rPr>
      <w:rFonts w:hint="eastAsia" w:ascii="宋体" w:hAnsi="宋体" w:eastAsia="宋体" w:cs="宋体"/>
      <w:color w:val="000000"/>
      <w:sz w:val="20"/>
      <w:szCs w:val="20"/>
      <w:u w:val="none"/>
    </w:rPr>
  </w:style>
  <w:style w:type="paragraph" w:customStyle="1" w:styleId="43">
    <w:name w:val="纯文本1"/>
    <w:basedOn w:val="44"/>
    <w:qFormat/>
    <w:uiPriority w:val="0"/>
    <w:pPr>
      <w:widowControl/>
      <w:jc w:val="left"/>
    </w:pPr>
    <w:rPr>
      <w:rFonts w:ascii="宋体" w:hAnsi="Courier New"/>
    </w:rPr>
  </w:style>
  <w:style w:type="paragraph" w:customStyle="1" w:styleId="4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5">
    <w:name w:val="Table Paragraph"/>
    <w:basedOn w:val="1"/>
    <w:qFormat/>
    <w:uiPriority w:val="1"/>
    <w:rPr>
      <w:rFonts w:ascii="宋体" w:hAnsi="宋体" w:cs="宋体"/>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默认段落字体 Para Char Char Char Char Char Char Char Char Char1 Char Char Char Char"/>
    <w:basedOn w:val="1"/>
    <w:qFormat/>
    <w:uiPriority w:val="0"/>
    <w:rPr>
      <w:rFonts w:ascii="Tahoma" w:hAnsi="Tahoma"/>
      <w:sz w:val="24"/>
      <w:szCs w:val="20"/>
    </w:rPr>
  </w:style>
  <w:style w:type="character" w:customStyle="1" w:styleId="48">
    <w:name w:val="批注框文本 字符"/>
    <w:basedOn w:val="22"/>
    <w:link w:val="12"/>
    <w:qFormat/>
    <w:uiPriority w:val="0"/>
    <w:rPr>
      <w:kern w:val="2"/>
      <w:sz w:val="18"/>
      <w:szCs w:val="18"/>
    </w:rPr>
  </w:style>
  <w:style w:type="paragraph" w:customStyle="1" w:styleId="49">
    <w:name w:val="英文"/>
    <w:basedOn w:val="1"/>
    <w:link w:val="51"/>
    <w:qFormat/>
    <w:uiPriority w:val="0"/>
    <w:pPr>
      <w:adjustRightInd w:val="0"/>
      <w:snapToGrid w:val="0"/>
      <w:spacing w:line="360" w:lineRule="auto"/>
      <w:ind w:firstLine="480" w:firstLineChars="200"/>
    </w:pPr>
    <w:rPr>
      <w:rFonts w:ascii="Arial" w:hAnsi="Arial" w:cs="Arial"/>
      <w:sz w:val="24"/>
    </w:rPr>
  </w:style>
  <w:style w:type="paragraph" w:customStyle="1" w:styleId="50">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1">
    <w:name w:val="英文 Char"/>
    <w:link w:val="49"/>
    <w:qFormat/>
    <w:uiPriority w:val="0"/>
    <w:rPr>
      <w:rFonts w:ascii="Arial" w:hAnsi="Arial" w:cs="Arial"/>
      <w:sz w:val="24"/>
    </w:rPr>
  </w:style>
  <w:style w:type="paragraph" w:customStyle="1" w:styleId="52">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3">
    <w:name w:val="标书正文"/>
    <w:basedOn w:val="1"/>
    <w:qFormat/>
    <w:uiPriority w:val="0"/>
    <w:pPr>
      <w:suppressAutoHyphens/>
      <w:autoSpaceDE w:val="0"/>
      <w:autoSpaceDN w:val="0"/>
      <w:adjustRightInd w:val="0"/>
      <w:snapToGrid w:val="0"/>
    </w:pPr>
  </w:style>
  <w:style w:type="character" w:customStyle="1" w:styleId="54">
    <w:name w:val="批注文字 字符"/>
    <w:basedOn w:val="22"/>
    <w:link w:val="7"/>
    <w:qFormat/>
    <w:uiPriority w:val="0"/>
    <w:rPr>
      <w:kern w:val="2"/>
      <w:sz w:val="21"/>
      <w:szCs w:val="24"/>
    </w:rPr>
  </w:style>
  <w:style w:type="character" w:customStyle="1" w:styleId="55">
    <w:name w:val="批注主题 字符"/>
    <w:basedOn w:val="54"/>
    <w:link w:val="17"/>
    <w:qFormat/>
    <w:uiPriority w:val="0"/>
    <w:rPr>
      <w:b/>
      <w:bCs/>
      <w:kern w:val="2"/>
      <w:sz w:val="21"/>
      <w:szCs w:val="24"/>
    </w:r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31853</Words>
  <Characters>33008</Characters>
  <Lines>264</Lines>
  <Paragraphs>74</Paragraphs>
  <TotalTime>113</TotalTime>
  <ScaleCrop>false</ScaleCrop>
  <LinksUpToDate>false</LinksUpToDate>
  <CharactersWithSpaces>34629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2021-02-05T17:06:00Z</dcterms:created>
  <dc:creator>Thorpe521</dc:creator>
  <cp:lastModifiedBy>阿拉丁</cp:lastModifiedBy>
  <dcterms:modified xsi:type="dcterms:W3CDTF">2022-09-26T08:42:04Z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EA4A0E49513944B4AD60CAF286B291CA</vt:lpwstr>
  </property>
</Properties>
</file>