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eastAsia="宋体"/>
          <w:b/>
          <w:kern w:val="0"/>
          <w:sz w:val="52"/>
          <w:szCs w:val="52"/>
          <w:lang w:eastAsia="zh-CN"/>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color w:val="FF0000"/>
          <w:kern w:val="0"/>
          <w:sz w:val="32"/>
        </w:rPr>
      </w:pPr>
      <w:r>
        <w:rPr>
          <w:rFonts w:hint="eastAsia" w:ascii="宋体"/>
          <w:b/>
          <w:color w:val="auto"/>
          <w:kern w:val="0"/>
          <w:sz w:val="32"/>
          <w:lang w:val="en-US" w:eastAsia="zh-CN"/>
        </w:rPr>
        <w:t>TZCG-2022-GK018</w:t>
      </w:r>
      <w:r>
        <w:rPr>
          <w:rFonts w:hint="eastAsia" w:ascii="宋体"/>
          <w:b/>
          <w:color w:val="auto"/>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hint="default" w:ascii="宋体" w:eastAsia="宋体"/>
          <w:kern w:val="0"/>
          <w:sz w:val="28"/>
          <w:lang w:val="en-US" w:eastAsia="zh-CN"/>
        </w:rPr>
      </w:pPr>
      <w:r>
        <w:rPr>
          <w:rFonts w:hint="eastAsia" w:ascii="宋体"/>
          <w:kern w:val="0"/>
          <w:sz w:val="28"/>
        </w:rPr>
        <w:t>采购项目：</w:t>
      </w:r>
      <w:r>
        <w:rPr>
          <w:rFonts w:hint="eastAsia" w:ascii="宋体"/>
          <w:kern w:val="0"/>
          <w:sz w:val="28"/>
          <w:lang w:val="en-US" w:eastAsia="zh-CN"/>
        </w:rPr>
        <w:t>台州市巨灾保险采购项目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人：台州市应急管理局</w:t>
      </w:r>
      <w:bookmarkStart w:id="104" w:name="_GoBack"/>
      <w:bookmarkEnd w:id="104"/>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color w:val="auto"/>
        </w:rPr>
      </w:pPr>
      <w:r>
        <w:rPr>
          <w:rFonts w:hint="eastAsia" w:ascii="宋体" w:hAnsi="宋体" w:cs="宋体"/>
          <w:color w:val="auto"/>
          <w:kern w:val="0"/>
          <w:sz w:val="28"/>
          <w:szCs w:val="28"/>
          <w:lang w:val="en-US" w:eastAsia="zh-CN"/>
        </w:rPr>
        <w:t xml:space="preserve">2022 </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 xml:space="preserve"> 8 </w:t>
      </w:r>
      <w:r>
        <w:rPr>
          <w:rFonts w:hint="eastAsia" w:ascii="宋体" w:hAnsi="宋体" w:cs="宋体"/>
          <w:color w:val="auto"/>
          <w:kern w:val="0"/>
          <w:sz w:val="28"/>
          <w:szCs w:val="28"/>
        </w:rPr>
        <w:t xml:space="preserve">月 </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 xml:space="preserve"> 日</w:t>
      </w:r>
    </w:p>
    <w:p>
      <w:pPr>
        <w:spacing w:line="360" w:lineRule="auto"/>
      </w:pPr>
    </w:p>
    <w:p>
      <w:pPr>
        <w:pStyle w:val="25"/>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6"/>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fldChar w:fldCharType="end"/>
          </w:r>
          <w:r>
            <w:rPr>
              <w:rFonts w:hint="eastAsia" w:eastAsiaTheme="minorEastAsia" w:cstheme="minorBidi"/>
              <w:sz w:val="28"/>
              <w:szCs w:val="28"/>
              <w:lang w:val="en-US" w:eastAsia="zh-CN"/>
            </w:rPr>
            <w:t>6</w:t>
          </w:r>
        </w:p>
        <w:p>
          <w:pPr>
            <w:pStyle w:val="16"/>
            <w:tabs>
              <w:tab w:val="right" w:leader="dot" w:pos="8620"/>
            </w:tabs>
            <w:ind w:right="638" w:rightChars="304"/>
            <w:rPr>
              <w:rFonts w:hint="eastAsia" w:eastAsiaTheme="minorEastAsia" w:cstheme="minorBidi"/>
              <w:sz w:val="28"/>
              <w:szCs w:val="28"/>
              <w:lang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w:t>
          </w:r>
          <w:bookmarkEnd w:id="2"/>
          <w:r>
            <w:rPr>
              <w:rFonts w:hint="eastAsia" w:eastAsiaTheme="minorEastAsia" w:cstheme="minorBidi"/>
              <w:sz w:val="28"/>
              <w:szCs w:val="28"/>
              <w:lang w:val="en-US" w:eastAsia="zh-CN"/>
            </w:rPr>
            <w:t>1</w:t>
          </w:r>
          <w:r>
            <w:rPr>
              <w:rFonts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w:t>
          </w:r>
          <w:bookmarkEnd w:id="3"/>
          <w:r>
            <w:rPr>
              <w:rFonts w:hint="eastAsia" w:eastAsiaTheme="minorEastAsia" w:cstheme="minorBidi"/>
              <w:sz w:val="28"/>
              <w:szCs w:val="28"/>
              <w:lang w:val="en-US" w:eastAsia="zh-CN"/>
            </w:rPr>
            <w:t>0</w:t>
          </w:r>
          <w:r>
            <w:rPr>
              <w:rFonts w:eastAsiaTheme="minorEastAsia" w:cstheme="minorBidi"/>
              <w:sz w:val="28"/>
              <w:szCs w:val="28"/>
            </w:rPr>
            <w:fldChar w:fldCharType="end"/>
          </w:r>
        </w:p>
        <w:p>
          <w:pPr>
            <w:pStyle w:val="16"/>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3</w:t>
          </w:r>
          <w:r>
            <w:rPr>
              <w:rFonts w:eastAsiaTheme="minorEastAsia" w:cstheme="minorBidi"/>
              <w:sz w:val="28"/>
              <w:szCs w:val="28"/>
            </w:rPr>
            <w:fldChar w:fldCharType="end"/>
          </w:r>
          <w:r>
            <w:rPr>
              <w:rFonts w:hint="eastAsia" w:eastAsiaTheme="minorEastAsia" w:cstheme="minorBidi"/>
              <w:sz w:val="28"/>
              <w:szCs w:val="28"/>
              <w:lang w:val="en-US" w:eastAsia="zh-CN"/>
            </w:rPr>
            <w:t>8</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4" w:name="_Toc4350_WPSOffice_Level1"/>
      <w:r>
        <w:rPr>
          <w:rFonts w:hint="eastAsia" w:ascii="宋体" w:hAnsi="宋体" w:cs="宋体"/>
          <w:b/>
          <w:kern w:val="0"/>
          <w:sz w:val="36"/>
          <w:szCs w:val="36"/>
        </w:rPr>
        <w:t>投标邀请</w:t>
      </w:r>
      <w:bookmarkEnd w:id="4"/>
    </w:p>
    <w:p>
      <w:pPr>
        <w:pStyle w:val="4"/>
        <w:ind w:firstLine="480" w:firstLineChars="200"/>
        <w:rPr>
          <w:rFonts w:cs="宋体"/>
          <w:b w:val="0"/>
          <w:sz w:val="24"/>
          <w:szCs w:val="24"/>
        </w:rPr>
      </w:pPr>
      <w:bookmarkStart w:id="5" w:name="_Toc28359079"/>
      <w:bookmarkStart w:id="6" w:name="_Toc35393621"/>
      <w:bookmarkStart w:id="7" w:name="_Toc28359002"/>
      <w:bookmarkStart w:id="8" w:name="_Toc35393790"/>
      <w:bookmarkStart w:id="9" w:name="_Hlk24379207"/>
      <w:r>
        <w:rPr>
          <w:rFonts w:hint="eastAsia" w:cs="宋体"/>
          <w:b w:val="0"/>
          <w:sz w:val="24"/>
          <w:szCs w:val="24"/>
          <w:lang w:val="en-US" w:eastAsia="zh-CN"/>
        </w:rPr>
        <w:t>台州市</w:t>
      </w:r>
      <w:r>
        <w:rPr>
          <w:rFonts w:hint="eastAsia" w:cs="宋体"/>
          <w:b w:val="0"/>
          <w:sz w:val="24"/>
          <w:szCs w:val="24"/>
        </w:rPr>
        <w:t>政府采购中心受台州市应急管理局委托，就台州市巨灾保险采购项目进行公开招标，欢迎符合资格条件的国内投标人参加投标。</w:t>
      </w:r>
    </w:p>
    <w:p>
      <w:pPr>
        <w:pStyle w:val="4"/>
        <w:ind w:firstLine="482" w:firstLineChars="200"/>
        <w:rPr>
          <w:rFonts w:cs="宋体"/>
          <w:bCs/>
          <w:sz w:val="24"/>
          <w:szCs w:val="24"/>
        </w:rPr>
      </w:pPr>
      <w:r>
        <w:rPr>
          <w:rFonts w:hint="eastAsia" w:cs="宋体"/>
          <w:bCs/>
          <w:sz w:val="24"/>
          <w:szCs w:val="24"/>
        </w:rPr>
        <w:t>一、项目基本情况</w:t>
      </w:r>
      <w:bookmarkEnd w:id="5"/>
      <w:bookmarkEnd w:id="6"/>
      <w:bookmarkEnd w:id="7"/>
      <w:bookmarkEnd w:id="8"/>
    </w:p>
    <w:p>
      <w:pPr>
        <w:spacing w:line="360" w:lineRule="auto"/>
        <w:ind w:firstLine="480" w:firstLineChars="200"/>
        <w:rPr>
          <w:rFonts w:ascii="宋体" w:hAnsi="宋体" w:cs="宋体"/>
          <w:sz w:val="24"/>
        </w:rPr>
      </w:pPr>
      <w:r>
        <w:rPr>
          <w:rFonts w:hint="eastAsia" w:ascii="宋体" w:hAnsi="宋体" w:cs="宋体"/>
          <w:sz w:val="24"/>
        </w:rPr>
        <w:t>项目编号：TZCG-2022-GK018</w:t>
      </w:r>
      <w:r>
        <w:rPr>
          <w:rFonts w:hint="eastAsia" w:asciiTheme="minorEastAsia" w:hAnsiTheme="minorEastAsia" w:eastAsiaTheme="minorEastAsia" w:cstheme="minorEastAsia"/>
          <w:color w:val="auto"/>
          <w:sz w:val="24"/>
        </w:rPr>
        <w:t>号</w:t>
      </w:r>
    </w:p>
    <w:bookmarkEnd w:id="9"/>
    <w:p>
      <w:pPr>
        <w:spacing w:line="360" w:lineRule="auto"/>
        <w:ind w:firstLine="480" w:firstLineChars="200"/>
      </w:pPr>
      <w:r>
        <w:rPr>
          <w:rFonts w:hint="eastAsia" w:ascii="宋体" w:hAnsi="宋体" w:cs="宋体"/>
          <w:sz w:val="24"/>
        </w:rPr>
        <w:t>项目名称：台州市巨灾保险采购</w:t>
      </w:r>
      <w:r>
        <w:rPr>
          <w:rFonts w:hint="eastAsia" w:ascii="宋体" w:hAnsi="宋体" w:cs="宋体"/>
          <w:kern w:val="0"/>
          <w:sz w:val="24"/>
        </w:rPr>
        <w:t>项目</w:t>
      </w:r>
    </w:p>
    <w:tbl>
      <w:tblPr>
        <w:tblStyle w:val="20"/>
        <w:tblpPr w:leftFromText="181" w:rightFromText="181" w:bottomFromText="170" w:vertAnchor="text" w:tblpXSpec="center" w:tblpY="1"/>
        <w:tblOverlap w:val="never"/>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328"/>
        <w:gridCol w:w="1650"/>
        <w:gridCol w:w="1605"/>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85" w:type="pct"/>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1850" w:type="pct"/>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17" w:type="pct"/>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892" w:type="pct"/>
            <w:vAlign w:val="center"/>
          </w:tcPr>
          <w:p>
            <w:pPr>
              <w:jc w:val="center"/>
              <w:rPr>
                <w:rFonts w:hint="eastAsia" w:ascii="宋体" w:hAnsi="宋体" w:cs="宋体"/>
                <w:b/>
                <w:sz w:val="21"/>
                <w:szCs w:val="21"/>
                <w:lang w:val="en-US" w:eastAsia="zh-CN"/>
              </w:rPr>
            </w:pPr>
            <w:r>
              <w:rPr>
                <w:rFonts w:hint="eastAsia" w:ascii="宋体" w:hAnsi="宋体" w:cs="宋体"/>
                <w:b/>
                <w:sz w:val="21"/>
                <w:szCs w:val="21"/>
                <w:lang w:val="en-US" w:eastAsia="zh-CN"/>
              </w:rPr>
              <w:t>固定保费</w:t>
            </w:r>
          </w:p>
          <w:p>
            <w:pPr>
              <w:jc w:val="center"/>
              <w:rPr>
                <w:rFonts w:ascii="宋体" w:hAnsi="宋体" w:cs="宋体"/>
                <w:b/>
                <w:sz w:val="21"/>
                <w:szCs w:val="21"/>
              </w:rPr>
            </w:pPr>
            <w:r>
              <w:rPr>
                <w:rFonts w:hint="eastAsia" w:ascii="宋体" w:hAnsi="宋体" w:cs="宋体"/>
                <w:b/>
                <w:sz w:val="21"/>
                <w:szCs w:val="21"/>
              </w:rPr>
              <w:t>（万元）</w:t>
            </w:r>
          </w:p>
        </w:tc>
        <w:tc>
          <w:tcPr>
            <w:tcW w:w="853" w:type="pct"/>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赔付额整体</w:t>
            </w:r>
          </w:p>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上浮幅度</w:t>
            </w:r>
            <w:r>
              <w:rPr>
                <w:rFonts w:hint="eastAsia" w:ascii="宋体" w:hAnsi="宋体" w:cs="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5"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rPr>
              <w:t>1</w:t>
            </w:r>
          </w:p>
        </w:tc>
        <w:tc>
          <w:tcPr>
            <w:tcW w:w="1850" w:type="pct"/>
            <w:vAlign w:val="center"/>
          </w:tcPr>
          <w:p>
            <w:pPr>
              <w:tabs>
                <w:tab w:val="left" w:pos="8280"/>
              </w:tabs>
              <w:autoSpaceDE w:val="0"/>
              <w:autoSpaceDN w:val="0"/>
              <w:adjustRightInd w:val="0"/>
              <w:rPr>
                <w:rFonts w:hint="default" w:ascii="宋体" w:hAnsi="宋体" w:cs="宋体"/>
                <w:b/>
                <w:bCs w:val="0"/>
                <w:sz w:val="21"/>
                <w:szCs w:val="21"/>
                <w:lang w:val="en-US"/>
              </w:rPr>
            </w:pPr>
            <w:r>
              <w:rPr>
                <w:rFonts w:hint="eastAsia" w:ascii="宋体" w:hAnsi="宋体" w:eastAsia="宋体" w:cs="宋体"/>
                <w:b/>
                <w:bCs w:val="0"/>
                <w:color w:val="000000" w:themeColor="text1"/>
                <w:sz w:val="21"/>
                <w:szCs w:val="21"/>
                <w:lang w:eastAsia="zh-CN"/>
                <w14:textFill>
                  <w14:solidFill>
                    <w14:schemeClr w14:val="tx1"/>
                  </w14:solidFill>
                </w14:textFill>
              </w:rPr>
              <w:t>温岭</w:t>
            </w:r>
            <w:r>
              <w:rPr>
                <w:rFonts w:hint="eastAsia" w:ascii="宋体" w:hAnsi="宋体" w:eastAsia="宋体" w:cs="宋体"/>
                <w:b/>
                <w:bCs w:val="0"/>
                <w:color w:val="000000" w:themeColor="text1"/>
                <w:sz w:val="21"/>
                <w:szCs w:val="21"/>
                <w:lang w:val="en-US" w:eastAsia="zh-CN"/>
                <w14:textFill>
                  <w14:solidFill>
                    <w14:schemeClr w14:val="tx1"/>
                  </w14:solidFill>
                </w14:textFill>
              </w:rPr>
              <w:t>市</w:t>
            </w:r>
            <w:r>
              <w:rPr>
                <w:rFonts w:hint="eastAsia" w:ascii="宋体" w:hAnsi="宋体" w:eastAsia="宋体" w:cs="宋体"/>
                <w:b/>
                <w:bCs w:val="0"/>
                <w:color w:val="000000" w:themeColor="text1"/>
                <w:sz w:val="21"/>
                <w:szCs w:val="21"/>
                <w:lang w:eastAsia="zh-CN"/>
                <w14:textFill>
                  <w14:solidFill>
                    <w14:schemeClr w14:val="tx1"/>
                  </w14:solidFill>
                </w14:textFill>
              </w:rPr>
              <w:t>、玉环</w:t>
            </w:r>
            <w:r>
              <w:rPr>
                <w:rFonts w:hint="eastAsia" w:ascii="宋体" w:hAnsi="宋体" w:eastAsia="宋体" w:cs="宋体"/>
                <w:b/>
                <w:bCs w:val="0"/>
                <w:color w:val="000000" w:themeColor="text1"/>
                <w:sz w:val="21"/>
                <w:szCs w:val="21"/>
                <w:lang w:val="en-US" w:eastAsia="zh-CN"/>
                <w14:textFill>
                  <w14:solidFill>
                    <w14:schemeClr w14:val="tx1"/>
                  </w14:solidFill>
                </w14:textFill>
              </w:rPr>
              <w:t>市</w:t>
            </w:r>
            <w:r>
              <w:rPr>
                <w:rFonts w:hint="eastAsia" w:ascii="宋体" w:hAnsi="宋体" w:eastAsia="宋体" w:cs="宋体"/>
                <w:b/>
                <w:bCs w:val="0"/>
                <w:color w:val="000000" w:themeColor="text1"/>
                <w:sz w:val="21"/>
                <w:szCs w:val="21"/>
                <w:lang w:eastAsia="zh-CN"/>
                <w14:textFill>
                  <w14:solidFill>
                    <w14:schemeClr w14:val="tx1"/>
                  </w14:solidFill>
                </w14:textFill>
              </w:rPr>
              <w:t>、路桥</w:t>
            </w:r>
            <w:r>
              <w:rPr>
                <w:rFonts w:hint="eastAsia" w:ascii="宋体" w:hAnsi="宋体" w:eastAsia="宋体" w:cs="宋体"/>
                <w:b/>
                <w:bCs w:val="0"/>
                <w:color w:val="000000" w:themeColor="text1"/>
                <w:sz w:val="21"/>
                <w:szCs w:val="21"/>
                <w:lang w:val="en-US" w:eastAsia="zh-CN"/>
                <w14:textFill>
                  <w14:solidFill>
                    <w14:schemeClr w14:val="tx1"/>
                  </w14:solidFill>
                </w14:textFill>
              </w:rPr>
              <w:t>区</w:t>
            </w:r>
            <w:r>
              <w:rPr>
                <w:rFonts w:hint="eastAsia" w:ascii="宋体" w:hAnsi="宋体" w:eastAsia="宋体" w:cs="宋体"/>
                <w:b/>
                <w:bCs w:val="0"/>
                <w:color w:val="000000" w:themeColor="text1"/>
                <w:sz w:val="21"/>
                <w:szCs w:val="21"/>
                <w:lang w:eastAsia="zh-CN"/>
                <w14:textFill>
                  <w14:solidFill>
                    <w14:schemeClr w14:val="tx1"/>
                  </w14:solidFill>
                </w14:textFill>
              </w:rPr>
              <w:t>、临海</w:t>
            </w:r>
            <w:r>
              <w:rPr>
                <w:rFonts w:hint="eastAsia" w:ascii="宋体" w:hAnsi="宋体" w:eastAsia="宋体" w:cs="宋体"/>
                <w:b/>
                <w:bCs w:val="0"/>
                <w:color w:val="000000" w:themeColor="text1"/>
                <w:sz w:val="21"/>
                <w:szCs w:val="21"/>
                <w:lang w:val="en-US" w:eastAsia="zh-CN"/>
                <w14:textFill>
                  <w14:solidFill>
                    <w14:schemeClr w14:val="tx1"/>
                  </w14:solidFill>
                </w14:textFill>
              </w:rPr>
              <w:t>市巨灾保险</w:t>
            </w:r>
          </w:p>
        </w:tc>
        <w:tc>
          <w:tcPr>
            <w:tcW w:w="917"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1118.7</w:t>
            </w:r>
            <w:r>
              <w:rPr>
                <w:rFonts w:hint="eastAsia" w:ascii="宋体" w:hAnsi="宋体" w:cs="宋体"/>
                <w:b/>
                <w:bCs w:val="0"/>
                <w:color w:val="000000" w:themeColor="text1"/>
                <w:sz w:val="21"/>
                <w:szCs w:val="21"/>
                <w:lang w:val="en-US" w:eastAsia="zh-CN"/>
                <w14:textFill>
                  <w14:solidFill>
                    <w14:schemeClr w14:val="tx1"/>
                  </w14:solidFill>
                </w14:textFill>
              </w:rPr>
              <w:t>2</w:t>
            </w:r>
          </w:p>
        </w:tc>
        <w:tc>
          <w:tcPr>
            <w:tcW w:w="892"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1118.7</w:t>
            </w:r>
            <w:r>
              <w:rPr>
                <w:rFonts w:hint="eastAsia" w:ascii="宋体" w:hAnsi="宋体" w:cs="宋体"/>
                <w:b/>
                <w:bCs w:val="0"/>
                <w:color w:val="000000" w:themeColor="text1"/>
                <w:sz w:val="21"/>
                <w:szCs w:val="21"/>
                <w:lang w:val="en-US" w:eastAsia="zh-CN"/>
                <w14:textFill>
                  <w14:solidFill>
                    <w14:schemeClr w14:val="tx1"/>
                  </w14:solidFill>
                </w14:textFill>
              </w:rPr>
              <w:t>2</w:t>
            </w:r>
          </w:p>
        </w:tc>
        <w:tc>
          <w:tcPr>
            <w:tcW w:w="853" w:type="pct"/>
            <w:vAlign w:val="center"/>
          </w:tcPr>
          <w:p>
            <w:pPr>
              <w:tabs>
                <w:tab w:val="left" w:pos="8280"/>
              </w:tabs>
              <w:autoSpaceDE w:val="0"/>
              <w:autoSpaceDN w:val="0"/>
              <w:adjustRightInd w:val="0"/>
              <w:jc w:val="center"/>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5" w:type="pct"/>
            <w:vAlign w:val="center"/>
          </w:tcPr>
          <w:p>
            <w:pPr>
              <w:tabs>
                <w:tab w:val="left" w:pos="8280"/>
              </w:tabs>
              <w:autoSpaceDE w:val="0"/>
              <w:autoSpaceDN w:val="0"/>
              <w:adjustRightInd w:val="0"/>
              <w:jc w:val="center"/>
              <w:rPr>
                <w:rFonts w:hint="eastAsia" w:ascii="宋体" w:hAnsi="宋体" w:eastAsia="宋体" w:cs="宋体"/>
                <w:b/>
                <w:bCs w:val="0"/>
                <w:sz w:val="21"/>
                <w:szCs w:val="21"/>
                <w:lang w:val="en-US" w:eastAsia="zh-CN"/>
              </w:rPr>
            </w:pPr>
            <w:bookmarkStart w:id="10" w:name="_Toc28359080"/>
            <w:bookmarkStart w:id="11" w:name="_Toc35393791"/>
            <w:bookmarkStart w:id="12" w:name="_Toc35393622"/>
            <w:bookmarkStart w:id="13" w:name="_Toc28359003"/>
            <w:r>
              <w:rPr>
                <w:rFonts w:hint="eastAsia" w:ascii="宋体" w:hAnsi="宋体" w:cs="宋体"/>
                <w:b/>
                <w:bCs w:val="0"/>
                <w:sz w:val="21"/>
                <w:szCs w:val="21"/>
                <w:lang w:val="en-US" w:eastAsia="zh-CN"/>
              </w:rPr>
              <w:t>2</w:t>
            </w:r>
          </w:p>
        </w:tc>
        <w:tc>
          <w:tcPr>
            <w:tcW w:w="1850" w:type="pct"/>
            <w:vAlign w:val="center"/>
          </w:tcPr>
          <w:p>
            <w:pPr>
              <w:tabs>
                <w:tab w:val="left" w:pos="8280"/>
              </w:tabs>
              <w:autoSpaceDE w:val="0"/>
              <w:autoSpaceDN w:val="0"/>
              <w:adjustRightInd w:val="0"/>
              <w:rPr>
                <w:rFonts w:hint="default" w:ascii="宋体" w:hAnsi="宋体" w:cs="宋体"/>
                <w:b/>
                <w:bCs w:val="0"/>
                <w:sz w:val="21"/>
                <w:szCs w:val="21"/>
                <w:lang w:val="en-US"/>
              </w:rPr>
            </w:pPr>
            <w:r>
              <w:rPr>
                <w:rFonts w:hint="eastAsia" w:ascii="宋体" w:hAnsi="宋体" w:eastAsia="宋体" w:cs="宋体"/>
                <w:b/>
                <w:bCs w:val="0"/>
                <w:color w:val="000000" w:themeColor="text1"/>
                <w:sz w:val="21"/>
                <w:szCs w:val="21"/>
                <w:lang w:eastAsia="zh-CN"/>
                <w14:textFill>
                  <w14:solidFill>
                    <w14:schemeClr w14:val="tx1"/>
                  </w14:solidFill>
                </w14:textFill>
              </w:rPr>
              <w:t>天台</w:t>
            </w:r>
            <w:r>
              <w:rPr>
                <w:rFonts w:hint="eastAsia" w:ascii="宋体" w:hAnsi="宋体" w:eastAsia="宋体" w:cs="宋体"/>
                <w:b/>
                <w:bCs w:val="0"/>
                <w:color w:val="000000" w:themeColor="text1"/>
                <w:sz w:val="21"/>
                <w:szCs w:val="21"/>
                <w:lang w:val="en-US" w:eastAsia="zh-CN"/>
                <w14:textFill>
                  <w14:solidFill>
                    <w14:schemeClr w14:val="tx1"/>
                  </w14:solidFill>
                </w14:textFill>
              </w:rPr>
              <w:t>县</w:t>
            </w:r>
            <w:r>
              <w:rPr>
                <w:rFonts w:hint="eastAsia" w:ascii="宋体" w:hAnsi="宋体" w:eastAsia="宋体" w:cs="宋体"/>
                <w:b/>
                <w:bCs w:val="0"/>
                <w:color w:val="000000" w:themeColor="text1"/>
                <w:sz w:val="21"/>
                <w:szCs w:val="21"/>
                <w:lang w:eastAsia="zh-CN"/>
                <w14:textFill>
                  <w14:solidFill>
                    <w14:schemeClr w14:val="tx1"/>
                  </w14:solidFill>
                </w14:textFill>
              </w:rPr>
              <w:t>、仙居</w:t>
            </w:r>
            <w:r>
              <w:rPr>
                <w:rFonts w:hint="eastAsia" w:ascii="宋体" w:hAnsi="宋体" w:eastAsia="宋体" w:cs="宋体"/>
                <w:b/>
                <w:bCs w:val="0"/>
                <w:color w:val="000000" w:themeColor="text1"/>
                <w:sz w:val="21"/>
                <w:szCs w:val="21"/>
                <w:lang w:val="en-US" w:eastAsia="zh-CN"/>
                <w14:textFill>
                  <w14:solidFill>
                    <w14:schemeClr w14:val="tx1"/>
                  </w14:solidFill>
                </w14:textFill>
              </w:rPr>
              <w:t>县</w:t>
            </w:r>
            <w:r>
              <w:rPr>
                <w:rFonts w:hint="eastAsia" w:ascii="宋体" w:hAnsi="宋体" w:eastAsia="宋体" w:cs="宋体"/>
                <w:b/>
                <w:bCs w:val="0"/>
                <w:color w:val="000000" w:themeColor="text1"/>
                <w:sz w:val="21"/>
                <w:szCs w:val="21"/>
                <w:lang w:eastAsia="zh-CN"/>
                <w14:textFill>
                  <w14:solidFill>
                    <w14:schemeClr w14:val="tx1"/>
                  </w14:solidFill>
                </w14:textFill>
              </w:rPr>
              <w:t>、三门</w:t>
            </w:r>
            <w:r>
              <w:rPr>
                <w:rFonts w:hint="eastAsia" w:ascii="宋体" w:hAnsi="宋体" w:eastAsia="宋体" w:cs="宋体"/>
                <w:b/>
                <w:bCs w:val="0"/>
                <w:color w:val="000000" w:themeColor="text1"/>
                <w:sz w:val="21"/>
                <w:szCs w:val="21"/>
                <w:lang w:val="en-US" w:eastAsia="zh-CN"/>
                <w14:textFill>
                  <w14:solidFill>
                    <w14:schemeClr w14:val="tx1"/>
                  </w14:solidFill>
                </w14:textFill>
              </w:rPr>
              <w:t>县巨灾保险</w:t>
            </w:r>
          </w:p>
        </w:tc>
        <w:tc>
          <w:tcPr>
            <w:tcW w:w="917"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544.4</w:t>
            </w:r>
          </w:p>
        </w:tc>
        <w:tc>
          <w:tcPr>
            <w:tcW w:w="892" w:type="pct"/>
            <w:vAlign w:val="center"/>
          </w:tcPr>
          <w:p>
            <w:pPr>
              <w:tabs>
                <w:tab w:val="left" w:pos="8280"/>
              </w:tabs>
              <w:autoSpaceDE w:val="0"/>
              <w:autoSpaceDN w:val="0"/>
              <w:adjustRightInd w:val="0"/>
              <w:jc w:val="cente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544.4</w:t>
            </w:r>
          </w:p>
        </w:tc>
        <w:tc>
          <w:tcPr>
            <w:tcW w:w="853"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5" w:type="pct"/>
            <w:vAlign w:val="center"/>
          </w:tcPr>
          <w:p>
            <w:pPr>
              <w:tabs>
                <w:tab w:val="left" w:pos="8280"/>
              </w:tabs>
              <w:autoSpaceDE w:val="0"/>
              <w:autoSpaceDN w:val="0"/>
              <w:adjustRightInd w:val="0"/>
              <w:jc w:val="center"/>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3</w:t>
            </w:r>
          </w:p>
        </w:tc>
        <w:tc>
          <w:tcPr>
            <w:tcW w:w="1850" w:type="pct"/>
            <w:vAlign w:val="center"/>
          </w:tcPr>
          <w:p>
            <w:pPr>
              <w:tabs>
                <w:tab w:val="left" w:pos="8280"/>
              </w:tabs>
              <w:autoSpaceDE w:val="0"/>
              <w:autoSpaceDN w:val="0"/>
              <w:adjustRightInd w:val="0"/>
              <w:rPr>
                <w:rFonts w:hint="default" w:ascii="宋体" w:hAnsi="宋体" w:cs="宋体"/>
                <w:b/>
                <w:bCs w:val="0"/>
                <w:sz w:val="21"/>
                <w:szCs w:val="21"/>
                <w:lang w:val="en-US"/>
              </w:rPr>
            </w:pPr>
            <w:r>
              <w:rPr>
                <w:rFonts w:hint="eastAsia" w:ascii="宋体" w:hAnsi="宋体" w:eastAsia="宋体" w:cs="宋体"/>
                <w:b/>
                <w:bCs w:val="0"/>
                <w:color w:val="000000" w:themeColor="text1"/>
                <w:sz w:val="21"/>
                <w:szCs w:val="21"/>
                <w:lang w:eastAsia="zh-CN"/>
                <w14:textFill>
                  <w14:solidFill>
                    <w14:schemeClr w14:val="tx1"/>
                  </w14:solidFill>
                </w14:textFill>
              </w:rPr>
              <w:t>椒江</w:t>
            </w:r>
            <w:r>
              <w:rPr>
                <w:rFonts w:hint="eastAsia" w:ascii="宋体" w:hAnsi="宋体" w:eastAsia="宋体" w:cs="宋体"/>
                <w:b/>
                <w:bCs w:val="0"/>
                <w:color w:val="000000" w:themeColor="text1"/>
                <w:sz w:val="21"/>
                <w:szCs w:val="21"/>
                <w:lang w:val="en-US" w:eastAsia="zh-CN"/>
                <w14:textFill>
                  <w14:solidFill>
                    <w14:schemeClr w14:val="tx1"/>
                  </w14:solidFill>
                </w14:textFill>
              </w:rPr>
              <w:t>区</w:t>
            </w:r>
            <w:r>
              <w:rPr>
                <w:rFonts w:hint="eastAsia" w:ascii="宋体" w:hAnsi="宋体" w:eastAsia="宋体" w:cs="宋体"/>
                <w:b/>
                <w:bCs w:val="0"/>
                <w:color w:val="000000" w:themeColor="text1"/>
                <w:sz w:val="21"/>
                <w:szCs w:val="21"/>
                <w:lang w:eastAsia="zh-CN"/>
                <w14:textFill>
                  <w14:solidFill>
                    <w14:schemeClr w14:val="tx1"/>
                  </w14:solidFill>
                </w14:textFill>
              </w:rPr>
              <w:t>、台州湾新区</w:t>
            </w:r>
            <w:r>
              <w:rPr>
                <w:rFonts w:hint="eastAsia" w:ascii="宋体" w:hAnsi="宋体" w:eastAsia="宋体" w:cs="宋体"/>
                <w:b/>
                <w:bCs w:val="0"/>
                <w:color w:val="000000" w:themeColor="text1"/>
                <w:sz w:val="21"/>
                <w:szCs w:val="21"/>
                <w:lang w:val="en-US" w:eastAsia="zh-CN"/>
                <w14:textFill>
                  <w14:solidFill>
                    <w14:schemeClr w14:val="tx1"/>
                  </w14:solidFill>
                </w14:textFill>
              </w:rPr>
              <w:t>巨灾保险</w:t>
            </w:r>
          </w:p>
        </w:tc>
        <w:tc>
          <w:tcPr>
            <w:tcW w:w="917"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236.32</w:t>
            </w:r>
          </w:p>
        </w:tc>
        <w:tc>
          <w:tcPr>
            <w:tcW w:w="892" w:type="pct"/>
            <w:vAlign w:val="center"/>
          </w:tcPr>
          <w:p>
            <w:pPr>
              <w:tabs>
                <w:tab w:val="left" w:pos="8280"/>
              </w:tabs>
              <w:autoSpaceDE w:val="0"/>
              <w:autoSpaceDN w:val="0"/>
              <w:adjustRightInd w:val="0"/>
              <w:jc w:val="cente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236.32</w:t>
            </w:r>
          </w:p>
        </w:tc>
        <w:tc>
          <w:tcPr>
            <w:tcW w:w="853"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5" w:type="pct"/>
            <w:vAlign w:val="center"/>
          </w:tcPr>
          <w:p>
            <w:pPr>
              <w:tabs>
                <w:tab w:val="left" w:pos="8280"/>
              </w:tabs>
              <w:autoSpaceDE w:val="0"/>
              <w:autoSpaceDN w:val="0"/>
              <w:adjustRightInd w:val="0"/>
              <w:jc w:val="center"/>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4</w:t>
            </w:r>
          </w:p>
        </w:tc>
        <w:tc>
          <w:tcPr>
            <w:tcW w:w="1850" w:type="pct"/>
            <w:vAlign w:val="center"/>
          </w:tcPr>
          <w:p>
            <w:pPr>
              <w:tabs>
                <w:tab w:val="left" w:pos="8280"/>
              </w:tabs>
              <w:autoSpaceDE w:val="0"/>
              <w:autoSpaceDN w:val="0"/>
              <w:adjustRightInd w:val="0"/>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黄岩区</w:t>
            </w:r>
            <w:r>
              <w:rPr>
                <w:rFonts w:hint="eastAsia" w:ascii="宋体" w:hAnsi="宋体" w:eastAsia="宋体" w:cs="宋体"/>
                <w:b/>
                <w:bCs w:val="0"/>
                <w:color w:val="000000" w:themeColor="text1"/>
                <w:sz w:val="21"/>
                <w:szCs w:val="21"/>
                <w:lang w:val="en-US" w:eastAsia="zh-CN"/>
                <w14:textFill>
                  <w14:solidFill>
                    <w14:schemeClr w14:val="tx1"/>
                  </w14:solidFill>
                </w14:textFill>
              </w:rPr>
              <w:t>巨灾保险</w:t>
            </w:r>
          </w:p>
        </w:tc>
        <w:tc>
          <w:tcPr>
            <w:tcW w:w="917"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200.56</w:t>
            </w:r>
          </w:p>
        </w:tc>
        <w:tc>
          <w:tcPr>
            <w:tcW w:w="892" w:type="pct"/>
            <w:vAlign w:val="center"/>
          </w:tcPr>
          <w:p>
            <w:pPr>
              <w:tabs>
                <w:tab w:val="left" w:pos="8280"/>
              </w:tabs>
              <w:autoSpaceDE w:val="0"/>
              <w:autoSpaceDN w:val="0"/>
              <w:adjustRightInd w:val="0"/>
              <w:jc w:val="cente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200.56</w:t>
            </w:r>
          </w:p>
        </w:tc>
        <w:tc>
          <w:tcPr>
            <w:tcW w:w="853"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lang w:val="en-US" w:eastAsia="zh-CN"/>
              </w:rPr>
              <w:t>≥0</w:t>
            </w:r>
          </w:p>
        </w:tc>
      </w:tr>
    </w:tbl>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r>
        <w:rPr>
          <w:rFonts w:hint="eastAsia" w:cs="宋体"/>
          <w:bCs/>
          <w:sz w:val="24"/>
          <w:szCs w:val="24"/>
          <w:lang w:eastAsia="zh-CN"/>
        </w:rPr>
        <w:t>二、</w:t>
      </w:r>
      <w:r>
        <w:rPr>
          <w:rFonts w:hint="eastAsia" w:cs="宋体"/>
          <w:bCs/>
          <w:sz w:val="24"/>
          <w:szCs w:val="24"/>
        </w:rPr>
        <w:t>投标人的资格要求</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B050"/>
          <w:sz w:val="24"/>
          <w:lang w:val="en-US" w:eastAsia="zh-CN"/>
        </w:rPr>
      </w:pPr>
      <w:bookmarkStart w:id="14" w:name="_Toc35393792"/>
      <w:bookmarkStart w:id="15" w:name="_Toc28359004"/>
      <w:bookmarkStart w:id="16" w:name="_Toc28359081"/>
      <w:bookmarkStart w:id="17" w:name="_Toc35393623"/>
      <w:r>
        <w:rPr>
          <w:rFonts w:hint="eastAsia" w:ascii="宋体" w:hAnsi="宋体" w:cs="宋体"/>
          <w:sz w:val="24"/>
        </w:rPr>
        <w:t>（二）本项目的特定资格要求：</w:t>
      </w:r>
      <w:r>
        <w:rPr>
          <w:rFonts w:hint="eastAsia" w:ascii="宋体" w:hAnsi="宋体" w:cs="宋体"/>
          <w:color w:val="auto"/>
          <w:sz w:val="24"/>
          <w:lang w:val="en-US" w:eastAsia="zh-CN"/>
        </w:rPr>
        <w:t>1.投标人必须为具有独立投标能力且持有相应保险业务经营许可证的，且获得总公司关于本项目唯一授权的地市级保险机构；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rPr>
      </w:pPr>
      <w:r>
        <w:rPr>
          <w:rFonts w:hint="eastAsia" w:ascii="宋体" w:hAnsi="宋体" w:cs="宋体"/>
          <w:sz w:val="24"/>
          <w:lang w:val="en-US" w:eastAsia="zh-CN"/>
        </w:rPr>
        <w:t>2.投标</w:t>
      </w:r>
      <w:r>
        <w:rPr>
          <w:rFonts w:hint="eastAsia" w:ascii="宋体" w:hAnsi="宋体" w:cs="宋体"/>
          <w:color w:val="auto"/>
          <w:sz w:val="24"/>
          <w:lang w:val="en-US" w:eastAsia="zh-CN"/>
        </w:rPr>
        <w:t>人总公司近2年（2020-2021）的综合偿付</w:t>
      </w:r>
      <w:r>
        <w:rPr>
          <w:rFonts w:hint="eastAsia" w:ascii="宋体" w:hAnsi="宋体" w:cs="宋体"/>
          <w:sz w:val="24"/>
          <w:lang w:val="en-US" w:eastAsia="zh-CN"/>
        </w:rPr>
        <w:t>能力充足率均需高于100%。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color w:val="auto"/>
          <w:sz w:val="24"/>
          <w:u w:val="single"/>
          <w:lang w:val="en-US" w:eastAsia="zh-CN"/>
        </w:rPr>
        <w:t>2022</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2022</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rPr>
      </w:pPr>
      <w:bookmarkStart w:id="18" w:name="_Toc28359082"/>
      <w:bookmarkStart w:id="19" w:name="_Toc28359005"/>
      <w:bookmarkStart w:id="20" w:name="_Toc35393624"/>
      <w:bookmarkStart w:id="21" w:name="_Toc35393793"/>
      <w:r>
        <w:rPr>
          <w:rFonts w:hint="eastAsia" w:cs="宋体"/>
          <w:bCs/>
          <w:sz w:val="24"/>
          <w:szCs w:val="24"/>
        </w:rPr>
        <w:t>四、提交投标文件</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2" w:name="_Toc28359084"/>
      <w:bookmarkStart w:id="23" w:name="_Toc28359007"/>
      <w:bookmarkStart w:id="24" w:name="_Toc35393625"/>
      <w:bookmarkStart w:id="25" w:name="_Toc35393794"/>
      <w:r>
        <w:rPr>
          <w:rFonts w:hint="eastAsia" w:ascii="宋体" w:hAnsi="宋体" w:cs="宋体"/>
          <w:sz w:val="24"/>
        </w:rPr>
        <w:t>（一）截止时间（开标时间）：</w:t>
      </w:r>
      <w:r>
        <w:rPr>
          <w:rFonts w:hint="eastAsia" w:ascii="宋体" w:hAnsi="宋体" w:cs="宋体"/>
          <w:bCs/>
          <w:color w:val="auto"/>
          <w:sz w:val="24"/>
          <w:u w:val="single"/>
          <w:lang w:val="en-US" w:eastAsia="zh-CN"/>
        </w:rPr>
        <w:t>2022</w:t>
      </w:r>
      <w:r>
        <w:rPr>
          <w:rFonts w:hint="eastAsia" w:ascii="宋体" w:hAnsi="宋体" w:cs="宋体"/>
          <w:bCs/>
          <w:color w:val="auto"/>
          <w:sz w:val="24"/>
          <w:u w:val="single"/>
        </w:rPr>
        <w:t>年</w:t>
      </w:r>
      <w:r>
        <w:rPr>
          <w:rFonts w:hint="eastAsia" w:ascii="宋体" w:hAnsi="宋体" w:cs="宋体"/>
          <w:color w:val="auto"/>
          <w:sz w:val="24"/>
          <w:u w:val="single"/>
          <w:lang w:val="en-US" w:eastAsia="zh-CN"/>
        </w:rPr>
        <w:t>9</w:t>
      </w:r>
      <w:r>
        <w:rPr>
          <w:rFonts w:hint="eastAsia" w:ascii="宋体" w:hAnsi="宋体" w:cs="宋体"/>
          <w:bCs/>
          <w:color w:val="auto"/>
          <w:sz w:val="24"/>
          <w:u w:val="single"/>
        </w:rPr>
        <w:t>月</w:t>
      </w:r>
      <w:r>
        <w:rPr>
          <w:rFonts w:hint="eastAsia" w:ascii="宋体" w:hAnsi="宋体" w:cs="宋体"/>
          <w:color w:val="auto"/>
          <w:sz w:val="24"/>
          <w:u w:val="single"/>
          <w:lang w:val="en-US" w:eastAsia="zh-CN"/>
        </w:rPr>
        <w:t>6</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2"/>
    <w:bookmarkEnd w:id="23"/>
    <w:bookmarkEnd w:id="24"/>
    <w:bookmarkEnd w:id="25"/>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6" w:name="_Toc35393795"/>
      <w:bookmarkStart w:id="27" w:name="_Toc35393626"/>
      <w:r>
        <w:rPr>
          <w:rFonts w:hint="eastAsia" w:cs="宋体"/>
          <w:bCs/>
          <w:sz w:val="24"/>
          <w:szCs w:val="24"/>
        </w:rPr>
        <w:t>六、</w:t>
      </w:r>
      <w:bookmarkEnd w:id="26"/>
      <w:bookmarkEnd w:id="27"/>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8" w:name="_Toc35393627"/>
      <w:bookmarkStart w:id="29" w:name="_Toc35393796"/>
      <w:bookmarkStart w:id="30" w:name="_Toc28359008"/>
      <w:bookmarkStart w:id="31" w:name="_Toc28359085"/>
      <w:r>
        <w:rPr>
          <w:rFonts w:hint="eastAsia" w:cs="宋体"/>
          <w:bCs/>
          <w:sz w:val="24"/>
          <w:szCs w:val="24"/>
        </w:rPr>
        <w:t>七、</w:t>
      </w:r>
      <w:bookmarkEnd w:id="28"/>
      <w:bookmarkEnd w:id="29"/>
      <w:bookmarkEnd w:id="30"/>
      <w:bookmarkEnd w:id="31"/>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cs="宋体"/>
          <w:sz w:val="24"/>
        </w:rPr>
      </w:pPr>
      <w:r>
        <w:rPr>
          <w:rFonts w:hint="eastAsia" w:ascii="宋体" w:hAnsi="宋体" w:cs="宋体"/>
          <w:sz w:val="24"/>
        </w:rPr>
        <w:t>名 称：台州市应急管理局</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lang w:val="en-US" w:eastAsia="zh-CN"/>
        </w:rPr>
        <w:t>台州市椒江区</w:t>
      </w:r>
      <w:r>
        <w:rPr>
          <w:rFonts w:hint="eastAsia" w:ascii="宋体" w:hAnsi="宋体" w:cs="宋体"/>
          <w:sz w:val="24"/>
        </w:rPr>
        <w:t>白云山西路300号</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联系人：</w:t>
      </w:r>
      <w:bookmarkStart w:id="32" w:name="_Toc28359009"/>
      <w:bookmarkStart w:id="33" w:name="_Toc28359086"/>
      <w:r>
        <w:rPr>
          <w:rFonts w:hint="eastAsia" w:ascii="宋体" w:hAnsi="宋体" w:cs="宋体"/>
          <w:sz w:val="24"/>
        </w:rPr>
        <w:t>冀</w:t>
      </w:r>
      <w:r>
        <w:rPr>
          <w:rFonts w:hint="eastAsia" w:ascii="宋体" w:hAnsi="宋体" w:cs="宋体"/>
          <w:sz w:val="24"/>
          <w:lang w:val="en-US" w:eastAsia="zh-CN"/>
        </w:rPr>
        <w:t>先生</w:t>
      </w:r>
    </w:p>
    <w:p>
      <w:pPr>
        <w:spacing w:line="360" w:lineRule="auto"/>
        <w:ind w:firstLine="480" w:firstLineChars="200"/>
        <w:rPr>
          <w:rFonts w:ascii="宋体" w:hAnsi="宋体" w:cs="宋体"/>
          <w:sz w:val="24"/>
          <w:u w:val="none"/>
        </w:rPr>
      </w:pPr>
      <w:r>
        <w:rPr>
          <w:rFonts w:hint="eastAsia" w:ascii="宋体" w:hAnsi="宋体" w:cs="宋体"/>
          <w:sz w:val="24"/>
        </w:rPr>
        <w:t>联系电话：</w:t>
      </w:r>
      <w:r>
        <w:rPr>
          <w:rFonts w:hint="eastAsia" w:ascii="宋体" w:hAnsi="宋体" w:cs="宋体"/>
          <w:sz w:val="24"/>
          <w:u w:val="none"/>
        </w:rPr>
        <w:t>0576-</w:t>
      </w:r>
      <w:r>
        <w:rPr>
          <w:rFonts w:hint="eastAsia" w:ascii="宋体" w:hAnsi="宋体" w:eastAsia="宋体" w:cs="宋体"/>
          <w:sz w:val="24"/>
          <w:szCs w:val="24"/>
          <w:u w:val="none"/>
          <w:lang w:val="en-US" w:eastAsia="zh-CN"/>
        </w:rPr>
        <w:t>88511852</w:t>
      </w:r>
    </w:p>
    <w:bookmarkEnd w:id="32"/>
    <w:bookmarkEnd w:id="33"/>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color w:val="auto"/>
          <w:sz w:val="24"/>
          <w:u w:val="single"/>
        </w:rPr>
      </w:pPr>
      <w:bookmarkStart w:id="34" w:name="_Toc28359010"/>
      <w:bookmarkStart w:id="35" w:name="_Toc28359087"/>
      <w:r>
        <w:rPr>
          <w:rFonts w:hint="eastAsia" w:ascii="宋体" w:hAnsi="宋体" w:cs="宋体"/>
          <w:color w:val="auto"/>
          <w:sz w:val="24"/>
        </w:rPr>
        <w:t>名 称：台州市政府采购中心</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地 址：台州市市府大道777号</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项目联系人：陈先生</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联系电话：0576-88325289</w:t>
      </w:r>
    </w:p>
    <w:p>
      <w:pPr>
        <w:spacing w:line="360" w:lineRule="auto"/>
        <w:ind w:firstLine="480" w:firstLineChars="200"/>
        <w:jc w:val="left"/>
        <w:rPr>
          <w:rFonts w:ascii="宋体" w:hAnsi="宋体" w:cs="宋体"/>
          <w:color w:val="auto"/>
          <w:sz w:val="24"/>
          <w:u w:val="none"/>
        </w:rPr>
      </w:pPr>
      <w:r>
        <w:rPr>
          <w:rFonts w:hint="eastAsia" w:ascii="宋体" w:hAnsi="宋体" w:cs="宋体"/>
          <w:color w:val="auto"/>
          <w:sz w:val="24"/>
        </w:rPr>
        <w:t>受理</w:t>
      </w:r>
      <w:r>
        <w:rPr>
          <w:rFonts w:hint="eastAsia" w:ascii="宋体" w:hAnsi="宋体" w:cs="宋体"/>
          <w:color w:val="auto"/>
          <w:sz w:val="24"/>
          <w:u w:val="none"/>
        </w:rPr>
        <w:t>联系人：候女士（受理注册、中标结果相关质疑及答复）</w:t>
      </w:r>
    </w:p>
    <w:p>
      <w:pPr>
        <w:spacing w:line="360" w:lineRule="auto"/>
        <w:ind w:firstLine="480" w:firstLineChars="200"/>
        <w:jc w:val="left"/>
        <w:rPr>
          <w:rFonts w:ascii="宋体" w:hAnsi="宋体" w:cs="宋体"/>
          <w:color w:val="auto"/>
          <w:sz w:val="24"/>
          <w:u w:val="none"/>
        </w:rPr>
      </w:pPr>
      <w:r>
        <w:rPr>
          <w:rFonts w:hint="eastAsia" w:ascii="宋体" w:hAnsi="宋体" w:cs="宋体"/>
          <w:color w:val="auto"/>
          <w:sz w:val="24"/>
          <w:u w:val="none"/>
        </w:rPr>
        <w:t>联系电话：0576-88685121</w:t>
      </w:r>
    </w:p>
    <w:p>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技术人员：</w:t>
      </w:r>
      <w:r>
        <w:rPr>
          <w:rFonts w:hint="eastAsia" w:ascii="宋体" w:hAnsi="宋体" w:cs="宋体"/>
          <w:sz w:val="24"/>
          <w:u w:val="none"/>
          <w:lang w:val="en-US" w:eastAsia="zh-CN"/>
        </w:rPr>
        <w:t>徐</w:t>
      </w:r>
      <w:r>
        <w:rPr>
          <w:rFonts w:hint="eastAsia" w:ascii="宋体" w:hAnsi="宋体" w:cs="宋体"/>
          <w:sz w:val="24"/>
          <w:u w:val="none"/>
        </w:rPr>
        <w:t>女士</w:t>
      </w:r>
      <w:r>
        <w:rPr>
          <w:rFonts w:hint="eastAsia" w:ascii="宋体" w:hAnsi="宋体" w:cs="宋体"/>
          <w:sz w:val="24"/>
          <w:u w:val="none"/>
          <w:lang w:val="en-US" w:eastAsia="zh-CN"/>
        </w:rPr>
        <w:t xml:space="preserve"> </w:t>
      </w:r>
    </w:p>
    <w:p>
      <w:pPr>
        <w:spacing w:line="360" w:lineRule="auto"/>
        <w:ind w:firstLine="480" w:firstLineChars="200"/>
        <w:rPr>
          <w:rFonts w:hint="default"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88685161</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（三）同级政府采购监管机构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名 称：台州市财政局政府采购监管处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地 址：台州市财政局</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联系人：陈女士</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联系电话：0576-88206705</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（四）政采云平台</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联系电话：44008817190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ind w:firstLine="200"/>
        <w:jc w:val="right"/>
        <w:rPr>
          <w:rFonts w:hint="eastAsia"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color w:val="auto"/>
          <w:kern w:val="0"/>
          <w:sz w:val="24"/>
          <w:lang w:val="en-US" w:eastAsia="zh-CN"/>
        </w:rPr>
        <w:t>17</w:t>
      </w:r>
      <w:r>
        <w:rPr>
          <w:rFonts w:hint="eastAsia" w:asciiTheme="minorEastAsia" w:hAnsiTheme="minorEastAsia" w:eastAsiaTheme="minorEastAsia" w:cstheme="minorEastAsia"/>
          <w:kern w:val="0"/>
          <w:sz w:val="24"/>
        </w:rPr>
        <w:t>日</w:t>
      </w:r>
    </w:p>
    <w:p>
      <w:r>
        <w:rPr>
          <w:rFonts w:hint="eastAsia" w:asciiTheme="minorEastAsia" w:hAnsiTheme="minorEastAsia" w:eastAsiaTheme="minorEastAsia" w:cstheme="minorEastAsia"/>
          <w:kern w:val="0"/>
          <w:sz w:val="24"/>
        </w:rPr>
        <w:br w:type="page"/>
      </w:r>
    </w:p>
    <w:bookmarkEnd w:id="34"/>
    <w:bookmarkEnd w:id="35"/>
    <w:p>
      <w:pPr>
        <w:numPr>
          <w:ilvl w:val="0"/>
          <w:numId w:val="4"/>
        </w:numPr>
        <w:spacing w:line="360" w:lineRule="auto"/>
        <w:jc w:val="center"/>
        <w:rPr>
          <w:rFonts w:asciiTheme="minorEastAsia" w:hAnsiTheme="minorEastAsia" w:eastAsiaTheme="minorEastAsia"/>
          <w:b/>
          <w:sz w:val="36"/>
          <w:szCs w:val="36"/>
        </w:rPr>
      </w:pPr>
      <w:bookmarkStart w:id="36" w:name="_Toc25017_WPSOffice_Level1"/>
      <w:r>
        <w:rPr>
          <w:rFonts w:hint="eastAsia" w:asciiTheme="minorEastAsia" w:hAnsiTheme="minorEastAsia" w:eastAsiaTheme="minorEastAsia"/>
          <w:b/>
          <w:sz w:val="36"/>
          <w:szCs w:val="36"/>
        </w:rPr>
        <w:t>投标人须知</w:t>
      </w:r>
      <w:bookmarkEnd w:id="36"/>
    </w:p>
    <w:p>
      <w:pPr>
        <w:pStyle w:val="4"/>
        <w:ind w:right="0" w:firstLine="482" w:firstLineChars="200"/>
        <w:rPr>
          <w:rFonts w:hint="eastAsia" w:ascii="宋体" w:hAnsi="宋体" w:eastAsia="宋体" w:cs="宋体"/>
          <w:bCs/>
          <w:sz w:val="24"/>
          <w:szCs w:val="24"/>
        </w:rPr>
      </w:pPr>
      <w:r>
        <w:rPr>
          <w:rFonts w:hint="eastAsia" w:ascii="宋体" w:hAnsi="宋体" w:eastAsia="宋体" w:cs="宋体"/>
          <w:bCs/>
          <w:sz w:val="24"/>
          <w:szCs w:val="24"/>
          <w:lang w:eastAsia="zh-CN"/>
        </w:rPr>
        <w:t>一、</w:t>
      </w:r>
      <w:r>
        <w:rPr>
          <w:rFonts w:hint="eastAsia" w:ascii="宋体" w:hAnsi="宋体" w:eastAsia="宋体" w:cs="宋体"/>
          <w:bCs/>
          <w:sz w:val="24"/>
          <w:szCs w:val="24"/>
        </w:rPr>
        <w:t>前附表</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59"/>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是否允许联合体</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是否允许分包</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3</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现场踏勘</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4</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5</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备份投标文件的递交</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45</w:t>
            </w:r>
            <w:r>
              <w:rPr>
                <w:rFonts w:hint="eastAsia" w:ascii="宋体" w:hAnsi="宋体" w:eastAsia="宋体" w:cs="宋体"/>
                <w:sz w:val="21"/>
                <w:szCs w:val="21"/>
              </w:rPr>
              <w:t>（北京时间）。</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6</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不见面开标</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7</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val="0"/>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5"/>
              </w:numPr>
              <w:kinsoku/>
              <w:wordWrap w:val="0"/>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val="0"/>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val="0"/>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8</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注意事项</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cs="宋体"/>
                <w:lang w:val="en-US" w:eastAsia="zh-CN"/>
              </w:rPr>
              <w:t>9</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宋体" w:hAnsi="宋体" w:eastAsia="宋体" w:cs="宋体"/>
                <w:lang w:val="en-US" w:eastAsia="zh-CN"/>
              </w:rPr>
            </w:pPr>
            <w:r>
              <w:rPr>
                <w:rFonts w:hint="eastAsia" w:ascii="宋体" w:hAnsi="宋体" w:cs="宋体"/>
                <w:lang w:val="en-US" w:eastAsia="zh-CN"/>
              </w:rPr>
              <w:t>开评标次序</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本项目根据</w:t>
            </w:r>
            <w:r>
              <w:rPr>
                <w:rFonts w:hint="eastAsia" w:ascii="宋体" w:hAnsi="宋体" w:cs="宋体"/>
                <w:b/>
                <w:bCs/>
                <w:sz w:val="21"/>
                <w:szCs w:val="21"/>
                <w:lang w:val="en-US" w:eastAsia="zh-CN"/>
              </w:rPr>
              <w:t>标项顺序</w:t>
            </w:r>
            <w:r>
              <w:rPr>
                <w:rFonts w:hint="eastAsia" w:ascii="宋体" w:hAnsi="宋体" w:cs="宋体"/>
                <w:sz w:val="21"/>
                <w:szCs w:val="21"/>
                <w:lang w:val="en-US" w:eastAsia="zh-CN"/>
              </w:rPr>
              <w:t>依次进行开评标。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查询渠道</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1</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份额情况</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文件的规定，本项目(□是 /</w:t>
            </w:r>
            <w:r>
              <w:rPr>
                <w:rFonts w:hint="eastAsia" w:ascii="宋体" w:hAnsi="宋体" w:cs="宋体"/>
                <w:lang w:eastAsia="zh-CN"/>
              </w:rPr>
              <w:t>☑</w:t>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宋体" w:hAnsi="宋体" w:eastAsia="宋体" w:cs="宋体"/>
                <w:lang w:val="en-US" w:eastAsia="zh-CN"/>
              </w:rPr>
            </w:pPr>
            <w:r>
              <w:rPr>
                <w:rFonts w:hint="eastAsia" w:ascii="宋体" w:hAnsi="宋体" w:cs="宋体"/>
                <w:lang w:val="en-US" w:eastAsia="zh-CN"/>
              </w:rPr>
              <w:t>12</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宋体" w:hAnsi="宋体" w:eastAsia="宋体" w:cs="宋体"/>
                <w:lang w:val="en-US" w:eastAsia="zh-CN"/>
              </w:rPr>
            </w:pPr>
            <w:r>
              <w:rPr>
                <w:rFonts w:hint="eastAsia" w:ascii="宋体" w:hAnsi="宋体" w:cs="宋体"/>
                <w:lang w:val="en-US" w:eastAsia="zh-CN"/>
              </w:rPr>
              <w:t>报价情况</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lang w:val="en-US" w:eastAsia="zh-CN"/>
              </w:rPr>
            </w:pPr>
            <w:r>
              <w:rPr>
                <w:rFonts w:hint="eastAsia" w:ascii="宋体" w:hAnsi="宋体" w:eastAsia="宋体" w:cs="宋体"/>
              </w:rPr>
              <w:t>本项目为固定保费（各标项保费详见招标项目一览表），投标人无需针对保费进行报价</w:t>
            </w:r>
            <w:r>
              <w:rPr>
                <w:rFonts w:hint="eastAsia" w:ascii="宋体" w:hAnsi="宋体" w:cs="宋体"/>
                <w:lang w:eastAsia="zh-CN"/>
              </w:rPr>
              <w:t>，</w:t>
            </w:r>
            <w:r>
              <w:rPr>
                <w:rFonts w:hint="eastAsia" w:ascii="宋体" w:hAnsi="宋体" w:cs="宋体"/>
                <w:lang w:val="en-US" w:eastAsia="zh-CN"/>
              </w:rPr>
              <w:t>但须报出赔付额整体上浮幅度。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优惠措施</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eastAsia="宋体" w:cs="宋体"/>
                <w:u w:val="single"/>
              </w:rPr>
              <w:t>服务类</w:t>
            </w:r>
            <w:r>
              <w:rPr>
                <w:rFonts w:hint="eastAsia" w:ascii="宋体" w:hAnsi="宋体" w:cs="宋体"/>
                <w:u w:val="single"/>
                <w:lang w:val="en-US" w:eastAsia="zh-CN"/>
              </w:rPr>
              <w:t xml:space="preserve"> </w:t>
            </w:r>
            <w:r>
              <w:rPr>
                <w:rFonts w:hint="eastAsia" w:ascii="宋体" w:hAnsi="宋体" w:cs="宋体"/>
                <w:u w:val="none"/>
                <w:lang w:eastAsia="zh-CN"/>
              </w:rPr>
              <w:t>。</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pPr>
              <w:keepNext w:val="0"/>
              <w:keepLines w:val="0"/>
              <w:pageBreakBefore w:val="0"/>
              <w:widowControl w:val="0"/>
              <w:kinsoku/>
              <w:wordWrap w:val="0"/>
              <w:overflowPunct/>
              <w:topLinePunct w:val="0"/>
              <w:autoSpaceDE/>
              <w:autoSpaceDN/>
              <w:bidi w:val="0"/>
              <w:adjustRightInd/>
              <w:snapToGrid/>
              <w:spacing w:line="30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采购标的：</w:t>
            </w:r>
            <w:r>
              <w:rPr>
                <w:rFonts w:hint="eastAsia" w:ascii="宋体" w:hAnsi="宋体" w:cs="宋体"/>
                <w:color w:val="auto"/>
                <w:sz w:val="21"/>
                <w:szCs w:val="21"/>
                <w:u w:val="single"/>
                <w:lang w:eastAsia="zh-CN"/>
              </w:rPr>
              <w:t>台州市巨灾保险</w:t>
            </w:r>
            <w:r>
              <w:rPr>
                <w:rFonts w:hint="eastAsia" w:ascii="宋体" w:hAnsi="宋体" w:eastAsia="宋体" w:cs="宋体"/>
                <w:color w:val="auto"/>
                <w:sz w:val="21"/>
                <w:szCs w:val="21"/>
              </w:rPr>
              <w:t>，</w:t>
            </w:r>
            <w:r>
              <w:rPr>
                <w:rFonts w:hint="eastAsia" w:ascii="宋体" w:hAnsi="宋体" w:eastAsia="宋体" w:cs="宋体"/>
                <w:sz w:val="21"/>
                <w:szCs w:val="21"/>
              </w:rPr>
              <w:t>所属行业：</w:t>
            </w:r>
            <w:r>
              <w:rPr>
                <w:rFonts w:hint="eastAsia" w:ascii="宋体" w:hAnsi="宋体" w:cs="宋体"/>
                <w:sz w:val="21"/>
                <w:szCs w:val="21"/>
                <w:u w:val="single"/>
                <w:lang w:val="en-US" w:eastAsia="zh-CN"/>
              </w:rPr>
              <w:t>保险业</w:t>
            </w:r>
            <w:r>
              <w:rPr>
                <w:rFonts w:hint="eastAsia" w:ascii="宋体" w:hAnsi="宋体" w:eastAsia="宋体" w:cs="宋体"/>
                <w:sz w:val="21"/>
                <w:szCs w:val="21"/>
              </w:rPr>
              <w:t>。</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宋体" w:hAnsi="宋体" w:eastAsia="宋体" w:cs="宋体"/>
                <w:lang w:val="en-US" w:eastAsia="zh-CN"/>
              </w:rPr>
            </w:pPr>
            <w:r>
              <w:rPr>
                <w:rFonts w:hint="eastAsia" w:ascii="宋体" w:hAnsi="宋体" w:cs="宋体"/>
                <w:lang w:val="en-US" w:eastAsia="zh-CN"/>
              </w:rPr>
              <w:t>14</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cs="宋体"/>
                <w:lang w:val="en-US" w:eastAsia="zh-CN"/>
              </w:rPr>
              <w:t>兼投不兼中</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cs="宋体"/>
                <w:lang w:val="en-US" w:eastAsia="zh-CN"/>
              </w:rPr>
            </w:pPr>
            <w:r>
              <w:rPr>
                <w:rFonts w:hint="eastAsia" w:ascii="宋体" w:hAnsi="宋体" w:cs="宋体"/>
                <w:lang w:val="en-US" w:eastAsia="zh-CN"/>
              </w:rPr>
              <w:t>1.</w:t>
            </w:r>
            <w:r>
              <w:rPr>
                <w:rFonts w:hint="eastAsia" w:ascii="宋体" w:hAnsi="宋体" w:cs="宋体"/>
                <w:lang w:eastAsia="zh-CN"/>
              </w:rPr>
              <w:t>投标人可以针对多个标项进行投标，开</w:t>
            </w:r>
            <w:r>
              <w:rPr>
                <w:rFonts w:hint="eastAsia" w:ascii="宋体" w:hAnsi="宋体" w:cs="宋体"/>
                <w:lang w:val="en-US" w:eastAsia="zh-CN"/>
              </w:rPr>
              <w:t>评</w:t>
            </w:r>
            <w:r>
              <w:rPr>
                <w:rFonts w:hint="eastAsia" w:ascii="宋体" w:hAnsi="宋体" w:cs="宋体"/>
                <w:lang w:eastAsia="zh-CN"/>
              </w:rPr>
              <w:t>标时按照本文件规定的</w:t>
            </w:r>
            <w:r>
              <w:rPr>
                <w:rFonts w:hint="eastAsia" w:ascii="宋体" w:hAnsi="宋体" w:cs="宋体"/>
                <w:lang w:val="en-US" w:eastAsia="zh-CN"/>
              </w:rPr>
              <w:t>开评标</w:t>
            </w:r>
            <w:r>
              <w:rPr>
                <w:rFonts w:hint="eastAsia" w:ascii="宋体" w:hAnsi="宋体" w:cs="宋体"/>
                <w:lang w:eastAsia="zh-CN"/>
              </w:rPr>
              <w:t>次序</w:t>
            </w:r>
            <w:r>
              <w:rPr>
                <w:rFonts w:hint="eastAsia" w:ascii="宋体" w:hAnsi="宋体" w:cs="宋体"/>
                <w:lang w:val="en-US" w:eastAsia="zh-CN"/>
              </w:rPr>
              <w:t>进行；</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cs="宋体"/>
                <w:lang w:eastAsia="zh-CN"/>
              </w:rPr>
            </w:pPr>
            <w:r>
              <w:rPr>
                <w:rFonts w:hint="eastAsia" w:ascii="宋体" w:hAnsi="宋体" w:cs="宋体"/>
                <w:lang w:val="en-US" w:eastAsia="zh-CN"/>
              </w:rPr>
              <w:t>2.</w:t>
            </w:r>
            <w:r>
              <w:rPr>
                <w:rFonts w:hint="eastAsia" w:ascii="宋体" w:hAnsi="宋体" w:cs="宋体"/>
                <w:lang w:eastAsia="zh-CN"/>
              </w:rPr>
              <w:t>投标人在某一标项成为中标人或被推荐为</w:t>
            </w:r>
            <w:r>
              <w:rPr>
                <w:rFonts w:hint="eastAsia" w:ascii="宋体" w:hAnsi="宋体" w:cs="宋体"/>
                <w:lang w:val="en-US" w:eastAsia="zh-CN"/>
              </w:rPr>
              <w:t>第一</w:t>
            </w:r>
            <w:r>
              <w:rPr>
                <w:rFonts w:hint="eastAsia" w:ascii="宋体" w:hAnsi="宋体" w:cs="宋体"/>
                <w:lang w:eastAsia="zh-CN"/>
              </w:rPr>
              <w:t>中标候选人后，其在后续标项的投标无效。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5</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质疑渠道</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6</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7</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主要性能参数</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8</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书面形式</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9</w:t>
            </w:r>
          </w:p>
        </w:tc>
        <w:tc>
          <w:tcPr>
            <w:tcW w:w="175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解释权</w:t>
            </w:r>
          </w:p>
        </w:tc>
        <w:tc>
          <w:tcPr>
            <w:tcW w:w="64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numPr>
          <w:ilvl w:val="0"/>
          <w:numId w:val="6"/>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6"/>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val="en-US" w:eastAsia="zh-CN"/>
        </w:rPr>
        <w:t>台州市政府采购中心</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1"/>
        <w:snapToGrid w:val="0"/>
        <w:spacing w:line="360" w:lineRule="auto"/>
        <w:ind w:left="2" w:leftChars="1" w:firstLine="482" w:firstLineChars="200"/>
        <w:rPr>
          <w:rFonts w:hAnsi="宋体"/>
          <w:b/>
          <w:sz w:val="24"/>
        </w:rPr>
      </w:pPr>
      <w:r>
        <w:rPr>
          <w:rFonts w:hint="eastAsia" w:hAnsi="宋体"/>
          <w:b/>
          <w:sz w:val="24"/>
        </w:rPr>
        <w:t>（七）特别说明</w:t>
      </w:r>
    </w:p>
    <w:p>
      <w:pPr>
        <w:pStyle w:val="11"/>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6"/>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授权委托书（法定代表人亲自办理投标事宜的，则无需提交</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联合体授权委托书及联合体声明、协议（若项目接受联合体投标时需提供）；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ascii="宋体" w:hAnsi="宋体" w:eastAsia="宋体" w:cs="宋体"/>
          <w:b/>
          <w:bCs/>
          <w:lang w:eastAsia="zh-CN"/>
        </w:rPr>
      </w:pPr>
      <w:r>
        <w:rPr>
          <w:rFonts w:hint="eastAsia" w:ascii="宋体" w:hAnsi="宋体" w:eastAsia="宋体" w:cs="宋体"/>
          <w:b/>
          <w:bCs/>
          <w:color w:val="000000" w:themeColor="text1"/>
          <w:kern w:val="0"/>
          <w:sz w:val="24"/>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技术方案描述</w:t>
      </w:r>
      <w:r>
        <w:rPr>
          <w:rFonts w:hint="eastAsia" w:ascii="宋体" w:hAnsi="宋体" w:eastAsia="宋体" w:cs="宋体"/>
          <w:b/>
          <w:bCs/>
          <w:sz w:val="24"/>
        </w:rPr>
        <w:t>部分</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投标人情况介绍（人员与技术力量、经营业绩等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附件3</w:t>
      </w:r>
      <w:r>
        <w:rPr>
          <w:rFonts w:hint="eastAsia" w:ascii="宋体" w:hAnsi="宋体" w:eastAsia="宋体" w:cs="宋体"/>
          <w:sz w:val="24"/>
          <w:szCs w:val="24"/>
        </w:rPr>
        <w:t>）；</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项目需求的理解与分析</w:t>
      </w:r>
      <w:r>
        <w:rPr>
          <w:rFonts w:hint="eastAsia" w:ascii="宋体" w:hAnsi="宋体" w:eastAsia="宋体" w:cs="宋体"/>
          <w:sz w:val="24"/>
          <w:szCs w:val="24"/>
          <w:lang w:eastAsia="zh-CN"/>
        </w:rPr>
        <w:t>（</w:t>
      </w:r>
      <w:r>
        <w:rPr>
          <w:rFonts w:hint="eastAsia" w:ascii="宋体" w:hAnsi="宋体" w:eastAsia="宋体" w:cs="宋体"/>
          <w:sz w:val="24"/>
          <w:szCs w:val="24"/>
        </w:rPr>
        <w:t>投标人对项目现状及需求的理解</w:t>
      </w:r>
      <w:r>
        <w:rPr>
          <w:rFonts w:hint="eastAsia" w:ascii="宋体" w:hAnsi="宋体" w:eastAsia="宋体" w:cs="宋体"/>
          <w:sz w:val="24"/>
          <w:szCs w:val="24"/>
          <w:lang w:eastAsia="zh-CN"/>
        </w:rPr>
        <w:t>状况</w:t>
      </w:r>
      <w:r>
        <w:rPr>
          <w:rFonts w:hint="eastAsia" w:ascii="宋体" w:hAnsi="宋体" w:eastAsia="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总体设计（技术、服务）方案；</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功能设计方案；</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质量保证方案；</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项目实施方案（包括项目工期、确保项目进行的措施或方案、项目实施进度安排、项目实施人员及项目负责人的资质、类似经验及社保证明等）；</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技术需求响应表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附件4</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7"/>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项目实施人员一览表（附件</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工程量/原材料、人工费清单（均不含报价）；</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项目负责人资格情况表（附件</w:t>
      </w:r>
      <w:r>
        <w:rPr>
          <w:rFonts w:hint="eastAsia" w:ascii="宋体" w:hAnsi="宋体" w:eastAsia="宋体" w:cs="宋体"/>
          <w:sz w:val="24"/>
          <w:lang w:val="en-US" w:eastAsia="zh-CN"/>
        </w:rPr>
        <w:t>6</w:t>
      </w:r>
      <w:r>
        <w:rPr>
          <w:rFonts w:hint="eastAsia" w:ascii="宋体" w:hAnsi="宋体" w:eastAsia="宋体" w:cs="宋体"/>
          <w:sz w:val="24"/>
        </w:rPr>
        <w:t>）；</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安装、调试及验收方案（包括项目验收标准和验收方法等）；</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实施服务与保障的能力及方案（包括服务方式、服务网点、技术培训、实施期与运维期服务的内容和措施等）（附件</w:t>
      </w:r>
      <w:r>
        <w:rPr>
          <w:rFonts w:hint="eastAsia" w:ascii="宋体" w:hAnsi="宋体" w:eastAsia="宋体" w:cs="宋体"/>
          <w:sz w:val="24"/>
          <w:lang w:val="en-US" w:eastAsia="zh-CN"/>
        </w:rPr>
        <w:t>7</w:t>
      </w:r>
      <w:r>
        <w:rPr>
          <w:rFonts w:hint="eastAsia" w:ascii="宋体" w:hAnsi="宋体" w:eastAsia="宋体" w:cs="宋体"/>
          <w:sz w:val="24"/>
        </w:rPr>
        <w:t>）；</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（2）商务响应及其他部分</w:t>
      </w:r>
    </w:p>
    <w:p>
      <w:pPr>
        <w:numPr>
          <w:ilvl w:val="0"/>
          <w:numId w:val="8"/>
        </w:numPr>
        <w:autoSpaceDE w:val="0"/>
        <w:autoSpaceDN w:val="0"/>
        <w:adjustRightInd w:val="0"/>
        <w:spacing w:line="360" w:lineRule="auto"/>
        <w:ind w:firstLine="640"/>
        <w:rPr>
          <w:rFonts w:hint="eastAsia" w:ascii="宋体" w:hAnsi="宋体" w:eastAsia="宋体" w:cs="宋体"/>
          <w:sz w:val="24"/>
        </w:rPr>
      </w:pPr>
      <w:r>
        <w:rPr>
          <w:rFonts w:hint="eastAsia" w:ascii="宋体" w:hAnsi="宋体" w:eastAsia="宋体" w:cs="宋体"/>
          <w:sz w:val="24"/>
        </w:rPr>
        <w:t>证书一览表（与本项目相关</w:t>
      </w:r>
      <w:r>
        <w:rPr>
          <w:rFonts w:hint="eastAsia" w:ascii="宋体" w:hAnsi="宋体" w:eastAsia="宋体" w:cs="宋体"/>
          <w:kern w:val="0"/>
          <w:sz w:val="24"/>
        </w:rPr>
        <w:t>的认证证书或文件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附件8</w:t>
      </w:r>
      <w:r>
        <w:rPr>
          <w:rFonts w:hint="eastAsia" w:ascii="宋体" w:hAnsi="宋体" w:eastAsia="宋体" w:cs="宋体"/>
          <w:sz w:val="24"/>
        </w:rPr>
        <w:t>）</w:t>
      </w:r>
      <w:r>
        <w:rPr>
          <w:rFonts w:hint="eastAsia" w:ascii="宋体" w:hAnsi="宋体" w:eastAsia="宋体" w:cs="宋体"/>
          <w:kern w:val="0"/>
          <w:sz w:val="24"/>
        </w:rPr>
        <w:t>；</w:t>
      </w:r>
    </w:p>
    <w:p>
      <w:pPr>
        <w:pStyle w:val="7"/>
        <w:widowControl/>
        <w:numPr>
          <w:ilvl w:val="0"/>
          <w:numId w:val="8"/>
        </w:numPr>
        <w:adjustRightInd w:val="0"/>
        <w:snapToGrid w:val="0"/>
        <w:spacing w:line="360" w:lineRule="auto"/>
        <w:ind w:firstLine="6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近三年来</w:t>
      </w:r>
      <w:r>
        <w:rPr>
          <w:rFonts w:hint="eastAsia" w:ascii="宋体" w:hAnsi="宋体" w:eastAsia="宋体" w:cs="宋体"/>
          <w:color w:val="000000" w:themeColor="text1"/>
          <w:kern w:val="0"/>
          <w:sz w:val="24"/>
          <w:szCs w:val="24"/>
          <w14:textFill>
            <w14:solidFill>
              <w14:schemeClr w14:val="tx1"/>
            </w14:solidFill>
          </w14:textFill>
        </w:rPr>
        <w:t>类似项目的成功案例（投标人类似项目实施情况一览表、合同及其相应的发票、用户验收报告等</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附件9</w:t>
      </w:r>
      <w:r>
        <w:rPr>
          <w:rFonts w:hint="eastAsia" w:ascii="宋体" w:hAnsi="宋体" w:eastAsia="宋体" w:cs="宋体"/>
          <w:color w:val="000000" w:themeColor="text1"/>
          <w:kern w:val="0"/>
          <w:sz w:val="24"/>
          <w:szCs w:val="24"/>
          <w14:textFill>
            <w14:solidFill>
              <w14:schemeClr w14:val="tx1"/>
            </w14:solidFill>
          </w14:textFill>
        </w:rPr>
        <w:t>）；</w:t>
      </w:r>
    </w:p>
    <w:p>
      <w:pPr>
        <w:pStyle w:val="7"/>
        <w:widowControl/>
        <w:numPr>
          <w:ilvl w:val="0"/>
          <w:numId w:val="8"/>
        </w:numPr>
        <w:adjustRightInd w:val="0"/>
        <w:snapToGrid w:val="0"/>
        <w:spacing w:line="360" w:lineRule="auto"/>
        <w:ind w:firstLine="6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商务需求响应表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附件10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2</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w:t>
      </w:r>
      <w:r>
        <w:rPr>
          <w:rFonts w:hint="eastAsia" w:asciiTheme="minorEastAsia" w:hAnsiTheme="minorEastAsia" w:eastAsiaTheme="minorEastAsia"/>
          <w:bCs/>
          <w:kern w:val="0"/>
          <w:sz w:val="24"/>
          <w:lang w:val="en-US" w:eastAsia="zh-CN"/>
        </w:rPr>
        <w:t>根据</w:t>
      </w:r>
      <w:r>
        <w:rPr>
          <w:rFonts w:hint="eastAsia" w:asciiTheme="minorEastAsia" w:hAnsiTheme="minorEastAsia" w:eastAsiaTheme="minorEastAsia"/>
          <w:bCs/>
          <w:kern w:val="0"/>
          <w:sz w:val="24"/>
        </w:rPr>
        <w:t>招标需求内容、责任范围以及合同条款</w:t>
      </w:r>
      <w:r>
        <w:rPr>
          <w:rFonts w:hint="eastAsia" w:asciiTheme="minorEastAsia" w:hAnsiTheme="minorEastAsia" w:eastAsiaTheme="minorEastAsia"/>
          <w:bCs/>
          <w:kern w:val="0"/>
          <w:sz w:val="24"/>
          <w:lang w:eastAsia="zh-CN"/>
        </w:rPr>
        <w:t>，</w:t>
      </w:r>
      <w:r>
        <w:rPr>
          <w:rFonts w:hint="eastAsia"/>
          <w:lang w:val="en-US" w:eastAsia="zh-CN"/>
        </w:rPr>
        <w:t>按照</w:t>
      </w:r>
      <w:r>
        <w:rPr>
          <w:rFonts w:hint="eastAsia" w:asciiTheme="minorEastAsia" w:hAnsiTheme="minorEastAsia" w:eastAsiaTheme="minorEastAsia"/>
          <w:bCs/>
          <w:kern w:val="0"/>
          <w:sz w:val="24"/>
        </w:rPr>
        <w:t>“开标一览表”规定的格式报出</w:t>
      </w:r>
      <w:r>
        <w:rPr>
          <w:rFonts w:hint="eastAsia" w:asciiTheme="minorEastAsia" w:hAnsiTheme="minorEastAsia" w:eastAsiaTheme="minorEastAsia"/>
          <w:bCs/>
          <w:color w:val="auto"/>
          <w:kern w:val="0"/>
          <w:sz w:val="24"/>
          <w:lang w:eastAsia="zh-CN"/>
        </w:rPr>
        <w:t>赔付额整体上浮幅度</w:t>
      </w:r>
      <w:r>
        <w:rPr>
          <w:rFonts w:hint="eastAsia" w:asciiTheme="minorEastAsia" w:hAnsiTheme="minorEastAsia" w:eastAsiaTheme="minorEastAsia"/>
          <w:bCs/>
          <w:kern w:val="0"/>
          <w:sz w:val="24"/>
        </w:rPr>
        <w:t>。</w:t>
      </w:r>
    </w:p>
    <w:p>
      <w:pPr>
        <w:pStyle w:val="7"/>
        <w:spacing w:line="360" w:lineRule="auto"/>
        <w:ind w:firstLine="480" w:firstLineChars="200"/>
        <w:rPr>
          <w:rFonts w:asciiTheme="minorEastAsia" w:hAnsiTheme="minorEastAsia" w:eastAsiaTheme="minorEastAsia"/>
          <w:bCs/>
          <w:color w:val="auto"/>
          <w:kern w:val="0"/>
          <w:sz w:val="24"/>
        </w:rPr>
      </w:pPr>
      <w:r>
        <w:rPr>
          <w:rFonts w:hint="eastAsia" w:asciiTheme="minorEastAsia" w:hAnsiTheme="minorEastAsia" w:eastAsiaTheme="minorEastAsia"/>
          <w:bCs/>
          <w:color w:val="auto"/>
          <w:kern w:val="0"/>
          <w:sz w:val="24"/>
          <w:lang w:val="en-US" w:eastAsia="zh-CN"/>
        </w:rPr>
        <w:t>2</w:t>
      </w:r>
      <w:r>
        <w:rPr>
          <w:rFonts w:hint="eastAsia" w:asciiTheme="minorEastAsia" w:hAnsiTheme="minorEastAsia" w:eastAsiaTheme="minorEastAsia"/>
          <w:bCs/>
          <w:color w:val="auto"/>
          <w:kern w:val="0"/>
          <w:sz w:val="24"/>
        </w:rPr>
        <w:t>.投标报价不得为选择性报价和附有条件的报价。</w:t>
      </w:r>
    </w:p>
    <w:p>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keepNext w:val="0"/>
        <w:keepLines w:val="0"/>
        <w:pageBreakBefore w:val="0"/>
        <w:kinsoku/>
        <w:wordWrap/>
        <w:overflowPunct/>
        <w:topLinePunct w:val="0"/>
        <w:bidi w:val="0"/>
        <w:snapToGrid w:val="0"/>
        <w:spacing w:line="348"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keepNext w:val="0"/>
        <w:keepLines w:val="0"/>
        <w:pageBreakBefore w:val="0"/>
        <w:kinsoku/>
        <w:wordWrap/>
        <w:overflowPunct/>
        <w:topLinePunct w:val="0"/>
        <w:autoSpaceDE w:val="0"/>
        <w:autoSpaceDN w:val="0"/>
        <w:bidi w:val="0"/>
        <w:adjustRightInd w:val="0"/>
        <w:spacing w:line="348" w:lineRule="auto"/>
        <w:ind w:firstLine="482" w:firstLineChars="200"/>
        <w:textAlignment w:val="auto"/>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7"/>
        <w:keepNext w:val="0"/>
        <w:keepLines w:val="0"/>
        <w:pageBreakBefore w:val="0"/>
        <w:kinsoku/>
        <w:wordWrap/>
        <w:overflowPunct/>
        <w:topLinePunct w:val="0"/>
        <w:bidi w:val="0"/>
        <w:spacing w:line="348"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7"/>
        <w:keepNext w:val="0"/>
        <w:keepLines w:val="0"/>
        <w:pageBreakBefore w:val="0"/>
        <w:kinsoku/>
        <w:wordWrap/>
        <w:overflowPunct/>
        <w:topLinePunct w:val="0"/>
        <w:bidi w:val="0"/>
        <w:spacing w:line="348"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7"/>
        <w:keepNext w:val="0"/>
        <w:keepLines w:val="0"/>
        <w:pageBreakBefore w:val="0"/>
        <w:kinsoku/>
        <w:wordWrap/>
        <w:overflowPunct/>
        <w:topLinePunct w:val="0"/>
        <w:bidi w:val="0"/>
        <w:spacing w:line="348"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7"/>
        <w:keepNext w:val="0"/>
        <w:keepLines w:val="0"/>
        <w:pageBreakBefore w:val="0"/>
        <w:kinsoku/>
        <w:wordWrap/>
        <w:overflowPunct/>
        <w:topLinePunct w:val="0"/>
        <w:bidi w:val="0"/>
        <w:spacing w:line="348" w:lineRule="auto"/>
        <w:ind w:firstLine="480" w:firstLineChars="200"/>
        <w:textAlignment w:val="auto"/>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7"/>
        <w:keepNext w:val="0"/>
        <w:keepLines w:val="0"/>
        <w:pageBreakBefore w:val="0"/>
        <w:kinsoku/>
        <w:wordWrap/>
        <w:overflowPunct/>
        <w:topLinePunct w:val="0"/>
        <w:bidi w:val="0"/>
        <w:spacing w:line="348" w:lineRule="auto"/>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7"/>
        <w:keepNext w:val="0"/>
        <w:keepLines w:val="0"/>
        <w:pageBreakBefore w:val="0"/>
        <w:kinsoku/>
        <w:wordWrap/>
        <w:overflowPunct/>
        <w:topLinePunct w:val="0"/>
        <w:bidi w:val="0"/>
        <w:spacing w:line="348" w:lineRule="auto"/>
        <w:ind w:firstLine="482" w:firstLineChars="200"/>
        <w:textAlignment w:val="auto"/>
        <w:rPr>
          <w:b/>
          <w:bCs/>
          <w:sz w:val="24"/>
          <w:szCs w:val="22"/>
        </w:rPr>
      </w:pPr>
      <w:r>
        <w:rPr>
          <w:rFonts w:hint="eastAsia"/>
          <w:b/>
          <w:bCs/>
          <w:sz w:val="24"/>
          <w:szCs w:val="22"/>
        </w:rPr>
        <w:t>（二）开标异议</w:t>
      </w:r>
    </w:p>
    <w:p>
      <w:pPr>
        <w:pStyle w:val="7"/>
        <w:keepNext w:val="0"/>
        <w:keepLines w:val="0"/>
        <w:pageBreakBefore w:val="0"/>
        <w:kinsoku/>
        <w:wordWrap/>
        <w:overflowPunct/>
        <w:topLinePunct w:val="0"/>
        <w:bidi w:val="0"/>
        <w:spacing w:line="348" w:lineRule="auto"/>
        <w:ind w:firstLine="480" w:firstLineChars="200"/>
        <w:textAlignment w:val="auto"/>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7"/>
        <w:keepNext w:val="0"/>
        <w:keepLines w:val="0"/>
        <w:pageBreakBefore w:val="0"/>
        <w:kinsoku/>
        <w:wordWrap/>
        <w:overflowPunct/>
        <w:topLinePunct w:val="0"/>
        <w:bidi w:val="0"/>
        <w:spacing w:line="348" w:lineRule="auto"/>
        <w:ind w:firstLine="482" w:firstLineChars="200"/>
        <w:textAlignment w:val="auto"/>
        <w:rPr>
          <w:sz w:val="24"/>
          <w:szCs w:val="22"/>
        </w:rPr>
      </w:pPr>
      <w:r>
        <w:rPr>
          <w:rFonts w:hint="eastAsia"/>
          <w:b/>
          <w:bCs/>
          <w:sz w:val="24"/>
          <w:szCs w:val="22"/>
        </w:rPr>
        <w:t>（三）</w:t>
      </w:r>
      <w:r>
        <w:rPr>
          <w:rFonts w:hint="eastAsia"/>
          <w:sz w:val="24"/>
          <w:szCs w:val="22"/>
        </w:rPr>
        <w:t>投标人不足三家，不得开标。</w:t>
      </w:r>
    </w:p>
    <w:p>
      <w:pPr>
        <w:pStyle w:val="11"/>
        <w:keepNext w:val="0"/>
        <w:keepLines w:val="0"/>
        <w:pageBreakBefore w:val="0"/>
        <w:kinsoku/>
        <w:wordWrap/>
        <w:overflowPunct/>
        <w:topLinePunct w:val="0"/>
        <w:bidi w:val="0"/>
        <w:snapToGrid w:val="0"/>
        <w:spacing w:line="348" w:lineRule="auto"/>
        <w:ind w:firstLine="482" w:firstLineChars="200"/>
        <w:textAlignment w:val="auto"/>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7"/>
        <w:keepNext w:val="0"/>
        <w:keepLines w:val="0"/>
        <w:pageBreakBefore w:val="0"/>
        <w:kinsoku/>
        <w:wordWrap/>
        <w:overflowPunct/>
        <w:topLinePunct w:val="0"/>
        <w:bidi w:val="0"/>
        <w:spacing w:before="0" w:beforeAutospacing="0" w:after="0" w:afterAutospacing="0" w:line="348" w:lineRule="auto"/>
        <w:ind w:firstLine="482" w:firstLineChars="200"/>
        <w:jc w:val="both"/>
        <w:textAlignment w:val="auto"/>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7"/>
        <w:keepNext w:val="0"/>
        <w:keepLines w:val="0"/>
        <w:pageBreakBefore w:val="0"/>
        <w:kinsoku/>
        <w:wordWrap/>
        <w:overflowPunct/>
        <w:topLinePunct w:val="0"/>
        <w:bidi w:val="0"/>
        <w:spacing w:before="0" w:beforeAutospacing="0" w:after="0" w:afterAutospacing="0" w:line="348" w:lineRule="auto"/>
        <w:ind w:firstLine="482" w:firstLineChars="200"/>
        <w:jc w:val="both"/>
        <w:textAlignment w:val="auto"/>
        <w:rPr>
          <w:b/>
          <w:bCs/>
        </w:rPr>
      </w:pPr>
      <w:r>
        <w:rPr>
          <w:rFonts w:asciiTheme="minorEastAsia" w:hAnsiTheme="minorEastAsia" w:eastAsiaTheme="minorEastAsia"/>
          <w:b/>
          <w:bCs/>
        </w:rPr>
        <w:t>（一）</w:t>
      </w:r>
      <w:r>
        <w:rPr>
          <w:b/>
          <w:bCs/>
        </w:rPr>
        <w:t>确定中标人</w:t>
      </w:r>
    </w:p>
    <w:p>
      <w:pPr>
        <w:pStyle w:val="17"/>
        <w:keepNext w:val="0"/>
        <w:keepLines w:val="0"/>
        <w:pageBreakBefore w:val="0"/>
        <w:kinsoku/>
        <w:wordWrap/>
        <w:overflowPunct/>
        <w:topLinePunct w:val="0"/>
        <w:bidi w:val="0"/>
        <w:spacing w:before="0" w:beforeAutospacing="0" w:after="0" w:afterAutospacing="0" w:line="348" w:lineRule="auto"/>
        <w:ind w:firstLine="480" w:firstLineChars="200"/>
        <w:jc w:val="both"/>
        <w:textAlignment w:val="auto"/>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w:t>
      </w:r>
      <w:r>
        <w:rPr>
          <w:rFonts w:hint="eastAsia" w:asciiTheme="minorEastAsia" w:hAnsiTheme="minorEastAsia" w:eastAsiaTheme="minorEastAsia"/>
          <w:lang w:eastAsia="zh-CN"/>
        </w:rPr>
        <w:t>。</w:t>
      </w:r>
      <w:r>
        <w:rPr>
          <w:rFonts w:asciiTheme="minorEastAsia" w:hAnsiTheme="minorEastAsia" w:eastAsiaTheme="minorEastAsia"/>
        </w:rPr>
        <w:t>其中推荐中标候选人的，采购组织机构在评标结束后2个工作日内将评标报告送采购人，采购人自收到评标报告之日起5个工作日内在评标报告推荐的中标候选人中确定中标人。</w:t>
      </w:r>
    </w:p>
    <w:p>
      <w:pPr>
        <w:keepNext w:val="0"/>
        <w:keepLines w:val="0"/>
        <w:pageBreakBefore w:val="0"/>
        <w:kinsoku/>
        <w:wordWrap/>
        <w:overflowPunct/>
        <w:topLinePunct w:val="0"/>
        <w:bidi w:val="0"/>
        <w:spacing w:line="348" w:lineRule="auto"/>
        <w:ind w:firstLine="482" w:firstLineChars="200"/>
        <w:textAlignment w:val="auto"/>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keepNext w:val="0"/>
        <w:keepLines w:val="0"/>
        <w:pageBreakBefore w:val="0"/>
        <w:kinsoku/>
        <w:wordWrap/>
        <w:overflowPunct/>
        <w:topLinePunct w:val="0"/>
        <w:bidi w:val="0"/>
        <w:spacing w:line="348" w:lineRule="auto"/>
        <w:ind w:firstLine="480" w:firstLineChars="200"/>
        <w:textAlignment w:val="auto"/>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8"/>
        <w:keepNext w:val="0"/>
        <w:keepLines w:val="0"/>
        <w:pageBreakBefore w:val="0"/>
        <w:numPr>
          <w:ilvl w:val="0"/>
          <w:numId w:val="6"/>
        </w:numPr>
        <w:kinsoku/>
        <w:wordWrap/>
        <w:overflowPunct/>
        <w:topLinePunct w:val="0"/>
        <w:bidi w:val="0"/>
        <w:spacing w:line="348" w:lineRule="auto"/>
        <w:ind w:left="0" w:leftChars="0" w:firstLine="482" w:firstLineChars="200"/>
        <w:jc w:val="both"/>
        <w:textAlignment w:val="auto"/>
        <w:rPr>
          <w:rFonts w:hint="eastAsia"/>
          <w:b/>
          <w:bCs/>
          <w:sz w:val="24"/>
        </w:rPr>
      </w:pPr>
      <w:r>
        <w:rPr>
          <w:rFonts w:hint="eastAsia"/>
          <w:b/>
          <w:bCs/>
          <w:sz w:val="24"/>
        </w:rPr>
        <w:t>发放中标通知书</w:t>
      </w:r>
    </w:p>
    <w:p>
      <w:pPr>
        <w:pStyle w:val="8"/>
        <w:keepNext w:val="0"/>
        <w:keepLines w:val="0"/>
        <w:pageBreakBefore w:val="0"/>
        <w:numPr>
          <w:ilvl w:val="0"/>
          <w:numId w:val="0"/>
        </w:numPr>
        <w:kinsoku/>
        <w:wordWrap/>
        <w:overflowPunct/>
        <w:topLinePunct w:val="0"/>
        <w:bidi w:val="0"/>
        <w:spacing w:line="348" w:lineRule="auto"/>
        <w:ind w:left="0" w:leftChars="0" w:firstLine="420" w:firstLineChars="175"/>
        <w:jc w:val="both"/>
        <w:textAlignment w:val="auto"/>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7" w:name="_Toc13072_WPSOffice_Level1"/>
      <w:r>
        <w:rPr>
          <w:rFonts w:hint="eastAsia" w:asciiTheme="minorEastAsia" w:hAnsiTheme="minorEastAsia" w:eastAsiaTheme="minorEastAsia"/>
          <w:b/>
          <w:sz w:val="36"/>
          <w:szCs w:val="36"/>
        </w:rPr>
        <w:t>招标需求</w:t>
      </w:r>
      <w:bookmarkEnd w:id="37"/>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000000" w:themeColor="text1"/>
          <w:sz w:val="24"/>
          <w14:textFill>
            <w14:solidFill>
              <w14:schemeClr w14:val="tx1"/>
            </w14:solidFill>
          </w14:textFill>
        </w:rPr>
      </w:pPr>
      <w:bookmarkStart w:id="38" w:name="_Toc31173_WPSOffice_Level1"/>
      <w:r>
        <w:rPr>
          <w:rFonts w:hint="eastAsia" w:asciiTheme="minorEastAsia" w:hAnsiTheme="minorEastAsia" w:eastAsiaTheme="minorEastAsia"/>
          <w:b/>
          <w:color w:val="000000" w:themeColor="text1"/>
          <w:sz w:val="24"/>
          <w14:textFill>
            <w14:solidFill>
              <w14:schemeClr w14:val="tx1"/>
            </w14:solidFill>
          </w14:textFill>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本次招标共</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4</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个标项，具体内容如下表：</w:t>
      </w:r>
    </w:p>
    <w:tbl>
      <w:tblPr>
        <w:tblStyle w:val="20"/>
        <w:tblpPr w:leftFromText="181" w:rightFromText="181" w:bottomFromText="170" w:vertAnchor="text" w:tblpXSpec="center" w:tblpY="1"/>
        <w:tblOverlap w:val="never"/>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53"/>
        <w:gridCol w:w="1920"/>
        <w:gridCol w:w="1407"/>
        <w:gridCol w:w="138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80" w:type="pct"/>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962" w:type="pct"/>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1054" w:type="pct"/>
            <w:vAlign w:val="center"/>
          </w:tcPr>
          <w:p>
            <w:pPr>
              <w:tabs>
                <w:tab w:val="left" w:pos="8280"/>
              </w:tabs>
              <w:autoSpaceDE w:val="0"/>
              <w:autoSpaceDN w:val="0"/>
              <w:adjustRightInd w:val="0"/>
              <w:jc w:val="center"/>
              <w:rPr>
                <w:rFonts w:hint="eastAsia" w:ascii="宋体" w:hAnsi="Times New Roman" w:eastAsia="宋体" w:cs="Times New Roman"/>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简要技术要求</w:t>
            </w:r>
          </w:p>
        </w:tc>
        <w:tc>
          <w:tcPr>
            <w:tcW w:w="772" w:type="pct"/>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757" w:type="pct"/>
            <w:vAlign w:val="center"/>
          </w:tcPr>
          <w:p>
            <w:pPr>
              <w:jc w:val="center"/>
              <w:rPr>
                <w:rFonts w:hint="eastAsia" w:ascii="宋体" w:hAnsi="宋体" w:cs="宋体"/>
                <w:b/>
                <w:sz w:val="21"/>
                <w:szCs w:val="21"/>
                <w:lang w:val="en-US" w:eastAsia="zh-CN"/>
              </w:rPr>
            </w:pPr>
            <w:r>
              <w:rPr>
                <w:rFonts w:hint="eastAsia" w:ascii="宋体" w:hAnsi="宋体" w:cs="宋体"/>
                <w:b/>
                <w:sz w:val="21"/>
                <w:szCs w:val="21"/>
                <w:lang w:val="en-US" w:eastAsia="zh-CN"/>
              </w:rPr>
              <w:t>固定保费</w:t>
            </w:r>
          </w:p>
          <w:p>
            <w:pPr>
              <w:jc w:val="center"/>
              <w:rPr>
                <w:rFonts w:ascii="宋体" w:hAnsi="宋体" w:cs="宋体"/>
                <w:b/>
                <w:sz w:val="21"/>
                <w:szCs w:val="21"/>
              </w:rPr>
            </w:pPr>
            <w:r>
              <w:rPr>
                <w:rFonts w:hint="eastAsia" w:ascii="宋体" w:hAnsi="宋体" w:cs="宋体"/>
                <w:b/>
                <w:sz w:val="21"/>
                <w:szCs w:val="21"/>
              </w:rPr>
              <w:t>（万元）</w:t>
            </w:r>
          </w:p>
        </w:tc>
        <w:tc>
          <w:tcPr>
            <w:tcW w:w="972" w:type="pct"/>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赔付额整体</w:t>
            </w:r>
          </w:p>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上浮幅度</w:t>
            </w:r>
            <w:r>
              <w:rPr>
                <w:rFonts w:hint="eastAsia" w:ascii="宋体" w:hAnsi="宋体" w:cs="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0"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rPr>
              <w:t>1</w:t>
            </w:r>
          </w:p>
        </w:tc>
        <w:tc>
          <w:tcPr>
            <w:tcW w:w="962" w:type="pct"/>
            <w:vAlign w:val="center"/>
          </w:tcPr>
          <w:p>
            <w:pPr>
              <w:tabs>
                <w:tab w:val="left" w:pos="8280"/>
              </w:tabs>
              <w:autoSpaceDE w:val="0"/>
              <w:autoSpaceDN w:val="0"/>
              <w:adjustRightInd w:val="0"/>
              <w:rPr>
                <w:rFonts w:hint="default" w:ascii="宋体" w:hAnsi="宋体" w:cs="宋体"/>
                <w:b/>
                <w:bCs w:val="0"/>
                <w:sz w:val="21"/>
                <w:szCs w:val="21"/>
                <w:lang w:val="en-US"/>
              </w:rPr>
            </w:pPr>
            <w:r>
              <w:rPr>
                <w:rFonts w:hint="eastAsia" w:ascii="宋体" w:hAnsi="宋体" w:eastAsia="宋体" w:cs="宋体"/>
                <w:b/>
                <w:bCs w:val="0"/>
                <w:color w:val="000000" w:themeColor="text1"/>
                <w:sz w:val="21"/>
                <w:szCs w:val="21"/>
                <w:lang w:eastAsia="zh-CN"/>
                <w14:textFill>
                  <w14:solidFill>
                    <w14:schemeClr w14:val="tx1"/>
                  </w14:solidFill>
                </w14:textFill>
              </w:rPr>
              <w:t>温岭</w:t>
            </w:r>
            <w:r>
              <w:rPr>
                <w:rFonts w:hint="eastAsia" w:ascii="宋体" w:hAnsi="宋体" w:eastAsia="宋体" w:cs="宋体"/>
                <w:b/>
                <w:bCs w:val="0"/>
                <w:color w:val="000000" w:themeColor="text1"/>
                <w:sz w:val="21"/>
                <w:szCs w:val="21"/>
                <w:lang w:val="en-US" w:eastAsia="zh-CN"/>
                <w14:textFill>
                  <w14:solidFill>
                    <w14:schemeClr w14:val="tx1"/>
                  </w14:solidFill>
                </w14:textFill>
              </w:rPr>
              <w:t>市</w:t>
            </w:r>
            <w:r>
              <w:rPr>
                <w:rFonts w:hint="eastAsia" w:ascii="宋体" w:hAnsi="宋体" w:eastAsia="宋体" w:cs="宋体"/>
                <w:b/>
                <w:bCs w:val="0"/>
                <w:color w:val="000000" w:themeColor="text1"/>
                <w:sz w:val="21"/>
                <w:szCs w:val="21"/>
                <w:lang w:eastAsia="zh-CN"/>
                <w14:textFill>
                  <w14:solidFill>
                    <w14:schemeClr w14:val="tx1"/>
                  </w14:solidFill>
                </w14:textFill>
              </w:rPr>
              <w:t>、玉环</w:t>
            </w:r>
            <w:r>
              <w:rPr>
                <w:rFonts w:hint="eastAsia" w:ascii="宋体" w:hAnsi="宋体" w:eastAsia="宋体" w:cs="宋体"/>
                <w:b/>
                <w:bCs w:val="0"/>
                <w:color w:val="000000" w:themeColor="text1"/>
                <w:sz w:val="21"/>
                <w:szCs w:val="21"/>
                <w:lang w:val="en-US" w:eastAsia="zh-CN"/>
                <w14:textFill>
                  <w14:solidFill>
                    <w14:schemeClr w14:val="tx1"/>
                  </w14:solidFill>
                </w14:textFill>
              </w:rPr>
              <w:t>市</w:t>
            </w:r>
            <w:r>
              <w:rPr>
                <w:rFonts w:hint="eastAsia" w:ascii="宋体" w:hAnsi="宋体" w:eastAsia="宋体" w:cs="宋体"/>
                <w:b/>
                <w:bCs w:val="0"/>
                <w:color w:val="000000" w:themeColor="text1"/>
                <w:sz w:val="21"/>
                <w:szCs w:val="21"/>
                <w:lang w:eastAsia="zh-CN"/>
                <w14:textFill>
                  <w14:solidFill>
                    <w14:schemeClr w14:val="tx1"/>
                  </w14:solidFill>
                </w14:textFill>
              </w:rPr>
              <w:t>、路桥</w:t>
            </w:r>
            <w:r>
              <w:rPr>
                <w:rFonts w:hint="eastAsia" w:ascii="宋体" w:hAnsi="宋体" w:eastAsia="宋体" w:cs="宋体"/>
                <w:b/>
                <w:bCs w:val="0"/>
                <w:color w:val="000000" w:themeColor="text1"/>
                <w:sz w:val="21"/>
                <w:szCs w:val="21"/>
                <w:lang w:val="en-US" w:eastAsia="zh-CN"/>
                <w14:textFill>
                  <w14:solidFill>
                    <w14:schemeClr w14:val="tx1"/>
                  </w14:solidFill>
                </w14:textFill>
              </w:rPr>
              <w:t>区</w:t>
            </w:r>
            <w:r>
              <w:rPr>
                <w:rFonts w:hint="eastAsia" w:ascii="宋体" w:hAnsi="宋体" w:eastAsia="宋体" w:cs="宋体"/>
                <w:b/>
                <w:bCs w:val="0"/>
                <w:color w:val="000000" w:themeColor="text1"/>
                <w:sz w:val="21"/>
                <w:szCs w:val="21"/>
                <w:lang w:eastAsia="zh-CN"/>
                <w14:textFill>
                  <w14:solidFill>
                    <w14:schemeClr w14:val="tx1"/>
                  </w14:solidFill>
                </w14:textFill>
              </w:rPr>
              <w:t>、临海</w:t>
            </w:r>
            <w:r>
              <w:rPr>
                <w:rFonts w:hint="eastAsia" w:ascii="宋体" w:hAnsi="宋体" w:eastAsia="宋体" w:cs="宋体"/>
                <w:b/>
                <w:bCs w:val="0"/>
                <w:color w:val="000000" w:themeColor="text1"/>
                <w:sz w:val="21"/>
                <w:szCs w:val="21"/>
                <w:lang w:val="en-US" w:eastAsia="zh-CN"/>
                <w14:textFill>
                  <w14:solidFill>
                    <w14:schemeClr w14:val="tx1"/>
                  </w14:solidFill>
                </w14:textFill>
              </w:rPr>
              <w:t>市巨灾保险</w:t>
            </w:r>
          </w:p>
        </w:tc>
        <w:tc>
          <w:tcPr>
            <w:tcW w:w="1054" w:type="pct"/>
            <w:vMerge w:val="restart"/>
            <w:vAlign w:val="center"/>
          </w:tcPr>
          <w:p>
            <w:pPr>
              <w:tabs>
                <w:tab w:val="left" w:pos="8280"/>
              </w:tabs>
              <w:autoSpaceDE w:val="0"/>
              <w:autoSpaceDN w:val="0"/>
              <w:adjustRightInd w:val="0"/>
              <w:jc w:val="both"/>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台风指数保险、强降雨指数保险采用指数型，两种保险责任独立不重叠（达到理赔条件，独立计算理赔金额，最后累加赔付）</w:t>
            </w:r>
          </w:p>
        </w:tc>
        <w:tc>
          <w:tcPr>
            <w:tcW w:w="772"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1118.7</w:t>
            </w:r>
            <w:r>
              <w:rPr>
                <w:rFonts w:hint="eastAsia" w:ascii="宋体" w:hAnsi="宋体" w:cs="宋体"/>
                <w:b/>
                <w:bCs w:val="0"/>
                <w:color w:val="000000" w:themeColor="text1"/>
                <w:sz w:val="21"/>
                <w:szCs w:val="21"/>
                <w:lang w:val="en-US" w:eastAsia="zh-CN"/>
                <w14:textFill>
                  <w14:solidFill>
                    <w14:schemeClr w14:val="tx1"/>
                  </w14:solidFill>
                </w14:textFill>
              </w:rPr>
              <w:t>2</w:t>
            </w:r>
          </w:p>
        </w:tc>
        <w:tc>
          <w:tcPr>
            <w:tcW w:w="757"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1118.7</w:t>
            </w:r>
            <w:r>
              <w:rPr>
                <w:rFonts w:hint="eastAsia" w:ascii="宋体" w:hAnsi="宋体" w:cs="宋体"/>
                <w:b/>
                <w:bCs w:val="0"/>
                <w:color w:val="000000" w:themeColor="text1"/>
                <w:sz w:val="21"/>
                <w:szCs w:val="21"/>
                <w:lang w:val="en-US" w:eastAsia="zh-CN"/>
                <w14:textFill>
                  <w14:solidFill>
                    <w14:schemeClr w14:val="tx1"/>
                  </w14:solidFill>
                </w14:textFill>
              </w:rPr>
              <w:t>2</w:t>
            </w:r>
          </w:p>
        </w:tc>
        <w:tc>
          <w:tcPr>
            <w:tcW w:w="972" w:type="pct"/>
            <w:vAlign w:val="center"/>
          </w:tcPr>
          <w:p>
            <w:pPr>
              <w:tabs>
                <w:tab w:val="left" w:pos="8280"/>
              </w:tabs>
              <w:autoSpaceDE w:val="0"/>
              <w:autoSpaceDN w:val="0"/>
              <w:adjustRightInd w:val="0"/>
              <w:jc w:val="center"/>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0" w:type="pct"/>
            <w:vAlign w:val="center"/>
          </w:tcPr>
          <w:p>
            <w:pPr>
              <w:tabs>
                <w:tab w:val="left" w:pos="8280"/>
              </w:tabs>
              <w:autoSpaceDE w:val="0"/>
              <w:autoSpaceDN w:val="0"/>
              <w:adjustRightInd w:val="0"/>
              <w:jc w:val="center"/>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2</w:t>
            </w:r>
          </w:p>
        </w:tc>
        <w:tc>
          <w:tcPr>
            <w:tcW w:w="962" w:type="pct"/>
            <w:vAlign w:val="center"/>
          </w:tcPr>
          <w:p>
            <w:pPr>
              <w:tabs>
                <w:tab w:val="left" w:pos="8280"/>
              </w:tabs>
              <w:autoSpaceDE w:val="0"/>
              <w:autoSpaceDN w:val="0"/>
              <w:adjustRightInd w:val="0"/>
              <w:rPr>
                <w:rFonts w:hint="default" w:ascii="宋体" w:hAnsi="宋体" w:cs="宋体"/>
                <w:b/>
                <w:bCs w:val="0"/>
                <w:sz w:val="21"/>
                <w:szCs w:val="21"/>
                <w:lang w:val="en-US"/>
              </w:rPr>
            </w:pPr>
            <w:r>
              <w:rPr>
                <w:rFonts w:hint="eastAsia" w:ascii="宋体" w:hAnsi="宋体" w:eastAsia="宋体" w:cs="宋体"/>
                <w:b/>
                <w:bCs w:val="0"/>
                <w:color w:val="000000" w:themeColor="text1"/>
                <w:sz w:val="21"/>
                <w:szCs w:val="21"/>
                <w:lang w:eastAsia="zh-CN"/>
                <w14:textFill>
                  <w14:solidFill>
                    <w14:schemeClr w14:val="tx1"/>
                  </w14:solidFill>
                </w14:textFill>
              </w:rPr>
              <w:t>天台</w:t>
            </w:r>
            <w:r>
              <w:rPr>
                <w:rFonts w:hint="eastAsia" w:ascii="宋体" w:hAnsi="宋体" w:eastAsia="宋体" w:cs="宋体"/>
                <w:b/>
                <w:bCs w:val="0"/>
                <w:color w:val="000000" w:themeColor="text1"/>
                <w:sz w:val="21"/>
                <w:szCs w:val="21"/>
                <w:lang w:val="en-US" w:eastAsia="zh-CN"/>
                <w14:textFill>
                  <w14:solidFill>
                    <w14:schemeClr w14:val="tx1"/>
                  </w14:solidFill>
                </w14:textFill>
              </w:rPr>
              <w:t>县</w:t>
            </w:r>
            <w:r>
              <w:rPr>
                <w:rFonts w:hint="eastAsia" w:ascii="宋体" w:hAnsi="宋体" w:eastAsia="宋体" w:cs="宋体"/>
                <w:b/>
                <w:bCs w:val="0"/>
                <w:color w:val="000000" w:themeColor="text1"/>
                <w:sz w:val="21"/>
                <w:szCs w:val="21"/>
                <w:lang w:eastAsia="zh-CN"/>
                <w14:textFill>
                  <w14:solidFill>
                    <w14:schemeClr w14:val="tx1"/>
                  </w14:solidFill>
                </w14:textFill>
              </w:rPr>
              <w:t>、仙居</w:t>
            </w:r>
            <w:r>
              <w:rPr>
                <w:rFonts w:hint="eastAsia" w:ascii="宋体" w:hAnsi="宋体" w:eastAsia="宋体" w:cs="宋体"/>
                <w:b/>
                <w:bCs w:val="0"/>
                <w:color w:val="000000" w:themeColor="text1"/>
                <w:sz w:val="21"/>
                <w:szCs w:val="21"/>
                <w:lang w:val="en-US" w:eastAsia="zh-CN"/>
                <w14:textFill>
                  <w14:solidFill>
                    <w14:schemeClr w14:val="tx1"/>
                  </w14:solidFill>
                </w14:textFill>
              </w:rPr>
              <w:t>县</w:t>
            </w:r>
            <w:r>
              <w:rPr>
                <w:rFonts w:hint="eastAsia" w:ascii="宋体" w:hAnsi="宋体" w:eastAsia="宋体" w:cs="宋体"/>
                <w:b/>
                <w:bCs w:val="0"/>
                <w:color w:val="000000" w:themeColor="text1"/>
                <w:sz w:val="21"/>
                <w:szCs w:val="21"/>
                <w:lang w:eastAsia="zh-CN"/>
                <w14:textFill>
                  <w14:solidFill>
                    <w14:schemeClr w14:val="tx1"/>
                  </w14:solidFill>
                </w14:textFill>
              </w:rPr>
              <w:t>、三门</w:t>
            </w:r>
            <w:r>
              <w:rPr>
                <w:rFonts w:hint="eastAsia" w:ascii="宋体" w:hAnsi="宋体" w:eastAsia="宋体" w:cs="宋体"/>
                <w:b/>
                <w:bCs w:val="0"/>
                <w:color w:val="000000" w:themeColor="text1"/>
                <w:sz w:val="21"/>
                <w:szCs w:val="21"/>
                <w:lang w:val="en-US" w:eastAsia="zh-CN"/>
                <w14:textFill>
                  <w14:solidFill>
                    <w14:schemeClr w14:val="tx1"/>
                  </w14:solidFill>
                </w14:textFill>
              </w:rPr>
              <w:t>县巨灾保险</w:t>
            </w:r>
          </w:p>
        </w:tc>
        <w:tc>
          <w:tcPr>
            <w:tcW w:w="1054" w:type="pct"/>
            <w:vMerge w:val="continue"/>
            <w:vAlign w:val="center"/>
          </w:tcPr>
          <w:p>
            <w:pPr>
              <w:tabs>
                <w:tab w:val="left" w:pos="8280"/>
              </w:tabs>
              <w:autoSpaceDE w:val="0"/>
              <w:autoSpaceDN w:val="0"/>
              <w:adjustRightInd w:val="0"/>
              <w:rPr>
                <w:rFonts w:hint="eastAsia" w:ascii="宋体" w:hAnsi="宋体" w:eastAsia="宋体" w:cs="宋体"/>
                <w:b/>
                <w:bCs w:val="0"/>
                <w:color w:val="000000" w:themeColor="text1"/>
                <w:sz w:val="21"/>
                <w:szCs w:val="21"/>
                <w:lang w:eastAsia="zh-CN"/>
                <w14:textFill>
                  <w14:solidFill>
                    <w14:schemeClr w14:val="tx1"/>
                  </w14:solidFill>
                </w14:textFill>
              </w:rPr>
            </w:pPr>
          </w:p>
        </w:tc>
        <w:tc>
          <w:tcPr>
            <w:tcW w:w="772"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544.4</w:t>
            </w:r>
          </w:p>
        </w:tc>
        <w:tc>
          <w:tcPr>
            <w:tcW w:w="757" w:type="pct"/>
            <w:vAlign w:val="center"/>
          </w:tcPr>
          <w:p>
            <w:pPr>
              <w:tabs>
                <w:tab w:val="left" w:pos="8280"/>
              </w:tabs>
              <w:autoSpaceDE w:val="0"/>
              <w:autoSpaceDN w:val="0"/>
              <w:adjustRightInd w:val="0"/>
              <w:jc w:val="cente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544.4</w:t>
            </w:r>
          </w:p>
        </w:tc>
        <w:tc>
          <w:tcPr>
            <w:tcW w:w="972"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0" w:type="pct"/>
            <w:vAlign w:val="center"/>
          </w:tcPr>
          <w:p>
            <w:pPr>
              <w:tabs>
                <w:tab w:val="left" w:pos="8280"/>
              </w:tabs>
              <w:autoSpaceDE w:val="0"/>
              <w:autoSpaceDN w:val="0"/>
              <w:adjustRightInd w:val="0"/>
              <w:jc w:val="center"/>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3</w:t>
            </w:r>
          </w:p>
        </w:tc>
        <w:tc>
          <w:tcPr>
            <w:tcW w:w="962" w:type="pct"/>
            <w:vAlign w:val="center"/>
          </w:tcPr>
          <w:p>
            <w:pPr>
              <w:tabs>
                <w:tab w:val="left" w:pos="8280"/>
              </w:tabs>
              <w:autoSpaceDE w:val="0"/>
              <w:autoSpaceDN w:val="0"/>
              <w:adjustRightInd w:val="0"/>
              <w:rPr>
                <w:rFonts w:hint="default" w:ascii="宋体" w:hAnsi="宋体" w:cs="宋体"/>
                <w:b/>
                <w:bCs w:val="0"/>
                <w:sz w:val="21"/>
                <w:szCs w:val="21"/>
                <w:lang w:val="en-US"/>
              </w:rPr>
            </w:pPr>
            <w:r>
              <w:rPr>
                <w:rFonts w:hint="eastAsia" w:ascii="宋体" w:hAnsi="宋体" w:eastAsia="宋体" w:cs="宋体"/>
                <w:b/>
                <w:bCs w:val="0"/>
                <w:color w:val="000000" w:themeColor="text1"/>
                <w:sz w:val="21"/>
                <w:szCs w:val="21"/>
                <w:lang w:eastAsia="zh-CN"/>
                <w14:textFill>
                  <w14:solidFill>
                    <w14:schemeClr w14:val="tx1"/>
                  </w14:solidFill>
                </w14:textFill>
              </w:rPr>
              <w:t>椒江</w:t>
            </w:r>
            <w:r>
              <w:rPr>
                <w:rFonts w:hint="eastAsia" w:ascii="宋体" w:hAnsi="宋体" w:eastAsia="宋体" w:cs="宋体"/>
                <w:b/>
                <w:bCs w:val="0"/>
                <w:color w:val="000000" w:themeColor="text1"/>
                <w:sz w:val="21"/>
                <w:szCs w:val="21"/>
                <w:lang w:val="en-US" w:eastAsia="zh-CN"/>
                <w14:textFill>
                  <w14:solidFill>
                    <w14:schemeClr w14:val="tx1"/>
                  </w14:solidFill>
                </w14:textFill>
              </w:rPr>
              <w:t>区</w:t>
            </w:r>
            <w:r>
              <w:rPr>
                <w:rFonts w:hint="eastAsia" w:ascii="宋体" w:hAnsi="宋体" w:eastAsia="宋体" w:cs="宋体"/>
                <w:b/>
                <w:bCs w:val="0"/>
                <w:color w:val="000000" w:themeColor="text1"/>
                <w:sz w:val="21"/>
                <w:szCs w:val="21"/>
                <w:lang w:eastAsia="zh-CN"/>
                <w14:textFill>
                  <w14:solidFill>
                    <w14:schemeClr w14:val="tx1"/>
                  </w14:solidFill>
                </w14:textFill>
              </w:rPr>
              <w:t>、台州湾新区</w:t>
            </w:r>
            <w:r>
              <w:rPr>
                <w:rFonts w:hint="eastAsia" w:ascii="宋体" w:hAnsi="宋体" w:eastAsia="宋体" w:cs="宋体"/>
                <w:b/>
                <w:bCs w:val="0"/>
                <w:color w:val="000000" w:themeColor="text1"/>
                <w:sz w:val="21"/>
                <w:szCs w:val="21"/>
                <w:lang w:val="en-US" w:eastAsia="zh-CN"/>
                <w14:textFill>
                  <w14:solidFill>
                    <w14:schemeClr w14:val="tx1"/>
                  </w14:solidFill>
                </w14:textFill>
              </w:rPr>
              <w:t>巨灾保险</w:t>
            </w:r>
          </w:p>
        </w:tc>
        <w:tc>
          <w:tcPr>
            <w:tcW w:w="1054" w:type="pct"/>
            <w:vMerge w:val="continue"/>
            <w:vAlign w:val="center"/>
          </w:tcPr>
          <w:p>
            <w:pPr>
              <w:tabs>
                <w:tab w:val="left" w:pos="8280"/>
              </w:tabs>
              <w:autoSpaceDE w:val="0"/>
              <w:autoSpaceDN w:val="0"/>
              <w:adjustRightInd w:val="0"/>
              <w:rPr>
                <w:rFonts w:hint="eastAsia" w:ascii="宋体" w:hAnsi="宋体" w:eastAsia="宋体" w:cs="宋体"/>
                <w:b/>
                <w:bCs w:val="0"/>
                <w:color w:val="000000" w:themeColor="text1"/>
                <w:sz w:val="21"/>
                <w:szCs w:val="21"/>
                <w:lang w:eastAsia="zh-CN"/>
                <w14:textFill>
                  <w14:solidFill>
                    <w14:schemeClr w14:val="tx1"/>
                  </w14:solidFill>
                </w14:textFill>
              </w:rPr>
            </w:pPr>
          </w:p>
        </w:tc>
        <w:tc>
          <w:tcPr>
            <w:tcW w:w="772"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236.32</w:t>
            </w:r>
          </w:p>
        </w:tc>
        <w:tc>
          <w:tcPr>
            <w:tcW w:w="757" w:type="pct"/>
            <w:vAlign w:val="center"/>
          </w:tcPr>
          <w:p>
            <w:pPr>
              <w:tabs>
                <w:tab w:val="left" w:pos="8280"/>
              </w:tabs>
              <w:autoSpaceDE w:val="0"/>
              <w:autoSpaceDN w:val="0"/>
              <w:adjustRightInd w:val="0"/>
              <w:jc w:val="cente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236.32</w:t>
            </w:r>
          </w:p>
        </w:tc>
        <w:tc>
          <w:tcPr>
            <w:tcW w:w="972"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0" w:type="pct"/>
            <w:vAlign w:val="center"/>
          </w:tcPr>
          <w:p>
            <w:pPr>
              <w:tabs>
                <w:tab w:val="left" w:pos="8280"/>
              </w:tabs>
              <w:autoSpaceDE w:val="0"/>
              <w:autoSpaceDN w:val="0"/>
              <w:adjustRightInd w:val="0"/>
              <w:jc w:val="center"/>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4</w:t>
            </w:r>
          </w:p>
        </w:tc>
        <w:tc>
          <w:tcPr>
            <w:tcW w:w="962" w:type="pct"/>
            <w:vAlign w:val="center"/>
          </w:tcPr>
          <w:p>
            <w:pPr>
              <w:tabs>
                <w:tab w:val="left" w:pos="8280"/>
              </w:tabs>
              <w:autoSpaceDE w:val="0"/>
              <w:autoSpaceDN w:val="0"/>
              <w:adjustRightInd w:val="0"/>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黄岩区</w:t>
            </w:r>
            <w:r>
              <w:rPr>
                <w:rFonts w:hint="eastAsia" w:ascii="宋体" w:hAnsi="宋体" w:eastAsia="宋体" w:cs="宋体"/>
                <w:b/>
                <w:bCs w:val="0"/>
                <w:color w:val="000000" w:themeColor="text1"/>
                <w:sz w:val="21"/>
                <w:szCs w:val="21"/>
                <w:lang w:val="en-US" w:eastAsia="zh-CN"/>
                <w14:textFill>
                  <w14:solidFill>
                    <w14:schemeClr w14:val="tx1"/>
                  </w14:solidFill>
                </w14:textFill>
              </w:rPr>
              <w:t>巨灾保险</w:t>
            </w:r>
          </w:p>
        </w:tc>
        <w:tc>
          <w:tcPr>
            <w:tcW w:w="1054" w:type="pct"/>
            <w:vMerge w:val="continue"/>
            <w:vAlign w:val="center"/>
          </w:tcPr>
          <w:p>
            <w:pPr>
              <w:tabs>
                <w:tab w:val="left" w:pos="8280"/>
              </w:tabs>
              <w:autoSpaceDE w:val="0"/>
              <w:autoSpaceDN w:val="0"/>
              <w:adjustRightInd w:val="0"/>
              <w:rPr>
                <w:rFonts w:hint="eastAsia" w:ascii="宋体" w:hAnsi="宋体" w:cs="宋体"/>
                <w:b/>
                <w:bCs w:val="0"/>
                <w:sz w:val="21"/>
                <w:szCs w:val="21"/>
                <w:lang w:val="en-US" w:eastAsia="zh-CN"/>
              </w:rPr>
            </w:pPr>
          </w:p>
        </w:tc>
        <w:tc>
          <w:tcPr>
            <w:tcW w:w="772" w:type="pct"/>
            <w:vAlign w:val="center"/>
          </w:tcPr>
          <w:p>
            <w:pPr>
              <w:tabs>
                <w:tab w:val="left" w:pos="8280"/>
              </w:tabs>
              <w:autoSpaceDE w:val="0"/>
              <w:autoSpaceDN w:val="0"/>
              <w:adjustRightInd w:val="0"/>
              <w:jc w:val="center"/>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200.56</w:t>
            </w:r>
          </w:p>
        </w:tc>
        <w:tc>
          <w:tcPr>
            <w:tcW w:w="757" w:type="pct"/>
            <w:vAlign w:val="center"/>
          </w:tcPr>
          <w:p>
            <w:pPr>
              <w:tabs>
                <w:tab w:val="left" w:pos="8280"/>
              </w:tabs>
              <w:autoSpaceDE w:val="0"/>
              <w:autoSpaceDN w:val="0"/>
              <w:adjustRightInd w:val="0"/>
              <w:jc w:val="cente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200.56</w:t>
            </w:r>
          </w:p>
        </w:tc>
        <w:tc>
          <w:tcPr>
            <w:tcW w:w="972" w:type="pct"/>
            <w:vAlign w:val="center"/>
          </w:tcPr>
          <w:p>
            <w:pPr>
              <w:tabs>
                <w:tab w:val="left" w:pos="8280"/>
              </w:tabs>
              <w:autoSpaceDE w:val="0"/>
              <w:autoSpaceDN w:val="0"/>
              <w:adjustRightInd w:val="0"/>
              <w:jc w:val="center"/>
              <w:rPr>
                <w:rFonts w:ascii="宋体" w:hAnsi="宋体" w:cs="宋体"/>
                <w:b/>
                <w:bCs w:val="0"/>
                <w:sz w:val="21"/>
                <w:szCs w:val="21"/>
              </w:rPr>
            </w:pPr>
            <w:r>
              <w:rPr>
                <w:rFonts w:hint="eastAsia" w:ascii="宋体" w:hAnsi="宋体" w:cs="宋体"/>
                <w:b/>
                <w:bCs w:val="0"/>
                <w:sz w:val="21"/>
                <w:szCs w:val="21"/>
                <w:lang w:val="en-US" w:eastAsia="zh-CN"/>
              </w:rPr>
              <w:t>≥0</w:t>
            </w:r>
          </w:p>
        </w:tc>
      </w:tr>
    </w:tbl>
    <w:p>
      <w:pPr>
        <w:numPr>
          <w:ilvl w:val="0"/>
          <w:numId w:val="0"/>
        </w:numPr>
        <w:tabs>
          <w:tab w:val="left" w:pos="8280"/>
        </w:tabs>
        <w:autoSpaceDE w:val="0"/>
        <w:autoSpaceDN w:val="0"/>
        <w:adjustRightInd w:val="0"/>
        <w:spacing w:line="360" w:lineRule="auto"/>
        <w:ind w:right="25" w:rightChars="0" w:firstLine="482" w:firstLineChars="200"/>
        <w:jc w:val="left"/>
        <w:rPr>
          <w:rFonts w:eastAsia="宋体"/>
          <w:color w:val="auto"/>
        </w:rPr>
      </w:pPr>
      <w:r>
        <w:rPr>
          <w:rFonts w:hint="eastAsia" w:asciiTheme="minorEastAsia" w:hAnsiTheme="minorEastAsia" w:eastAsiaTheme="minorEastAsia"/>
          <w:b/>
          <w:color w:val="auto"/>
          <w:sz w:val="24"/>
          <w:lang w:eastAsia="zh-CN"/>
        </w:rPr>
        <w:t>二、</w:t>
      </w:r>
      <w:r>
        <w:rPr>
          <w:rFonts w:hint="eastAsia" w:asciiTheme="minorEastAsia" w:hAnsiTheme="minorEastAsia" w:eastAsiaTheme="minorEastAsia"/>
          <w:b/>
          <w:color w:val="auto"/>
          <w:sz w:val="24"/>
        </w:rPr>
        <w:t>技术需求</w:t>
      </w:r>
    </w:p>
    <w:p>
      <w:pPr>
        <w:widowControl w:val="0"/>
        <w:spacing w:line="360" w:lineRule="auto"/>
        <w:ind w:left="0" w:leftChars="0" w:firstLine="482" w:firstLineChars="200"/>
        <w:jc w:val="both"/>
        <w:rPr>
          <w:rFonts w:hint="eastAsia" w:cs="Times New Roman" w:asciiTheme="minorEastAsia" w:hAnsiTheme="minorEastAsia" w:eastAsiaTheme="minorEastAsia"/>
          <w:b/>
          <w:color w:val="auto"/>
          <w:kern w:val="0"/>
          <w:sz w:val="24"/>
          <w:szCs w:val="20"/>
          <w:lang w:val="en-US" w:eastAsia="zh-CN" w:bidi="ar-SA"/>
        </w:rPr>
      </w:pPr>
      <w:r>
        <w:rPr>
          <w:rFonts w:hint="eastAsia" w:cs="Times New Roman" w:asciiTheme="minorEastAsia" w:hAnsiTheme="minorEastAsia" w:eastAsiaTheme="minorEastAsia"/>
          <w:b/>
          <w:color w:val="auto"/>
          <w:kern w:val="0"/>
          <w:sz w:val="24"/>
          <w:szCs w:val="20"/>
          <w:lang w:val="en-US" w:eastAsia="zh-CN" w:bidi="ar-SA"/>
        </w:rPr>
        <w:t>（一）采购目的</w:t>
      </w:r>
    </w:p>
    <w:p>
      <w:pPr>
        <w:widowControl w:val="0"/>
        <w:spacing w:line="360" w:lineRule="auto"/>
        <w:ind w:left="0" w:leftChars="0" w:firstLine="480" w:firstLineChars="200"/>
        <w:jc w:val="both"/>
        <w:rPr>
          <w:rFonts w:hint="default" w:cs="Times New Roman" w:asciiTheme="minorEastAsia" w:hAnsiTheme="minorEastAsia" w:eastAsiaTheme="minorEastAsia"/>
          <w:b/>
          <w:color w:val="auto"/>
          <w:kern w:val="0"/>
          <w:sz w:val="24"/>
          <w:szCs w:val="24"/>
          <w:lang w:val="en-US" w:eastAsia="zh-CN" w:bidi="ar-SA"/>
        </w:rPr>
      </w:pPr>
      <w:r>
        <w:rPr>
          <w:rFonts w:hint="eastAsia" w:ascii="宋体" w:hAnsi="宋体" w:eastAsia="宋体" w:cs="宋体"/>
          <w:bCs/>
          <w:color w:val="auto"/>
          <w:kern w:val="2"/>
          <w:sz w:val="24"/>
          <w:szCs w:val="24"/>
          <w:lang w:val="en-US" w:eastAsia="zh-CN" w:bidi="ar-SA"/>
        </w:rPr>
        <w:t>台州市巨灾保险围绕更好保障和改善民生，健全灾害管理和民生救助体系，将地方政府部分风险治理职能通过保险机制向市场转移，有效缓解灾后重建资金压力，起到稳定财政和放大财政资源作用，发挥市场配置资源的基础性作用，提高政府防灾减灾救灾能力，保障全市经济社会稳定运行。</w:t>
      </w:r>
    </w:p>
    <w:p>
      <w:pPr>
        <w:widowControl w:val="0"/>
        <w:spacing w:line="360" w:lineRule="auto"/>
        <w:ind w:left="0" w:leftChars="0" w:firstLine="482" w:firstLineChars="200"/>
        <w:jc w:val="both"/>
        <w:rPr>
          <w:rFonts w:hint="default" w:ascii="宋体" w:hAnsi="宋体" w:cs="宋体" w:eastAsiaTheme="minorEastAsia"/>
          <w:b/>
          <w:bCs/>
          <w:color w:val="auto"/>
          <w:kern w:val="0"/>
          <w:sz w:val="24"/>
          <w:szCs w:val="24"/>
          <w:lang w:val="en-US" w:eastAsia="zh-CN" w:bidi="ar-SA"/>
        </w:rPr>
      </w:pPr>
      <w:r>
        <w:rPr>
          <w:rFonts w:hint="eastAsia" w:cs="Times New Roman" w:asciiTheme="minorEastAsia" w:hAnsiTheme="minorEastAsia" w:eastAsiaTheme="minorEastAsia"/>
          <w:b/>
          <w:color w:val="auto"/>
          <w:kern w:val="0"/>
          <w:sz w:val="24"/>
          <w:szCs w:val="20"/>
          <w:lang w:val="en-US" w:eastAsia="zh-CN" w:bidi="ar-SA"/>
        </w:rPr>
        <w:t>（二）保险</w:t>
      </w:r>
      <w:r>
        <w:rPr>
          <w:rFonts w:hint="eastAsia" w:ascii="宋体" w:hAnsi="宋体" w:eastAsia="宋体" w:cs="宋体"/>
          <w:b/>
          <w:color w:val="auto"/>
          <w:kern w:val="0"/>
          <w:sz w:val="24"/>
          <w:szCs w:val="24"/>
          <w:lang w:val="en-US" w:eastAsia="zh-CN" w:bidi="ar-SA"/>
        </w:rPr>
        <w:t>内容</w:t>
      </w:r>
    </w:p>
    <w:p>
      <w:pPr>
        <w:spacing w:line="360" w:lineRule="auto"/>
        <w:ind w:firstLine="482" w:firstLineChars="200"/>
        <w:rPr>
          <w:rFonts w:hint="eastAsia" w:asciiTheme="minorEastAsia" w:hAnsiTheme="minorEastAsia" w:eastAsiaTheme="minorEastAsia"/>
          <w:b/>
          <w:bCs w:val="0"/>
          <w:color w:val="auto"/>
          <w:sz w:val="24"/>
        </w:rPr>
      </w:pPr>
      <w:r>
        <w:rPr>
          <w:rFonts w:hint="eastAsia" w:asciiTheme="minorEastAsia" w:hAnsiTheme="minorEastAsia" w:eastAsiaTheme="minorEastAsia"/>
          <w:b/>
          <w:bCs w:val="0"/>
          <w:color w:val="auto"/>
          <w:sz w:val="24"/>
          <w:lang w:val="en-US" w:eastAsia="zh-CN"/>
        </w:rPr>
        <w:t>1.</w:t>
      </w:r>
      <w:r>
        <w:rPr>
          <w:rFonts w:hint="eastAsia" w:asciiTheme="minorEastAsia" w:hAnsiTheme="minorEastAsia" w:eastAsiaTheme="minorEastAsia"/>
          <w:b/>
          <w:bCs w:val="0"/>
          <w:color w:val="auto"/>
          <w:sz w:val="24"/>
        </w:rPr>
        <w:t>台风巨灾指数保险</w:t>
      </w:r>
    </w:p>
    <w:p>
      <w:pPr>
        <w:spacing w:line="360" w:lineRule="auto"/>
        <w:ind w:firstLine="480" w:firstLineChars="200"/>
        <w:rPr>
          <w:rFonts w:hint="eastAsia" w:asciiTheme="minorEastAsia" w:hAnsiTheme="minorEastAsia" w:eastAsiaTheme="minorEastAsia"/>
          <w:b w:val="0"/>
          <w:bCs/>
          <w:color w:val="auto"/>
          <w:sz w:val="24"/>
        </w:rPr>
      </w:pP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rPr>
        <w:t>1</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rPr>
        <w:t>保障对象：市政府及辖区县（市、区）政府、台州湾新区管委会。</w:t>
      </w:r>
    </w:p>
    <w:p>
      <w:pPr>
        <w:spacing w:line="360" w:lineRule="auto"/>
        <w:ind w:firstLine="480" w:firstLineChars="200"/>
        <w:rPr>
          <w:rFonts w:hint="eastAsia" w:asciiTheme="minorEastAsia" w:hAnsiTheme="minorEastAsia" w:eastAsiaTheme="minorEastAsia"/>
          <w:b w:val="0"/>
          <w:bCs/>
          <w:color w:val="auto"/>
          <w:sz w:val="24"/>
        </w:rPr>
      </w:pP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lang w:val="en-US" w:eastAsia="zh-CN"/>
        </w:rPr>
        <w:t>2）</w:t>
      </w:r>
      <w:r>
        <w:rPr>
          <w:rFonts w:hint="eastAsia" w:asciiTheme="minorEastAsia" w:hAnsiTheme="minorEastAsia" w:eastAsiaTheme="minorEastAsia"/>
          <w:b w:val="0"/>
          <w:bCs/>
          <w:color w:val="auto"/>
          <w:sz w:val="24"/>
        </w:rPr>
        <w:t>保障责任：保险期间发生台风受灾事件，当台风强度达到约定阈值，承保机构依照保险合同负责赔付。</w:t>
      </w:r>
    </w:p>
    <w:p>
      <w:pPr>
        <w:spacing w:line="360" w:lineRule="auto"/>
        <w:ind w:firstLine="482" w:firstLineChars="200"/>
        <w:rPr>
          <w:rFonts w:hint="eastAsia" w:asciiTheme="minorEastAsia" w:hAnsiTheme="minorEastAsia" w:eastAsiaTheme="minorEastAsia"/>
          <w:b/>
          <w:bCs w:val="0"/>
          <w:color w:val="auto"/>
          <w:sz w:val="24"/>
        </w:rPr>
      </w:pPr>
      <w:r>
        <w:rPr>
          <w:rFonts w:hint="eastAsia" w:asciiTheme="minorEastAsia" w:hAnsiTheme="minorEastAsia" w:eastAsiaTheme="minorEastAsia"/>
          <w:b/>
          <w:bCs w:val="0"/>
          <w:color w:val="auto"/>
          <w:sz w:val="24"/>
          <w:lang w:val="en-US" w:eastAsia="zh-CN"/>
        </w:rPr>
        <w:t>2.</w:t>
      </w:r>
      <w:r>
        <w:rPr>
          <w:rFonts w:hint="eastAsia" w:asciiTheme="minorEastAsia" w:hAnsiTheme="minorEastAsia" w:eastAsiaTheme="minorEastAsia"/>
          <w:b/>
          <w:bCs w:val="0"/>
          <w:color w:val="auto"/>
          <w:sz w:val="24"/>
        </w:rPr>
        <w:t>强降雨指数保险</w:t>
      </w:r>
    </w:p>
    <w:p>
      <w:pPr>
        <w:spacing w:line="360" w:lineRule="auto"/>
        <w:ind w:firstLine="480" w:firstLineChars="200"/>
        <w:rPr>
          <w:rFonts w:hint="eastAsia" w:asciiTheme="minorEastAsia" w:hAnsiTheme="minorEastAsia" w:eastAsiaTheme="minorEastAsia"/>
          <w:b w:val="0"/>
          <w:bCs/>
          <w:color w:val="auto"/>
          <w:sz w:val="24"/>
        </w:rPr>
      </w:pP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lang w:val="en-US" w:eastAsia="zh-CN"/>
        </w:rPr>
        <w:t>1</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rPr>
        <w:t>保障对象：市政府及辖区县（市、区）政府、台州湾新区管委会。</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lang w:val="en-US" w:eastAsia="zh-CN"/>
        </w:rPr>
        <w:t>2</w:t>
      </w:r>
      <w:r>
        <w:rPr>
          <w:rFonts w:hint="eastAsia" w:asciiTheme="minorEastAsia" w:hAnsiTheme="minorEastAsia" w:eastAsiaTheme="minorEastAsia"/>
          <w:b w:val="0"/>
          <w:bCs/>
          <w:color w:val="auto"/>
          <w:sz w:val="24"/>
          <w:lang w:eastAsia="zh-CN"/>
        </w:rPr>
        <w:t>）</w:t>
      </w:r>
      <w:r>
        <w:rPr>
          <w:rFonts w:hint="eastAsia" w:asciiTheme="minorEastAsia" w:hAnsiTheme="minorEastAsia" w:eastAsiaTheme="minorEastAsia"/>
          <w:b w:val="0"/>
          <w:bCs/>
          <w:color w:val="auto"/>
          <w:sz w:val="24"/>
        </w:rPr>
        <w:t>保障责任：保险期间发生强降雨事件，并且触发最大降雨量阈值</w:t>
      </w:r>
      <w:r>
        <w:rPr>
          <w:rFonts w:hint="eastAsia" w:asciiTheme="minorEastAsia" w:hAnsiTheme="minorEastAsia" w:eastAsiaTheme="minorEastAsia"/>
          <w:b w:val="0"/>
          <w:bCs/>
          <w:color w:val="auto"/>
          <w:sz w:val="24"/>
          <w:lang w:val="en-US" w:eastAsia="zh-CN"/>
        </w:rPr>
        <w:t>（140mm）</w:t>
      </w:r>
      <w:r>
        <w:rPr>
          <w:rFonts w:hint="eastAsia" w:asciiTheme="minorEastAsia" w:hAnsiTheme="minorEastAsia" w:eastAsiaTheme="minorEastAsia"/>
          <w:b w:val="0"/>
          <w:bCs/>
          <w:color w:val="auto"/>
          <w:sz w:val="24"/>
        </w:rPr>
        <w:t>，</w:t>
      </w:r>
      <w:r>
        <w:rPr>
          <w:rFonts w:hint="eastAsia" w:asciiTheme="minorEastAsia" w:hAnsiTheme="minorEastAsia" w:eastAsiaTheme="minorEastAsia"/>
          <w:b w:val="0"/>
          <w:bCs/>
          <w:color w:val="auto"/>
          <w:sz w:val="24"/>
          <w:lang w:val="en-US" w:eastAsia="zh-CN"/>
        </w:rPr>
        <w:t>承保机构依照保险合同负责赔付。</w:t>
      </w:r>
    </w:p>
    <w:p>
      <w:pPr>
        <w:spacing w:line="360" w:lineRule="auto"/>
        <w:ind w:firstLine="480" w:firstLineChars="200"/>
        <w:rPr>
          <w:rFonts w:hint="default"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（3）强降雨事件:在投保区域内任意一个有效观测站，其任意连续72小时累计降雨量（台州市气象局提供数据）大于或等于50mm，则定义为一次强降雨事件的开始。当所有有效观测站连续72小时累计降雨量均小于50 mm时，则定义为一次强降雨事件结束。日降雨量以强降雨报告机构在该区域有效观测站以毫米测量的数值为准。</w:t>
      </w:r>
    </w:p>
    <w:p>
      <w:pPr>
        <w:spacing w:line="360" w:lineRule="auto"/>
        <w:ind w:firstLine="482" w:firstLineChars="200"/>
        <w:rPr>
          <w:rFonts w:hint="eastAsia" w:asciiTheme="minorEastAsia" w:hAnsiTheme="minorEastAsia" w:eastAsiaTheme="minorEastAsia"/>
          <w:b/>
          <w:bCs w:val="0"/>
          <w:color w:val="auto"/>
          <w:sz w:val="24"/>
          <w:lang w:eastAsia="zh-CN"/>
        </w:rPr>
      </w:pPr>
      <w:r>
        <w:rPr>
          <w:rFonts w:hint="eastAsia" w:asciiTheme="minorEastAsia" w:hAnsiTheme="minorEastAsia" w:eastAsiaTheme="minorEastAsia"/>
          <w:b/>
          <w:bCs w:val="0"/>
          <w:color w:val="auto"/>
          <w:sz w:val="24"/>
          <w:lang w:eastAsia="zh-CN"/>
        </w:rPr>
        <w:t>（</w:t>
      </w:r>
      <w:r>
        <w:rPr>
          <w:rFonts w:hint="eastAsia" w:asciiTheme="minorEastAsia" w:hAnsiTheme="minorEastAsia" w:eastAsiaTheme="minorEastAsia"/>
          <w:b/>
          <w:bCs w:val="0"/>
          <w:color w:val="auto"/>
          <w:sz w:val="24"/>
          <w:lang w:val="en-US" w:eastAsia="zh-CN"/>
        </w:rPr>
        <w:t>三</w:t>
      </w:r>
      <w:r>
        <w:rPr>
          <w:rFonts w:hint="eastAsia" w:asciiTheme="minorEastAsia" w:hAnsiTheme="minorEastAsia" w:eastAsiaTheme="minorEastAsia"/>
          <w:b/>
          <w:bCs w:val="0"/>
          <w:color w:val="auto"/>
          <w:sz w:val="24"/>
          <w:lang w:eastAsia="zh-CN"/>
        </w:rPr>
        <w:t>）触发条件</w:t>
      </w:r>
    </w:p>
    <w:p>
      <w:pPr>
        <w:spacing w:line="360" w:lineRule="auto"/>
        <w:ind w:firstLine="482" w:firstLineChars="200"/>
        <w:rPr>
          <w:rFonts w:hint="eastAsia" w:asciiTheme="minorEastAsia" w:hAnsiTheme="minorEastAsia" w:eastAsiaTheme="minorEastAsia"/>
          <w:b/>
          <w:bCs w:val="0"/>
          <w:color w:val="auto"/>
          <w:sz w:val="24"/>
          <w:lang w:val="en-US" w:eastAsia="zh-CN"/>
        </w:rPr>
      </w:pPr>
      <w:r>
        <w:rPr>
          <w:rFonts w:hint="eastAsia" w:asciiTheme="minorEastAsia" w:hAnsiTheme="minorEastAsia" w:eastAsiaTheme="minorEastAsia"/>
          <w:b/>
          <w:bCs w:val="0"/>
          <w:color w:val="auto"/>
          <w:sz w:val="24"/>
          <w:lang w:val="en-US" w:eastAsia="zh-CN"/>
        </w:rPr>
        <w:t>1.台风巨灾指数保险</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台风巨灾保险范围为台州市整体区域，以东经121°07'、北纬28°39'为圆心，以85公里为半径（已覆盖大陈岛）设置巨灾框。</w:t>
      </w:r>
    </w:p>
    <w:p>
      <w:pPr>
        <w:widowControl w:val="0"/>
        <w:suppressAutoHyphens/>
        <w:autoSpaceDE w:val="0"/>
        <w:autoSpaceDN w:val="0"/>
        <w:adjustRightInd w:val="0"/>
        <w:snapToGrid w:val="0"/>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s="Times New Roman"/>
          <w:color w:val="auto"/>
          <w:kern w:val="2"/>
          <w:sz w:val="21"/>
          <w:szCs w:val="24"/>
          <w:lang w:val="en-US" w:eastAsia="zh-CN" w:bidi="ar-SA"/>
        </w:rPr>
        <w:drawing>
          <wp:inline distT="0" distB="0" distL="114935" distR="114935">
            <wp:extent cx="4503420" cy="3959860"/>
            <wp:effectExtent l="0" t="0" r="11430" b="2540"/>
            <wp:docPr id="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1"/>
                    <pic:cNvPicPr>
                      <a:picLocks noChangeAspect="1"/>
                    </pic:cNvPicPr>
                  </pic:nvPicPr>
                  <pic:blipFill>
                    <a:blip r:embed="rId9"/>
                    <a:stretch>
                      <a:fillRect/>
                    </a:stretch>
                  </pic:blipFill>
                  <pic:spPr>
                    <a:xfrm>
                      <a:off x="0" y="0"/>
                      <a:ext cx="4503420" cy="3959860"/>
                    </a:xfrm>
                    <a:prstGeom prst="rect">
                      <a:avLst/>
                    </a:prstGeom>
                    <a:noFill/>
                    <a:ln>
                      <a:noFill/>
                    </a:ln>
                  </pic:spPr>
                </pic:pic>
              </a:graphicData>
            </a:graphic>
          </wp:inline>
        </w:drawing>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根据中央气象台发布的台风定位、强度信息，台风中心进入上述巨灾框内且近中心最大风力达到12级及以上，风速大于等于32.7米/秒，即触发台风指数保险理赔。</w:t>
      </w:r>
    </w:p>
    <w:p>
      <w:pPr>
        <w:spacing w:line="360" w:lineRule="auto"/>
        <w:ind w:firstLine="482" w:firstLineChars="200"/>
        <w:rPr>
          <w:rFonts w:hint="eastAsia" w:asciiTheme="minorEastAsia" w:hAnsiTheme="minorEastAsia" w:eastAsiaTheme="minorEastAsia"/>
          <w:b/>
          <w:bCs w:val="0"/>
          <w:color w:val="auto"/>
          <w:sz w:val="24"/>
          <w:lang w:val="en-US" w:eastAsia="zh-CN"/>
        </w:rPr>
      </w:pPr>
      <w:r>
        <w:rPr>
          <w:rFonts w:hint="eastAsia" w:asciiTheme="minorEastAsia" w:hAnsiTheme="minorEastAsia" w:eastAsiaTheme="minorEastAsia"/>
          <w:b/>
          <w:bCs w:val="0"/>
          <w:color w:val="auto"/>
          <w:sz w:val="24"/>
          <w:lang w:val="en-US" w:eastAsia="zh-CN"/>
        </w:rPr>
        <w:t>2.强降雨指数保险</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各县（市、区）、台州湾新区选定3个气象观测站（包括国家站和区域站）作为有效观测站，在发生强降雨事件的任何时点，有效观测站的最大降雨量等于或大于受灾阈值（140mm）时（台州市气象局提供数据），即触发赔付，每个站点按照1/3的保险权重分别进行赔付。</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最大降雨量：指有效观测站在强降雨事件中监测到的最大的连续72小时累计降雨量。</w:t>
      </w:r>
    </w:p>
    <w:p>
      <w:pPr>
        <w:spacing w:line="360" w:lineRule="auto"/>
        <w:ind w:firstLine="482" w:firstLineChars="200"/>
        <w:rPr>
          <w:rFonts w:hint="default" w:asciiTheme="minorEastAsia" w:hAnsiTheme="minorEastAsia" w:eastAsiaTheme="minorEastAsia"/>
          <w:b/>
          <w:bCs w:val="0"/>
          <w:color w:val="auto"/>
          <w:sz w:val="24"/>
          <w:lang w:val="en-US" w:eastAsia="zh-CN"/>
        </w:rPr>
      </w:pPr>
      <w:r>
        <w:rPr>
          <w:rFonts w:hint="eastAsia" w:asciiTheme="minorEastAsia" w:hAnsiTheme="minorEastAsia" w:eastAsiaTheme="minorEastAsia"/>
          <w:b/>
          <w:bCs w:val="0"/>
          <w:color w:val="auto"/>
          <w:sz w:val="24"/>
          <w:lang w:val="en-US" w:eastAsia="zh-CN"/>
        </w:rPr>
        <w:t>（四）赔付标准</w:t>
      </w:r>
    </w:p>
    <w:p>
      <w:pPr>
        <w:spacing w:line="360" w:lineRule="auto"/>
        <w:ind w:firstLine="482" w:firstLineChars="200"/>
        <w:rPr>
          <w:rFonts w:hint="eastAsia" w:asciiTheme="minorEastAsia" w:hAnsiTheme="minorEastAsia" w:eastAsiaTheme="minorEastAsia"/>
          <w:b/>
          <w:bCs w:val="0"/>
          <w:color w:val="auto"/>
          <w:sz w:val="24"/>
          <w:lang w:val="en-US" w:eastAsia="zh-CN"/>
        </w:rPr>
      </w:pPr>
      <w:r>
        <w:rPr>
          <w:rFonts w:hint="eastAsia" w:asciiTheme="minorEastAsia" w:hAnsiTheme="minorEastAsia" w:eastAsiaTheme="minorEastAsia"/>
          <w:b/>
          <w:bCs w:val="0"/>
          <w:color w:val="auto"/>
          <w:sz w:val="24"/>
          <w:lang w:val="en-US" w:eastAsia="zh-CN"/>
        </w:rPr>
        <w:t>1.台风巨灾指数保险</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赔付标准：12级台风，32.7米/秒≤风速＜37.0米/秒，赔付1000万元；13级台风，37.0米/秒≤风速＜41.5米/秒，赔付1875万元；14级台风，41.5米/秒≤风速＜46.2米/秒，赔付3750万元；15级台风，46.2米/秒≤风速＜51.0米/秒，赔付6000万元；16级台风，51.0米/秒≤风速＜56.1米/秒，赔付9000万元；17级台风，风速≥56.1米/秒，赔付1.6亿元。</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赔付分摊：赔付触发时，各县（市、区）、台州湾新区按台风指数保险保费占比分摊赔付金额。</w:t>
      </w:r>
    </w:p>
    <w:p>
      <w:pPr>
        <w:widowControl w:val="0"/>
        <w:suppressAutoHyphens/>
        <w:autoSpaceDE w:val="0"/>
        <w:autoSpaceDN w:val="0"/>
        <w:adjustRightInd w:val="0"/>
        <w:snapToGrid w:val="0"/>
        <w:jc w:val="right"/>
        <w:rPr>
          <w:rFonts w:hint="default" w:ascii="Times New Roman" w:hAnsi="Times New Roman" w:eastAsia="宋体" w:cs="Times New Roman"/>
          <w:color w:val="auto"/>
          <w:kern w:val="2"/>
          <w:sz w:val="21"/>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单位：元</w:t>
      </w:r>
    </w:p>
    <w:tbl>
      <w:tblPr>
        <w:tblStyle w:val="20"/>
        <w:tblW w:w="6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341"/>
        <w:gridCol w:w="1248"/>
        <w:gridCol w:w="1248"/>
        <w:gridCol w:w="1248"/>
        <w:gridCol w:w="1248"/>
        <w:gridCol w:w="1248"/>
        <w:gridCol w:w="124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422" w:type="pct"/>
            <w:noWrap w:val="0"/>
            <w:vAlign w:val="center"/>
          </w:tcPr>
          <w:p>
            <w:pPr>
              <w:spacing w:line="300" w:lineRule="exact"/>
              <w:jc w:val="center"/>
              <w:rPr>
                <w:rFonts w:eastAsia="黑体"/>
                <w:bCs/>
                <w:color w:val="auto"/>
                <w:sz w:val="24"/>
              </w:rPr>
            </w:pPr>
            <w:r>
              <w:rPr>
                <w:rFonts w:hAnsi="黑体" w:eastAsia="黑体"/>
                <w:bCs/>
                <w:color w:val="auto"/>
                <w:sz w:val="24"/>
              </w:rPr>
              <w:t>分项</w:t>
            </w:r>
          </w:p>
        </w:tc>
        <w:tc>
          <w:tcPr>
            <w:tcW w:w="527" w:type="pct"/>
            <w:noWrap w:val="0"/>
            <w:vAlign w:val="center"/>
          </w:tcPr>
          <w:p>
            <w:pPr>
              <w:spacing w:line="300" w:lineRule="exact"/>
              <w:jc w:val="center"/>
              <w:rPr>
                <w:rFonts w:eastAsia="黑体"/>
                <w:bCs/>
                <w:color w:val="auto"/>
                <w:sz w:val="24"/>
              </w:rPr>
            </w:pPr>
            <w:r>
              <w:rPr>
                <w:rFonts w:hAnsi="黑体" w:eastAsia="黑体"/>
                <w:bCs/>
                <w:color w:val="auto"/>
                <w:sz w:val="24"/>
              </w:rPr>
              <w:t>保费</w:t>
            </w:r>
          </w:p>
          <w:p>
            <w:pPr>
              <w:spacing w:line="300" w:lineRule="exact"/>
              <w:jc w:val="center"/>
              <w:rPr>
                <w:rFonts w:eastAsia="黑体"/>
                <w:bCs/>
                <w:color w:val="auto"/>
                <w:sz w:val="24"/>
              </w:rPr>
            </w:pPr>
            <w:r>
              <w:rPr>
                <w:rFonts w:hAnsi="黑体" w:eastAsia="黑体"/>
                <w:bCs/>
                <w:color w:val="auto"/>
                <w:sz w:val="24"/>
              </w:rPr>
              <w:t>占比</w:t>
            </w:r>
          </w:p>
        </w:tc>
        <w:tc>
          <w:tcPr>
            <w:tcW w:w="490" w:type="pct"/>
            <w:noWrap w:val="0"/>
            <w:vAlign w:val="center"/>
          </w:tcPr>
          <w:p>
            <w:pPr>
              <w:spacing w:line="300" w:lineRule="exact"/>
              <w:jc w:val="center"/>
              <w:rPr>
                <w:rFonts w:eastAsia="黑体"/>
                <w:bCs/>
                <w:color w:val="auto"/>
                <w:sz w:val="24"/>
              </w:rPr>
            </w:pPr>
            <w:r>
              <w:rPr>
                <w:rFonts w:eastAsia="黑体"/>
                <w:bCs/>
                <w:color w:val="auto"/>
                <w:sz w:val="24"/>
              </w:rPr>
              <w:t>12</w:t>
            </w:r>
            <w:r>
              <w:rPr>
                <w:rFonts w:hAnsi="黑体" w:eastAsia="黑体"/>
                <w:bCs/>
                <w:color w:val="auto"/>
                <w:sz w:val="24"/>
              </w:rPr>
              <w:t>级</w:t>
            </w:r>
          </w:p>
          <w:p>
            <w:pPr>
              <w:spacing w:line="300" w:lineRule="exact"/>
              <w:jc w:val="center"/>
              <w:rPr>
                <w:rFonts w:eastAsia="黑体"/>
                <w:bCs/>
                <w:color w:val="auto"/>
                <w:sz w:val="24"/>
              </w:rPr>
            </w:pPr>
            <w:r>
              <w:rPr>
                <w:rFonts w:hAnsi="黑体" w:eastAsia="黑体"/>
                <w:bCs/>
                <w:color w:val="auto"/>
                <w:sz w:val="24"/>
              </w:rPr>
              <w:t>台风</w:t>
            </w:r>
          </w:p>
        </w:tc>
        <w:tc>
          <w:tcPr>
            <w:tcW w:w="490" w:type="pct"/>
            <w:noWrap w:val="0"/>
            <w:vAlign w:val="center"/>
          </w:tcPr>
          <w:p>
            <w:pPr>
              <w:spacing w:line="300" w:lineRule="exact"/>
              <w:jc w:val="center"/>
              <w:rPr>
                <w:rFonts w:eastAsia="黑体"/>
                <w:bCs/>
                <w:color w:val="auto"/>
                <w:sz w:val="24"/>
              </w:rPr>
            </w:pPr>
            <w:r>
              <w:rPr>
                <w:rFonts w:eastAsia="黑体"/>
                <w:bCs/>
                <w:color w:val="auto"/>
                <w:sz w:val="24"/>
              </w:rPr>
              <w:t>13</w:t>
            </w:r>
            <w:r>
              <w:rPr>
                <w:rFonts w:hAnsi="黑体" w:eastAsia="黑体"/>
                <w:bCs/>
                <w:color w:val="auto"/>
                <w:sz w:val="24"/>
              </w:rPr>
              <w:t>级</w:t>
            </w:r>
          </w:p>
          <w:p>
            <w:pPr>
              <w:spacing w:line="300" w:lineRule="exact"/>
              <w:jc w:val="center"/>
              <w:rPr>
                <w:rFonts w:eastAsia="黑体"/>
                <w:bCs/>
                <w:color w:val="auto"/>
                <w:sz w:val="24"/>
              </w:rPr>
            </w:pPr>
            <w:r>
              <w:rPr>
                <w:rFonts w:hAnsi="黑体" w:eastAsia="黑体"/>
                <w:bCs/>
                <w:color w:val="auto"/>
                <w:sz w:val="24"/>
              </w:rPr>
              <w:t>台风</w:t>
            </w:r>
          </w:p>
        </w:tc>
        <w:tc>
          <w:tcPr>
            <w:tcW w:w="490" w:type="pct"/>
            <w:noWrap w:val="0"/>
            <w:vAlign w:val="center"/>
          </w:tcPr>
          <w:p>
            <w:pPr>
              <w:spacing w:line="300" w:lineRule="exact"/>
              <w:jc w:val="center"/>
              <w:rPr>
                <w:rFonts w:eastAsia="黑体"/>
                <w:bCs/>
                <w:color w:val="auto"/>
                <w:sz w:val="24"/>
              </w:rPr>
            </w:pPr>
            <w:r>
              <w:rPr>
                <w:rFonts w:eastAsia="黑体"/>
                <w:bCs/>
                <w:color w:val="auto"/>
                <w:sz w:val="24"/>
              </w:rPr>
              <w:t>14</w:t>
            </w:r>
            <w:r>
              <w:rPr>
                <w:rFonts w:hAnsi="黑体" w:eastAsia="黑体"/>
                <w:bCs/>
                <w:color w:val="auto"/>
                <w:sz w:val="24"/>
              </w:rPr>
              <w:t>级</w:t>
            </w:r>
          </w:p>
          <w:p>
            <w:pPr>
              <w:spacing w:line="300" w:lineRule="exact"/>
              <w:jc w:val="center"/>
              <w:rPr>
                <w:rFonts w:eastAsia="黑体"/>
                <w:bCs/>
                <w:color w:val="auto"/>
                <w:sz w:val="24"/>
              </w:rPr>
            </w:pPr>
            <w:r>
              <w:rPr>
                <w:rFonts w:hAnsi="黑体" w:eastAsia="黑体"/>
                <w:bCs/>
                <w:color w:val="auto"/>
                <w:sz w:val="24"/>
              </w:rPr>
              <w:t>台风</w:t>
            </w:r>
          </w:p>
        </w:tc>
        <w:tc>
          <w:tcPr>
            <w:tcW w:w="490" w:type="pct"/>
            <w:noWrap w:val="0"/>
            <w:vAlign w:val="center"/>
          </w:tcPr>
          <w:p>
            <w:pPr>
              <w:spacing w:line="300" w:lineRule="exact"/>
              <w:jc w:val="center"/>
              <w:rPr>
                <w:rFonts w:eastAsia="黑体"/>
                <w:bCs/>
                <w:color w:val="auto"/>
                <w:sz w:val="24"/>
              </w:rPr>
            </w:pPr>
            <w:r>
              <w:rPr>
                <w:rFonts w:eastAsia="黑体"/>
                <w:bCs/>
                <w:color w:val="auto"/>
                <w:sz w:val="24"/>
              </w:rPr>
              <w:t>15</w:t>
            </w:r>
            <w:r>
              <w:rPr>
                <w:rFonts w:hAnsi="黑体" w:eastAsia="黑体"/>
                <w:bCs/>
                <w:color w:val="auto"/>
                <w:sz w:val="24"/>
              </w:rPr>
              <w:t>级</w:t>
            </w:r>
          </w:p>
          <w:p>
            <w:pPr>
              <w:spacing w:line="300" w:lineRule="exact"/>
              <w:jc w:val="center"/>
              <w:rPr>
                <w:rFonts w:eastAsia="黑体"/>
                <w:bCs/>
                <w:color w:val="auto"/>
                <w:sz w:val="24"/>
              </w:rPr>
            </w:pPr>
            <w:r>
              <w:rPr>
                <w:rFonts w:hAnsi="黑体" w:eastAsia="黑体"/>
                <w:bCs/>
                <w:color w:val="auto"/>
                <w:sz w:val="24"/>
              </w:rPr>
              <w:t>台风</w:t>
            </w:r>
          </w:p>
        </w:tc>
        <w:tc>
          <w:tcPr>
            <w:tcW w:w="490" w:type="pct"/>
            <w:noWrap w:val="0"/>
            <w:vAlign w:val="center"/>
          </w:tcPr>
          <w:p>
            <w:pPr>
              <w:spacing w:line="300" w:lineRule="exact"/>
              <w:jc w:val="center"/>
              <w:rPr>
                <w:rFonts w:eastAsia="黑体"/>
                <w:bCs/>
                <w:color w:val="auto"/>
                <w:sz w:val="24"/>
              </w:rPr>
            </w:pPr>
            <w:r>
              <w:rPr>
                <w:rFonts w:eastAsia="黑体"/>
                <w:bCs/>
                <w:color w:val="auto"/>
                <w:sz w:val="24"/>
              </w:rPr>
              <w:t>16</w:t>
            </w:r>
            <w:r>
              <w:rPr>
                <w:rFonts w:hAnsi="黑体" w:eastAsia="黑体"/>
                <w:bCs/>
                <w:color w:val="auto"/>
                <w:sz w:val="24"/>
              </w:rPr>
              <w:t>级</w:t>
            </w:r>
          </w:p>
          <w:p>
            <w:pPr>
              <w:spacing w:line="300" w:lineRule="exact"/>
              <w:jc w:val="center"/>
              <w:rPr>
                <w:rFonts w:eastAsia="黑体"/>
                <w:bCs/>
                <w:color w:val="auto"/>
                <w:sz w:val="24"/>
              </w:rPr>
            </w:pPr>
            <w:r>
              <w:rPr>
                <w:rFonts w:hAnsi="黑体" w:eastAsia="黑体"/>
                <w:bCs/>
                <w:color w:val="auto"/>
                <w:sz w:val="24"/>
              </w:rPr>
              <w:t>台风</w:t>
            </w:r>
          </w:p>
        </w:tc>
        <w:tc>
          <w:tcPr>
            <w:tcW w:w="490" w:type="pct"/>
            <w:noWrap w:val="0"/>
            <w:vAlign w:val="center"/>
          </w:tcPr>
          <w:p>
            <w:pPr>
              <w:spacing w:line="300" w:lineRule="exact"/>
              <w:jc w:val="center"/>
              <w:rPr>
                <w:rFonts w:eastAsia="黑体"/>
                <w:bCs/>
                <w:color w:val="auto"/>
                <w:sz w:val="24"/>
              </w:rPr>
            </w:pPr>
            <w:r>
              <w:rPr>
                <w:rFonts w:eastAsia="黑体"/>
                <w:bCs/>
                <w:color w:val="auto"/>
                <w:sz w:val="24"/>
              </w:rPr>
              <w:t>17</w:t>
            </w:r>
            <w:r>
              <w:rPr>
                <w:rFonts w:hAnsi="黑体" w:eastAsia="黑体"/>
                <w:bCs/>
                <w:color w:val="auto"/>
                <w:sz w:val="24"/>
              </w:rPr>
              <w:t>级</w:t>
            </w:r>
          </w:p>
          <w:p>
            <w:pPr>
              <w:spacing w:line="300" w:lineRule="exact"/>
              <w:jc w:val="center"/>
              <w:rPr>
                <w:rFonts w:eastAsia="黑体"/>
                <w:bCs/>
                <w:color w:val="auto"/>
                <w:sz w:val="24"/>
              </w:rPr>
            </w:pPr>
            <w:r>
              <w:rPr>
                <w:rFonts w:hAnsi="黑体" w:eastAsia="黑体"/>
                <w:bCs/>
                <w:color w:val="auto"/>
                <w:sz w:val="24"/>
              </w:rPr>
              <w:t>台风</w:t>
            </w:r>
          </w:p>
        </w:tc>
        <w:tc>
          <w:tcPr>
            <w:tcW w:w="543" w:type="pct"/>
            <w:noWrap w:val="0"/>
            <w:vAlign w:val="center"/>
          </w:tcPr>
          <w:p>
            <w:pPr>
              <w:spacing w:line="300" w:lineRule="exact"/>
              <w:jc w:val="center"/>
              <w:rPr>
                <w:rFonts w:hint="default" w:hAnsi="黑体" w:eastAsia="黑体"/>
                <w:bCs/>
                <w:color w:val="auto"/>
                <w:sz w:val="24"/>
                <w:lang w:val="en-US" w:eastAsia="zh-CN"/>
              </w:rPr>
            </w:pPr>
            <w:r>
              <w:rPr>
                <w:rFonts w:hint="eastAsia" w:hAnsi="黑体" w:eastAsia="黑体"/>
                <w:bCs/>
                <w:color w:val="auto"/>
                <w:sz w:val="24"/>
                <w:lang w:val="en-US" w:eastAsia="zh-CN"/>
              </w:rPr>
              <w:t>保险期内累计赔付上限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椒江</w:t>
            </w:r>
            <w:r>
              <w:rPr>
                <w:rFonts w:hint="eastAsia" w:hAnsi="仿宋_GB2312" w:eastAsia="宋体"/>
                <w:color w:val="auto"/>
                <w:sz w:val="24"/>
              </w:rPr>
              <w:t>区</w:t>
            </w:r>
          </w:p>
        </w:tc>
        <w:tc>
          <w:tcPr>
            <w:tcW w:w="527" w:type="pct"/>
            <w:noWrap w:val="0"/>
            <w:vAlign w:val="center"/>
          </w:tcPr>
          <w:p>
            <w:pPr>
              <w:spacing w:line="300" w:lineRule="exact"/>
              <w:jc w:val="center"/>
              <w:rPr>
                <w:rFonts w:eastAsia="宋体"/>
                <w:color w:val="auto"/>
                <w:sz w:val="24"/>
              </w:rPr>
            </w:pPr>
            <w:r>
              <w:rPr>
                <w:rFonts w:hint="eastAsia" w:eastAsia="宋体"/>
                <w:color w:val="auto"/>
                <w:sz w:val="24"/>
              </w:rPr>
              <w:t>6</w:t>
            </w:r>
            <w:r>
              <w:rPr>
                <w:rFonts w:eastAsia="宋体"/>
                <w:color w:val="auto"/>
                <w:sz w:val="24"/>
              </w:rPr>
              <w:t>.</w:t>
            </w:r>
            <w:r>
              <w:rPr>
                <w:rFonts w:hint="eastAsia" w:eastAsia="宋体"/>
                <w:color w:val="auto"/>
                <w:sz w:val="24"/>
              </w:rPr>
              <w:t>20</w:t>
            </w:r>
            <w:r>
              <w:rPr>
                <w:rFonts w:eastAsia="宋体"/>
                <w:color w:val="auto"/>
                <w:sz w:val="24"/>
              </w:rPr>
              <w:t>%</w:t>
            </w:r>
          </w:p>
        </w:tc>
        <w:tc>
          <w:tcPr>
            <w:tcW w:w="490" w:type="pct"/>
            <w:noWrap w:val="0"/>
            <w:vAlign w:val="center"/>
          </w:tcPr>
          <w:p>
            <w:pPr>
              <w:spacing w:line="300" w:lineRule="exact"/>
              <w:jc w:val="center"/>
              <w:rPr>
                <w:rFonts w:eastAsia="宋体"/>
                <w:color w:val="auto"/>
                <w:sz w:val="24"/>
              </w:rPr>
            </w:pPr>
            <w:r>
              <w:rPr>
                <w:rFonts w:eastAsia="宋体"/>
                <w:color w:val="auto"/>
                <w:sz w:val="24"/>
              </w:rPr>
              <w:t>620000</w:t>
            </w:r>
          </w:p>
        </w:tc>
        <w:tc>
          <w:tcPr>
            <w:tcW w:w="490" w:type="pct"/>
            <w:noWrap w:val="0"/>
            <w:vAlign w:val="center"/>
          </w:tcPr>
          <w:p>
            <w:pPr>
              <w:spacing w:line="300" w:lineRule="exact"/>
              <w:jc w:val="center"/>
              <w:rPr>
                <w:rFonts w:eastAsia="宋体"/>
                <w:color w:val="auto"/>
                <w:sz w:val="24"/>
              </w:rPr>
            </w:pPr>
            <w:r>
              <w:rPr>
                <w:rFonts w:eastAsia="宋体"/>
                <w:color w:val="auto"/>
                <w:sz w:val="24"/>
              </w:rPr>
              <w:t>1162500</w:t>
            </w:r>
          </w:p>
        </w:tc>
        <w:tc>
          <w:tcPr>
            <w:tcW w:w="490" w:type="pct"/>
            <w:noWrap w:val="0"/>
            <w:vAlign w:val="center"/>
          </w:tcPr>
          <w:p>
            <w:pPr>
              <w:spacing w:line="300" w:lineRule="exact"/>
              <w:jc w:val="center"/>
              <w:rPr>
                <w:rFonts w:eastAsia="宋体"/>
                <w:color w:val="auto"/>
                <w:sz w:val="24"/>
              </w:rPr>
            </w:pPr>
            <w:r>
              <w:rPr>
                <w:rFonts w:eastAsia="宋体"/>
                <w:color w:val="auto"/>
                <w:sz w:val="24"/>
              </w:rPr>
              <w:t>2325000</w:t>
            </w:r>
          </w:p>
        </w:tc>
        <w:tc>
          <w:tcPr>
            <w:tcW w:w="490" w:type="pct"/>
            <w:noWrap w:val="0"/>
            <w:vAlign w:val="center"/>
          </w:tcPr>
          <w:p>
            <w:pPr>
              <w:spacing w:line="300" w:lineRule="exact"/>
              <w:jc w:val="center"/>
              <w:rPr>
                <w:rFonts w:eastAsia="宋体"/>
                <w:color w:val="auto"/>
                <w:sz w:val="24"/>
              </w:rPr>
            </w:pPr>
            <w:r>
              <w:rPr>
                <w:rFonts w:eastAsia="宋体"/>
                <w:color w:val="auto"/>
                <w:sz w:val="24"/>
              </w:rPr>
              <w:t>3720000</w:t>
            </w:r>
          </w:p>
        </w:tc>
        <w:tc>
          <w:tcPr>
            <w:tcW w:w="490" w:type="pct"/>
            <w:noWrap w:val="0"/>
            <w:vAlign w:val="center"/>
          </w:tcPr>
          <w:p>
            <w:pPr>
              <w:spacing w:line="300" w:lineRule="exact"/>
              <w:jc w:val="center"/>
              <w:rPr>
                <w:rFonts w:eastAsia="宋体"/>
                <w:color w:val="auto"/>
                <w:sz w:val="24"/>
              </w:rPr>
            </w:pPr>
            <w:r>
              <w:rPr>
                <w:rFonts w:eastAsia="宋体"/>
                <w:color w:val="auto"/>
                <w:sz w:val="24"/>
              </w:rPr>
              <w:t>5580000</w:t>
            </w:r>
          </w:p>
        </w:tc>
        <w:tc>
          <w:tcPr>
            <w:tcW w:w="490" w:type="pct"/>
            <w:noWrap w:val="0"/>
            <w:vAlign w:val="center"/>
          </w:tcPr>
          <w:p>
            <w:pPr>
              <w:spacing w:line="300" w:lineRule="exact"/>
              <w:jc w:val="center"/>
              <w:rPr>
                <w:rFonts w:eastAsia="宋体"/>
                <w:color w:val="auto"/>
                <w:sz w:val="24"/>
              </w:rPr>
            </w:pPr>
            <w:r>
              <w:rPr>
                <w:rFonts w:eastAsia="宋体"/>
                <w:color w:val="auto"/>
                <w:sz w:val="24"/>
              </w:rPr>
              <w:t>9920000</w:t>
            </w:r>
          </w:p>
        </w:tc>
        <w:tc>
          <w:tcPr>
            <w:tcW w:w="543" w:type="pct"/>
            <w:noWrap w:val="0"/>
            <w:vAlign w:val="center"/>
          </w:tcPr>
          <w:p>
            <w:pPr>
              <w:spacing w:line="300" w:lineRule="exact"/>
              <w:jc w:val="center"/>
              <w:rPr>
                <w:rFonts w:ascii="Times New Roman" w:hAnsi="Times New Roman" w:eastAsia="宋体" w:cs="Times New Roman"/>
                <w:color w:val="auto"/>
                <w:kern w:val="2"/>
                <w:sz w:val="24"/>
                <w:szCs w:val="24"/>
                <w:lang w:val="en-US" w:eastAsia="zh-CN" w:bidi="ar-SA"/>
              </w:rPr>
            </w:pPr>
            <w:r>
              <w:rPr>
                <w:rFonts w:eastAsia="宋体"/>
                <w:color w:val="auto"/>
                <w:sz w:val="24"/>
              </w:rPr>
              <w:t>9920000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黄岩</w:t>
            </w:r>
            <w:r>
              <w:rPr>
                <w:rFonts w:hint="eastAsia" w:hAnsi="仿宋_GB2312" w:eastAsia="宋体"/>
                <w:color w:val="auto"/>
                <w:sz w:val="24"/>
              </w:rPr>
              <w:t>区</w:t>
            </w:r>
          </w:p>
        </w:tc>
        <w:tc>
          <w:tcPr>
            <w:tcW w:w="527" w:type="pct"/>
            <w:noWrap w:val="0"/>
            <w:vAlign w:val="center"/>
          </w:tcPr>
          <w:p>
            <w:pPr>
              <w:spacing w:line="300" w:lineRule="exact"/>
              <w:jc w:val="center"/>
              <w:rPr>
                <w:rFonts w:eastAsia="宋体"/>
                <w:color w:val="auto"/>
                <w:sz w:val="21"/>
                <w:szCs w:val="21"/>
              </w:rPr>
            </w:pPr>
            <w:r>
              <w:rPr>
                <w:rFonts w:hint="eastAsia" w:eastAsia="宋体"/>
                <w:color w:val="auto"/>
                <w:sz w:val="21"/>
                <w:szCs w:val="21"/>
              </w:rPr>
              <w:t>9</w:t>
            </w:r>
            <w:r>
              <w:rPr>
                <w:rFonts w:eastAsia="宋体"/>
                <w:color w:val="auto"/>
                <w:sz w:val="21"/>
                <w:szCs w:val="21"/>
              </w:rPr>
              <w:t>.</w:t>
            </w:r>
            <w:r>
              <w:rPr>
                <w:rFonts w:hint="eastAsia" w:eastAsia="宋体"/>
                <w:color w:val="auto"/>
                <w:sz w:val="21"/>
                <w:szCs w:val="21"/>
              </w:rPr>
              <w:t>41</w:t>
            </w:r>
            <w:r>
              <w:rPr>
                <w:rFonts w:eastAsia="宋体"/>
                <w:color w:val="auto"/>
                <w:sz w:val="21"/>
                <w:szCs w:val="21"/>
              </w:rPr>
              <w:t>%</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941000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1764375</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3528750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5646000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8469000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15056000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15056000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路桥</w:t>
            </w:r>
            <w:r>
              <w:rPr>
                <w:rFonts w:hint="eastAsia" w:hAnsi="仿宋_GB2312" w:eastAsia="宋体"/>
                <w:color w:val="auto"/>
                <w:sz w:val="24"/>
              </w:rPr>
              <w:t>区</w:t>
            </w:r>
          </w:p>
        </w:tc>
        <w:tc>
          <w:tcPr>
            <w:tcW w:w="527" w:type="pct"/>
            <w:noWrap w:val="0"/>
            <w:vAlign w:val="center"/>
          </w:tcPr>
          <w:p>
            <w:pPr>
              <w:spacing w:line="300" w:lineRule="exact"/>
              <w:jc w:val="center"/>
              <w:rPr>
                <w:rFonts w:eastAsia="宋体"/>
                <w:color w:val="auto"/>
                <w:sz w:val="21"/>
                <w:szCs w:val="21"/>
              </w:rPr>
            </w:pPr>
            <w:r>
              <w:rPr>
                <w:rFonts w:hint="eastAsia" w:eastAsia="宋体"/>
                <w:color w:val="auto"/>
                <w:sz w:val="21"/>
                <w:szCs w:val="21"/>
              </w:rPr>
              <w:t>6</w:t>
            </w:r>
            <w:r>
              <w:rPr>
                <w:rFonts w:eastAsia="宋体"/>
                <w:color w:val="auto"/>
                <w:sz w:val="21"/>
                <w:szCs w:val="21"/>
              </w:rPr>
              <w:t>.</w:t>
            </w:r>
            <w:r>
              <w:rPr>
                <w:rFonts w:hint="eastAsia" w:eastAsia="宋体"/>
                <w:color w:val="auto"/>
                <w:sz w:val="21"/>
                <w:szCs w:val="21"/>
              </w:rPr>
              <w:t>88</w:t>
            </w:r>
            <w:r>
              <w:rPr>
                <w:rFonts w:eastAsia="宋体"/>
                <w:color w:val="auto"/>
                <w:sz w:val="21"/>
                <w:szCs w:val="21"/>
              </w:rPr>
              <w:t>%</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688000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1290000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2580000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4128000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6192000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11008000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11008000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临海</w:t>
            </w:r>
            <w:r>
              <w:rPr>
                <w:rFonts w:hint="eastAsia" w:hAnsi="仿宋_GB2312" w:eastAsia="宋体"/>
                <w:color w:val="auto"/>
                <w:sz w:val="24"/>
              </w:rPr>
              <w:t>市</w:t>
            </w:r>
          </w:p>
        </w:tc>
        <w:tc>
          <w:tcPr>
            <w:tcW w:w="527" w:type="pct"/>
            <w:noWrap w:val="0"/>
            <w:vAlign w:val="center"/>
          </w:tcPr>
          <w:p>
            <w:pPr>
              <w:spacing w:line="300" w:lineRule="exact"/>
              <w:jc w:val="center"/>
              <w:rPr>
                <w:rFonts w:eastAsia="宋体"/>
                <w:color w:val="auto"/>
                <w:sz w:val="21"/>
                <w:szCs w:val="21"/>
              </w:rPr>
            </w:pPr>
            <w:r>
              <w:rPr>
                <w:rFonts w:eastAsia="宋体"/>
                <w:color w:val="auto"/>
                <w:sz w:val="21"/>
                <w:szCs w:val="21"/>
              </w:rPr>
              <w:t>16.81%</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1681000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3151875</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6303750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10086000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15129000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26896000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26896000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温岭</w:t>
            </w:r>
            <w:r>
              <w:rPr>
                <w:rFonts w:hint="eastAsia" w:hAnsi="仿宋_GB2312" w:eastAsia="宋体"/>
                <w:color w:val="auto"/>
                <w:sz w:val="24"/>
              </w:rPr>
              <w:t>市</w:t>
            </w:r>
          </w:p>
        </w:tc>
        <w:tc>
          <w:tcPr>
            <w:tcW w:w="527" w:type="pct"/>
            <w:noWrap w:val="0"/>
            <w:vAlign w:val="center"/>
          </w:tcPr>
          <w:p>
            <w:pPr>
              <w:spacing w:line="300" w:lineRule="exact"/>
              <w:jc w:val="center"/>
              <w:rPr>
                <w:rFonts w:eastAsia="宋体"/>
                <w:color w:val="auto"/>
                <w:sz w:val="21"/>
                <w:szCs w:val="21"/>
              </w:rPr>
            </w:pPr>
            <w:r>
              <w:rPr>
                <w:rFonts w:eastAsia="宋体"/>
                <w:color w:val="auto"/>
                <w:sz w:val="21"/>
                <w:szCs w:val="21"/>
              </w:rPr>
              <w:t>19.97%</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1997000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3744375</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7488750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11982000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17973000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31952000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31952000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玉环</w:t>
            </w:r>
            <w:r>
              <w:rPr>
                <w:rFonts w:hint="eastAsia" w:hAnsi="仿宋_GB2312" w:eastAsia="宋体"/>
                <w:color w:val="auto"/>
                <w:sz w:val="24"/>
              </w:rPr>
              <w:t>市</w:t>
            </w:r>
          </w:p>
        </w:tc>
        <w:tc>
          <w:tcPr>
            <w:tcW w:w="527" w:type="pct"/>
            <w:noWrap w:val="0"/>
            <w:vAlign w:val="center"/>
          </w:tcPr>
          <w:p>
            <w:pPr>
              <w:spacing w:line="300" w:lineRule="exact"/>
              <w:jc w:val="center"/>
              <w:rPr>
                <w:rFonts w:eastAsia="宋体"/>
                <w:color w:val="auto"/>
                <w:sz w:val="21"/>
                <w:szCs w:val="21"/>
              </w:rPr>
            </w:pPr>
            <w:r>
              <w:rPr>
                <w:rFonts w:eastAsia="宋体"/>
                <w:color w:val="auto"/>
                <w:sz w:val="21"/>
                <w:szCs w:val="21"/>
              </w:rPr>
              <w:t>13.76%</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1376000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2580000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5160000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8256000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12384000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22016000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22016000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天台</w:t>
            </w:r>
            <w:r>
              <w:rPr>
                <w:rFonts w:hint="eastAsia" w:hAnsi="仿宋_GB2312" w:eastAsia="宋体"/>
                <w:color w:val="auto"/>
                <w:sz w:val="24"/>
              </w:rPr>
              <w:t>县</w:t>
            </w:r>
          </w:p>
        </w:tc>
        <w:tc>
          <w:tcPr>
            <w:tcW w:w="527" w:type="pct"/>
            <w:noWrap w:val="0"/>
            <w:vAlign w:val="center"/>
          </w:tcPr>
          <w:p>
            <w:pPr>
              <w:spacing w:line="300" w:lineRule="exact"/>
              <w:jc w:val="center"/>
              <w:rPr>
                <w:rFonts w:eastAsia="宋体"/>
                <w:color w:val="auto"/>
                <w:sz w:val="21"/>
                <w:szCs w:val="21"/>
              </w:rPr>
            </w:pPr>
            <w:r>
              <w:rPr>
                <w:rFonts w:eastAsia="宋体"/>
                <w:color w:val="auto"/>
                <w:sz w:val="21"/>
                <w:szCs w:val="21"/>
              </w:rPr>
              <w:t>6.74%</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674000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1263750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2527500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4044000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6066000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10784000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10784000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仙居</w:t>
            </w:r>
            <w:r>
              <w:rPr>
                <w:rFonts w:hint="eastAsia" w:hAnsi="仿宋_GB2312" w:eastAsia="宋体"/>
                <w:color w:val="auto"/>
                <w:sz w:val="24"/>
              </w:rPr>
              <w:t>县</w:t>
            </w:r>
          </w:p>
        </w:tc>
        <w:tc>
          <w:tcPr>
            <w:tcW w:w="527" w:type="pct"/>
            <w:noWrap w:val="0"/>
            <w:vAlign w:val="center"/>
          </w:tcPr>
          <w:p>
            <w:pPr>
              <w:spacing w:line="300" w:lineRule="exact"/>
              <w:jc w:val="center"/>
              <w:rPr>
                <w:rFonts w:eastAsia="宋体"/>
                <w:color w:val="auto"/>
                <w:sz w:val="21"/>
                <w:szCs w:val="21"/>
              </w:rPr>
            </w:pPr>
            <w:r>
              <w:rPr>
                <w:rFonts w:eastAsia="宋体"/>
                <w:color w:val="auto"/>
                <w:sz w:val="21"/>
                <w:szCs w:val="21"/>
              </w:rPr>
              <w:t>7.49%</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749000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1404375</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2808750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4494000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6741000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11984000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11984000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三门</w:t>
            </w:r>
            <w:r>
              <w:rPr>
                <w:rFonts w:hint="eastAsia" w:hAnsi="仿宋_GB2312" w:eastAsia="宋体"/>
                <w:color w:val="auto"/>
                <w:sz w:val="24"/>
              </w:rPr>
              <w:t>县</w:t>
            </w:r>
          </w:p>
        </w:tc>
        <w:tc>
          <w:tcPr>
            <w:tcW w:w="527" w:type="pct"/>
            <w:noWrap w:val="0"/>
            <w:vAlign w:val="center"/>
          </w:tcPr>
          <w:p>
            <w:pPr>
              <w:spacing w:line="300" w:lineRule="exact"/>
              <w:jc w:val="center"/>
              <w:rPr>
                <w:rFonts w:eastAsia="宋体"/>
                <w:color w:val="auto"/>
                <w:sz w:val="21"/>
                <w:szCs w:val="21"/>
              </w:rPr>
            </w:pPr>
            <w:r>
              <w:rPr>
                <w:rFonts w:eastAsia="宋体"/>
                <w:color w:val="auto"/>
                <w:sz w:val="21"/>
                <w:szCs w:val="21"/>
              </w:rPr>
              <w:t>10.42%</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1042000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1953750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3907500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6252000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9378000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16672000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16672000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台州湾新区</w:t>
            </w:r>
          </w:p>
        </w:tc>
        <w:tc>
          <w:tcPr>
            <w:tcW w:w="527" w:type="pct"/>
            <w:noWrap w:val="0"/>
            <w:vAlign w:val="center"/>
          </w:tcPr>
          <w:p>
            <w:pPr>
              <w:spacing w:line="300" w:lineRule="exact"/>
              <w:jc w:val="center"/>
              <w:rPr>
                <w:rFonts w:eastAsia="宋体"/>
                <w:color w:val="auto"/>
                <w:sz w:val="21"/>
                <w:szCs w:val="21"/>
              </w:rPr>
            </w:pPr>
            <w:r>
              <w:rPr>
                <w:rFonts w:hint="eastAsia" w:eastAsia="宋体"/>
                <w:color w:val="auto"/>
                <w:sz w:val="21"/>
                <w:szCs w:val="21"/>
              </w:rPr>
              <w:t>2</w:t>
            </w:r>
            <w:r>
              <w:rPr>
                <w:rFonts w:eastAsia="宋体"/>
                <w:color w:val="auto"/>
                <w:sz w:val="21"/>
                <w:szCs w:val="21"/>
              </w:rPr>
              <w:t>.</w:t>
            </w:r>
            <w:r>
              <w:rPr>
                <w:rFonts w:hint="eastAsia" w:eastAsia="宋体"/>
                <w:color w:val="auto"/>
                <w:sz w:val="21"/>
                <w:szCs w:val="21"/>
              </w:rPr>
              <w:t>32</w:t>
            </w:r>
            <w:r>
              <w:rPr>
                <w:rFonts w:eastAsia="宋体"/>
                <w:color w:val="auto"/>
                <w:sz w:val="21"/>
                <w:szCs w:val="21"/>
              </w:rPr>
              <w:t>%</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232000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435000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870000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1392000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2088000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3712000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3712000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2" w:type="pct"/>
            <w:noWrap w:val="0"/>
            <w:vAlign w:val="center"/>
          </w:tcPr>
          <w:p>
            <w:pPr>
              <w:spacing w:line="300" w:lineRule="exact"/>
              <w:jc w:val="center"/>
              <w:rPr>
                <w:rFonts w:eastAsia="宋体"/>
                <w:color w:val="auto"/>
                <w:sz w:val="24"/>
              </w:rPr>
            </w:pPr>
            <w:r>
              <w:rPr>
                <w:rFonts w:hAnsi="仿宋_GB2312" w:eastAsia="宋体"/>
                <w:color w:val="auto"/>
                <w:sz w:val="24"/>
              </w:rPr>
              <w:t>合计</w:t>
            </w:r>
          </w:p>
        </w:tc>
        <w:tc>
          <w:tcPr>
            <w:tcW w:w="527" w:type="pct"/>
            <w:noWrap w:val="0"/>
            <w:vAlign w:val="center"/>
          </w:tcPr>
          <w:p>
            <w:pPr>
              <w:spacing w:line="300" w:lineRule="exact"/>
              <w:jc w:val="center"/>
              <w:rPr>
                <w:rFonts w:eastAsia="宋体"/>
                <w:color w:val="auto"/>
                <w:sz w:val="21"/>
                <w:szCs w:val="21"/>
              </w:rPr>
            </w:pPr>
            <w:r>
              <w:rPr>
                <w:rFonts w:eastAsia="宋体"/>
                <w:color w:val="auto"/>
                <w:sz w:val="21"/>
                <w:szCs w:val="21"/>
              </w:rPr>
              <w:t>100%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10000000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18750000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37500000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60000000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90000000</w:t>
            </w:r>
          </w:p>
        </w:tc>
        <w:tc>
          <w:tcPr>
            <w:tcW w:w="490" w:type="pct"/>
            <w:noWrap w:val="0"/>
            <w:vAlign w:val="center"/>
          </w:tcPr>
          <w:p>
            <w:pPr>
              <w:spacing w:line="300" w:lineRule="exact"/>
              <w:jc w:val="center"/>
              <w:rPr>
                <w:rFonts w:eastAsia="宋体"/>
                <w:color w:val="auto"/>
                <w:sz w:val="21"/>
                <w:szCs w:val="21"/>
              </w:rPr>
            </w:pPr>
            <w:r>
              <w:rPr>
                <w:rFonts w:eastAsia="宋体"/>
                <w:color w:val="auto"/>
                <w:sz w:val="21"/>
                <w:szCs w:val="21"/>
              </w:rPr>
              <w:t>160000000</w:t>
            </w:r>
          </w:p>
        </w:tc>
        <w:tc>
          <w:tcPr>
            <w:tcW w:w="543" w:type="pct"/>
            <w:noWrap w:val="0"/>
            <w:vAlign w:val="center"/>
          </w:tcPr>
          <w:p>
            <w:pPr>
              <w:spacing w:line="300" w:lineRule="exact"/>
              <w:jc w:val="center"/>
              <w:rPr>
                <w:rFonts w:ascii="Times New Roman" w:hAnsi="Times New Roman" w:eastAsia="宋体" w:cs="Times New Roman"/>
                <w:color w:val="auto"/>
                <w:kern w:val="2"/>
                <w:sz w:val="21"/>
                <w:szCs w:val="21"/>
                <w:lang w:val="en-US" w:eastAsia="zh-CN" w:bidi="ar-SA"/>
              </w:rPr>
            </w:pPr>
            <w:r>
              <w:rPr>
                <w:rFonts w:eastAsia="宋体"/>
                <w:color w:val="auto"/>
                <w:sz w:val="21"/>
                <w:szCs w:val="21"/>
              </w:rPr>
              <w:t>160000000</w:t>
            </w:r>
          </w:p>
        </w:tc>
      </w:tr>
    </w:tbl>
    <w:p>
      <w:pPr>
        <w:spacing w:line="240" w:lineRule="auto"/>
        <w:jc w:val="center"/>
        <w:rPr>
          <w:rFonts w:hint="eastAsia" w:asciiTheme="minorEastAsia" w:hAnsiTheme="minorEastAsia" w:eastAsiaTheme="minorEastAsia"/>
          <w:b w:val="0"/>
          <w:bCs/>
          <w:color w:val="auto"/>
          <w:sz w:val="21"/>
          <w:szCs w:val="21"/>
          <w:lang w:val="en-US" w:eastAsia="zh-CN"/>
        </w:rPr>
      </w:pPr>
      <w:r>
        <w:rPr>
          <w:rFonts w:hint="eastAsia" w:asciiTheme="minorEastAsia" w:hAnsiTheme="minorEastAsia" w:eastAsiaTheme="minorEastAsia"/>
          <w:b w:val="0"/>
          <w:bCs/>
          <w:color w:val="auto"/>
          <w:sz w:val="21"/>
          <w:szCs w:val="21"/>
          <w:lang w:val="en-US" w:eastAsia="zh-CN"/>
        </w:rPr>
        <w:t>注：最终赔付额=上表赔付额 *（投标人报出赔付额整体上浮幅度 + 100%)</w:t>
      </w:r>
    </w:p>
    <w:p>
      <w:pPr>
        <w:spacing w:line="240" w:lineRule="auto"/>
        <w:jc w:val="center"/>
        <w:rPr>
          <w:rFonts w:hint="eastAsia" w:asciiTheme="minorEastAsia" w:hAnsiTheme="minorEastAsia" w:eastAsiaTheme="minorEastAsia"/>
          <w:b w:val="0"/>
          <w:bCs/>
          <w:color w:val="auto"/>
          <w:sz w:val="21"/>
          <w:szCs w:val="21"/>
          <w:lang w:val="en-US" w:eastAsia="zh-CN"/>
        </w:rPr>
      </w:pPr>
      <w:r>
        <w:rPr>
          <w:rFonts w:hint="eastAsia" w:asciiTheme="minorEastAsia" w:hAnsiTheme="minorEastAsia" w:eastAsiaTheme="minorEastAsia"/>
          <w:b w:val="0"/>
          <w:bCs/>
          <w:color w:val="auto"/>
          <w:sz w:val="21"/>
          <w:szCs w:val="21"/>
          <w:lang w:val="en-US" w:eastAsia="zh-CN"/>
        </w:rPr>
        <w:t>最终累计赔付上限=上表累计赔付上限 *（投标人报出赔付额整体上浮幅度 + 100%)</w:t>
      </w:r>
    </w:p>
    <w:p>
      <w:pPr>
        <w:pStyle w:val="2"/>
        <w:jc w:val="center"/>
        <w:rPr>
          <w:rFonts w:hint="default"/>
          <w:lang w:val="en-US" w:eastAsia="zh-CN"/>
        </w:rPr>
      </w:pPr>
    </w:p>
    <w:p>
      <w:pPr>
        <w:spacing w:line="360" w:lineRule="auto"/>
        <w:ind w:firstLine="482" w:firstLineChars="200"/>
        <w:rPr>
          <w:rFonts w:hint="eastAsia" w:asciiTheme="minorEastAsia" w:hAnsiTheme="minorEastAsia" w:eastAsiaTheme="minorEastAsia"/>
          <w:b/>
          <w:bCs w:val="0"/>
          <w:color w:val="auto"/>
          <w:sz w:val="24"/>
          <w:lang w:val="en-US" w:eastAsia="zh-CN"/>
        </w:rPr>
      </w:pPr>
      <w:r>
        <w:rPr>
          <w:rFonts w:hint="eastAsia" w:asciiTheme="minorEastAsia" w:hAnsiTheme="minorEastAsia" w:eastAsiaTheme="minorEastAsia"/>
          <w:b/>
          <w:bCs w:val="0"/>
          <w:color w:val="auto"/>
          <w:sz w:val="24"/>
          <w:lang w:val="en-US" w:eastAsia="zh-CN"/>
        </w:rPr>
        <w:t>2.强降雨指数保险</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1）根据有效观测站最大降雨量与灾害损失的相关性分析构建成灾指数，成灾指数=（最大降雨量-所适用层级起始雨量）/（所适用层级雨量上限-所适用层级起始雨量）×（所适用层级成灾指数上限-所适用层级起始成灾指数）+所适用层级起始成灾指数。</w:t>
      </w:r>
    </w:p>
    <w:p>
      <w:pPr>
        <w:widowControl w:val="0"/>
        <w:suppressAutoHyphens/>
        <w:autoSpaceDE w:val="0"/>
        <w:autoSpaceDN w:val="0"/>
        <w:adjustRightInd w:val="0"/>
        <w:snapToGrid w:val="0"/>
        <w:jc w:val="both"/>
        <w:rPr>
          <w:rFonts w:hint="eastAsia" w:ascii="Times New Roman" w:hAnsi="Times New Roman" w:eastAsia="宋体" w:cs="Times New Roman"/>
          <w:kern w:val="2"/>
          <w:sz w:val="21"/>
          <w:szCs w:val="24"/>
          <w:lang w:val="en-US" w:eastAsia="zh-CN" w:bidi="ar-SA"/>
        </w:rPr>
      </w:pP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580"/>
        <w:gridCol w:w="180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pct"/>
            <w:noWrap w:val="0"/>
            <w:vAlign w:val="center"/>
          </w:tcPr>
          <w:p>
            <w:pPr>
              <w:spacing w:line="300" w:lineRule="exact"/>
              <w:jc w:val="center"/>
              <w:rPr>
                <w:rFonts w:eastAsia="黑体"/>
                <w:bCs/>
                <w:color w:val="auto"/>
                <w:sz w:val="24"/>
              </w:rPr>
            </w:pPr>
            <w:r>
              <w:rPr>
                <w:rFonts w:eastAsia="黑体"/>
                <w:bCs/>
                <w:color w:val="auto"/>
                <w:sz w:val="24"/>
              </w:rPr>
              <w:t>最大降雨量（A）</w:t>
            </w:r>
            <w:r>
              <w:rPr>
                <w:rFonts w:hint="eastAsia" w:eastAsia="黑体"/>
                <w:bCs/>
                <w:color w:val="auto"/>
                <w:sz w:val="24"/>
              </w:rPr>
              <w:t>（</w:t>
            </w:r>
            <w:r>
              <w:rPr>
                <w:rFonts w:eastAsia="黑体"/>
                <w:bCs/>
                <w:color w:val="auto"/>
                <w:sz w:val="24"/>
              </w:rPr>
              <w:t>起始雨量A</w:t>
            </w:r>
            <w:r>
              <w:rPr>
                <w:rFonts w:hint="eastAsia" w:eastAsia="黑体"/>
                <w:bCs/>
                <w:color w:val="auto"/>
                <w:sz w:val="24"/>
              </w:rPr>
              <w:t>1</w:t>
            </w:r>
            <w:r>
              <w:rPr>
                <w:rFonts w:hint="eastAsia" w:ascii="仿宋_GB2312" w:eastAsia="宋体"/>
                <w:bCs/>
                <w:color w:val="auto"/>
                <w:sz w:val="24"/>
              </w:rPr>
              <w:t>≤</w:t>
            </w:r>
            <w:r>
              <w:rPr>
                <w:rFonts w:eastAsia="宋体"/>
                <w:color w:val="auto"/>
                <w:kern w:val="0"/>
                <w:sz w:val="24"/>
                <w:lang w:bidi="ar"/>
              </w:rPr>
              <w:t>A&lt;</w:t>
            </w:r>
            <w:r>
              <w:rPr>
                <w:rFonts w:eastAsia="黑体"/>
                <w:bCs/>
                <w:color w:val="auto"/>
                <w:sz w:val="24"/>
              </w:rPr>
              <w:t>雨量上限An）</w:t>
            </w:r>
            <w:r>
              <w:rPr>
                <w:rFonts w:hint="eastAsia" w:eastAsia="黑体"/>
                <w:bCs/>
                <w:color w:val="auto"/>
                <w:sz w:val="24"/>
              </w:rPr>
              <w:t>（单位mm）</w:t>
            </w:r>
          </w:p>
        </w:tc>
        <w:tc>
          <w:tcPr>
            <w:tcW w:w="1791" w:type="pct"/>
            <w:noWrap w:val="0"/>
            <w:vAlign w:val="center"/>
          </w:tcPr>
          <w:p>
            <w:pPr>
              <w:spacing w:line="300" w:lineRule="exact"/>
              <w:jc w:val="center"/>
              <w:rPr>
                <w:rFonts w:eastAsia="黑体"/>
                <w:bCs/>
                <w:color w:val="auto"/>
                <w:sz w:val="24"/>
              </w:rPr>
            </w:pPr>
            <w:r>
              <w:rPr>
                <w:rFonts w:eastAsia="黑体"/>
                <w:bCs/>
                <w:color w:val="auto"/>
                <w:sz w:val="24"/>
              </w:rPr>
              <w:t>成灾指数公式</w:t>
            </w:r>
          </w:p>
        </w:tc>
        <w:tc>
          <w:tcPr>
            <w:tcW w:w="1202" w:type="pct"/>
            <w:noWrap w:val="0"/>
            <w:vAlign w:val="center"/>
          </w:tcPr>
          <w:p>
            <w:pPr>
              <w:spacing w:line="300" w:lineRule="exact"/>
              <w:jc w:val="center"/>
              <w:rPr>
                <w:rFonts w:hint="eastAsia" w:eastAsia="黑体"/>
                <w:bCs/>
                <w:color w:val="auto"/>
                <w:sz w:val="24"/>
              </w:rPr>
            </w:pPr>
            <w:r>
              <w:rPr>
                <w:rFonts w:eastAsia="黑体"/>
                <w:bCs/>
                <w:color w:val="auto"/>
                <w:sz w:val="24"/>
              </w:rPr>
              <w:t>成灾指数（</w:t>
            </w:r>
            <w:r>
              <w:rPr>
                <w:rFonts w:hint="eastAsia" w:eastAsia="宋体"/>
                <w:color w:val="auto"/>
                <w:kern w:val="0"/>
                <w:sz w:val="24"/>
                <w:lang w:bidi="ar"/>
              </w:rPr>
              <w:t>X</w:t>
            </w:r>
            <w:r>
              <w:rPr>
                <w:rFonts w:eastAsia="黑体"/>
                <w:bCs/>
                <w:color w:val="auto"/>
                <w:sz w:val="24"/>
              </w:rPr>
              <w:t>）</w:t>
            </w:r>
          </w:p>
          <w:p>
            <w:pPr>
              <w:spacing w:line="300" w:lineRule="exact"/>
              <w:jc w:val="center"/>
              <w:rPr>
                <w:rFonts w:eastAsia="黑体"/>
                <w:bCs/>
                <w:color w:val="auto"/>
                <w:sz w:val="24"/>
              </w:rPr>
            </w:pPr>
            <w:r>
              <w:rPr>
                <w:rFonts w:eastAsia="黑体"/>
                <w:bCs/>
                <w:color w:val="auto"/>
                <w:sz w:val="24"/>
              </w:rPr>
              <w:t>（起赔点X1＜</w:t>
            </w:r>
            <w:r>
              <w:rPr>
                <w:rFonts w:hint="eastAsia" w:eastAsia="宋体"/>
                <w:color w:val="auto"/>
                <w:kern w:val="0"/>
                <w:sz w:val="24"/>
                <w:lang w:bidi="ar"/>
              </w:rPr>
              <w:t>X</w:t>
            </w:r>
            <w:r>
              <w:rPr>
                <w:rFonts w:hint="eastAsia" w:ascii="仿宋_GB2312" w:eastAsia="宋体"/>
                <w:bCs/>
                <w:color w:val="auto"/>
                <w:sz w:val="24"/>
              </w:rPr>
              <w:t>≤</w:t>
            </w:r>
            <w:r>
              <w:rPr>
                <w:rFonts w:eastAsia="黑体"/>
                <w:bCs/>
                <w:color w:val="auto"/>
                <w:sz w:val="24"/>
              </w:rPr>
              <w:t>赔付上限点Xn）</w:t>
            </w:r>
          </w:p>
        </w:tc>
        <w:tc>
          <w:tcPr>
            <w:tcW w:w="917" w:type="pct"/>
            <w:noWrap w:val="0"/>
            <w:vAlign w:val="center"/>
          </w:tcPr>
          <w:p>
            <w:pPr>
              <w:spacing w:line="300" w:lineRule="exact"/>
              <w:jc w:val="center"/>
              <w:rPr>
                <w:rFonts w:eastAsia="黑体"/>
                <w:bCs/>
                <w:color w:val="auto"/>
                <w:sz w:val="24"/>
              </w:rPr>
            </w:pPr>
            <w:r>
              <w:rPr>
                <w:rFonts w:eastAsia="黑体"/>
                <w:bCs/>
                <w:color w:val="auto"/>
                <w:sz w:val="24"/>
              </w:rPr>
              <w:t>保险分段赔付金额（单位：万元）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pct"/>
            <w:noWrap/>
            <w:vAlign w:val="center"/>
          </w:tcPr>
          <w:p>
            <w:pPr>
              <w:widowControl/>
              <w:jc w:val="center"/>
              <w:textAlignment w:val="center"/>
              <w:rPr>
                <w:rFonts w:eastAsia="宋体"/>
                <w:color w:val="auto"/>
                <w:sz w:val="24"/>
              </w:rPr>
            </w:pPr>
            <w:r>
              <w:rPr>
                <w:rFonts w:eastAsia="宋体"/>
                <w:color w:val="auto"/>
                <w:kern w:val="0"/>
                <w:sz w:val="24"/>
                <w:lang w:bidi="ar"/>
              </w:rPr>
              <w:t>140</w:t>
            </w:r>
            <w:r>
              <w:rPr>
                <w:rFonts w:hint="eastAsia" w:ascii="仿宋_GB2312" w:eastAsia="宋体"/>
                <w:bCs/>
                <w:color w:val="auto"/>
                <w:sz w:val="24"/>
              </w:rPr>
              <w:t>≤</w:t>
            </w:r>
            <w:r>
              <w:rPr>
                <w:rFonts w:eastAsia="宋体"/>
                <w:color w:val="auto"/>
                <w:kern w:val="0"/>
                <w:sz w:val="24"/>
                <w:lang w:bidi="ar"/>
              </w:rPr>
              <w:t>A&lt;180</w:t>
            </w:r>
          </w:p>
        </w:tc>
        <w:tc>
          <w:tcPr>
            <w:tcW w:w="1791" w:type="pct"/>
            <w:vMerge w:val="restart"/>
            <w:noWrap/>
            <w:vAlign w:val="center"/>
          </w:tcPr>
          <w:p>
            <w:pPr>
              <w:widowControl/>
              <w:jc w:val="center"/>
              <w:textAlignment w:val="center"/>
              <w:rPr>
                <w:rFonts w:eastAsia="宋体"/>
                <w:color w:val="auto"/>
                <w:sz w:val="24"/>
              </w:rPr>
            </w:pPr>
            <w:r>
              <w:rPr>
                <w:rFonts w:eastAsia="宋体"/>
                <w:color w:val="auto"/>
                <w:kern w:val="0"/>
                <w:sz w:val="24"/>
                <w:lang w:bidi="ar"/>
              </w:rPr>
              <w:t>X=</w:t>
            </w:r>
            <w:r>
              <w:rPr>
                <w:rFonts w:hint="eastAsia" w:eastAsia="宋体"/>
                <w:color w:val="auto"/>
                <w:kern w:val="0"/>
                <w:sz w:val="24"/>
                <w:lang w:bidi="ar"/>
              </w:rPr>
              <w:t>（</w:t>
            </w:r>
            <w:r>
              <w:rPr>
                <w:rFonts w:eastAsia="宋体"/>
                <w:color w:val="auto"/>
                <w:kern w:val="0"/>
                <w:sz w:val="24"/>
                <w:lang w:bidi="ar"/>
              </w:rPr>
              <w:t>A</w:t>
            </w:r>
            <w:r>
              <w:rPr>
                <w:rFonts w:hint="eastAsia" w:ascii="仿宋_GB2312" w:eastAsia="宋体"/>
                <w:color w:val="auto"/>
                <w:kern w:val="0"/>
                <w:sz w:val="24"/>
                <w:lang w:bidi="ar"/>
              </w:rPr>
              <w:t>-</w:t>
            </w:r>
            <w:r>
              <w:rPr>
                <w:rFonts w:eastAsia="宋体"/>
                <w:color w:val="auto"/>
                <w:kern w:val="0"/>
                <w:sz w:val="24"/>
                <w:lang w:bidi="ar"/>
              </w:rPr>
              <w:t>A1</w:t>
            </w:r>
            <w:r>
              <w:rPr>
                <w:rFonts w:hint="eastAsia" w:eastAsia="宋体"/>
                <w:color w:val="auto"/>
                <w:kern w:val="0"/>
                <w:sz w:val="24"/>
                <w:lang w:bidi="ar"/>
              </w:rPr>
              <w:t>）</w:t>
            </w:r>
            <w:r>
              <w:rPr>
                <w:rStyle w:val="53"/>
                <w:rFonts w:ascii="Times New Roman" w:cs="Times New Roman" w:hAnsiTheme="minorHAnsi"/>
                <w:color w:val="auto"/>
                <w:lang w:bidi="ar"/>
              </w:rPr>
              <w:t>/</w:t>
            </w:r>
            <w:r>
              <w:rPr>
                <w:rStyle w:val="53"/>
                <w:rFonts w:hint="eastAsia" w:ascii="Times New Roman" w:cs="Times New Roman" w:hAnsiTheme="minorHAnsi"/>
                <w:color w:val="auto"/>
                <w:lang w:bidi="ar"/>
              </w:rPr>
              <w:t>（</w:t>
            </w:r>
            <w:r>
              <w:rPr>
                <w:rStyle w:val="53"/>
                <w:rFonts w:ascii="Times New Roman" w:cs="Times New Roman" w:hAnsiTheme="minorHAnsi"/>
                <w:color w:val="auto"/>
                <w:lang w:bidi="ar"/>
              </w:rPr>
              <w:t>An</w:t>
            </w:r>
            <w:r>
              <w:rPr>
                <w:rStyle w:val="53"/>
                <w:rFonts w:hint="eastAsia" w:cs="Times New Roman" w:hAnsiTheme="minorHAnsi"/>
                <w:color w:val="auto"/>
                <w:lang w:bidi="ar"/>
              </w:rPr>
              <w:t>-</w:t>
            </w:r>
            <w:r>
              <w:rPr>
                <w:rStyle w:val="53"/>
                <w:rFonts w:ascii="Times New Roman" w:cs="Times New Roman" w:hAnsiTheme="minorHAnsi"/>
                <w:color w:val="auto"/>
                <w:lang w:bidi="ar"/>
              </w:rPr>
              <w:t>A</w:t>
            </w:r>
            <w:r>
              <w:rPr>
                <w:rFonts w:eastAsia="宋体"/>
                <w:color w:val="auto"/>
                <w:kern w:val="0"/>
                <w:sz w:val="24"/>
                <w:lang w:bidi="ar"/>
              </w:rPr>
              <w:t>1</w:t>
            </w:r>
            <w:r>
              <w:rPr>
                <w:rStyle w:val="53"/>
                <w:rFonts w:hint="eastAsia" w:ascii="Times New Roman" w:cs="Times New Roman" w:hAnsiTheme="minorHAnsi"/>
                <w:color w:val="auto"/>
                <w:lang w:bidi="ar"/>
              </w:rPr>
              <w:t>）</w:t>
            </w:r>
            <w:r>
              <w:rPr>
                <w:rStyle w:val="53"/>
                <w:rFonts w:ascii="Times New Roman" w:cs="Times New Roman" w:hAnsiTheme="minorHAnsi"/>
                <w:color w:val="auto"/>
                <w:lang w:bidi="ar"/>
              </w:rPr>
              <w:t>*</w:t>
            </w:r>
            <w:r>
              <w:rPr>
                <w:rStyle w:val="53"/>
                <w:rFonts w:hint="eastAsia" w:ascii="Times New Roman" w:cs="Times New Roman" w:hAnsiTheme="minorHAnsi"/>
                <w:color w:val="auto"/>
                <w:lang w:bidi="ar"/>
              </w:rPr>
              <w:t>（</w:t>
            </w:r>
            <w:r>
              <w:rPr>
                <w:rStyle w:val="53"/>
                <w:rFonts w:ascii="Times New Roman" w:cs="Times New Roman" w:hAnsiTheme="minorHAnsi"/>
                <w:color w:val="auto"/>
                <w:lang w:bidi="ar"/>
              </w:rPr>
              <w:t>Xn</w:t>
            </w:r>
            <w:r>
              <w:rPr>
                <w:rStyle w:val="53"/>
                <w:rFonts w:hint="eastAsia" w:cs="Times New Roman" w:hAnsiTheme="minorHAnsi"/>
                <w:color w:val="auto"/>
                <w:lang w:bidi="ar"/>
              </w:rPr>
              <w:t>-</w:t>
            </w:r>
            <w:r>
              <w:rPr>
                <w:rStyle w:val="53"/>
                <w:rFonts w:ascii="Times New Roman" w:cs="Times New Roman" w:hAnsiTheme="minorHAnsi"/>
                <w:color w:val="auto"/>
                <w:lang w:bidi="ar"/>
              </w:rPr>
              <w:t>X</w:t>
            </w:r>
            <w:r>
              <w:rPr>
                <w:rFonts w:eastAsia="宋体"/>
                <w:color w:val="auto"/>
                <w:kern w:val="0"/>
                <w:sz w:val="24"/>
                <w:lang w:bidi="ar"/>
              </w:rPr>
              <w:t>1</w:t>
            </w:r>
            <w:r>
              <w:rPr>
                <w:rStyle w:val="53"/>
                <w:rFonts w:hint="eastAsia" w:ascii="Times New Roman" w:cs="Times New Roman" w:hAnsiTheme="minorHAnsi"/>
                <w:color w:val="auto"/>
                <w:lang w:bidi="ar"/>
              </w:rPr>
              <w:t>）</w:t>
            </w:r>
            <w:r>
              <w:rPr>
                <w:rStyle w:val="53"/>
                <w:rFonts w:ascii="Times New Roman" w:cs="Times New Roman" w:hAnsiTheme="minorHAnsi"/>
                <w:color w:val="auto"/>
                <w:lang w:bidi="ar"/>
              </w:rPr>
              <w:t>+X</w:t>
            </w:r>
            <w:r>
              <w:rPr>
                <w:rFonts w:eastAsia="宋体"/>
                <w:color w:val="auto"/>
                <w:kern w:val="0"/>
                <w:sz w:val="24"/>
                <w:lang w:bidi="ar"/>
              </w:rPr>
              <w:t>1</w:t>
            </w:r>
          </w:p>
        </w:tc>
        <w:tc>
          <w:tcPr>
            <w:tcW w:w="1202" w:type="pct"/>
            <w:noWrap/>
            <w:vAlign w:val="center"/>
          </w:tcPr>
          <w:p>
            <w:pPr>
              <w:widowControl/>
              <w:jc w:val="center"/>
              <w:textAlignment w:val="center"/>
              <w:rPr>
                <w:rFonts w:eastAsia="宋体"/>
                <w:color w:val="auto"/>
                <w:sz w:val="24"/>
              </w:rPr>
            </w:pPr>
            <w:r>
              <w:rPr>
                <w:rFonts w:eastAsia="宋体"/>
                <w:color w:val="auto"/>
                <w:kern w:val="0"/>
                <w:sz w:val="24"/>
                <w:lang w:bidi="ar"/>
              </w:rPr>
              <w:t>0%＜</w:t>
            </w:r>
            <w:r>
              <w:rPr>
                <w:rFonts w:hint="eastAsia" w:eastAsia="宋体"/>
                <w:color w:val="auto"/>
                <w:kern w:val="0"/>
                <w:sz w:val="24"/>
                <w:lang w:bidi="ar"/>
              </w:rPr>
              <w:t>X</w:t>
            </w:r>
            <w:r>
              <w:rPr>
                <w:rFonts w:hint="eastAsia" w:ascii="仿宋_GB2312" w:eastAsia="宋体"/>
                <w:color w:val="auto"/>
                <w:kern w:val="0"/>
                <w:sz w:val="24"/>
                <w:lang w:bidi="ar"/>
              </w:rPr>
              <w:t>≤</w:t>
            </w:r>
            <w:r>
              <w:rPr>
                <w:rFonts w:eastAsia="宋体"/>
                <w:color w:val="auto"/>
                <w:kern w:val="0"/>
                <w:sz w:val="24"/>
                <w:lang w:bidi="ar"/>
              </w:rPr>
              <w:t>30%</w:t>
            </w:r>
          </w:p>
        </w:tc>
        <w:tc>
          <w:tcPr>
            <w:tcW w:w="917" w:type="pct"/>
            <w:noWrap/>
            <w:vAlign w:val="center"/>
          </w:tcPr>
          <w:p>
            <w:pPr>
              <w:widowControl/>
              <w:jc w:val="center"/>
              <w:textAlignment w:val="center"/>
              <w:rPr>
                <w:rFonts w:eastAsia="宋体"/>
                <w:color w:val="auto"/>
                <w:sz w:val="24"/>
              </w:rPr>
            </w:pPr>
            <w:r>
              <w:rPr>
                <w:rFonts w:eastAsia="宋体"/>
                <w:color w:val="auto"/>
                <w:kern w:val="0"/>
                <w:sz w:val="24"/>
                <w:lang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pct"/>
            <w:noWrap/>
            <w:vAlign w:val="center"/>
          </w:tcPr>
          <w:p>
            <w:pPr>
              <w:widowControl/>
              <w:jc w:val="center"/>
              <w:textAlignment w:val="center"/>
              <w:rPr>
                <w:rFonts w:eastAsia="宋体"/>
                <w:color w:val="auto"/>
                <w:sz w:val="24"/>
              </w:rPr>
            </w:pPr>
            <w:r>
              <w:rPr>
                <w:rFonts w:eastAsia="宋体"/>
                <w:color w:val="auto"/>
                <w:kern w:val="0"/>
                <w:sz w:val="24"/>
                <w:lang w:bidi="ar"/>
              </w:rPr>
              <w:t>180</w:t>
            </w:r>
            <w:r>
              <w:rPr>
                <w:rFonts w:hint="eastAsia" w:ascii="仿宋_GB2312" w:eastAsia="宋体"/>
                <w:bCs/>
                <w:color w:val="auto"/>
                <w:sz w:val="24"/>
              </w:rPr>
              <w:t>≤</w:t>
            </w:r>
            <w:r>
              <w:rPr>
                <w:rFonts w:eastAsia="宋体"/>
                <w:color w:val="auto"/>
                <w:kern w:val="0"/>
                <w:sz w:val="24"/>
                <w:lang w:bidi="ar"/>
              </w:rPr>
              <w:t>A&lt;240</w:t>
            </w:r>
          </w:p>
        </w:tc>
        <w:tc>
          <w:tcPr>
            <w:tcW w:w="1791" w:type="pct"/>
            <w:vMerge w:val="continue"/>
            <w:noWrap/>
            <w:vAlign w:val="center"/>
          </w:tcPr>
          <w:p>
            <w:pPr>
              <w:jc w:val="center"/>
              <w:rPr>
                <w:rFonts w:ascii="仿宋_GB2312" w:hAnsi="宋体" w:eastAsia="宋体" w:cs="仿宋_GB2312"/>
                <w:color w:val="auto"/>
                <w:sz w:val="24"/>
              </w:rPr>
            </w:pPr>
          </w:p>
        </w:tc>
        <w:tc>
          <w:tcPr>
            <w:tcW w:w="1202" w:type="pct"/>
            <w:noWrap/>
            <w:vAlign w:val="center"/>
          </w:tcPr>
          <w:p>
            <w:pPr>
              <w:widowControl/>
              <w:jc w:val="center"/>
              <w:textAlignment w:val="center"/>
              <w:rPr>
                <w:rFonts w:eastAsia="宋体"/>
                <w:color w:val="auto"/>
                <w:sz w:val="24"/>
              </w:rPr>
            </w:pPr>
            <w:r>
              <w:rPr>
                <w:rFonts w:eastAsia="宋体"/>
                <w:color w:val="auto"/>
                <w:kern w:val="0"/>
                <w:sz w:val="24"/>
                <w:lang w:bidi="ar"/>
              </w:rPr>
              <w:t>30%＜</w:t>
            </w:r>
            <w:r>
              <w:rPr>
                <w:rFonts w:hint="eastAsia" w:eastAsia="宋体"/>
                <w:color w:val="auto"/>
                <w:kern w:val="0"/>
                <w:sz w:val="24"/>
                <w:lang w:bidi="ar"/>
              </w:rPr>
              <w:t>X</w:t>
            </w:r>
            <w:r>
              <w:rPr>
                <w:rFonts w:hint="eastAsia" w:ascii="仿宋_GB2312" w:eastAsia="宋体"/>
                <w:color w:val="auto"/>
                <w:kern w:val="0"/>
                <w:sz w:val="24"/>
                <w:lang w:bidi="ar"/>
              </w:rPr>
              <w:t>≤</w:t>
            </w:r>
            <w:r>
              <w:rPr>
                <w:rFonts w:eastAsia="宋体"/>
                <w:color w:val="auto"/>
                <w:kern w:val="0"/>
                <w:sz w:val="24"/>
                <w:lang w:bidi="ar"/>
              </w:rPr>
              <w:t>50%</w:t>
            </w:r>
          </w:p>
        </w:tc>
        <w:tc>
          <w:tcPr>
            <w:tcW w:w="917" w:type="pct"/>
            <w:noWrap/>
            <w:vAlign w:val="center"/>
          </w:tcPr>
          <w:p>
            <w:pPr>
              <w:widowControl/>
              <w:jc w:val="center"/>
              <w:textAlignment w:val="center"/>
              <w:rPr>
                <w:rFonts w:eastAsia="宋体"/>
                <w:color w:val="auto"/>
                <w:sz w:val="24"/>
              </w:rPr>
            </w:pPr>
            <w:r>
              <w:rPr>
                <w:rFonts w:eastAsia="宋体"/>
                <w:color w:val="auto"/>
                <w:kern w:val="0"/>
                <w:sz w:val="24"/>
                <w:lang w:bidi="ar"/>
              </w:rPr>
              <w:t>Y1</w:t>
            </w:r>
            <w:r>
              <w:rPr>
                <w:rStyle w:val="53"/>
                <w:rFonts w:ascii="Times New Roman" w:cs="Times New Roman" w:hAnsiTheme="minorHAnsi"/>
                <w:color w:val="auto"/>
                <w:lang w:bidi="ar"/>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pct"/>
            <w:noWrap/>
            <w:vAlign w:val="center"/>
          </w:tcPr>
          <w:p>
            <w:pPr>
              <w:widowControl/>
              <w:jc w:val="center"/>
              <w:textAlignment w:val="center"/>
              <w:rPr>
                <w:rFonts w:eastAsia="宋体"/>
                <w:color w:val="auto"/>
                <w:sz w:val="24"/>
              </w:rPr>
            </w:pPr>
            <w:r>
              <w:rPr>
                <w:rFonts w:eastAsia="宋体"/>
                <w:color w:val="auto"/>
                <w:kern w:val="0"/>
                <w:sz w:val="24"/>
                <w:lang w:bidi="ar"/>
              </w:rPr>
              <w:t>240</w:t>
            </w:r>
            <w:r>
              <w:rPr>
                <w:rFonts w:hint="eastAsia" w:ascii="仿宋_GB2312" w:eastAsia="宋体"/>
                <w:bCs/>
                <w:color w:val="auto"/>
                <w:sz w:val="24"/>
              </w:rPr>
              <w:t>≤</w:t>
            </w:r>
            <w:r>
              <w:rPr>
                <w:rFonts w:eastAsia="宋体"/>
                <w:color w:val="auto"/>
                <w:kern w:val="0"/>
                <w:sz w:val="24"/>
                <w:lang w:bidi="ar"/>
              </w:rPr>
              <w:t>A&lt;360</w:t>
            </w:r>
          </w:p>
        </w:tc>
        <w:tc>
          <w:tcPr>
            <w:tcW w:w="1791" w:type="pct"/>
            <w:vMerge w:val="continue"/>
            <w:noWrap/>
            <w:vAlign w:val="center"/>
          </w:tcPr>
          <w:p>
            <w:pPr>
              <w:jc w:val="center"/>
              <w:rPr>
                <w:rFonts w:ascii="仿宋_GB2312" w:hAnsi="宋体" w:eastAsia="宋体" w:cs="仿宋_GB2312"/>
                <w:color w:val="auto"/>
                <w:sz w:val="24"/>
              </w:rPr>
            </w:pPr>
          </w:p>
        </w:tc>
        <w:tc>
          <w:tcPr>
            <w:tcW w:w="1202" w:type="pct"/>
            <w:noWrap/>
            <w:vAlign w:val="center"/>
          </w:tcPr>
          <w:p>
            <w:pPr>
              <w:widowControl/>
              <w:jc w:val="center"/>
              <w:textAlignment w:val="center"/>
              <w:rPr>
                <w:rFonts w:eastAsia="宋体"/>
                <w:color w:val="auto"/>
                <w:sz w:val="24"/>
              </w:rPr>
            </w:pPr>
            <w:r>
              <w:rPr>
                <w:rFonts w:eastAsia="宋体"/>
                <w:color w:val="auto"/>
                <w:kern w:val="0"/>
                <w:sz w:val="24"/>
                <w:lang w:bidi="ar"/>
              </w:rPr>
              <w:t>50%＜</w:t>
            </w:r>
            <w:r>
              <w:rPr>
                <w:rFonts w:hint="eastAsia" w:eastAsia="宋体"/>
                <w:color w:val="auto"/>
                <w:kern w:val="0"/>
                <w:sz w:val="24"/>
                <w:lang w:bidi="ar"/>
              </w:rPr>
              <w:t>X</w:t>
            </w:r>
            <w:r>
              <w:rPr>
                <w:rFonts w:hint="eastAsia" w:ascii="仿宋_GB2312" w:eastAsia="宋体"/>
                <w:color w:val="auto"/>
                <w:kern w:val="0"/>
                <w:sz w:val="24"/>
                <w:lang w:bidi="ar"/>
              </w:rPr>
              <w:t>≤</w:t>
            </w:r>
            <w:r>
              <w:rPr>
                <w:rFonts w:eastAsia="宋体"/>
                <w:color w:val="auto"/>
                <w:kern w:val="0"/>
                <w:sz w:val="24"/>
                <w:lang w:bidi="ar"/>
              </w:rPr>
              <w:t>80%</w:t>
            </w:r>
          </w:p>
        </w:tc>
        <w:tc>
          <w:tcPr>
            <w:tcW w:w="917" w:type="pct"/>
            <w:noWrap/>
            <w:vAlign w:val="center"/>
          </w:tcPr>
          <w:p>
            <w:pPr>
              <w:widowControl/>
              <w:jc w:val="center"/>
              <w:textAlignment w:val="center"/>
              <w:rPr>
                <w:rFonts w:eastAsia="宋体"/>
                <w:color w:val="auto"/>
                <w:sz w:val="24"/>
              </w:rPr>
            </w:pPr>
            <w:r>
              <w:rPr>
                <w:rFonts w:eastAsia="宋体"/>
                <w:color w:val="auto"/>
                <w:kern w:val="0"/>
                <w:sz w:val="24"/>
                <w:lang w:bidi="ar"/>
              </w:rPr>
              <w:t>Y1</w:t>
            </w:r>
            <w:r>
              <w:rPr>
                <w:rStyle w:val="53"/>
                <w:rFonts w:ascii="Times New Roman" w:cs="Times New Roman" w:hAnsiTheme="minorHAnsi"/>
                <w:color w:val="auto"/>
                <w:lang w:bidi="ar"/>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pct"/>
            <w:noWrap w:val="0"/>
            <w:vAlign w:val="center"/>
          </w:tcPr>
          <w:p>
            <w:pPr>
              <w:widowControl/>
              <w:jc w:val="center"/>
              <w:textAlignment w:val="center"/>
              <w:rPr>
                <w:rFonts w:eastAsia="宋体"/>
                <w:color w:val="auto"/>
                <w:sz w:val="24"/>
              </w:rPr>
            </w:pPr>
            <w:r>
              <w:rPr>
                <w:rFonts w:eastAsia="宋体"/>
                <w:color w:val="auto"/>
                <w:kern w:val="0"/>
                <w:sz w:val="24"/>
                <w:lang w:bidi="ar"/>
              </w:rPr>
              <w:t>360</w:t>
            </w:r>
            <w:r>
              <w:rPr>
                <w:rFonts w:hint="eastAsia" w:ascii="仿宋_GB2312" w:eastAsia="宋体"/>
                <w:bCs/>
                <w:color w:val="auto"/>
                <w:sz w:val="24"/>
              </w:rPr>
              <w:t>≤</w:t>
            </w:r>
            <w:r>
              <w:rPr>
                <w:rFonts w:eastAsia="宋体"/>
                <w:color w:val="auto"/>
                <w:kern w:val="0"/>
                <w:sz w:val="24"/>
                <w:lang w:bidi="ar"/>
              </w:rPr>
              <w:t>A&lt;420</w:t>
            </w:r>
          </w:p>
        </w:tc>
        <w:tc>
          <w:tcPr>
            <w:tcW w:w="1791" w:type="pct"/>
            <w:vMerge w:val="continue"/>
            <w:noWrap/>
            <w:vAlign w:val="center"/>
          </w:tcPr>
          <w:p>
            <w:pPr>
              <w:jc w:val="center"/>
              <w:rPr>
                <w:rFonts w:ascii="仿宋_GB2312" w:hAnsi="宋体" w:eastAsia="宋体" w:cs="仿宋_GB2312"/>
                <w:color w:val="auto"/>
                <w:sz w:val="24"/>
              </w:rPr>
            </w:pPr>
          </w:p>
        </w:tc>
        <w:tc>
          <w:tcPr>
            <w:tcW w:w="1202" w:type="pct"/>
            <w:noWrap w:val="0"/>
            <w:vAlign w:val="center"/>
          </w:tcPr>
          <w:p>
            <w:pPr>
              <w:widowControl/>
              <w:jc w:val="center"/>
              <w:textAlignment w:val="center"/>
              <w:rPr>
                <w:rFonts w:eastAsia="宋体"/>
                <w:color w:val="auto"/>
                <w:sz w:val="24"/>
              </w:rPr>
            </w:pPr>
            <w:r>
              <w:rPr>
                <w:rFonts w:eastAsia="宋体"/>
                <w:color w:val="auto"/>
                <w:kern w:val="0"/>
                <w:sz w:val="24"/>
                <w:lang w:bidi="ar"/>
              </w:rPr>
              <w:t>80%＜</w:t>
            </w:r>
            <w:r>
              <w:rPr>
                <w:rFonts w:hint="eastAsia" w:eastAsia="宋体"/>
                <w:color w:val="auto"/>
                <w:kern w:val="0"/>
                <w:sz w:val="24"/>
                <w:lang w:bidi="ar"/>
              </w:rPr>
              <w:t>X</w:t>
            </w:r>
            <w:r>
              <w:rPr>
                <w:rFonts w:hint="eastAsia" w:ascii="仿宋_GB2312" w:eastAsia="宋体"/>
                <w:color w:val="auto"/>
                <w:kern w:val="0"/>
                <w:sz w:val="24"/>
                <w:lang w:bidi="ar"/>
              </w:rPr>
              <w:t>≤</w:t>
            </w:r>
            <w:r>
              <w:rPr>
                <w:rFonts w:eastAsia="宋体"/>
                <w:color w:val="auto"/>
                <w:kern w:val="0"/>
                <w:sz w:val="24"/>
                <w:lang w:bidi="ar"/>
              </w:rPr>
              <w:t>90%</w:t>
            </w:r>
          </w:p>
        </w:tc>
        <w:tc>
          <w:tcPr>
            <w:tcW w:w="917" w:type="pct"/>
            <w:noWrap/>
            <w:vAlign w:val="center"/>
          </w:tcPr>
          <w:p>
            <w:pPr>
              <w:widowControl/>
              <w:jc w:val="center"/>
              <w:textAlignment w:val="center"/>
              <w:rPr>
                <w:rFonts w:eastAsia="宋体"/>
                <w:color w:val="auto"/>
                <w:sz w:val="24"/>
              </w:rPr>
            </w:pPr>
            <w:r>
              <w:rPr>
                <w:rFonts w:eastAsia="宋体"/>
                <w:color w:val="auto"/>
                <w:kern w:val="0"/>
                <w:sz w:val="24"/>
                <w:lang w:bidi="ar"/>
              </w:rPr>
              <w:t>Y1</w:t>
            </w:r>
            <w:r>
              <w:rPr>
                <w:rStyle w:val="53"/>
                <w:rFonts w:ascii="Times New Roman" w:cs="Times New Roman" w:hAnsiTheme="minorHAnsi"/>
                <w:color w:val="auto"/>
                <w:lang w:bidi="ar"/>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pct"/>
            <w:noWrap w:val="0"/>
            <w:vAlign w:val="center"/>
          </w:tcPr>
          <w:p>
            <w:pPr>
              <w:widowControl/>
              <w:jc w:val="center"/>
              <w:textAlignment w:val="center"/>
              <w:rPr>
                <w:rFonts w:eastAsia="宋体"/>
                <w:color w:val="auto"/>
                <w:sz w:val="24"/>
              </w:rPr>
            </w:pPr>
            <w:r>
              <w:rPr>
                <w:rFonts w:eastAsia="宋体"/>
                <w:color w:val="auto"/>
                <w:kern w:val="0"/>
                <w:sz w:val="24"/>
                <w:lang w:bidi="ar"/>
              </w:rPr>
              <w:t>420</w:t>
            </w:r>
            <w:r>
              <w:rPr>
                <w:rFonts w:hint="eastAsia" w:ascii="仿宋_GB2312" w:eastAsia="宋体"/>
                <w:bCs/>
                <w:color w:val="auto"/>
                <w:sz w:val="24"/>
              </w:rPr>
              <w:t>≤</w:t>
            </w:r>
            <w:r>
              <w:rPr>
                <w:rFonts w:eastAsia="宋体"/>
                <w:color w:val="auto"/>
                <w:kern w:val="0"/>
                <w:sz w:val="24"/>
                <w:lang w:bidi="ar"/>
              </w:rPr>
              <w:t>A&lt;490</w:t>
            </w:r>
          </w:p>
        </w:tc>
        <w:tc>
          <w:tcPr>
            <w:tcW w:w="1791" w:type="pct"/>
            <w:vMerge w:val="continue"/>
            <w:noWrap/>
            <w:vAlign w:val="center"/>
          </w:tcPr>
          <w:p>
            <w:pPr>
              <w:jc w:val="center"/>
              <w:rPr>
                <w:rFonts w:ascii="仿宋_GB2312" w:hAnsi="宋体" w:eastAsia="宋体" w:cs="仿宋_GB2312"/>
                <w:color w:val="auto"/>
                <w:sz w:val="24"/>
              </w:rPr>
            </w:pPr>
          </w:p>
        </w:tc>
        <w:tc>
          <w:tcPr>
            <w:tcW w:w="1202" w:type="pct"/>
            <w:noWrap w:val="0"/>
            <w:vAlign w:val="center"/>
          </w:tcPr>
          <w:p>
            <w:pPr>
              <w:widowControl/>
              <w:jc w:val="center"/>
              <w:textAlignment w:val="center"/>
              <w:rPr>
                <w:rFonts w:eastAsia="宋体"/>
                <w:color w:val="auto"/>
                <w:sz w:val="24"/>
              </w:rPr>
            </w:pPr>
            <w:r>
              <w:rPr>
                <w:rFonts w:eastAsia="宋体"/>
                <w:color w:val="auto"/>
                <w:kern w:val="0"/>
                <w:sz w:val="24"/>
                <w:lang w:bidi="ar"/>
              </w:rPr>
              <w:t>90%＜</w:t>
            </w:r>
            <w:r>
              <w:rPr>
                <w:rFonts w:hint="eastAsia" w:eastAsia="宋体"/>
                <w:color w:val="auto"/>
                <w:kern w:val="0"/>
                <w:sz w:val="24"/>
                <w:lang w:bidi="ar"/>
              </w:rPr>
              <w:t>X</w:t>
            </w:r>
            <w:r>
              <w:rPr>
                <w:rFonts w:hint="eastAsia" w:ascii="仿宋_GB2312" w:eastAsia="宋体"/>
                <w:color w:val="auto"/>
                <w:kern w:val="0"/>
                <w:sz w:val="24"/>
                <w:lang w:bidi="ar"/>
              </w:rPr>
              <w:t>≤</w:t>
            </w:r>
            <w:r>
              <w:rPr>
                <w:rFonts w:eastAsia="宋体"/>
                <w:color w:val="auto"/>
                <w:kern w:val="0"/>
                <w:sz w:val="24"/>
                <w:lang w:bidi="ar"/>
              </w:rPr>
              <w:t>100%</w:t>
            </w:r>
          </w:p>
        </w:tc>
        <w:tc>
          <w:tcPr>
            <w:tcW w:w="917" w:type="pct"/>
            <w:noWrap/>
            <w:vAlign w:val="center"/>
          </w:tcPr>
          <w:p>
            <w:pPr>
              <w:widowControl/>
              <w:jc w:val="center"/>
              <w:textAlignment w:val="center"/>
              <w:rPr>
                <w:rFonts w:eastAsia="宋体"/>
                <w:color w:val="auto"/>
                <w:sz w:val="24"/>
              </w:rPr>
            </w:pPr>
            <w:r>
              <w:rPr>
                <w:rFonts w:eastAsia="宋体"/>
                <w:color w:val="auto"/>
                <w:kern w:val="0"/>
                <w:sz w:val="24"/>
                <w:lang w:bidi="ar"/>
              </w:rPr>
              <w:t>Y1</w:t>
            </w:r>
            <w:r>
              <w:rPr>
                <w:rStyle w:val="53"/>
                <w:rFonts w:ascii="Times New Roman" w:cs="Times New Roman" w:hAnsiTheme="minorHAnsi"/>
                <w:color w:val="auto"/>
                <w:lang w:bidi="ar"/>
              </w:rPr>
              <w:t>～Yn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pct"/>
            <w:noWrap w:val="0"/>
            <w:vAlign w:val="center"/>
          </w:tcPr>
          <w:p>
            <w:pPr>
              <w:widowControl/>
              <w:jc w:val="center"/>
              <w:textAlignment w:val="center"/>
              <w:rPr>
                <w:rFonts w:eastAsia="宋体"/>
                <w:color w:val="auto"/>
                <w:sz w:val="24"/>
              </w:rPr>
            </w:pPr>
            <w:r>
              <w:rPr>
                <w:rFonts w:eastAsia="宋体"/>
                <w:color w:val="auto"/>
                <w:kern w:val="0"/>
                <w:sz w:val="24"/>
                <w:lang w:bidi="ar"/>
              </w:rPr>
              <w:t>A</w:t>
            </w:r>
            <w:r>
              <w:rPr>
                <w:rFonts w:hint="eastAsia" w:ascii="仿宋_GB2312" w:eastAsia="宋体"/>
                <w:color w:val="auto"/>
                <w:kern w:val="0"/>
                <w:sz w:val="24"/>
                <w:lang w:bidi="ar"/>
              </w:rPr>
              <w:t>≥</w:t>
            </w:r>
            <w:r>
              <w:rPr>
                <w:rFonts w:eastAsia="宋体"/>
                <w:color w:val="auto"/>
                <w:kern w:val="0"/>
                <w:sz w:val="24"/>
                <w:lang w:bidi="ar"/>
              </w:rPr>
              <w:t>490</w:t>
            </w:r>
          </w:p>
        </w:tc>
        <w:tc>
          <w:tcPr>
            <w:tcW w:w="1791" w:type="pct"/>
            <w:vMerge w:val="continue"/>
            <w:noWrap/>
            <w:vAlign w:val="center"/>
          </w:tcPr>
          <w:p>
            <w:pPr>
              <w:jc w:val="center"/>
              <w:rPr>
                <w:rFonts w:ascii="仿宋_GB2312" w:hAnsi="宋体" w:eastAsia="宋体" w:cs="仿宋_GB2312"/>
                <w:color w:val="auto"/>
                <w:sz w:val="24"/>
              </w:rPr>
            </w:pPr>
          </w:p>
        </w:tc>
        <w:tc>
          <w:tcPr>
            <w:tcW w:w="1202" w:type="pct"/>
            <w:noWrap w:val="0"/>
            <w:vAlign w:val="center"/>
          </w:tcPr>
          <w:p>
            <w:pPr>
              <w:spacing w:line="300" w:lineRule="exact"/>
              <w:jc w:val="center"/>
              <w:rPr>
                <w:rFonts w:hAnsi="仿宋_GB2312" w:eastAsia="宋体"/>
                <w:color w:val="auto"/>
                <w:sz w:val="24"/>
              </w:rPr>
            </w:pPr>
            <w:r>
              <w:rPr>
                <w:rFonts w:hAnsi="仿宋_GB2312" w:eastAsia="宋体"/>
                <w:color w:val="auto"/>
                <w:sz w:val="24"/>
              </w:rPr>
              <w:t>年度强降雨累计赔付限额</w:t>
            </w:r>
          </w:p>
        </w:tc>
        <w:tc>
          <w:tcPr>
            <w:tcW w:w="917" w:type="pct"/>
            <w:noWrap w:val="0"/>
            <w:vAlign w:val="center"/>
          </w:tcPr>
          <w:p>
            <w:pPr>
              <w:widowControl/>
              <w:jc w:val="center"/>
              <w:textAlignment w:val="center"/>
              <w:rPr>
                <w:rFonts w:eastAsia="宋体"/>
                <w:color w:val="auto"/>
                <w:sz w:val="24"/>
              </w:rPr>
            </w:pPr>
            <w:r>
              <w:rPr>
                <w:rFonts w:eastAsia="宋体"/>
                <w:color w:val="auto"/>
                <w:kern w:val="0"/>
                <w:sz w:val="24"/>
                <w:lang w:bidi="ar"/>
              </w:rPr>
              <w:t>Yn</w:t>
            </w:r>
          </w:p>
        </w:tc>
      </w:tr>
    </w:tbl>
    <w:p>
      <w:pPr>
        <w:spacing w:line="360" w:lineRule="auto"/>
        <w:ind w:firstLine="480" w:firstLineChars="200"/>
        <w:rPr>
          <w:rFonts w:hint="eastAsia" w:asciiTheme="minorEastAsia" w:hAnsiTheme="minorEastAsia" w:eastAsiaTheme="minorEastAsia"/>
          <w:b w:val="0"/>
          <w:bCs/>
          <w:color w:val="auto"/>
          <w:sz w:val="24"/>
          <w:lang w:val="en-US" w:eastAsia="zh-CN"/>
        </w:rPr>
      </w:pPr>
    </w:p>
    <w:p>
      <w:pPr>
        <w:spacing w:line="360" w:lineRule="auto"/>
        <w:ind w:firstLine="480" w:firstLineChars="200"/>
        <w:rPr>
          <w:rFonts w:hAnsi="黑体" w:eastAsia="黑体"/>
          <w:color w:val="auto"/>
          <w:kern w:val="0"/>
          <w:sz w:val="24"/>
          <w:lang w:bidi="ar"/>
        </w:rPr>
      </w:pPr>
      <w:r>
        <w:rPr>
          <w:rFonts w:hint="eastAsia" w:asciiTheme="minorEastAsia" w:hAnsiTheme="minorEastAsia" w:eastAsiaTheme="minorEastAsia"/>
          <w:b w:val="0"/>
          <w:bCs/>
          <w:color w:val="auto"/>
          <w:sz w:val="24"/>
          <w:lang w:val="en-US" w:eastAsia="zh-CN"/>
        </w:rPr>
        <w:t>（2）保险赔付起点为成灾指数大于0，若成灾指数小于或等于30%，赔付金额为定额赔付乘以对应站点的保险权重；若成灾指数大于30%且小于或等于100%，则赔付金额=（成灾指数-所适用层级起赔点）/（所适用层级赔付上限点-所适用层级起赔点）×（所适用层级赔付额上限-所适用层级起赔额）+所适用层级起赔额。</w:t>
      </w:r>
      <w:r>
        <w:rPr>
          <w:rFonts w:hAnsi="黑体" w:eastAsia="黑体"/>
          <w:color w:val="auto"/>
          <w:kern w:val="0"/>
          <w:sz w:val="24"/>
          <w:lang w:bidi="ar"/>
        </w:rPr>
        <w:br w:type="page"/>
      </w:r>
    </w:p>
    <w:p>
      <w:pPr>
        <w:widowControl w:val="0"/>
        <w:suppressAutoHyphens/>
        <w:autoSpaceDE w:val="0"/>
        <w:autoSpaceDN w:val="0"/>
        <w:adjustRightInd w:val="0"/>
        <w:snapToGrid w:val="0"/>
        <w:jc w:val="right"/>
        <w:rPr>
          <w:rFonts w:ascii="Times New Roman" w:hAnsi="Times New Roman" w:eastAsia="宋体" w:cs="Times New Roman"/>
          <w:color w:val="auto"/>
          <w:kern w:val="2"/>
          <w:sz w:val="21"/>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单位：万元</w:t>
      </w:r>
    </w:p>
    <w:tbl>
      <w:tblPr>
        <w:tblStyle w:val="20"/>
        <w:tblW w:w="10618" w:type="dxa"/>
        <w:jc w:val="center"/>
        <w:tblLayout w:type="autofit"/>
        <w:tblCellMar>
          <w:top w:w="0" w:type="dxa"/>
          <w:left w:w="108" w:type="dxa"/>
          <w:bottom w:w="0" w:type="dxa"/>
          <w:right w:w="108" w:type="dxa"/>
        </w:tblCellMar>
      </w:tblPr>
      <w:tblGrid>
        <w:gridCol w:w="1053"/>
        <w:gridCol w:w="1316"/>
        <w:gridCol w:w="1076"/>
        <w:gridCol w:w="1297"/>
        <w:gridCol w:w="1297"/>
        <w:gridCol w:w="1236"/>
        <w:gridCol w:w="1297"/>
        <w:gridCol w:w="813"/>
        <w:gridCol w:w="1233"/>
      </w:tblGrid>
      <w:tr>
        <w:tblPrEx>
          <w:tblCellMar>
            <w:top w:w="0" w:type="dxa"/>
            <w:left w:w="108" w:type="dxa"/>
            <w:bottom w:w="0" w:type="dxa"/>
            <w:right w:w="108" w:type="dxa"/>
          </w:tblCellMar>
        </w:tblPrEx>
        <w:trPr>
          <w:trHeight w:val="1229" w:hRule="atLeast"/>
          <w:jc w:val="center"/>
        </w:trPr>
        <w:tc>
          <w:tcPr>
            <w:tcW w:w="23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right"/>
              <w:textAlignment w:val="center"/>
              <w:rPr>
                <w:rFonts w:hint="eastAsia" w:hAnsi="黑体" w:eastAsia="黑体"/>
                <w:color w:val="auto"/>
                <w:kern w:val="0"/>
                <w:sz w:val="24"/>
                <w:lang w:bidi="ar"/>
              </w:rPr>
            </w:pPr>
            <w:r>
              <w:rPr>
                <w:rFonts w:hAnsi="黑体" w:eastAsia="黑体"/>
                <w:color w:val="auto"/>
                <w:kern w:val="0"/>
                <w:sz w:val="24"/>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3175</wp:posOffset>
                      </wp:positionV>
                      <wp:extent cx="1178560" cy="795020"/>
                      <wp:effectExtent l="2540" t="3810" r="19050" b="20320"/>
                      <wp:wrapNone/>
                      <wp:docPr id="9" name="直接箭头连接符 9"/>
                      <wp:cNvGraphicFramePr/>
                      <a:graphic xmlns:a="http://schemas.openxmlformats.org/drawingml/2006/main">
                        <a:graphicData uri="http://schemas.microsoft.com/office/word/2010/wordprocessingShape">
                          <wps:wsp>
                            <wps:cNvCnPr/>
                            <wps:spPr>
                              <a:xfrm>
                                <a:off x="0" y="0"/>
                                <a:ext cx="1178560" cy="7950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25pt;height:62.6pt;width:92.8pt;z-index:251661312;mso-width-relative:page;mso-height-relative:page;" filled="f" stroked="t" coordsize="21600,21600" o:gfxdata="UEsDBAoAAAAAAIdO4kAAAAAAAAAAAAAAAAAEAAAAZHJzL1BLAwQUAAAACACHTuJANSUa8tYAAAAH&#10;AQAADwAAAGRycy9kb3ducmV2LnhtbE2OwU7DMBBE70j8g7VIXFBrJ1JISeNUCIkDR9pKvbrxkqTE&#10;6yh2mtKvZ3uCy2hHM5p95ebienHGMXSeNCRLBQKp9rajRsN+975YgQjRkDW9J9TwgwE21f1daQrr&#10;Z/rE8zY2gkcoFEZDG+NQSBnqFp0JSz8gcfblR2ci27GRdjQzj7tepko9S2c64g+tGfCtxfp7OzkN&#10;GKYsUa8vrtl/XOenQ3o9zcNO68eHRK1BRLzEvzLc8BkdKmY6+olsEL2GxSrjpgbWW5rnCYgjH2mW&#10;g6xK+Z+/+gVQSwMEFAAAAAgAh07iQPClZbkCAgAA8QMAAA4AAABkcnMvZTJvRG9jLnhtbK1TS44T&#10;MRDdI3EHy3vSSaTMp5XOLBKGDYJIwAEqbne3Jf/k8qSTS3ABJFbACljNntPAcAzK7pCBYZMFvXCX&#10;Xa5X9Z6r5lc7o9lWBlTOVnwyGnMmrXC1sm3F37y+fnLBGUawNWhnZcX3EvnV4vGjee9LOXWd07UM&#10;jEAslr2veBejL4sCRScN4Mh5acnZuGAg0ja0RR2gJ3Sji+l4fFb0LtQ+OCER6XQ1OPkBMZwC6JpG&#10;Cbly4sZIGwfUIDVEooSd8sgXudqmkSK+bBqUkemKE9OYV0pC9iatxWIOZRvAd0ocSoBTSnjAyYCy&#10;lPQItYII7Caof6CMEsGha+JIOFMMRLIixGIyfqDNqw68zFxIavRH0fH/wYoX23Vgqq74JWcWDD34&#10;3bvbH28/3n398v3D7c9v75P9+RO7TFL1HkuKWNp1OOzQr0PivWuCSX9ixHZZ3v1RXrmLTNDhZHJ+&#10;MTsj5QX5zi9n42nWv7iP9gHjM+kMS0bFMQZQbReXzlp6SRcmWWPYPsdI+Snwd0BKrS3ricZsOqMM&#10;QJ3ZUEeQaTyxQ9vmWHRa1ddK6xSBod0sdWBbSN2Rv8SScP+6lpKsALvhXnYNfdNJqJ/amsW9J90s&#10;jQtPJRhZc6YlTVeyCBDKCEqfcpNSa0sVJKEHaZO1cfU+K57PqRNyjYeuTa325z5H30/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JRry1gAAAAcBAAAPAAAAAAAAAAEAIAAAACIAAABkcnMvZG93&#10;bnJldi54bWxQSwECFAAUAAAACACHTuJA8KVluQICAADxAwAADgAAAAAAAAABACAAAAAlAQAAZHJz&#10;L2Uyb0RvYy54bWxQSwUGAAAAAAYABgBZAQAAmQUAAAAA&#10;">
                      <v:fill on="f" focussize="0,0"/>
                      <v:stroke color="#000000" joinstyle="round"/>
                      <v:imagedata o:title=""/>
                      <o:lock v:ext="edit" aspectratio="f"/>
                    </v:shape>
                  </w:pict>
                </mc:Fallback>
              </mc:AlternateContent>
            </w:r>
            <w:r>
              <w:rPr>
                <w:rFonts w:hAnsi="黑体" w:eastAsia="黑体"/>
                <w:color w:val="auto"/>
                <w:kern w:val="0"/>
                <w:sz w:val="24"/>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4445</wp:posOffset>
                      </wp:positionV>
                      <wp:extent cx="1480185" cy="440055"/>
                      <wp:effectExtent l="1270" t="4445" r="4445" b="12700"/>
                      <wp:wrapNone/>
                      <wp:docPr id="6" name="直接箭头连接符 6"/>
                      <wp:cNvGraphicFramePr/>
                      <a:graphic xmlns:a="http://schemas.openxmlformats.org/drawingml/2006/main">
                        <a:graphicData uri="http://schemas.microsoft.com/office/word/2010/wordprocessingShape">
                          <wps:wsp>
                            <wps:cNvCnPr/>
                            <wps:spPr>
                              <a:xfrm>
                                <a:off x="0" y="0"/>
                                <a:ext cx="1480185" cy="4400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pt;margin-top:0.35pt;height:34.65pt;width:116.55pt;z-index:251662336;mso-width-relative:page;mso-height-relative:page;" filled="f" stroked="t" coordsize="21600,21600" o:gfxdata="UEsDBAoAAAAAAIdO4kAAAAAAAAAAAAAAAAAEAAAAZHJzL1BLAwQUAAAACACHTuJAOSy4udQAAAAG&#10;AQAADwAAAGRycy9kb3ducmV2LnhtbE2PwU7DMBBE70j8g7VIXFBrJ1KhhDgVQuLAkbZSr9t4SQLx&#10;OoqdpvTrWU5wHM1o5k25OftenWiMXWAL2dKAIq6D67ixsN+9LtagYkJ22AcmC98UYVNdX5VYuDDz&#10;O522qVFSwrFAC21KQ6F1rFvyGJdhIBbvI4wek8ix0W7EWcp9r3Nj7rXHjmWhxYFeWqq/tpO3QHFa&#10;Zeb50Tf7t8t8d8gvn/Ows/b2JjNPoBKd018YfvEFHSphOoaJXVS9hcVariQLD6DEzfNVBuoo0hjQ&#10;Van/41c/UEsDBBQAAAAIAIdO4kCTZwQiAAIAAPEDAAAOAAAAZHJzL2Uyb0RvYy54bWytU82O0zAQ&#10;viPxDpbvNGnVViVquoeW5YKgEvAAru0klvwnj7dpX4IXQOIEnIDT3vdpYHkMxk7pwnLZAzk4Y8/M&#10;N/N9Hi8vDkaTvQygnK3peFRSIi13Qtm2pm/fXD5ZUAKRWcG0s7KmRwn0YvX40bL3lZy4zmkhA0EQ&#10;C1Xva9rF6KuiAN5Jw2DkvLTobFwwLOI2tIUIrEd0o4tJWc6L3gXhg+MSAE83g5OeEMNDAF3TKC43&#10;jl8ZaeOAGqRmESlBpzzQVe62aSSPr5oGZCS6psg05hWLoL1La7FasqoNzHeKn1pgD2nhHifDlMWi&#10;Z6gNi4xcBfUPlFE8OHBNHHFnioFIVgRZjMt72rzumJeZC0oN/iw6/D9Y/nK/DUSJms4psczghd++&#10;v/7x7tPtt6/fP17/vPmQ7C+fyTxJ1XuoMGNtt+G0A78NifehCSb9kRE5ZHmPZ3nlIRKOh+Ppohwv&#10;ZpRw9E2nZTmbJdDiLtsHiM+lMyQZNYUYmGq7uHbW4k26MM4as/0LiEPi74RUWlvS1/TpbJIqMJzM&#10;BicCTeORHdg254LTSlwqrVMGhHa31oHsWZqO/J0a+issFdkw6Ia47EphrOokE8+sIPHoUTeLz4Wm&#10;FowUlGiJrytZOTIypR8SiVpoi5IkoQdpk7Vz4pgVz+c4CVm009SmUftzn7PvXur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suLnUAAAABgEAAA8AAAAAAAAAAQAgAAAAIgAAAGRycy9kb3ducmV2&#10;LnhtbFBLAQIUABQAAAAIAIdO4kCTZwQiAAIAAPEDAAAOAAAAAAAAAAEAIAAAACMBAABkcnMvZTJv&#10;RG9jLnhtbFBLBQYAAAAABgAGAFkBAACVBQAAAAA=&#10;">
                      <v:fill on="f" focussize="0,0"/>
                      <v:stroke color="#000000" joinstyle="round"/>
                      <v:imagedata o:title=""/>
                      <o:lock v:ext="edit" aspectratio="f"/>
                    </v:shape>
                  </w:pict>
                </mc:Fallback>
              </mc:AlternateContent>
            </w:r>
            <w:r>
              <w:rPr>
                <w:rFonts w:hAnsi="黑体" w:eastAsia="黑体"/>
                <w:color w:val="auto"/>
                <w:kern w:val="0"/>
                <w:sz w:val="24"/>
                <w:lang w:bidi="ar"/>
              </w:rPr>
              <w:t>最大降雨量（</w:t>
            </w:r>
            <w:r>
              <w:rPr>
                <w:rFonts w:eastAsia="黑体"/>
                <w:color w:val="auto"/>
                <w:kern w:val="0"/>
                <w:sz w:val="24"/>
                <w:lang w:bidi="ar"/>
              </w:rPr>
              <w:t>A</w:t>
            </w:r>
            <w:r>
              <w:rPr>
                <w:rFonts w:hAnsi="黑体" w:eastAsia="黑体"/>
                <w:color w:val="auto"/>
                <w:kern w:val="0"/>
                <w:sz w:val="24"/>
                <w:lang w:bidi="ar"/>
              </w:rPr>
              <w:t>）</w:t>
            </w:r>
          </w:p>
          <w:p>
            <w:pPr>
              <w:widowControl/>
              <w:spacing w:line="240" w:lineRule="exact"/>
              <w:jc w:val="right"/>
              <w:textAlignment w:val="center"/>
              <w:rPr>
                <w:rFonts w:hint="eastAsia" w:hAnsi="黑体" w:eastAsia="黑体"/>
                <w:bCs/>
                <w:color w:val="auto"/>
                <w:sz w:val="24"/>
              </w:rPr>
            </w:pPr>
            <w:r>
              <w:rPr>
                <w:rFonts w:hAnsi="黑体" w:eastAsia="黑体"/>
                <w:bCs/>
                <w:color w:val="auto"/>
                <w:sz w:val="24"/>
              </w:rPr>
              <w:t>（单位</w:t>
            </w:r>
            <w:r>
              <w:rPr>
                <w:rFonts w:eastAsia="黑体"/>
                <w:bCs/>
                <w:color w:val="auto"/>
                <w:sz w:val="24"/>
              </w:rPr>
              <w:t>mm</w:t>
            </w:r>
            <w:r>
              <w:rPr>
                <w:rFonts w:hAnsi="黑体" w:eastAsia="黑体"/>
                <w:bCs/>
                <w:color w:val="auto"/>
                <w:sz w:val="24"/>
              </w:rPr>
              <w:t>）</w:t>
            </w:r>
          </w:p>
          <w:p>
            <w:pPr>
              <w:widowControl/>
              <w:spacing w:before="240" w:beforeLines="40" w:after="60" w:afterLines="10" w:line="240" w:lineRule="exact"/>
              <w:ind w:firstLine="960" w:firstLineChars="400"/>
              <w:jc w:val="left"/>
              <w:textAlignment w:val="center"/>
              <w:rPr>
                <w:rFonts w:hint="eastAsia" w:hAnsi="黑体" w:eastAsia="黑体"/>
                <w:bCs/>
                <w:color w:val="auto"/>
                <w:sz w:val="24"/>
              </w:rPr>
            </w:pPr>
            <w:r>
              <w:rPr>
                <w:rFonts w:hint="eastAsia" w:hAnsi="黑体" w:eastAsia="黑体"/>
                <w:bCs/>
                <w:color w:val="auto"/>
                <w:sz w:val="24"/>
              </w:rPr>
              <w:t>赔付金额</w:t>
            </w:r>
          </w:p>
          <w:p>
            <w:pPr>
              <w:widowControl/>
              <w:spacing w:line="300" w:lineRule="exact"/>
              <w:jc w:val="left"/>
              <w:textAlignment w:val="center"/>
              <w:rPr>
                <w:rFonts w:eastAsia="黑体"/>
                <w:color w:val="auto"/>
                <w:sz w:val="24"/>
              </w:rPr>
            </w:pPr>
            <w:r>
              <w:rPr>
                <w:rFonts w:hAnsi="黑体" w:eastAsia="黑体"/>
                <w:color w:val="auto"/>
                <w:kern w:val="0"/>
                <w:sz w:val="24"/>
                <w:lang w:bidi="ar"/>
              </w:rPr>
              <w:t>区域</w:t>
            </w:r>
          </w:p>
        </w:tc>
        <w:tc>
          <w:tcPr>
            <w:tcW w:w="107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auto"/>
                <w:sz w:val="24"/>
              </w:rPr>
            </w:pPr>
            <w:r>
              <w:rPr>
                <w:rFonts w:eastAsia="黑体"/>
                <w:color w:val="auto"/>
                <w:kern w:val="0"/>
                <w:sz w:val="24"/>
                <w:lang w:bidi="ar"/>
              </w:rPr>
              <w:t>140</w:t>
            </w:r>
            <w:r>
              <w:rPr>
                <w:rFonts w:hint="eastAsia" w:ascii="仿宋_GB2312" w:eastAsia="宋体"/>
                <w:color w:val="auto"/>
                <w:kern w:val="0"/>
                <w:sz w:val="24"/>
                <w:lang w:bidi="ar"/>
              </w:rPr>
              <w:t>≤</w:t>
            </w:r>
            <w:r>
              <w:rPr>
                <w:rFonts w:eastAsia="黑体"/>
                <w:color w:val="auto"/>
                <w:kern w:val="0"/>
                <w:sz w:val="24"/>
                <w:lang w:bidi="ar"/>
              </w:rPr>
              <w:t>A &lt;180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auto"/>
                <w:sz w:val="24"/>
              </w:rPr>
            </w:pPr>
            <w:r>
              <w:rPr>
                <w:rFonts w:eastAsia="黑体"/>
                <w:color w:val="auto"/>
                <w:kern w:val="0"/>
                <w:sz w:val="24"/>
                <w:lang w:bidi="ar"/>
              </w:rPr>
              <w:t>180</w:t>
            </w:r>
            <w:r>
              <w:rPr>
                <w:rFonts w:hint="eastAsia" w:ascii="仿宋_GB2312" w:eastAsia="宋体"/>
                <w:color w:val="auto"/>
                <w:kern w:val="0"/>
                <w:sz w:val="24"/>
                <w:lang w:bidi="ar"/>
              </w:rPr>
              <w:t>≤</w:t>
            </w:r>
            <w:r>
              <w:rPr>
                <w:rFonts w:eastAsia="黑体"/>
                <w:color w:val="auto"/>
                <w:kern w:val="0"/>
                <w:sz w:val="24"/>
                <w:lang w:bidi="ar"/>
              </w:rPr>
              <w:t>A &lt;240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auto"/>
                <w:sz w:val="24"/>
              </w:rPr>
            </w:pPr>
            <w:r>
              <w:rPr>
                <w:rFonts w:eastAsia="黑体"/>
                <w:color w:val="auto"/>
                <w:kern w:val="0"/>
                <w:sz w:val="24"/>
                <w:lang w:bidi="ar"/>
              </w:rPr>
              <w:t>240</w:t>
            </w:r>
            <w:r>
              <w:rPr>
                <w:rFonts w:hint="eastAsia" w:ascii="仿宋_GB2312" w:eastAsia="宋体"/>
                <w:color w:val="auto"/>
                <w:kern w:val="0"/>
                <w:sz w:val="24"/>
                <w:lang w:bidi="ar"/>
              </w:rPr>
              <w:t>≤</w:t>
            </w:r>
            <w:r>
              <w:rPr>
                <w:rFonts w:eastAsia="黑体"/>
                <w:color w:val="auto"/>
                <w:kern w:val="0"/>
                <w:sz w:val="24"/>
                <w:lang w:bidi="ar"/>
              </w:rPr>
              <w:t>A &lt;360</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auto"/>
                <w:sz w:val="24"/>
              </w:rPr>
            </w:pPr>
            <w:r>
              <w:rPr>
                <w:rFonts w:eastAsia="黑体"/>
                <w:color w:val="auto"/>
                <w:kern w:val="0"/>
                <w:sz w:val="24"/>
                <w:lang w:bidi="ar"/>
              </w:rPr>
              <w:t>360</w:t>
            </w:r>
            <w:r>
              <w:rPr>
                <w:rFonts w:hint="eastAsia" w:ascii="仿宋_GB2312" w:eastAsia="宋体"/>
                <w:color w:val="auto"/>
                <w:kern w:val="0"/>
                <w:sz w:val="24"/>
                <w:lang w:bidi="ar"/>
              </w:rPr>
              <w:t>≤</w:t>
            </w:r>
            <w:r>
              <w:rPr>
                <w:rFonts w:eastAsia="黑体"/>
                <w:color w:val="auto"/>
                <w:kern w:val="0"/>
                <w:sz w:val="24"/>
                <w:lang w:bidi="ar"/>
              </w:rPr>
              <w:t>A &lt;420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auto"/>
                <w:sz w:val="24"/>
              </w:rPr>
            </w:pPr>
            <w:r>
              <w:rPr>
                <w:rFonts w:eastAsia="黑体"/>
                <w:color w:val="auto"/>
                <w:kern w:val="0"/>
                <w:sz w:val="24"/>
                <w:lang w:bidi="ar"/>
              </w:rPr>
              <w:t>420</w:t>
            </w:r>
            <w:r>
              <w:rPr>
                <w:rFonts w:hint="eastAsia" w:ascii="仿宋_GB2312" w:eastAsia="宋体"/>
                <w:color w:val="auto"/>
                <w:kern w:val="0"/>
                <w:sz w:val="24"/>
                <w:lang w:bidi="ar"/>
              </w:rPr>
              <w:t>≤</w:t>
            </w:r>
            <w:r>
              <w:rPr>
                <w:rFonts w:eastAsia="黑体"/>
                <w:color w:val="auto"/>
                <w:kern w:val="0"/>
                <w:sz w:val="24"/>
                <w:lang w:bidi="ar"/>
              </w:rPr>
              <w:t>A &lt;490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auto"/>
                <w:sz w:val="24"/>
              </w:rPr>
            </w:pPr>
            <w:r>
              <w:rPr>
                <w:rFonts w:eastAsia="黑体"/>
                <w:color w:val="auto"/>
                <w:kern w:val="0"/>
                <w:sz w:val="24"/>
                <w:lang w:bidi="ar"/>
              </w:rPr>
              <w:t>A</w:t>
            </w:r>
            <w:r>
              <w:rPr>
                <w:rFonts w:hint="eastAsia" w:ascii="仿宋_GB2312" w:eastAsia="宋体"/>
                <w:color w:val="auto"/>
                <w:kern w:val="0"/>
                <w:sz w:val="24"/>
                <w:lang w:bidi="ar"/>
              </w:rPr>
              <w:t>≥</w:t>
            </w:r>
            <w:r>
              <w:rPr>
                <w:rFonts w:eastAsia="黑体"/>
                <w:color w:val="auto"/>
                <w:kern w:val="0"/>
                <w:sz w:val="24"/>
                <w:lang w:bidi="ar"/>
              </w:rPr>
              <w:t>490</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eastAsia="黑体"/>
                <w:color w:val="auto"/>
                <w:kern w:val="0"/>
                <w:sz w:val="24"/>
                <w:lang w:val="en-US" w:eastAsia="zh-CN" w:bidi="ar"/>
              </w:rPr>
            </w:pPr>
            <w:r>
              <w:rPr>
                <w:rFonts w:hint="eastAsia" w:eastAsia="黑体"/>
                <w:color w:val="auto"/>
                <w:kern w:val="0"/>
                <w:sz w:val="24"/>
                <w:lang w:val="en-US" w:eastAsia="zh-CN" w:bidi="ar"/>
              </w:rPr>
              <w:t>保险期内累计赔付上限</w:t>
            </w:r>
          </w:p>
        </w:tc>
      </w:tr>
      <w:tr>
        <w:tblPrEx>
          <w:tblCellMar>
            <w:top w:w="0" w:type="dxa"/>
            <w:left w:w="108" w:type="dxa"/>
            <w:bottom w:w="0" w:type="dxa"/>
            <w:right w:w="108" w:type="dxa"/>
          </w:tblCellMar>
        </w:tblPrEx>
        <w:trPr>
          <w:trHeight w:val="459"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椒江区</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洪家、章安、大陈</w:t>
            </w:r>
          </w:p>
        </w:tc>
        <w:tc>
          <w:tcPr>
            <w:tcW w:w="107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b/>
                <w:color w:val="auto"/>
                <w:kern w:val="0"/>
                <w:sz w:val="24"/>
                <w:lang w:bidi="ar"/>
              </w:rPr>
            </w:pPr>
            <w:r>
              <w:rPr>
                <w:rFonts w:eastAsia="宋体"/>
                <w:color w:val="auto"/>
                <w:kern w:val="0"/>
                <w:sz w:val="24"/>
                <w:lang w:bidi="ar"/>
              </w:rPr>
              <w:t>15</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b/>
                <w:color w:val="auto"/>
                <w:kern w:val="0"/>
                <w:sz w:val="24"/>
                <w:lang w:bidi="ar"/>
              </w:rPr>
            </w:pPr>
            <w:r>
              <w:rPr>
                <w:rFonts w:eastAsia="宋体"/>
                <w:color w:val="auto"/>
                <w:kern w:val="0"/>
                <w:sz w:val="24"/>
                <w:lang w:bidi="ar"/>
              </w:rPr>
              <w:t>15</w:t>
            </w:r>
            <w:r>
              <w:rPr>
                <w:rFonts w:hAnsi="宋体" w:eastAsia="宋体"/>
                <w:color w:val="auto"/>
                <w:kern w:val="0"/>
                <w:sz w:val="24"/>
                <w:lang w:bidi="ar"/>
              </w:rPr>
              <w:t>～</w:t>
            </w:r>
            <w:r>
              <w:rPr>
                <w:rFonts w:eastAsia="宋体"/>
                <w:color w:val="auto"/>
                <w:kern w:val="0"/>
                <w:sz w:val="24"/>
                <w:lang w:bidi="ar"/>
              </w:rPr>
              <w:t>32.5</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b/>
                <w:color w:val="auto"/>
                <w:kern w:val="0"/>
                <w:sz w:val="24"/>
                <w:lang w:bidi="ar"/>
              </w:rPr>
            </w:pPr>
            <w:r>
              <w:rPr>
                <w:rFonts w:eastAsia="宋体"/>
                <w:color w:val="auto"/>
                <w:kern w:val="0"/>
                <w:sz w:val="24"/>
                <w:lang w:bidi="ar"/>
              </w:rPr>
              <w:t>32.5</w:t>
            </w:r>
            <w:r>
              <w:rPr>
                <w:rFonts w:hAnsi="宋体" w:eastAsia="宋体"/>
                <w:color w:val="auto"/>
                <w:kern w:val="0"/>
                <w:sz w:val="24"/>
                <w:lang w:bidi="ar"/>
              </w:rPr>
              <w:t>～</w:t>
            </w:r>
            <w:r>
              <w:rPr>
                <w:rFonts w:eastAsia="宋体"/>
                <w:color w:val="auto"/>
                <w:kern w:val="0"/>
                <w:sz w:val="24"/>
                <w:lang w:bidi="ar"/>
              </w:rPr>
              <w:t>75</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b/>
                <w:color w:val="auto"/>
                <w:kern w:val="0"/>
                <w:sz w:val="24"/>
                <w:lang w:bidi="ar"/>
              </w:rPr>
            </w:pPr>
            <w:r>
              <w:rPr>
                <w:rFonts w:eastAsia="宋体"/>
                <w:color w:val="auto"/>
                <w:kern w:val="0"/>
                <w:sz w:val="24"/>
                <w:lang w:bidi="ar"/>
              </w:rPr>
              <w:t>75</w:t>
            </w:r>
            <w:r>
              <w:rPr>
                <w:rFonts w:hAnsi="宋体" w:eastAsia="宋体"/>
                <w:color w:val="auto"/>
                <w:kern w:val="0"/>
                <w:sz w:val="24"/>
                <w:lang w:bidi="ar"/>
              </w:rPr>
              <w:t>～</w:t>
            </w:r>
            <w:r>
              <w:rPr>
                <w:rFonts w:eastAsia="宋体"/>
                <w:color w:val="auto"/>
                <w:kern w:val="0"/>
                <w:sz w:val="24"/>
                <w:lang w:bidi="ar"/>
              </w:rPr>
              <w:t>120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b/>
                <w:color w:val="auto"/>
                <w:kern w:val="0"/>
                <w:sz w:val="24"/>
                <w:lang w:bidi="ar"/>
              </w:rPr>
            </w:pPr>
            <w:r>
              <w:rPr>
                <w:rFonts w:eastAsia="宋体"/>
                <w:color w:val="auto"/>
                <w:kern w:val="0"/>
                <w:sz w:val="24"/>
                <w:lang w:bidi="ar"/>
              </w:rPr>
              <w:t>120</w:t>
            </w:r>
            <w:r>
              <w:rPr>
                <w:rFonts w:hAnsi="宋体" w:eastAsia="宋体"/>
                <w:color w:val="auto"/>
                <w:kern w:val="0"/>
                <w:sz w:val="24"/>
                <w:lang w:bidi="ar"/>
              </w:rPr>
              <w:t>～</w:t>
            </w:r>
            <w:r>
              <w:rPr>
                <w:rFonts w:eastAsia="宋体"/>
                <w:color w:val="auto"/>
                <w:kern w:val="0"/>
                <w:sz w:val="24"/>
                <w:lang w:bidi="ar"/>
              </w:rPr>
              <w:t>275</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b/>
                <w:color w:val="auto"/>
                <w:kern w:val="0"/>
                <w:sz w:val="24"/>
                <w:lang w:bidi="ar"/>
              </w:rPr>
            </w:pPr>
            <w:r>
              <w:rPr>
                <w:rFonts w:eastAsia="宋体"/>
                <w:color w:val="auto"/>
                <w:kern w:val="0"/>
                <w:sz w:val="24"/>
                <w:lang w:bidi="ar"/>
              </w:rPr>
              <w:t>275</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b/>
                <w:color w:val="auto"/>
                <w:kern w:val="0"/>
                <w:sz w:val="24"/>
                <w:szCs w:val="24"/>
                <w:lang w:val="en-US" w:eastAsia="zh-CN" w:bidi="ar"/>
              </w:rPr>
            </w:pPr>
            <w:r>
              <w:rPr>
                <w:rFonts w:eastAsia="宋体"/>
                <w:color w:val="auto"/>
                <w:kern w:val="0"/>
                <w:sz w:val="24"/>
                <w:lang w:bidi="ar"/>
              </w:rPr>
              <w:t>275</w:t>
            </w:r>
          </w:p>
        </w:tc>
      </w:tr>
      <w:tr>
        <w:tblPrEx>
          <w:tblCellMar>
            <w:top w:w="0" w:type="dxa"/>
            <w:left w:w="108" w:type="dxa"/>
            <w:bottom w:w="0" w:type="dxa"/>
            <w:right w:w="108" w:type="dxa"/>
          </w:tblCellMar>
        </w:tblPrEx>
        <w:trPr>
          <w:trHeight w:val="611" w:hRule="atLeast"/>
          <w:jc w:val="center"/>
        </w:trPr>
        <w:tc>
          <w:tcPr>
            <w:tcW w:w="1053" w:type="dxa"/>
            <w:tcBorders>
              <w:top w:val="single" w:color="auto"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黄岩区</w:t>
            </w:r>
          </w:p>
        </w:tc>
        <w:tc>
          <w:tcPr>
            <w:tcW w:w="1316" w:type="dxa"/>
            <w:tcBorders>
              <w:top w:val="single" w:color="auto"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宁溪、澄江、院桥</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eastAsia="宋体"/>
                <w:color w:val="auto"/>
                <w:sz w:val="24"/>
                <w:lang w:val="en-US" w:eastAsia="zh-CN"/>
              </w:rPr>
            </w:pPr>
            <w:r>
              <w:rPr>
                <w:rFonts w:eastAsia="宋体"/>
                <w:color w:val="auto"/>
                <w:kern w:val="0"/>
                <w:sz w:val="24"/>
                <w:lang w:bidi="ar"/>
              </w:rPr>
              <w:t>1</w:t>
            </w:r>
            <w:r>
              <w:rPr>
                <w:rFonts w:hint="eastAsia" w:eastAsia="宋体"/>
                <w:color w:val="auto"/>
                <w:kern w:val="0"/>
                <w:sz w:val="24"/>
                <w:lang w:val="en-US" w:eastAsia="zh-CN" w:bidi="ar"/>
              </w:rPr>
              <w:t>2.5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12.5</w:t>
            </w:r>
            <w:r>
              <w:rPr>
                <w:rFonts w:hAnsi="宋体" w:eastAsia="宋体"/>
                <w:color w:val="auto"/>
                <w:kern w:val="0"/>
                <w:sz w:val="24"/>
                <w:lang w:bidi="ar"/>
              </w:rPr>
              <w:t>～</w:t>
            </w:r>
            <w:r>
              <w:rPr>
                <w:rFonts w:eastAsia="宋体"/>
                <w:color w:val="auto"/>
                <w:kern w:val="0"/>
                <w:sz w:val="24"/>
                <w:lang w:bidi="ar"/>
              </w:rPr>
              <w:t>32.5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32.5</w:t>
            </w:r>
            <w:r>
              <w:rPr>
                <w:rFonts w:hAnsi="宋体" w:eastAsia="宋体"/>
                <w:color w:val="auto"/>
                <w:kern w:val="0"/>
                <w:sz w:val="24"/>
                <w:lang w:bidi="ar"/>
              </w:rPr>
              <w:t>～</w:t>
            </w:r>
            <w:r>
              <w:rPr>
                <w:rFonts w:eastAsia="宋体"/>
                <w:color w:val="auto"/>
                <w:kern w:val="0"/>
                <w:sz w:val="24"/>
                <w:lang w:bidi="ar"/>
              </w:rPr>
              <w:t>50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50</w:t>
            </w:r>
            <w:r>
              <w:rPr>
                <w:rFonts w:hAnsi="宋体" w:eastAsia="宋体"/>
                <w:color w:val="auto"/>
                <w:kern w:val="0"/>
                <w:sz w:val="24"/>
                <w:lang w:bidi="ar"/>
              </w:rPr>
              <w:t>～</w:t>
            </w:r>
            <w:r>
              <w:rPr>
                <w:rFonts w:eastAsia="宋体"/>
                <w:color w:val="auto"/>
                <w:kern w:val="0"/>
                <w:sz w:val="24"/>
                <w:lang w:bidi="ar"/>
              </w:rPr>
              <w:t>200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200</w:t>
            </w:r>
            <w:r>
              <w:rPr>
                <w:rFonts w:hAnsi="宋体" w:eastAsia="宋体"/>
                <w:color w:val="auto"/>
                <w:kern w:val="0"/>
                <w:sz w:val="24"/>
                <w:lang w:bidi="ar"/>
              </w:rPr>
              <w:t>～</w:t>
            </w:r>
            <w:r>
              <w:rPr>
                <w:rFonts w:eastAsia="宋体"/>
                <w:color w:val="auto"/>
                <w:kern w:val="0"/>
                <w:sz w:val="24"/>
                <w:lang w:bidi="ar"/>
              </w:rPr>
              <w:t>300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300</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2"/>
                <w:sz w:val="24"/>
                <w:szCs w:val="24"/>
                <w:lang w:val="en-US" w:eastAsia="zh-CN" w:bidi="ar-SA"/>
              </w:rPr>
            </w:pPr>
            <w:r>
              <w:rPr>
                <w:rFonts w:eastAsia="宋体"/>
                <w:color w:val="auto"/>
                <w:kern w:val="0"/>
                <w:sz w:val="24"/>
                <w:lang w:bidi="ar"/>
              </w:rPr>
              <w:t>300</w:t>
            </w:r>
          </w:p>
        </w:tc>
      </w:tr>
      <w:tr>
        <w:tblPrEx>
          <w:tblCellMar>
            <w:top w:w="0" w:type="dxa"/>
            <w:left w:w="108" w:type="dxa"/>
            <w:bottom w:w="0" w:type="dxa"/>
            <w:right w:w="108" w:type="dxa"/>
          </w:tblCellMar>
        </w:tblPrEx>
        <w:trPr>
          <w:trHeight w:val="611"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路桥区</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峰江、蓬街、金清</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eastAsia="宋体"/>
                <w:color w:val="auto"/>
                <w:kern w:val="0"/>
                <w:sz w:val="24"/>
                <w:lang w:val="en-US" w:eastAsia="zh-CN" w:bidi="ar"/>
              </w:rPr>
            </w:pPr>
            <w:r>
              <w:rPr>
                <w:rFonts w:eastAsia="宋体"/>
                <w:color w:val="auto"/>
                <w:kern w:val="0"/>
                <w:sz w:val="24"/>
                <w:lang w:bidi="ar"/>
              </w:rPr>
              <w:t>1</w:t>
            </w:r>
            <w:r>
              <w:rPr>
                <w:rFonts w:hint="eastAsia" w:eastAsia="宋体"/>
                <w:color w:val="auto"/>
                <w:kern w:val="0"/>
                <w:sz w:val="24"/>
                <w:lang w:val="en-US" w:eastAsia="zh-CN" w:bidi="ar"/>
              </w:rPr>
              <w:t>2.5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12.5</w:t>
            </w:r>
            <w:r>
              <w:rPr>
                <w:rFonts w:hAnsi="宋体" w:eastAsia="宋体"/>
                <w:color w:val="auto"/>
                <w:kern w:val="0"/>
                <w:sz w:val="24"/>
                <w:lang w:bidi="ar"/>
              </w:rPr>
              <w:t>～</w:t>
            </w:r>
            <w:r>
              <w:rPr>
                <w:rFonts w:eastAsia="宋体"/>
                <w:color w:val="auto"/>
                <w:kern w:val="0"/>
                <w:sz w:val="24"/>
                <w:lang w:bidi="ar"/>
              </w:rPr>
              <w:t>47.5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47.5</w:t>
            </w:r>
            <w:r>
              <w:rPr>
                <w:rFonts w:hAnsi="宋体" w:eastAsia="宋体"/>
                <w:color w:val="auto"/>
                <w:kern w:val="0"/>
                <w:sz w:val="24"/>
                <w:lang w:bidi="ar"/>
              </w:rPr>
              <w:t>～</w:t>
            </w:r>
            <w:r>
              <w:rPr>
                <w:rFonts w:eastAsia="宋体"/>
                <w:color w:val="auto"/>
                <w:kern w:val="0"/>
                <w:sz w:val="24"/>
                <w:lang w:bidi="ar"/>
              </w:rPr>
              <w:t>60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60</w:t>
            </w:r>
            <w:r>
              <w:rPr>
                <w:rFonts w:hAnsi="宋体" w:eastAsia="宋体"/>
                <w:color w:val="auto"/>
                <w:kern w:val="0"/>
                <w:sz w:val="24"/>
                <w:lang w:bidi="ar"/>
              </w:rPr>
              <w:t>～</w:t>
            </w:r>
            <w:r>
              <w:rPr>
                <w:rFonts w:eastAsia="宋体"/>
                <w:color w:val="auto"/>
                <w:kern w:val="0"/>
                <w:sz w:val="24"/>
                <w:lang w:bidi="ar"/>
              </w:rPr>
              <w:t>90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90</w:t>
            </w:r>
            <w:r>
              <w:rPr>
                <w:rFonts w:hAnsi="宋体" w:eastAsia="宋体"/>
                <w:color w:val="auto"/>
                <w:kern w:val="0"/>
                <w:sz w:val="24"/>
                <w:lang w:bidi="ar"/>
              </w:rPr>
              <w:t>～</w:t>
            </w:r>
            <w:r>
              <w:rPr>
                <w:rFonts w:eastAsia="宋体"/>
                <w:color w:val="auto"/>
                <w:kern w:val="0"/>
                <w:sz w:val="24"/>
                <w:lang w:bidi="ar"/>
              </w:rPr>
              <w:t>275</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275</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0"/>
                <w:sz w:val="24"/>
                <w:szCs w:val="24"/>
                <w:lang w:val="en-US" w:eastAsia="zh-CN" w:bidi="ar"/>
              </w:rPr>
            </w:pPr>
            <w:r>
              <w:rPr>
                <w:rFonts w:eastAsia="宋体"/>
                <w:color w:val="auto"/>
                <w:kern w:val="0"/>
                <w:sz w:val="24"/>
                <w:lang w:bidi="ar"/>
              </w:rPr>
              <w:t>275</w:t>
            </w:r>
          </w:p>
        </w:tc>
      </w:tr>
      <w:tr>
        <w:tblPrEx>
          <w:tblCellMar>
            <w:top w:w="0" w:type="dxa"/>
            <w:left w:w="108" w:type="dxa"/>
            <w:bottom w:w="0" w:type="dxa"/>
            <w:right w:w="108" w:type="dxa"/>
          </w:tblCellMar>
        </w:tblPrEx>
        <w:trPr>
          <w:trHeight w:val="611"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临海市</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白水洋、上盘、大洋</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15</w:t>
            </w:r>
            <w:r>
              <w:rPr>
                <w:rFonts w:hAnsi="宋体" w:eastAsia="宋体"/>
                <w:color w:val="auto"/>
                <w:kern w:val="0"/>
                <w:sz w:val="24"/>
                <w:lang w:bidi="ar"/>
              </w:rPr>
              <w:t>～</w:t>
            </w:r>
            <w:r>
              <w:rPr>
                <w:rFonts w:eastAsia="宋体"/>
                <w:color w:val="auto"/>
                <w:kern w:val="0"/>
                <w:sz w:val="24"/>
                <w:lang w:bidi="ar"/>
              </w:rPr>
              <w:t>60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60</w:t>
            </w:r>
            <w:r>
              <w:rPr>
                <w:rFonts w:hAnsi="宋体" w:eastAsia="宋体"/>
                <w:color w:val="auto"/>
                <w:kern w:val="0"/>
                <w:sz w:val="24"/>
                <w:lang w:bidi="ar"/>
              </w:rPr>
              <w:t>～</w:t>
            </w:r>
            <w:r>
              <w:rPr>
                <w:rFonts w:eastAsia="宋体"/>
                <w:color w:val="auto"/>
                <w:kern w:val="0"/>
                <w:sz w:val="24"/>
                <w:lang w:bidi="ar"/>
              </w:rPr>
              <w:t>120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120</w:t>
            </w:r>
            <w:r>
              <w:rPr>
                <w:rFonts w:hAnsi="宋体" w:eastAsia="宋体"/>
                <w:color w:val="auto"/>
                <w:kern w:val="0"/>
                <w:sz w:val="24"/>
                <w:lang w:bidi="ar"/>
              </w:rPr>
              <w:t>～</w:t>
            </w:r>
            <w:r>
              <w:rPr>
                <w:rFonts w:eastAsia="宋体"/>
                <w:color w:val="auto"/>
                <w:kern w:val="0"/>
                <w:sz w:val="24"/>
                <w:lang w:bidi="ar"/>
              </w:rPr>
              <w:t>145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145</w:t>
            </w:r>
            <w:r>
              <w:rPr>
                <w:rFonts w:hAnsi="宋体" w:eastAsia="宋体"/>
                <w:color w:val="auto"/>
                <w:kern w:val="0"/>
                <w:sz w:val="24"/>
                <w:lang w:bidi="ar"/>
              </w:rPr>
              <w:t>～</w:t>
            </w:r>
            <w:r>
              <w:rPr>
                <w:rFonts w:eastAsia="宋体"/>
                <w:color w:val="auto"/>
                <w:kern w:val="0"/>
                <w:sz w:val="24"/>
                <w:lang w:bidi="ar"/>
              </w:rPr>
              <w:t>270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270</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0"/>
                <w:sz w:val="24"/>
                <w:szCs w:val="24"/>
                <w:lang w:val="en-US" w:eastAsia="zh-CN" w:bidi="ar"/>
              </w:rPr>
            </w:pPr>
            <w:r>
              <w:rPr>
                <w:rFonts w:eastAsia="宋体"/>
                <w:color w:val="auto"/>
                <w:kern w:val="0"/>
                <w:sz w:val="24"/>
                <w:lang w:bidi="ar"/>
              </w:rPr>
              <w:t>270</w:t>
            </w:r>
          </w:p>
        </w:tc>
      </w:tr>
      <w:tr>
        <w:tblPrEx>
          <w:tblCellMar>
            <w:top w:w="0" w:type="dxa"/>
            <w:left w:w="108" w:type="dxa"/>
            <w:bottom w:w="0" w:type="dxa"/>
            <w:right w:w="108" w:type="dxa"/>
          </w:tblCellMar>
        </w:tblPrEx>
        <w:trPr>
          <w:trHeight w:val="611"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温岭市</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大溪、滨海、太平</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10</w:t>
            </w:r>
            <w:r>
              <w:rPr>
                <w:rFonts w:hAnsi="宋体" w:eastAsia="宋体"/>
                <w:color w:val="auto"/>
                <w:kern w:val="0"/>
                <w:sz w:val="24"/>
                <w:lang w:bidi="ar"/>
              </w:rPr>
              <w:t>～</w:t>
            </w:r>
            <w:r>
              <w:rPr>
                <w:rFonts w:eastAsia="宋体"/>
                <w:color w:val="auto"/>
                <w:kern w:val="0"/>
                <w:sz w:val="24"/>
                <w:lang w:bidi="ar"/>
              </w:rPr>
              <w:t>27.5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27.5</w:t>
            </w:r>
            <w:r>
              <w:rPr>
                <w:rFonts w:hAnsi="宋体" w:eastAsia="宋体"/>
                <w:color w:val="auto"/>
                <w:kern w:val="0"/>
                <w:sz w:val="24"/>
                <w:lang w:bidi="ar"/>
              </w:rPr>
              <w:t>～</w:t>
            </w:r>
            <w:r>
              <w:rPr>
                <w:rFonts w:eastAsia="宋体"/>
                <w:color w:val="auto"/>
                <w:kern w:val="0"/>
                <w:sz w:val="24"/>
                <w:lang w:bidi="ar"/>
              </w:rPr>
              <w:t>40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40</w:t>
            </w:r>
            <w:r>
              <w:rPr>
                <w:rFonts w:hAnsi="宋体" w:eastAsia="宋体"/>
                <w:color w:val="auto"/>
                <w:kern w:val="0"/>
                <w:sz w:val="24"/>
                <w:lang w:bidi="ar"/>
              </w:rPr>
              <w:t>～</w:t>
            </w:r>
            <w:r>
              <w:rPr>
                <w:rFonts w:eastAsia="宋体"/>
                <w:color w:val="auto"/>
                <w:kern w:val="0"/>
                <w:sz w:val="24"/>
                <w:lang w:bidi="ar"/>
              </w:rPr>
              <w:t>60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60</w:t>
            </w:r>
            <w:r>
              <w:rPr>
                <w:rFonts w:hAnsi="宋体" w:eastAsia="宋体"/>
                <w:color w:val="auto"/>
                <w:kern w:val="0"/>
                <w:sz w:val="24"/>
                <w:lang w:bidi="ar"/>
              </w:rPr>
              <w:t>～</w:t>
            </w:r>
            <w:r>
              <w:rPr>
                <w:rFonts w:eastAsia="宋体"/>
                <w:color w:val="auto"/>
                <w:kern w:val="0"/>
                <w:sz w:val="24"/>
                <w:lang w:bidi="ar"/>
              </w:rPr>
              <w:t>270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270</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0"/>
                <w:sz w:val="24"/>
                <w:szCs w:val="24"/>
                <w:lang w:val="en-US" w:eastAsia="zh-CN" w:bidi="ar"/>
              </w:rPr>
            </w:pPr>
            <w:r>
              <w:rPr>
                <w:rFonts w:eastAsia="宋体"/>
                <w:color w:val="auto"/>
                <w:kern w:val="0"/>
                <w:sz w:val="24"/>
                <w:lang w:bidi="ar"/>
              </w:rPr>
              <w:t>270</w:t>
            </w:r>
          </w:p>
        </w:tc>
      </w:tr>
      <w:tr>
        <w:tblPrEx>
          <w:tblCellMar>
            <w:top w:w="0" w:type="dxa"/>
            <w:left w:w="108" w:type="dxa"/>
            <w:bottom w:w="0" w:type="dxa"/>
            <w:right w:w="108" w:type="dxa"/>
          </w:tblCellMar>
        </w:tblPrEx>
        <w:trPr>
          <w:trHeight w:val="611"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玉环市</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干江、楚门、坎门</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15</w:t>
            </w:r>
            <w:r>
              <w:rPr>
                <w:rFonts w:hAnsi="宋体" w:eastAsia="宋体"/>
                <w:color w:val="auto"/>
                <w:kern w:val="0"/>
                <w:sz w:val="24"/>
                <w:lang w:bidi="ar"/>
              </w:rPr>
              <w:t>～</w:t>
            </w:r>
            <w:r>
              <w:rPr>
                <w:rFonts w:eastAsia="宋体"/>
                <w:color w:val="auto"/>
                <w:kern w:val="0"/>
                <w:sz w:val="24"/>
                <w:lang w:bidi="ar"/>
              </w:rPr>
              <w:t>50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50</w:t>
            </w:r>
            <w:r>
              <w:rPr>
                <w:rFonts w:hAnsi="宋体" w:eastAsia="宋体"/>
                <w:color w:val="auto"/>
                <w:kern w:val="0"/>
                <w:sz w:val="24"/>
                <w:lang w:bidi="ar"/>
              </w:rPr>
              <w:t>～</w:t>
            </w:r>
            <w:r>
              <w:rPr>
                <w:rFonts w:eastAsia="宋体"/>
                <w:color w:val="auto"/>
                <w:kern w:val="0"/>
                <w:sz w:val="24"/>
                <w:lang w:bidi="ar"/>
              </w:rPr>
              <w:t>100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100</w:t>
            </w:r>
            <w:r>
              <w:rPr>
                <w:rFonts w:hAnsi="宋体" w:eastAsia="宋体"/>
                <w:color w:val="auto"/>
                <w:kern w:val="0"/>
                <w:sz w:val="24"/>
                <w:lang w:bidi="ar"/>
              </w:rPr>
              <w:t>～</w:t>
            </w:r>
            <w:r>
              <w:rPr>
                <w:rFonts w:eastAsia="宋体"/>
                <w:color w:val="auto"/>
                <w:kern w:val="0"/>
                <w:sz w:val="24"/>
                <w:lang w:bidi="ar"/>
              </w:rPr>
              <w:t>150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150</w:t>
            </w:r>
            <w:r>
              <w:rPr>
                <w:rFonts w:hAnsi="宋体" w:eastAsia="宋体"/>
                <w:color w:val="auto"/>
                <w:kern w:val="0"/>
                <w:sz w:val="24"/>
                <w:lang w:bidi="ar"/>
              </w:rPr>
              <w:t>～</w:t>
            </w:r>
            <w:r>
              <w:rPr>
                <w:rFonts w:eastAsia="宋体"/>
                <w:color w:val="auto"/>
                <w:kern w:val="0"/>
                <w:sz w:val="24"/>
                <w:lang w:bidi="ar"/>
              </w:rPr>
              <w:t>400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eastAsia="宋体"/>
                <w:color w:val="auto"/>
                <w:kern w:val="0"/>
                <w:sz w:val="24"/>
                <w:lang w:bidi="ar"/>
              </w:rPr>
              <w:t>400</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0"/>
                <w:sz w:val="24"/>
                <w:szCs w:val="24"/>
                <w:lang w:val="en-US" w:eastAsia="zh-CN" w:bidi="ar"/>
              </w:rPr>
            </w:pPr>
            <w:r>
              <w:rPr>
                <w:rFonts w:eastAsia="宋体"/>
                <w:color w:val="auto"/>
                <w:kern w:val="0"/>
                <w:sz w:val="24"/>
                <w:lang w:bidi="ar"/>
              </w:rPr>
              <w:t>400</w:t>
            </w:r>
          </w:p>
        </w:tc>
      </w:tr>
      <w:tr>
        <w:tblPrEx>
          <w:tblCellMar>
            <w:top w:w="0" w:type="dxa"/>
            <w:left w:w="108" w:type="dxa"/>
            <w:bottom w:w="0" w:type="dxa"/>
            <w:right w:w="108" w:type="dxa"/>
          </w:tblCellMar>
        </w:tblPrEx>
        <w:trPr>
          <w:trHeight w:val="611"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天台县</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始丰、龙溪、南屏</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10</w:t>
            </w:r>
            <w:r>
              <w:rPr>
                <w:rFonts w:hAnsi="宋体" w:eastAsia="宋体"/>
                <w:color w:val="auto"/>
                <w:kern w:val="0"/>
                <w:sz w:val="24"/>
                <w:lang w:bidi="ar"/>
              </w:rPr>
              <w:t>～</w:t>
            </w:r>
            <w:r>
              <w:rPr>
                <w:rFonts w:eastAsia="宋体"/>
                <w:color w:val="auto"/>
                <w:kern w:val="0"/>
                <w:sz w:val="24"/>
                <w:lang w:bidi="ar"/>
              </w:rPr>
              <w:t>42</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42</w:t>
            </w:r>
            <w:r>
              <w:rPr>
                <w:rFonts w:hAnsi="宋体" w:eastAsia="宋体"/>
                <w:color w:val="auto"/>
                <w:kern w:val="0"/>
                <w:sz w:val="24"/>
                <w:lang w:bidi="ar"/>
              </w:rPr>
              <w:t>～</w:t>
            </w:r>
            <w:r>
              <w:rPr>
                <w:rFonts w:eastAsia="宋体"/>
                <w:color w:val="auto"/>
                <w:kern w:val="0"/>
                <w:sz w:val="24"/>
                <w:lang w:bidi="ar"/>
              </w:rPr>
              <w:t>95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95</w:t>
            </w:r>
            <w:r>
              <w:rPr>
                <w:rFonts w:hAnsi="宋体" w:eastAsia="宋体"/>
                <w:color w:val="auto"/>
                <w:kern w:val="0"/>
                <w:sz w:val="24"/>
                <w:lang w:bidi="ar"/>
              </w:rPr>
              <w:t>～</w:t>
            </w:r>
            <w:r>
              <w:rPr>
                <w:rFonts w:eastAsia="宋体"/>
                <w:color w:val="auto"/>
                <w:kern w:val="0"/>
                <w:sz w:val="24"/>
                <w:lang w:bidi="ar"/>
              </w:rPr>
              <w:t>130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130</w:t>
            </w:r>
            <w:r>
              <w:rPr>
                <w:rFonts w:hAnsi="宋体" w:eastAsia="宋体"/>
                <w:color w:val="auto"/>
                <w:kern w:val="0"/>
                <w:sz w:val="24"/>
                <w:lang w:bidi="ar"/>
              </w:rPr>
              <w:t>～</w:t>
            </w:r>
            <w:r>
              <w:rPr>
                <w:rFonts w:eastAsia="宋体"/>
                <w:color w:val="auto"/>
                <w:kern w:val="0"/>
                <w:sz w:val="24"/>
                <w:lang w:bidi="ar"/>
              </w:rPr>
              <w:t>375</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375</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2"/>
                <w:sz w:val="24"/>
                <w:szCs w:val="24"/>
                <w:lang w:val="en-US" w:eastAsia="zh-CN" w:bidi="ar-SA"/>
              </w:rPr>
            </w:pPr>
            <w:r>
              <w:rPr>
                <w:rFonts w:eastAsia="宋体"/>
                <w:color w:val="auto"/>
                <w:kern w:val="0"/>
                <w:sz w:val="24"/>
                <w:lang w:bidi="ar"/>
              </w:rPr>
              <w:t>375</w:t>
            </w:r>
          </w:p>
        </w:tc>
      </w:tr>
      <w:tr>
        <w:tblPrEx>
          <w:tblCellMar>
            <w:top w:w="0" w:type="dxa"/>
            <w:left w:w="108" w:type="dxa"/>
            <w:bottom w:w="0" w:type="dxa"/>
            <w:right w:w="108" w:type="dxa"/>
          </w:tblCellMar>
        </w:tblPrEx>
        <w:trPr>
          <w:trHeight w:val="611"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仙居县</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安洲、横溪、朱溪</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15</w:t>
            </w:r>
            <w:r>
              <w:rPr>
                <w:rFonts w:hAnsi="宋体" w:eastAsia="宋体"/>
                <w:color w:val="auto"/>
                <w:kern w:val="0"/>
                <w:sz w:val="24"/>
                <w:lang w:bidi="ar"/>
              </w:rPr>
              <w:t>～</w:t>
            </w:r>
            <w:r>
              <w:rPr>
                <w:rFonts w:eastAsia="宋体"/>
                <w:color w:val="auto"/>
                <w:kern w:val="0"/>
                <w:sz w:val="24"/>
                <w:lang w:bidi="ar"/>
              </w:rPr>
              <w:t>60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60</w:t>
            </w:r>
            <w:r>
              <w:rPr>
                <w:rFonts w:hAnsi="宋体" w:eastAsia="宋体"/>
                <w:color w:val="auto"/>
                <w:kern w:val="0"/>
                <w:sz w:val="24"/>
                <w:lang w:bidi="ar"/>
              </w:rPr>
              <w:t>～</w:t>
            </w:r>
            <w:r>
              <w:rPr>
                <w:rFonts w:eastAsia="宋体"/>
                <w:color w:val="auto"/>
                <w:kern w:val="0"/>
                <w:sz w:val="24"/>
                <w:lang w:bidi="ar"/>
              </w:rPr>
              <w:t>125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125</w:t>
            </w:r>
            <w:r>
              <w:rPr>
                <w:rFonts w:hAnsi="宋体" w:eastAsia="宋体"/>
                <w:color w:val="auto"/>
                <w:kern w:val="0"/>
                <w:sz w:val="24"/>
                <w:lang w:bidi="ar"/>
              </w:rPr>
              <w:t>～</w:t>
            </w:r>
            <w:r>
              <w:rPr>
                <w:rFonts w:eastAsia="宋体"/>
                <w:color w:val="auto"/>
                <w:kern w:val="0"/>
                <w:sz w:val="24"/>
                <w:lang w:bidi="ar"/>
              </w:rPr>
              <w:t>200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200</w:t>
            </w:r>
            <w:r>
              <w:rPr>
                <w:rFonts w:hAnsi="宋体" w:eastAsia="宋体"/>
                <w:color w:val="auto"/>
                <w:kern w:val="0"/>
                <w:sz w:val="24"/>
                <w:lang w:bidi="ar"/>
              </w:rPr>
              <w:t>～</w:t>
            </w:r>
            <w:r>
              <w:rPr>
                <w:rFonts w:eastAsia="宋体"/>
                <w:color w:val="auto"/>
                <w:kern w:val="0"/>
                <w:sz w:val="24"/>
                <w:lang w:bidi="ar"/>
              </w:rPr>
              <w:t>325</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325</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2"/>
                <w:sz w:val="24"/>
                <w:szCs w:val="24"/>
                <w:lang w:val="en-US" w:eastAsia="zh-CN" w:bidi="ar-SA"/>
              </w:rPr>
            </w:pPr>
            <w:r>
              <w:rPr>
                <w:rFonts w:eastAsia="宋体"/>
                <w:color w:val="auto"/>
                <w:kern w:val="0"/>
                <w:sz w:val="24"/>
                <w:lang w:bidi="ar"/>
              </w:rPr>
              <w:t>325</w:t>
            </w:r>
          </w:p>
        </w:tc>
      </w:tr>
      <w:tr>
        <w:tblPrEx>
          <w:tblCellMar>
            <w:top w:w="0" w:type="dxa"/>
            <w:left w:w="108" w:type="dxa"/>
            <w:bottom w:w="0" w:type="dxa"/>
            <w:right w:w="108" w:type="dxa"/>
          </w:tblCellMar>
        </w:tblPrEx>
        <w:trPr>
          <w:trHeight w:val="611"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三门县</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健跳、海游、浦坝港</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10</w:t>
            </w:r>
            <w:r>
              <w:rPr>
                <w:rFonts w:hAnsi="宋体" w:eastAsia="宋体"/>
                <w:color w:val="auto"/>
                <w:kern w:val="0"/>
                <w:sz w:val="24"/>
                <w:lang w:bidi="ar"/>
              </w:rPr>
              <w:t>～</w:t>
            </w:r>
            <w:r>
              <w:rPr>
                <w:rFonts w:eastAsia="宋体"/>
                <w:color w:val="auto"/>
                <w:kern w:val="0"/>
                <w:sz w:val="24"/>
                <w:lang w:bidi="ar"/>
              </w:rPr>
              <w:t>35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35</w:t>
            </w:r>
            <w:r>
              <w:rPr>
                <w:rFonts w:hAnsi="宋体" w:eastAsia="宋体"/>
                <w:color w:val="auto"/>
                <w:kern w:val="0"/>
                <w:sz w:val="24"/>
                <w:lang w:bidi="ar"/>
              </w:rPr>
              <w:t>～</w:t>
            </w:r>
            <w:r>
              <w:rPr>
                <w:rFonts w:eastAsia="宋体"/>
                <w:color w:val="auto"/>
                <w:kern w:val="0"/>
                <w:sz w:val="24"/>
                <w:lang w:bidi="ar"/>
              </w:rPr>
              <w:t>50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50</w:t>
            </w:r>
            <w:r>
              <w:rPr>
                <w:rFonts w:hAnsi="宋体" w:eastAsia="宋体"/>
                <w:color w:val="auto"/>
                <w:kern w:val="0"/>
                <w:sz w:val="24"/>
                <w:lang w:bidi="ar"/>
              </w:rPr>
              <w:t>～</w:t>
            </w:r>
            <w:r>
              <w:rPr>
                <w:rFonts w:eastAsia="宋体"/>
                <w:color w:val="auto"/>
                <w:kern w:val="0"/>
                <w:sz w:val="24"/>
                <w:lang w:bidi="ar"/>
              </w:rPr>
              <w:t>80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80</w:t>
            </w:r>
            <w:r>
              <w:rPr>
                <w:rFonts w:hAnsi="宋体" w:eastAsia="宋体"/>
                <w:color w:val="auto"/>
                <w:kern w:val="0"/>
                <w:sz w:val="24"/>
                <w:lang w:bidi="ar"/>
              </w:rPr>
              <w:t>～</w:t>
            </w:r>
            <w:r>
              <w:rPr>
                <w:rFonts w:eastAsia="宋体"/>
                <w:color w:val="auto"/>
                <w:kern w:val="0"/>
                <w:sz w:val="24"/>
                <w:lang w:bidi="ar"/>
              </w:rPr>
              <w:t>300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300</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2"/>
                <w:sz w:val="24"/>
                <w:szCs w:val="24"/>
                <w:lang w:val="en-US" w:eastAsia="zh-CN" w:bidi="ar-SA"/>
              </w:rPr>
            </w:pPr>
            <w:r>
              <w:rPr>
                <w:rFonts w:eastAsia="宋体"/>
                <w:color w:val="auto"/>
                <w:kern w:val="0"/>
                <w:sz w:val="24"/>
                <w:lang w:bidi="ar"/>
              </w:rPr>
              <w:t>300</w:t>
            </w:r>
          </w:p>
        </w:tc>
      </w:tr>
      <w:tr>
        <w:tblPrEx>
          <w:tblCellMar>
            <w:top w:w="0" w:type="dxa"/>
            <w:left w:w="108" w:type="dxa"/>
            <w:bottom w:w="0" w:type="dxa"/>
            <w:right w:w="108" w:type="dxa"/>
          </w:tblCellMar>
        </w:tblPrEx>
        <w:trPr>
          <w:trHeight w:val="625" w:hRule="atLeast"/>
          <w:jc w:val="center"/>
        </w:trPr>
        <w:tc>
          <w:tcPr>
            <w:tcW w:w="1053"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台州湾新区</w:t>
            </w:r>
          </w:p>
        </w:tc>
        <w:tc>
          <w:tcPr>
            <w:tcW w:w="131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kern w:val="0"/>
                <w:sz w:val="24"/>
                <w:lang w:bidi="ar"/>
              </w:rPr>
            </w:pPr>
            <w:r>
              <w:rPr>
                <w:rFonts w:hint="eastAsia" w:eastAsia="宋体"/>
                <w:color w:val="auto"/>
                <w:kern w:val="0"/>
                <w:sz w:val="24"/>
                <w:lang w:bidi="ar"/>
              </w:rPr>
              <w:t>三甲、烟草中心、三山岛</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15</w:t>
            </w:r>
            <w:r>
              <w:rPr>
                <w:rFonts w:hAnsi="宋体" w:eastAsia="宋体"/>
                <w:color w:val="auto"/>
                <w:kern w:val="0"/>
                <w:sz w:val="24"/>
                <w:lang w:bidi="ar"/>
              </w:rPr>
              <w:t>～</w:t>
            </w:r>
            <w:r>
              <w:rPr>
                <w:rFonts w:eastAsia="宋体"/>
                <w:color w:val="auto"/>
                <w:kern w:val="0"/>
                <w:sz w:val="24"/>
                <w:lang w:bidi="ar"/>
              </w:rPr>
              <w:t>32.5</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32.5</w:t>
            </w:r>
            <w:r>
              <w:rPr>
                <w:rFonts w:hAnsi="宋体" w:eastAsia="宋体"/>
                <w:color w:val="auto"/>
                <w:kern w:val="0"/>
                <w:sz w:val="24"/>
                <w:lang w:bidi="ar"/>
              </w:rPr>
              <w:t>～</w:t>
            </w:r>
            <w:r>
              <w:rPr>
                <w:rFonts w:eastAsia="宋体"/>
                <w:color w:val="auto"/>
                <w:kern w:val="0"/>
                <w:sz w:val="24"/>
                <w:lang w:bidi="ar"/>
              </w:rPr>
              <w:t>75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75</w:t>
            </w:r>
            <w:r>
              <w:rPr>
                <w:rFonts w:hAnsi="宋体" w:eastAsia="宋体"/>
                <w:color w:val="auto"/>
                <w:kern w:val="0"/>
                <w:sz w:val="24"/>
                <w:lang w:bidi="ar"/>
              </w:rPr>
              <w:t>～</w:t>
            </w:r>
            <w:r>
              <w:rPr>
                <w:rFonts w:eastAsia="宋体"/>
                <w:color w:val="auto"/>
                <w:kern w:val="0"/>
                <w:sz w:val="24"/>
                <w:lang w:bidi="ar"/>
              </w:rPr>
              <w:t>120</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120</w:t>
            </w:r>
            <w:r>
              <w:rPr>
                <w:rFonts w:hAnsi="宋体" w:eastAsia="宋体"/>
                <w:color w:val="auto"/>
                <w:kern w:val="0"/>
                <w:sz w:val="24"/>
                <w:lang w:bidi="ar"/>
              </w:rPr>
              <w:t>～</w:t>
            </w:r>
            <w:r>
              <w:rPr>
                <w:rFonts w:eastAsia="宋体"/>
                <w:color w:val="auto"/>
                <w:kern w:val="0"/>
                <w:sz w:val="24"/>
                <w:lang w:bidi="ar"/>
              </w:rPr>
              <w:t>275</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宋体"/>
                <w:color w:val="auto"/>
                <w:sz w:val="24"/>
              </w:rPr>
            </w:pPr>
            <w:r>
              <w:rPr>
                <w:rFonts w:eastAsia="宋体"/>
                <w:color w:val="auto"/>
                <w:kern w:val="0"/>
                <w:sz w:val="24"/>
                <w:lang w:bidi="ar"/>
              </w:rPr>
              <w:t>275</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宋体" w:cs="Times New Roman"/>
                <w:color w:val="auto"/>
                <w:kern w:val="2"/>
                <w:sz w:val="24"/>
                <w:szCs w:val="24"/>
                <w:lang w:val="en-US" w:eastAsia="zh-CN" w:bidi="ar-SA"/>
              </w:rPr>
            </w:pPr>
            <w:r>
              <w:rPr>
                <w:rFonts w:eastAsia="宋体"/>
                <w:color w:val="auto"/>
                <w:kern w:val="0"/>
                <w:sz w:val="24"/>
                <w:lang w:bidi="ar"/>
              </w:rPr>
              <w:t>275</w:t>
            </w:r>
          </w:p>
        </w:tc>
      </w:tr>
    </w:tbl>
    <w:p>
      <w:pPr>
        <w:widowControl w:val="0"/>
        <w:suppressAutoHyphens/>
        <w:autoSpaceDE w:val="0"/>
        <w:autoSpaceDN w:val="0"/>
        <w:adjustRightInd w:val="0"/>
        <w:snapToGrid w:val="0"/>
        <w:jc w:val="center"/>
        <w:rPr>
          <w:rFonts w:hint="eastAsia" w:cs="Times New Roman" w:asciiTheme="minorEastAsia" w:hAnsiTheme="minorEastAsia" w:eastAsiaTheme="minorEastAsia"/>
          <w:b w:val="0"/>
          <w:bCs/>
          <w:color w:val="auto"/>
          <w:kern w:val="2"/>
          <w:sz w:val="21"/>
          <w:szCs w:val="21"/>
          <w:lang w:val="en-US" w:eastAsia="zh-CN" w:bidi="ar-SA"/>
        </w:rPr>
      </w:pPr>
      <w:r>
        <w:rPr>
          <w:rFonts w:hint="eastAsia" w:cs="Times New Roman" w:asciiTheme="minorEastAsia" w:hAnsiTheme="minorEastAsia" w:eastAsiaTheme="minorEastAsia"/>
          <w:b w:val="0"/>
          <w:bCs/>
          <w:color w:val="auto"/>
          <w:kern w:val="2"/>
          <w:sz w:val="21"/>
          <w:szCs w:val="21"/>
          <w:lang w:val="en-US" w:eastAsia="zh-CN" w:bidi="ar-SA"/>
        </w:rPr>
        <w:t>注：选取以上乡（镇、街道）或区域的气象代表站。</w:t>
      </w:r>
    </w:p>
    <w:p>
      <w:pPr>
        <w:pStyle w:val="2"/>
        <w:jc w:val="center"/>
        <w:rPr>
          <w:rFonts w:hint="eastAsia" w:ascii="宋体" w:hAnsi="宋体" w:eastAsia="宋体" w:cs="宋体"/>
          <w:lang w:val="en-US" w:eastAsia="zh-CN"/>
        </w:rPr>
      </w:pPr>
      <w:r>
        <w:rPr>
          <w:rFonts w:hint="eastAsia" w:ascii="宋体" w:hAnsi="宋体" w:eastAsia="宋体" w:cs="宋体"/>
          <w:lang w:val="en-US" w:eastAsia="zh-CN"/>
        </w:rPr>
        <w:t>最终赔付额=上表赔付额 *（投标人报出赔付额整体上浮幅度</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100%)</w:t>
      </w:r>
    </w:p>
    <w:p>
      <w:pPr>
        <w:pStyle w:val="2"/>
        <w:jc w:val="center"/>
        <w:rPr>
          <w:rFonts w:hint="eastAsia" w:ascii="宋体" w:hAnsi="宋体" w:eastAsia="宋体" w:cs="宋体"/>
          <w:lang w:val="en-US" w:eastAsia="zh-CN"/>
        </w:rPr>
      </w:pPr>
      <w:r>
        <w:rPr>
          <w:rFonts w:hint="eastAsia" w:ascii="宋体" w:hAnsi="宋体" w:eastAsia="宋体" w:cs="宋体"/>
          <w:lang w:val="en-US" w:eastAsia="zh-CN"/>
        </w:rPr>
        <w:t>最终累计赔付上限=上表累计赔付上限 *（投标人报出赔付额整体上浮幅度</w:t>
      </w:r>
      <w:r>
        <w:rPr>
          <w:rFonts w:hint="eastAsia" w:ascii="宋体" w:hAnsi="宋体" w:cs="宋体"/>
          <w:lang w:val="en-US" w:eastAsia="zh-CN"/>
        </w:rPr>
        <w:t xml:space="preserve"> </w:t>
      </w:r>
      <w:r>
        <w:rPr>
          <w:rFonts w:hint="eastAsia" w:ascii="宋体" w:hAnsi="宋体" w:eastAsia="宋体" w:cs="宋体"/>
          <w:lang w:val="en-US" w:eastAsia="zh-CN"/>
        </w:rPr>
        <w:t>+</w:t>
      </w:r>
      <w:r>
        <w:rPr>
          <w:rFonts w:hint="eastAsia" w:ascii="宋体" w:hAnsi="宋体" w:cs="宋体"/>
          <w:lang w:val="en-US" w:eastAsia="zh-CN"/>
        </w:rPr>
        <w:t xml:space="preserve"> </w:t>
      </w:r>
      <w:r>
        <w:rPr>
          <w:rFonts w:hint="eastAsia" w:ascii="宋体" w:hAnsi="宋体" w:eastAsia="宋体" w:cs="宋体"/>
          <w:lang w:val="en-US" w:eastAsia="zh-CN"/>
        </w:rPr>
        <w:t>100%)</w:t>
      </w:r>
    </w:p>
    <w:p>
      <w:pPr>
        <w:widowControl w:val="0"/>
        <w:suppressAutoHyphens/>
        <w:autoSpaceDE w:val="0"/>
        <w:autoSpaceDN w:val="0"/>
        <w:adjustRightInd w:val="0"/>
        <w:snapToGrid w:val="0"/>
        <w:jc w:val="both"/>
        <w:rPr>
          <w:rFonts w:hint="eastAsia" w:cs="Times New Roman" w:asciiTheme="minorEastAsia" w:hAnsiTheme="minorEastAsia" w:eastAsiaTheme="minorEastAsia"/>
          <w:b w:val="0"/>
          <w:bCs/>
          <w:color w:val="auto"/>
          <w:kern w:val="2"/>
          <w:sz w:val="32"/>
          <w:szCs w:val="32"/>
          <w:lang w:val="en-US" w:eastAsia="zh-CN" w:bidi="ar-SA"/>
        </w:rPr>
      </w:pPr>
    </w:p>
    <w:p>
      <w:pPr>
        <w:pStyle w:val="7"/>
        <w:spacing w:line="360" w:lineRule="auto"/>
        <w:ind w:firstLine="482" w:firstLineChars="200"/>
        <w:rPr>
          <w:rFonts w:hint="default" w:cs="Times New Roman" w:asciiTheme="minorEastAsia" w:hAnsiTheme="minorEastAsia" w:eastAsiaTheme="minorEastAsia"/>
          <w:b/>
          <w:bCs w:val="0"/>
          <w:color w:val="auto"/>
          <w:kern w:val="2"/>
          <w:sz w:val="24"/>
          <w:szCs w:val="24"/>
          <w:lang w:val="en-US" w:eastAsia="zh-CN" w:bidi="ar-SA"/>
        </w:rPr>
      </w:pPr>
      <w:r>
        <w:rPr>
          <w:rFonts w:hint="eastAsia" w:cs="Times New Roman" w:asciiTheme="minorEastAsia" w:hAnsiTheme="minorEastAsia" w:eastAsiaTheme="minorEastAsia"/>
          <w:b/>
          <w:bCs w:val="0"/>
          <w:color w:val="auto"/>
          <w:kern w:val="2"/>
          <w:sz w:val="24"/>
          <w:szCs w:val="24"/>
          <w:lang w:val="en-US" w:eastAsia="zh-CN" w:bidi="ar-SA"/>
        </w:rPr>
        <w:t>（五）保费报价</w:t>
      </w:r>
    </w:p>
    <w:p>
      <w:pPr>
        <w:pStyle w:val="7"/>
        <w:spacing w:line="360" w:lineRule="auto"/>
        <w:ind w:firstLine="480" w:firstLineChars="200"/>
        <w:rPr>
          <w:rFonts w:hint="eastAsia" w:cs="Times New Roman" w:asciiTheme="minorEastAsia" w:hAnsiTheme="minorEastAsia" w:eastAsiaTheme="minorEastAsia"/>
          <w:b/>
          <w:bCs w:val="0"/>
          <w:color w:val="auto"/>
          <w:kern w:val="2"/>
          <w:sz w:val="24"/>
          <w:szCs w:val="24"/>
          <w:lang w:val="en-US" w:eastAsia="zh-CN" w:bidi="ar-SA"/>
        </w:rPr>
      </w:pPr>
      <w:r>
        <w:rPr>
          <w:rFonts w:hint="eastAsia" w:asciiTheme="minorEastAsia" w:hAnsiTheme="minorEastAsia" w:eastAsiaTheme="minorEastAsia"/>
          <w:color w:val="000000" w:themeColor="text1"/>
          <w:sz w:val="24"/>
          <w:lang w:val="en-US" w:eastAsia="zh-CN"/>
          <w14:textFill>
            <w14:solidFill>
              <w14:schemeClr w14:val="tx1"/>
            </w14:solidFill>
          </w14:textFill>
        </w:rPr>
        <w:t>本项目为</w:t>
      </w:r>
      <w:r>
        <w:rPr>
          <w:rFonts w:hint="eastAsia" w:asciiTheme="minorEastAsia" w:hAnsiTheme="minorEastAsia" w:eastAsiaTheme="minorEastAsia"/>
          <w:b/>
          <w:bCs/>
          <w:color w:val="000000" w:themeColor="text1"/>
          <w:sz w:val="24"/>
          <w:lang w:val="en-US" w:eastAsia="zh-CN"/>
          <w14:textFill>
            <w14:solidFill>
              <w14:schemeClr w14:val="tx1"/>
            </w14:solidFill>
          </w14:textFill>
        </w:rPr>
        <w:t>固定保费</w:t>
      </w:r>
      <w:r>
        <w:rPr>
          <w:rFonts w:hint="eastAsia" w:asciiTheme="minorEastAsia" w:hAnsiTheme="minorEastAsia" w:eastAsiaTheme="minorEastAsia"/>
          <w:color w:val="000000" w:themeColor="text1"/>
          <w:sz w:val="24"/>
          <w:lang w:val="en-US" w:eastAsia="zh-CN"/>
          <w14:textFill>
            <w14:solidFill>
              <w14:schemeClr w14:val="tx1"/>
            </w14:solidFill>
          </w14:textFill>
        </w:rPr>
        <w:t>（各标项保费详见招标项目一览表），投标人无需针对保费进行报价。各标项保费</w:t>
      </w:r>
      <w:r>
        <w:rPr>
          <w:rFonts w:hint="eastAsia" w:asciiTheme="minorEastAsia" w:hAnsiTheme="minorEastAsia" w:eastAsiaTheme="minorEastAsia"/>
          <w:bCs/>
          <w:kern w:val="0"/>
          <w:sz w:val="24"/>
        </w:rPr>
        <w:t>包括采购需求和</w:t>
      </w:r>
      <w:r>
        <w:rPr>
          <w:rFonts w:hint="eastAsia" w:asciiTheme="minorEastAsia" w:hAnsiTheme="minorEastAsia" w:eastAsiaTheme="minorEastAsia"/>
          <w:bCs/>
          <w:kern w:val="0"/>
          <w:sz w:val="24"/>
          <w:lang w:val="en-US" w:eastAsia="zh-CN"/>
        </w:rPr>
        <w:t>后续服务</w:t>
      </w:r>
      <w:r>
        <w:rPr>
          <w:rFonts w:hint="eastAsia" w:asciiTheme="minorEastAsia" w:hAnsiTheme="minorEastAsia" w:eastAsiaTheme="minorEastAsia"/>
          <w:bCs/>
          <w:kern w:val="0"/>
          <w:sz w:val="24"/>
        </w:rPr>
        <w:t>的所有费用，包括但不限于主件、标准附件、备品备件、施工、服务、专用工具、安装、调试、检验、培训、运输、保险、税款等</w:t>
      </w:r>
      <w:r>
        <w:rPr>
          <w:rFonts w:hint="eastAsia" w:asciiTheme="minorEastAsia" w:hAnsiTheme="minorEastAsia" w:eastAsiaTheme="minorEastAsia"/>
          <w:bCs/>
          <w:kern w:val="0"/>
          <w:sz w:val="24"/>
          <w:lang w:eastAsia="zh-CN"/>
        </w:rPr>
        <w:t>，</w:t>
      </w:r>
      <w:r>
        <w:rPr>
          <w:rFonts w:hint="eastAsia" w:asciiTheme="minorEastAsia" w:hAnsiTheme="minorEastAsia" w:eastAsiaTheme="minorEastAsia"/>
          <w:bCs/>
          <w:kern w:val="0"/>
          <w:sz w:val="24"/>
          <w:lang w:val="en-US" w:eastAsia="zh-CN"/>
        </w:rPr>
        <w:t>投标人不得要求采购人支付固定保费外的其他费用。</w:t>
      </w:r>
    </w:p>
    <w:p>
      <w:pPr>
        <w:widowControl w:val="0"/>
        <w:suppressAutoHyphens/>
        <w:autoSpaceDE w:val="0"/>
        <w:autoSpaceDN w:val="0"/>
        <w:adjustRightInd w:val="0"/>
        <w:snapToGrid w:val="0"/>
        <w:spacing w:line="360" w:lineRule="auto"/>
        <w:ind w:firstLine="482" w:firstLineChars="200"/>
        <w:jc w:val="both"/>
        <w:rPr>
          <w:rFonts w:hint="eastAsia" w:cs="Times New Roman" w:asciiTheme="minorEastAsia" w:hAnsiTheme="minorEastAsia" w:eastAsiaTheme="minorEastAsia"/>
          <w:b/>
          <w:bCs w:val="0"/>
          <w:color w:val="auto"/>
          <w:kern w:val="2"/>
          <w:sz w:val="24"/>
          <w:szCs w:val="24"/>
          <w:lang w:val="en-US" w:eastAsia="zh-CN" w:bidi="ar-SA"/>
        </w:rPr>
      </w:pPr>
      <w:r>
        <w:rPr>
          <w:rFonts w:hint="eastAsia" w:cs="Times New Roman" w:asciiTheme="minorEastAsia" w:hAnsiTheme="minorEastAsia" w:eastAsiaTheme="minorEastAsia"/>
          <w:b/>
          <w:bCs w:val="0"/>
          <w:color w:val="auto"/>
          <w:kern w:val="2"/>
          <w:sz w:val="24"/>
          <w:szCs w:val="24"/>
          <w:lang w:val="en-US" w:eastAsia="zh-CN" w:bidi="ar-SA"/>
        </w:rPr>
        <w:t>（六）“保险+服务”要求</w:t>
      </w:r>
    </w:p>
    <w:p>
      <w:pPr>
        <w:widowControl w:val="0"/>
        <w:suppressAutoHyphens/>
        <w:autoSpaceDE w:val="0"/>
        <w:autoSpaceDN w:val="0"/>
        <w:adjustRightInd w:val="0"/>
        <w:snapToGrid w:val="0"/>
        <w:spacing w:line="360" w:lineRule="auto"/>
        <w:ind w:firstLine="480" w:firstLineChars="200"/>
        <w:jc w:val="both"/>
        <w:rPr>
          <w:rFonts w:hint="default"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1.</w:t>
      </w:r>
      <w:r>
        <w:rPr>
          <w:rFonts w:hint="default" w:cs="Times New Roman" w:asciiTheme="minorEastAsia" w:hAnsiTheme="minorEastAsia" w:eastAsiaTheme="minorEastAsia"/>
          <w:b w:val="0"/>
          <w:bCs/>
          <w:color w:val="auto"/>
          <w:kern w:val="2"/>
          <w:sz w:val="24"/>
          <w:szCs w:val="24"/>
          <w:lang w:val="en-US" w:eastAsia="zh-CN" w:bidi="ar-SA"/>
        </w:rPr>
        <w:t>完善保险服务网络。建立县市区服务网点，加强日常“风险防范”专业化队伍建设，形成政府、基层组织与保险机构各方密切协作的救灾工作网络，提高防灾减灾的社会合力。</w:t>
      </w:r>
    </w:p>
    <w:p>
      <w:pPr>
        <w:widowControl w:val="0"/>
        <w:suppressAutoHyphens/>
        <w:autoSpaceDE w:val="0"/>
        <w:autoSpaceDN w:val="0"/>
        <w:adjustRightInd w:val="0"/>
        <w:snapToGrid w:val="0"/>
        <w:spacing w:line="360" w:lineRule="auto"/>
        <w:ind w:firstLine="480" w:firstLineChars="200"/>
        <w:jc w:val="both"/>
        <w:rPr>
          <w:rFonts w:hint="default"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2.</w:t>
      </w:r>
      <w:r>
        <w:rPr>
          <w:rFonts w:hint="default" w:cs="Times New Roman" w:asciiTheme="minorEastAsia" w:hAnsiTheme="minorEastAsia" w:eastAsiaTheme="minorEastAsia"/>
          <w:b w:val="0"/>
          <w:bCs/>
          <w:color w:val="auto"/>
          <w:kern w:val="2"/>
          <w:sz w:val="24"/>
          <w:szCs w:val="24"/>
          <w:lang w:val="en-US" w:eastAsia="zh-CN" w:bidi="ar-SA"/>
        </w:rPr>
        <w:t>提高灾害预防水平。整合运用防汛防台系统、城市危房监测系统、水浸报警系统警等系统，实现对灾害大数据分析运用，做到提前对自然灾害等风险进行预警和风险指导。</w:t>
      </w:r>
    </w:p>
    <w:p>
      <w:pPr>
        <w:widowControl w:val="0"/>
        <w:suppressAutoHyphens/>
        <w:autoSpaceDE w:val="0"/>
        <w:autoSpaceDN w:val="0"/>
        <w:adjustRightInd w:val="0"/>
        <w:snapToGrid w:val="0"/>
        <w:spacing w:line="360" w:lineRule="auto"/>
        <w:ind w:firstLine="480" w:firstLineChars="200"/>
        <w:jc w:val="both"/>
        <w:rPr>
          <w:rFonts w:hint="default"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3.</w:t>
      </w:r>
      <w:r>
        <w:rPr>
          <w:rFonts w:hint="default" w:cs="Times New Roman" w:asciiTheme="minorEastAsia" w:hAnsiTheme="minorEastAsia" w:eastAsiaTheme="minorEastAsia"/>
          <w:b w:val="0"/>
          <w:bCs/>
          <w:color w:val="auto"/>
          <w:kern w:val="2"/>
          <w:sz w:val="24"/>
          <w:szCs w:val="24"/>
          <w:lang w:val="en-US" w:eastAsia="zh-CN" w:bidi="ar-SA"/>
        </w:rPr>
        <w:t>强化社会救援能力。</w:t>
      </w:r>
      <w:r>
        <w:rPr>
          <w:rFonts w:hint="eastAsia" w:cs="Times New Roman" w:asciiTheme="minorEastAsia" w:hAnsiTheme="minorEastAsia" w:eastAsiaTheme="minorEastAsia"/>
          <w:b w:val="0"/>
          <w:bCs/>
          <w:color w:val="auto"/>
          <w:kern w:val="2"/>
          <w:sz w:val="24"/>
          <w:szCs w:val="24"/>
          <w:lang w:val="en-US" w:eastAsia="zh-CN" w:bidi="ar-SA"/>
        </w:rPr>
        <w:t>加强应急救援队伍教育培训，</w:t>
      </w:r>
      <w:r>
        <w:rPr>
          <w:rFonts w:hint="default" w:cs="Times New Roman" w:asciiTheme="minorEastAsia" w:hAnsiTheme="minorEastAsia" w:eastAsiaTheme="minorEastAsia"/>
          <w:b w:val="0"/>
          <w:bCs/>
          <w:color w:val="auto"/>
          <w:kern w:val="2"/>
          <w:sz w:val="24"/>
          <w:szCs w:val="24"/>
          <w:lang w:val="en-US" w:eastAsia="zh-CN" w:bidi="ar-SA"/>
        </w:rPr>
        <w:t>强化应急演练服务，切实提升社会救援队伍的救援能力。</w:t>
      </w:r>
    </w:p>
    <w:p>
      <w:pPr>
        <w:widowControl w:val="0"/>
        <w:suppressAutoHyphens/>
        <w:autoSpaceDE w:val="0"/>
        <w:autoSpaceDN w:val="0"/>
        <w:adjustRightInd w:val="0"/>
        <w:snapToGrid w:val="0"/>
        <w:spacing w:line="360" w:lineRule="auto"/>
        <w:ind w:firstLine="480" w:firstLineChars="200"/>
        <w:jc w:val="both"/>
        <w:rPr>
          <w:rFonts w:hint="default" w:cs="Times New Roman" w:asciiTheme="minorEastAsia" w:hAnsiTheme="minorEastAsia" w:eastAsiaTheme="minorEastAsia"/>
          <w:b/>
          <w:bCs w:val="0"/>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4.</w:t>
      </w:r>
      <w:r>
        <w:rPr>
          <w:rFonts w:hint="default" w:cs="Times New Roman" w:asciiTheme="minorEastAsia" w:hAnsiTheme="minorEastAsia" w:eastAsiaTheme="minorEastAsia"/>
          <w:b w:val="0"/>
          <w:bCs/>
          <w:color w:val="auto"/>
          <w:kern w:val="2"/>
          <w:sz w:val="24"/>
          <w:szCs w:val="24"/>
          <w:lang w:val="en-US" w:eastAsia="zh-CN" w:bidi="ar-SA"/>
        </w:rPr>
        <w:t>提升全民防灾意识。利用承保机构服务网点和人员优势组织防灾减灾进社区、进校园、进企业、进村庄等活动，积极参与全市各项防灾减灾有关宣传日等活动，增强全民防灾减灾意识和自救能力。</w:t>
      </w:r>
    </w:p>
    <w:p>
      <w:pPr>
        <w:widowControl w:val="0"/>
        <w:suppressAutoHyphens/>
        <w:autoSpaceDE w:val="0"/>
        <w:autoSpaceDN w:val="0"/>
        <w:adjustRightInd w:val="0"/>
        <w:snapToGrid w:val="0"/>
        <w:spacing w:line="360" w:lineRule="auto"/>
        <w:ind w:firstLine="482" w:firstLineChars="200"/>
        <w:jc w:val="both"/>
        <w:rPr>
          <w:rFonts w:hint="eastAsia" w:cs="Times New Roman" w:asciiTheme="minorEastAsia" w:hAnsiTheme="minorEastAsia" w:eastAsiaTheme="minorEastAsia"/>
          <w:b/>
          <w:bCs w:val="0"/>
          <w:color w:val="auto"/>
          <w:kern w:val="2"/>
          <w:sz w:val="24"/>
          <w:szCs w:val="24"/>
          <w:lang w:val="en-US" w:eastAsia="zh-CN" w:bidi="ar-SA"/>
        </w:rPr>
      </w:pPr>
      <w:r>
        <w:rPr>
          <w:rFonts w:hint="eastAsia" w:cs="Times New Roman" w:asciiTheme="minorEastAsia" w:hAnsiTheme="minorEastAsia" w:eastAsiaTheme="minorEastAsia"/>
          <w:b/>
          <w:bCs w:val="0"/>
          <w:color w:val="auto"/>
          <w:kern w:val="2"/>
          <w:sz w:val="24"/>
          <w:szCs w:val="24"/>
          <w:lang w:val="en-US" w:eastAsia="zh-CN" w:bidi="ar-SA"/>
        </w:rPr>
        <w:t>（七）服务标准</w:t>
      </w:r>
    </w:p>
    <w:p>
      <w:pPr>
        <w:widowControl w:val="0"/>
        <w:suppressAutoHyphens/>
        <w:autoSpaceDE w:val="0"/>
        <w:autoSpaceDN w:val="0"/>
        <w:adjustRightInd w:val="0"/>
        <w:snapToGrid w:val="0"/>
        <w:spacing w:line="360" w:lineRule="auto"/>
        <w:ind w:firstLine="480" w:firstLineChars="200"/>
        <w:jc w:val="both"/>
        <w:rPr>
          <w:rFonts w:hint="default"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1.本项目适用保险条款需经中国银保监会审批通过或已向银保监会备案。</w:t>
      </w:r>
    </w:p>
    <w:p>
      <w:pPr>
        <w:widowControl w:val="0"/>
        <w:suppressAutoHyphens/>
        <w:autoSpaceDE w:val="0"/>
        <w:autoSpaceDN w:val="0"/>
        <w:adjustRightInd w:val="0"/>
        <w:snapToGrid w:val="0"/>
        <w:spacing w:line="360" w:lineRule="auto"/>
        <w:ind w:firstLine="480" w:firstLineChars="200"/>
        <w:jc w:val="both"/>
        <w:rPr>
          <w:rFonts w:hint="eastAsia"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2.服务承诺：投标人在投标文件中提供内容描述完整的承保方案，并在中标后签订合同前提供该方案的服务承诺书。</w:t>
      </w:r>
    </w:p>
    <w:p>
      <w:pPr>
        <w:widowControl w:val="0"/>
        <w:suppressAutoHyphens/>
        <w:autoSpaceDE w:val="0"/>
        <w:autoSpaceDN w:val="0"/>
        <w:adjustRightInd w:val="0"/>
        <w:snapToGrid w:val="0"/>
        <w:spacing w:line="360" w:lineRule="auto"/>
        <w:ind w:firstLine="480" w:firstLineChars="200"/>
        <w:jc w:val="both"/>
        <w:rPr>
          <w:rFonts w:hint="eastAsia"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3.服务标准：投标人提供必要的保险业务管理规章制度，理赔服务措施满足采购基本要求；明确并落实“保险+服务”中服务的内容。</w:t>
      </w:r>
    </w:p>
    <w:p>
      <w:pPr>
        <w:widowControl w:val="0"/>
        <w:suppressAutoHyphens/>
        <w:autoSpaceDE w:val="0"/>
        <w:autoSpaceDN w:val="0"/>
        <w:adjustRightInd w:val="0"/>
        <w:snapToGrid w:val="0"/>
        <w:spacing w:line="360" w:lineRule="auto"/>
        <w:ind w:firstLine="480" w:firstLineChars="200"/>
        <w:jc w:val="both"/>
        <w:rPr>
          <w:rFonts w:hint="eastAsia"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4.服务方案：投标人的投保设计、保险条款、服务方案应满足项目需要。</w:t>
      </w:r>
    </w:p>
    <w:p>
      <w:pPr>
        <w:widowControl w:val="0"/>
        <w:suppressAutoHyphens/>
        <w:autoSpaceDE w:val="0"/>
        <w:autoSpaceDN w:val="0"/>
        <w:adjustRightInd w:val="0"/>
        <w:snapToGrid w:val="0"/>
        <w:spacing w:line="360" w:lineRule="auto"/>
        <w:ind w:firstLine="480" w:firstLineChars="200"/>
        <w:jc w:val="both"/>
        <w:rPr>
          <w:rFonts w:hint="eastAsia"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5.再保险支持：投标人须就本项目提供再保险支持。</w:t>
      </w:r>
    </w:p>
    <w:p>
      <w:pPr>
        <w:widowControl w:val="0"/>
        <w:suppressAutoHyphens/>
        <w:autoSpaceDE w:val="0"/>
        <w:autoSpaceDN w:val="0"/>
        <w:adjustRightInd w:val="0"/>
        <w:snapToGrid w:val="0"/>
        <w:spacing w:line="360" w:lineRule="auto"/>
        <w:ind w:firstLine="480" w:firstLineChars="200"/>
        <w:jc w:val="both"/>
        <w:rPr>
          <w:rFonts w:hint="default" w:cs="Times New Roman" w:asciiTheme="minorEastAsia" w:hAnsiTheme="minorEastAsia" w:eastAsiaTheme="minorEastAsia"/>
          <w:b w:val="0"/>
          <w:bCs/>
          <w:color w:val="auto"/>
          <w:kern w:val="2"/>
          <w:sz w:val="24"/>
          <w:szCs w:val="24"/>
          <w:lang w:val="en-US" w:eastAsia="zh-CN" w:bidi="ar-SA"/>
        </w:rPr>
      </w:pPr>
      <w:r>
        <w:rPr>
          <w:rFonts w:hint="eastAsia" w:cs="Times New Roman" w:asciiTheme="minorEastAsia" w:hAnsiTheme="minorEastAsia" w:eastAsiaTheme="minorEastAsia"/>
          <w:b w:val="0"/>
          <w:bCs/>
          <w:color w:val="auto"/>
          <w:kern w:val="2"/>
          <w:sz w:val="24"/>
          <w:szCs w:val="24"/>
          <w:lang w:val="en-US" w:eastAsia="zh-CN" w:bidi="ar-SA"/>
        </w:rPr>
        <w:t>6.服务费用要求：</w:t>
      </w:r>
      <w:r>
        <w:rPr>
          <w:rFonts w:hint="eastAsia" w:ascii="宋体" w:hAnsi="宋体" w:cs="宋体"/>
          <w:bCs/>
          <w:color w:val="auto"/>
          <w:kern w:val="2"/>
          <w:sz w:val="24"/>
          <w:szCs w:val="24"/>
          <w:lang w:val="en-US" w:eastAsia="zh-CN" w:bidi="ar-SA"/>
        </w:rPr>
        <w:t>每年服务费用不少于该标项保费的5%</w:t>
      </w:r>
      <w:r>
        <w:rPr>
          <w:rFonts w:hint="eastAsia" w:cs="Times New Roman" w:asciiTheme="minorEastAsia" w:hAnsiTheme="minorEastAsia" w:eastAsiaTheme="minorEastAsia"/>
          <w:b w:val="0"/>
          <w:bCs/>
          <w:color w:val="auto"/>
          <w:kern w:val="2"/>
          <w:sz w:val="24"/>
          <w:szCs w:val="24"/>
          <w:lang w:val="en-US" w:eastAsia="zh-CN" w:bidi="ar-SA"/>
        </w:rPr>
        <w:t>。</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w:t>
      </w:r>
      <w:r>
        <w:rPr>
          <w:rFonts w:asciiTheme="minorEastAsia" w:hAnsiTheme="minorEastAsia" w:eastAsiaTheme="minorEastAsia"/>
          <w:b/>
          <w:color w:val="auto"/>
          <w:sz w:val="24"/>
        </w:rPr>
        <w:t>、</w:t>
      </w:r>
      <w:r>
        <w:rPr>
          <w:rFonts w:hint="eastAsia" w:asciiTheme="minorEastAsia" w:hAnsiTheme="minorEastAsia" w:eastAsiaTheme="minorEastAsia"/>
          <w:b/>
          <w:color w:val="auto"/>
          <w:sz w:val="24"/>
        </w:rPr>
        <w:t>商务需求</w:t>
      </w:r>
    </w:p>
    <w:p>
      <w:pPr>
        <w:widowControl w:val="0"/>
        <w:snapToGrid w:val="0"/>
        <w:spacing w:line="360" w:lineRule="auto"/>
        <w:ind w:firstLine="482" w:firstLineChars="200"/>
        <w:jc w:val="both"/>
        <w:outlineLvl w:val="0"/>
        <w:rPr>
          <w:rFonts w:hint="default" w:asciiTheme="minorEastAsia" w:hAnsiTheme="minorEastAsia" w:eastAsiaTheme="minorEastAsia" w:cstheme="minorBidi"/>
          <w:color w:val="auto"/>
          <w:kern w:val="0"/>
          <w:sz w:val="24"/>
          <w:szCs w:val="24"/>
          <w:lang w:val="en-US" w:eastAsia="zh-CN" w:bidi="ar-SA"/>
        </w:rPr>
      </w:pPr>
      <w:r>
        <w:rPr>
          <w:rFonts w:hint="eastAsia" w:asciiTheme="minorEastAsia" w:hAnsiTheme="minorEastAsia" w:eastAsiaTheme="minorEastAsia" w:cstheme="minorBidi"/>
          <w:b/>
          <w:color w:val="auto"/>
          <w:kern w:val="2"/>
          <w:sz w:val="24"/>
          <w:szCs w:val="24"/>
          <w:lang w:val="en-US" w:eastAsia="zh-CN" w:bidi="ar-SA"/>
        </w:rPr>
        <w:t>（一）服务期：</w:t>
      </w:r>
      <w:r>
        <w:rPr>
          <w:rFonts w:hint="eastAsia" w:asciiTheme="minorEastAsia" w:hAnsiTheme="minorEastAsia" w:eastAsiaTheme="minorEastAsia" w:cstheme="minorBidi"/>
          <w:b w:val="0"/>
          <w:bCs/>
          <w:color w:val="auto"/>
          <w:kern w:val="2"/>
          <w:sz w:val="24"/>
          <w:szCs w:val="24"/>
          <w:lang w:val="en-US" w:eastAsia="zh-CN" w:bidi="ar-SA"/>
        </w:rPr>
        <w:t>自合同签订之日起1年。</w:t>
      </w:r>
    </w:p>
    <w:p>
      <w:pPr>
        <w:widowControl w:val="0"/>
        <w:snapToGrid w:val="0"/>
        <w:spacing w:line="360" w:lineRule="auto"/>
        <w:ind w:firstLine="482" w:firstLineChars="200"/>
        <w:jc w:val="both"/>
        <w:outlineLvl w:val="0"/>
        <w:rPr>
          <w:rFonts w:asciiTheme="minorEastAsia" w:hAnsiTheme="minorEastAsia" w:eastAsiaTheme="minorEastAsia" w:cstheme="minorBidi"/>
          <w:color w:val="auto"/>
          <w:kern w:val="0"/>
          <w:sz w:val="24"/>
          <w:szCs w:val="24"/>
          <w:lang w:val="en-US" w:eastAsia="zh-CN" w:bidi="ar-SA"/>
        </w:rPr>
      </w:pPr>
      <w:r>
        <w:rPr>
          <w:rFonts w:hint="eastAsia" w:asciiTheme="minorEastAsia" w:hAnsiTheme="minorEastAsia" w:eastAsiaTheme="minorEastAsia" w:cstheme="minorBidi"/>
          <w:b/>
          <w:color w:val="auto"/>
          <w:kern w:val="0"/>
          <w:sz w:val="24"/>
          <w:szCs w:val="24"/>
          <w:lang w:val="en-US" w:eastAsia="zh-CN" w:bidi="ar-SA"/>
        </w:rPr>
        <w:t>（二）签订时间：</w:t>
      </w:r>
      <w:r>
        <w:rPr>
          <w:rFonts w:hint="eastAsia" w:ascii="宋体" w:hAnsi="宋体" w:eastAsia="宋体" w:cs="宋体"/>
          <w:color w:val="auto"/>
          <w:kern w:val="2"/>
          <w:sz w:val="24"/>
          <w:szCs w:val="24"/>
          <w:lang w:val="en-US" w:eastAsia="zh-CN" w:bidi="ar-SA"/>
        </w:rPr>
        <w:t>中标后，1个月内正式签订合同并签发保单</w:t>
      </w:r>
      <w:r>
        <w:rPr>
          <w:rFonts w:hint="eastAsia" w:asciiTheme="minorEastAsia" w:hAnsiTheme="minorEastAsia" w:eastAsiaTheme="minorEastAsia" w:cstheme="minorBidi"/>
          <w:color w:val="auto"/>
          <w:kern w:val="0"/>
          <w:sz w:val="24"/>
          <w:szCs w:val="24"/>
          <w:lang w:val="en-US" w:eastAsia="zh-CN" w:bidi="ar-SA"/>
        </w:rPr>
        <w:t>。</w:t>
      </w:r>
    </w:p>
    <w:p>
      <w:pPr>
        <w:widowControl w:val="0"/>
        <w:snapToGrid w:val="0"/>
        <w:spacing w:line="360" w:lineRule="auto"/>
        <w:ind w:firstLine="482" w:firstLineChars="200"/>
        <w:jc w:val="both"/>
        <w:outlineLvl w:val="0"/>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Bidi"/>
          <w:b/>
          <w:color w:val="auto"/>
          <w:kern w:val="0"/>
          <w:sz w:val="24"/>
          <w:szCs w:val="24"/>
          <w:lang w:val="en-US" w:eastAsia="zh-CN" w:bidi="ar-SA"/>
        </w:rPr>
        <w:t>（三）</w:t>
      </w:r>
      <w:r>
        <w:rPr>
          <w:rFonts w:hint="eastAsia" w:asciiTheme="minorEastAsia" w:hAnsiTheme="minorEastAsia" w:eastAsiaTheme="minorEastAsia" w:cstheme="minorBidi"/>
          <w:b/>
          <w:color w:val="auto"/>
          <w:kern w:val="2"/>
          <w:sz w:val="24"/>
          <w:szCs w:val="24"/>
          <w:lang w:val="en-US" w:eastAsia="zh-CN" w:bidi="ar-SA"/>
        </w:rPr>
        <w:t>付款条件：</w:t>
      </w:r>
      <w:r>
        <w:rPr>
          <w:rFonts w:hint="eastAsia" w:asciiTheme="minorEastAsia" w:hAnsiTheme="minorEastAsia" w:eastAsiaTheme="minorEastAsia" w:cstheme="minorBidi"/>
          <w:bCs/>
          <w:color w:val="auto"/>
          <w:kern w:val="2"/>
          <w:sz w:val="24"/>
          <w:szCs w:val="24"/>
          <w:lang w:val="en-US" w:eastAsia="zh-CN" w:bidi="ar-SA"/>
        </w:rPr>
        <w:t>合同签订</w:t>
      </w:r>
      <w:r>
        <w:rPr>
          <w:rFonts w:hint="eastAsia" w:asciiTheme="minorEastAsia" w:hAnsiTheme="minorEastAsia" w:eastAsiaTheme="minorEastAsia" w:cstheme="minorBidi"/>
          <w:color w:val="auto"/>
          <w:kern w:val="0"/>
          <w:sz w:val="24"/>
          <w:szCs w:val="24"/>
          <w:lang w:val="en-US" w:eastAsia="zh-CN" w:bidi="ar-SA"/>
        </w:rPr>
        <w:t>后1个月内预付合同款项的40</w:t>
      </w:r>
      <w:r>
        <w:rPr>
          <w:rFonts w:hint="eastAsia" w:ascii="宋体" w:hAnsi="宋体" w:eastAsia="宋体" w:cs="宋体"/>
          <w:color w:val="auto"/>
          <w:kern w:val="2"/>
          <w:sz w:val="24"/>
          <w:szCs w:val="24"/>
          <w:lang w:val="en-US" w:eastAsia="zh-CN" w:bidi="ar-SA"/>
        </w:rPr>
        <w:t>%</w:t>
      </w:r>
      <w:r>
        <w:rPr>
          <w:rFonts w:hint="eastAsia" w:asciiTheme="minorEastAsia" w:hAnsiTheme="minorEastAsia" w:eastAsiaTheme="minorEastAsia" w:cstheme="minorBidi"/>
          <w:color w:val="auto"/>
          <w:kern w:val="0"/>
          <w:sz w:val="24"/>
          <w:szCs w:val="24"/>
          <w:lang w:val="en-US" w:eastAsia="zh-CN" w:bidi="ar-SA"/>
        </w:rPr>
        <w:t>，</w:t>
      </w:r>
      <w:r>
        <w:rPr>
          <w:rFonts w:hint="eastAsia" w:ascii="宋体" w:hAnsi="宋体" w:eastAsia="宋体" w:cs="宋体"/>
          <w:color w:val="auto"/>
          <w:kern w:val="2"/>
          <w:sz w:val="24"/>
          <w:szCs w:val="24"/>
          <w:lang w:val="en-US" w:eastAsia="zh-CN" w:bidi="ar-SA"/>
        </w:rPr>
        <w:t>2023年6月底前支付剩余</w:t>
      </w:r>
      <w:r>
        <w:rPr>
          <w:rFonts w:hint="eastAsia" w:asciiTheme="minorEastAsia" w:hAnsiTheme="minorEastAsia" w:eastAsiaTheme="minorEastAsia" w:cstheme="minorBidi"/>
          <w:color w:val="auto"/>
          <w:kern w:val="0"/>
          <w:sz w:val="24"/>
          <w:szCs w:val="24"/>
          <w:lang w:val="en-US" w:eastAsia="zh-CN" w:bidi="ar-SA"/>
        </w:rPr>
        <w:t>合同款项的</w:t>
      </w:r>
      <w:r>
        <w:rPr>
          <w:rFonts w:hint="eastAsia" w:ascii="宋体" w:hAnsi="宋体" w:cs="宋体"/>
          <w:color w:val="auto"/>
          <w:kern w:val="2"/>
          <w:sz w:val="24"/>
          <w:szCs w:val="24"/>
          <w:lang w:val="en-US" w:eastAsia="zh-CN" w:bidi="ar-SA"/>
        </w:rPr>
        <w:t>60</w:t>
      </w:r>
      <w:r>
        <w:rPr>
          <w:rFonts w:hint="eastAsia" w:ascii="宋体" w:hAnsi="宋体" w:eastAsia="宋体" w:cs="宋体"/>
          <w:color w:val="auto"/>
          <w:kern w:val="2"/>
          <w:sz w:val="24"/>
          <w:szCs w:val="24"/>
          <w:lang w:val="en-US" w:eastAsia="zh-CN" w:bidi="ar-SA"/>
        </w:rPr>
        <w:t>%</w:t>
      </w:r>
      <w:r>
        <w:rPr>
          <w:rFonts w:hint="eastAsia" w:asciiTheme="minorEastAsia" w:hAnsiTheme="minorEastAsia" w:eastAsiaTheme="minorEastAsia" w:cstheme="minorBidi"/>
          <w:color w:val="auto"/>
          <w:kern w:val="0"/>
          <w:sz w:val="24"/>
          <w:szCs w:val="24"/>
          <w:lang w:val="en-US" w:eastAsia="zh-CN" w:bidi="ar-SA"/>
        </w:rPr>
        <w:t>。</w:t>
      </w:r>
      <w:r>
        <w:rPr>
          <w:rFonts w:hint="eastAsia" w:asciiTheme="minorEastAsia" w:hAnsiTheme="minorEastAsia" w:eastAsiaTheme="minorEastAsia" w:cstheme="minorBidi"/>
          <w:color w:val="auto"/>
          <w:kern w:val="0"/>
          <w:sz w:val="24"/>
          <w:szCs w:val="24"/>
          <w:lang w:val="en-US" w:eastAsia="zh-CN" w:bidi="ar-SA"/>
        </w:rPr>
        <w:br w:type="page"/>
      </w:r>
    </w:p>
    <w:p>
      <w:pPr>
        <w:rPr>
          <w:rFonts w:eastAsia="宋体"/>
          <w:color w:val="auto"/>
        </w:rPr>
      </w:pP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bookmarkEnd w:id="3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7"/>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六</w:t>
      </w:r>
      <w:r>
        <w:rPr>
          <w:rFonts w:hint="eastAsia" w:asciiTheme="minorEastAsia" w:hAnsiTheme="minorEastAsia" w:eastAsiaTheme="minorEastAsia"/>
          <w:kern w:val="0"/>
          <w:sz w:val="24"/>
        </w:rPr>
        <w:t>）投标参数未如实填写，完全复制粘贴招标参数的；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七</w:t>
      </w:r>
      <w:r>
        <w:rPr>
          <w:rFonts w:hint="eastAsia" w:asciiTheme="minorEastAsia" w:hAnsiTheme="minorEastAsia" w:eastAsiaTheme="minorEastAsia"/>
          <w:kern w:val="0"/>
          <w:sz w:val="24"/>
        </w:rPr>
        <w:t xml:space="preserve">）投标文件存在虚假材料的；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八</w:t>
      </w:r>
      <w:r>
        <w:rPr>
          <w:rFonts w:hint="eastAsia" w:asciiTheme="minorEastAsia" w:hAnsiTheme="minorEastAsia" w:eastAsiaTheme="minorEastAsia"/>
          <w:kern w:val="0"/>
          <w:sz w:val="24"/>
        </w:rPr>
        <w:t>）有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九</w:t>
      </w:r>
      <w:r>
        <w:rPr>
          <w:rFonts w:asciiTheme="minorEastAsia" w:hAnsiTheme="minorEastAsia" w:eastAsiaTheme="minorEastAsia"/>
        </w:rPr>
        <w:t>）</w:t>
      </w:r>
      <w:r>
        <w:rPr>
          <w:rFonts w:cs="宋体"/>
        </w:rPr>
        <w:t>实质性要求（招标文件中打“▲”内容）不响应的；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一</w:t>
      </w:r>
      <w:r>
        <w:rPr>
          <w:rFonts w:hint="eastAsia" w:asciiTheme="minorEastAsia" w:hAnsiTheme="minorEastAsia" w:eastAsiaTheme="minorEastAsia"/>
          <w:kern w:val="0"/>
          <w:sz w:val="24"/>
          <w:szCs w:val="24"/>
        </w:rPr>
        <w:t>）投标文件有效期不足的；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二</w:t>
      </w:r>
      <w:r>
        <w:rPr>
          <w:rFonts w:hint="eastAsia" w:asciiTheme="minorEastAsia" w:hAnsiTheme="minorEastAsia" w:eastAsiaTheme="minorEastAsia"/>
          <w:kern w:val="0"/>
          <w:sz w:val="24"/>
          <w:szCs w:val="24"/>
        </w:rPr>
        <w:t>）逾期或未按要求提交投标文件的；</w:t>
      </w:r>
    </w:p>
    <w:p>
      <w:pPr>
        <w:pStyle w:val="7"/>
        <w:spacing w:line="360" w:lineRule="auto"/>
        <w:ind w:firstLine="480" w:firstLineChars="200"/>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lang w:val="en-US" w:eastAsia="zh-CN"/>
        </w:rPr>
        <w:t>（十三）投标人在本项目当前标项之前的标项中已成为中标人或被推荐为第一中标候选人的；</w:t>
      </w:r>
    </w:p>
    <w:p>
      <w:pPr>
        <w:pStyle w:val="7"/>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四</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2</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8"/>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092"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092" w:type="dxa"/>
            <w:shd w:val="clear" w:color="auto" w:fill="F6F6F6"/>
            <w:tcMar>
              <w:top w:w="57" w:type="dxa"/>
              <w:left w:w="108" w:type="dxa"/>
              <w:bottom w:w="0" w:type="dxa"/>
              <w:right w:w="108" w:type="dxa"/>
            </w:tcMar>
            <w:vAlign w:val="center"/>
          </w:tcPr>
          <w:p>
            <w:pPr>
              <w:pStyle w:val="19"/>
              <w:keepNext w:val="0"/>
              <w:keepLines w:val="0"/>
              <w:pageBreakBefore w:val="0"/>
              <w:widowControl w:val="0"/>
              <w:kinsoku/>
              <w:wordWrap/>
              <w:overflowPunct/>
              <w:topLinePunct w:val="0"/>
              <w:autoSpaceDE/>
              <w:autoSpaceDN/>
              <w:bidi w:val="0"/>
              <w:adjustRightInd/>
              <w:snapToGrid w:val="0"/>
              <w:spacing w:after="0" w:line="260" w:lineRule="exact"/>
              <w:ind w:left="0" w:leftChars="0" w:firstLine="420" w:firstLineChars="200"/>
              <w:textAlignment w:val="auto"/>
              <w:rPr>
                <w:rFonts w:hint="eastAsia"/>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提供具有良好的商业信誉和健全的财务会计制度的承诺函</w:t>
            </w:r>
            <w:r>
              <w:rPr>
                <w:rFonts w:hint="eastAsia" w:ascii="宋体" w:hAnsi="宋体" w:cs="宋体"/>
                <w:color w:val="000000" w:themeColor="text1"/>
                <w:kern w:val="2"/>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092"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092"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092"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092"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1.投标人必须为具有独立投标能力且持有相应保险业务经营许可证的，且获得</w:t>
            </w:r>
            <w:r>
              <w:rPr>
                <w:rFonts w:hint="eastAsia" w:ascii="宋体" w:hAnsi="宋体" w:cs="宋体"/>
                <w:color w:val="000000" w:themeColor="text1"/>
                <w:sz w:val="21"/>
                <w:szCs w:val="21"/>
                <w:lang w:val="en-US" w:eastAsia="zh-CN"/>
                <w14:textFill>
                  <w14:solidFill>
                    <w14:schemeClr w14:val="tx1"/>
                  </w14:solidFill>
                </w14:textFill>
              </w:rPr>
              <w:t>总</w:t>
            </w:r>
            <w:r>
              <w:rPr>
                <w:rFonts w:hint="eastAsia"/>
                <w:lang w:val="en-US" w:eastAsia="zh-CN"/>
              </w:rPr>
              <w:t>公司关于本项目唯一授权</w:t>
            </w:r>
            <w:r>
              <w:rPr>
                <w:rFonts w:hint="eastAsia" w:ascii="宋体" w:hAnsi="宋体" w:eastAsia="宋体" w:cs="宋体"/>
                <w:color w:val="000000" w:themeColor="text1"/>
                <w:sz w:val="21"/>
                <w:szCs w:val="21"/>
                <w:lang w:val="en-US" w:eastAsia="zh-CN"/>
                <w14:textFill>
                  <w14:solidFill>
                    <w14:schemeClr w14:val="tx1"/>
                  </w14:solidFill>
                </w14:textFill>
              </w:rPr>
              <w:t>的地市级保险机构。</w:t>
            </w:r>
            <w:r>
              <w:rPr>
                <w:rFonts w:hint="eastAsia" w:ascii="宋体" w:hAnsi="宋体" w:cs="宋体"/>
                <w:color w:val="000000" w:themeColor="text1"/>
                <w:sz w:val="21"/>
                <w:szCs w:val="21"/>
                <w:lang w:val="en-US" w:eastAsia="zh-CN"/>
                <w14:textFill>
                  <w14:solidFill>
                    <w14:schemeClr w14:val="tx1"/>
                  </w14:solidFill>
                </w14:textFill>
              </w:rPr>
              <w:t>（需提供相关许可证及授权书等材料）</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spacing w:val="0"/>
                <w:w w:val="100"/>
                <w:sz w:val="21"/>
                <w:szCs w:val="21"/>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总公司</w:t>
            </w:r>
            <w:r>
              <w:rPr>
                <w:rFonts w:hint="eastAsia" w:ascii="宋体" w:hAnsi="宋体" w:cs="宋体"/>
                <w:color w:val="000000" w:themeColor="text1"/>
                <w:sz w:val="21"/>
                <w:szCs w:val="21"/>
                <w:lang w:val="en-US" w:eastAsia="zh-CN"/>
                <w14:textFill>
                  <w14:solidFill>
                    <w14:schemeClr w14:val="tx1"/>
                  </w14:solidFill>
                </w14:textFill>
              </w:rPr>
              <w:t>近</w:t>
            </w:r>
            <w:r>
              <w:rPr>
                <w:rFonts w:hint="eastAsia" w:ascii="宋体" w:hAnsi="宋体" w:eastAsia="宋体" w:cs="宋体"/>
                <w:color w:val="000000" w:themeColor="text1"/>
                <w:sz w:val="21"/>
                <w:szCs w:val="21"/>
                <w:lang w:val="en-US" w:eastAsia="zh-CN"/>
                <w14:textFill>
                  <w14:solidFill>
                    <w14:schemeClr w14:val="tx1"/>
                  </w14:solidFill>
                </w14:textFill>
              </w:rPr>
              <w:t>2年</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2021）</w:t>
            </w:r>
            <w:r>
              <w:rPr>
                <w:rFonts w:hint="eastAsia" w:ascii="宋体" w:hAnsi="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综合</w:t>
            </w:r>
            <w:r>
              <w:rPr>
                <w:rFonts w:hint="eastAsia" w:ascii="宋体" w:hAnsi="宋体" w:eastAsia="宋体" w:cs="宋体"/>
                <w:color w:val="000000" w:themeColor="text1"/>
                <w:sz w:val="21"/>
                <w:szCs w:val="21"/>
                <w14:textFill>
                  <w14:solidFill>
                    <w14:schemeClr w14:val="tx1"/>
                  </w14:solidFill>
                </w14:textFill>
              </w:rPr>
              <w:t>偿付能力充足率均需高于100%。</w:t>
            </w:r>
            <w:r>
              <w:rPr>
                <w:rFonts w:hint="eastAsia" w:ascii="宋体" w:hAnsi="宋体" w:eastAsia="宋体" w:cs="宋体"/>
                <w:color w:val="000000" w:themeColor="text1"/>
                <w:sz w:val="21"/>
                <w:szCs w:val="21"/>
                <w:lang w:val="en-US" w:eastAsia="zh-CN"/>
                <w14:textFill>
                  <w14:solidFill>
                    <w14:schemeClr w14:val="tx1"/>
                  </w14:solidFill>
                </w14:textFill>
              </w:rPr>
              <w:t>（需提供综合偿付能力报告等相关证明材料</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信用记录</w:t>
            </w:r>
          </w:p>
        </w:tc>
        <w:tc>
          <w:tcPr>
            <w:tcW w:w="7092" w:type="dxa"/>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092" w:type="dxa"/>
            <w:shd w:val="clear" w:color="auto" w:fill="F6F6F6"/>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keepNext w:val="0"/>
              <w:keepLines w:val="0"/>
              <w:pageBreakBefore w:val="0"/>
              <w:widowControl w:val="0"/>
              <w:kinsoku/>
              <w:wordWrap/>
              <w:overflowPunct/>
              <w:topLinePunct w:val="0"/>
              <w:autoSpaceDE/>
              <w:autoSpaceDN/>
              <w:bidi w:val="0"/>
              <w:adjustRightInd/>
              <w:snapToGrid w:val="0"/>
              <w:spacing w:line="260" w:lineRule="exact"/>
              <w:ind w:firstLine="420" w:firstLineChars="200"/>
              <w:textAlignment w:val="auto"/>
              <w:rPr>
                <w:rFonts w:hint="eastAsia" w:ascii="宋体" w:hAnsi="宋体" w:eastAsia="宋体" w:cs="宋体"/>
                <w:spacing w:val="0"/>
                <w:w w:val="100"/>
                <w:sz w:val="21"/>
                <w:szCs w:val="21"/>
              </w:rPr>
            </w:pPr>
            <w:r>
              <w:rPr>
                <w:rFonts w:hint="eastAsia" w:ascii="宋体" w:hAnsi="宋体" w:eastAsia="宋体" w:cs="宋体"/>
                <w:color w:val="000000" w:themeColor="text1"/>
                <w:sz w:val="21"/>
                <w:szCs w:val="21"/>
                <w14:textFill>
                  <w14:solidFill>
                    <w14:schemeClr w14:val="tx1"/>
                  </w14:solidFill>
                </w14:textFill>
              </w:rPr>
              <w:t>3.投标（报价）文件相关承诺要求内容（以联合体形式投标时，联合体各方均须满足该条款）。</w:t>
            </w:r>
          </w:p>
        </w:tc>
      </w:tr>
    </w:tbl>
    <w:p>
      <w:pPr>
        <w:pStyle w:val="8"/>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5"/>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lang w:val="en-US" w:eastAsia="zh-CN"/>
              </w:rPr>
            </w:pPr>
            <w:r>
              <w:rPr>
                <w:rFonts w:hint="eastAsia" w:cs="宋体"/>
                <w:spacing w:val="0"/>
                <w:w w:val="100"/>
                <w:sz w:val="21"/>
                <w:szCs w:val="21"/>
                <w:lang w:val="en-US" w:eastAsia="zh-CN"/>
              </w:rPr>
              <w:t>兼投不兼中</w:t>
            </w:r>
          </w:p>
        </w:tc>
        <w:tc>
          <w:tcPr>
            <w:tcW w:w="7183" w:type="dxa"/>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投标人在本项目当前标项之前的标项中已成为中标人或被推荐为</w:t>
            </w:r>
            <w:r>
              <w:rPr>
                <w:rFonts w:hint="eastAsia" w:ascii="宋体" w:hAnsi="宋体" w:cs="宋体"/>
                <w:spacing w:val="0"/>
                <w:w w:val="100"/>
                <w:sz w:val="21"/>
                <w:szCs w:val="21"/>
                <w:lang w:val="en-US" w:eastAsia="zh-CN"/>
              </w:rPr>
              <w:t>第一</w:t>
            </w:r>
            <w:r>
              <w:rPr>
                <w:rFonts w:hint="eastAsia" w:ascii="宋体" w:hAnsi="宋体" w:eastAsia="宋体" w:cs="宋体"/>
                <w:spacing w:val="0"/>
                <w:w w:val="100"/>
                <w:sz w:val="21"/>
                <w:szCs w:val="21"/>
              </w:rPr>
              <w:t>中标候选人的，当前标项的投标无效。</w:t>
            </w:r>
          </w:p>
        </w:tc>
      </w:tr>
    </w:tbl>
    <w:p>
      <w:pPr>
        <w:pStyle w:val="17"/>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1"/>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项目评标方法为综合评分法，总计100分，评标按以下标准进行：</w:t>
      </w:r>
    </w:p>
    <w:tbl>
      <w:tblPr>
        <w:tblStyle w:val="20"/>
        <w:tblW w:w="897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70"/>
        <w:gridCol w:w="668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shd w:val="clear" w:color="auto" w:fill="C8C8C8" w:themeFill="accent3" w:themeFillTint="99"/>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kern w:val="2"/>
                <w:sz w:val="21"/>
                <w:szCs w:val="18"/>
                <w:lang w:val="en-US" w:eastAsia="zh-CN" w:bidi="ar-SA"/>
              </w:rPr>
            </w:pPr>
            <w:r>
              <w:rPr>
                <w:rFonts w:hint="eastAsia" w:ascii="宋体" w:hAnsi="宋体" w:eastAsia="宋体" w:cs="宋体"/>
                <w:b/>
                <w:szCs w:val="18"/>
              </w:rPr>
              <w:t>评分项目</w:t>
            </w:r>
          </w:p>
        </w:tc>
        <w:tc>
          <w:tcPr>
            <w:tcW w:w="7552" w:type="dxa"/>
            <w:gridSpan w:val="2"/>
            <w:shd w:val="clear" w:color="auto" w:fill="C8C8C8" w:themeFill="accent3" w:themeFillTint="99"/>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kern w:val="2"/>
                <w:sz w:val="21"/>
                <w:szCs w:val="18"/>
                <w:lang w:val="en-US" w:eastAsia="zh-CN" w:bidi="ar-SA"/>
              </w:rPr>
            </w:pPr>
            <w:r>
              <w:rPr>
                <w:rFonts w:hint="eastAsia" w:ascii="宋体" w:hAnsi="宋体" w:eastAsia="宋体" w:cs="宋体"/>
                <w:b/>
                <w:szCs w:val="18"/>
              </w:rPr>
              <w:t>评分细则</w:t>
            </w:r>
          </w:p>
        </w:tc>
        <w:tc>
          <w:tcPr>
            <w:tcW w:w="735" w:type="dxa"/>
            <w:shd w:val="clear" w:color="auto" w:fill="C8C8C8" w:themeFill="accent3" w:themeFillTint="99"/>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kern w:val="2"/>
                <w:sz w:val="21"/>
                <w:szCs w:val="18"/>
                <w:lang w:val="en-US" w:eastAsia="zh-CN" w:bidi="ar-SA"/>
              </w:rPr>
            </w:pPr>
            <w:r>
              <w:rPr>
                <w:rFonts w:hint="eastAsia" w:ascii="宋体" w:hAnsi="宋体" w:eastAsia="宋体" w:cs="宋体"/>
                <w:b/>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restart"/>
            <w:tcMar>
              <w:top w:w="57" w:type="dxa"/>
              <w:left w:w="108" w:type="dxa"/>
              <w:bottom w:w="57" w:type="dxa"/>
              <w:right w:w="108" w:type="dxa"/>
            </w:tcMar>
            <w:vAlign w:val="center"/>
          </w:tcPr>
          <w:p>
            <w:pPr>
              <w:pStyle w:val="7"/>
              <w:keepNext w:val="0"/>
              <w:keepLines w:val="0"/>
              <w:pageBreakBefore w:val="0"/>
              <w:kinsoku/>
              <w:wordWrap/>
              <w:overflowPunct/>
              <w:topLinePunct w:val="0"/>
              <w:bidi w:val="0"/>
              <w:adjustRightInd/>
              <w:snapToGrid/>
              <w:spacing w:line="280" w:lineRule="exact"/>
              <w:ind w:firstLine="0"/>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技术</w:t>
            </w:r>
            <w:r>
              <w:rPr>
                <w:rFonts w:hint="eastAsia" w:ascii="宋体" w:hAnsi="宋体" w:eastAsia="宋体" w:cs="宋体"/>
                <w:b/>
                <w:bCs/>
                <w:color w:val="000000" w:themeColor="text1"/>
                <w:highlight w:val="none"/>
                <w:lang w:val="en-US" w:eastAsia="zh-CN"/>
                <w14:textFill>
                  <w14:solidFill>
                    <w14:schemeClr w14:val="tx1"/>
                  </w14:solidFill>
                </w14:textFill>
              </w:rPr>
              <w:t>方案</w:t>
            </w:r>
          </w:p>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44</w:t>
            </w:r>
            <w:r>
              <w:rPr>
                <w:rFonts w:hint="eastAsia" w:ascii="宋体" w:hAnsi="宋体" w:eastAsia="宋体" w:cs="宋体"/>
                <w:b/>
                <w:bCs/>
                <w:color w:val="000000" w:themeColor="text1"/>
                <w:szCs w:val="21"/>
                <w:highlight w:val="none"/>
                <w14:textFill>
                  <w14:solidFill>
                    <w14:schemeClr w14:val="tx1"/>
                  </w14:solidFill>
                </w14:textFill>
              </w:rPr>
              <w:t>分</w:t>
            </w:r>
          </w:p>
        </w:tc>
        <w:tc>
          <w:tcPr>
            <w:tcW w:w="870"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需求分析</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根据投标人对本项目需求了解情况及难点分析进行综合评分：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1.对需求了解非常透彻、全面，重点难点分析非常到位、阐述全面，能提出更优方案或工作思路，完全适用且优于本项目采购需求的，得5-</w:t>
            </w:r>
            <w:r>
              <w:rPr>
                <w:rFonts w:hint="eastAsia" w:ascii="宋体" w:hAnsi="宋体" w:eastAsia="宋体" w:cs="宋体"/>
                <w:color w:val="000000" w:themeColor="text1"/>
                <w:szCs w:val="21"/>
                <w:highlight w:val="none"/>
                <w:lang w:val="en-US" w:eastAsia="zh"/>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2.对需求了解，重点难点分析基本到位、阐述基本全面，适用本项目采购需求的，得</w:t>
            </w:r>
            <w:r>
              <w:rPr>
                <w:rFonts w:hint="eastAsia" w:ascii="宋体" w:hAnsi="宋体" w:eastAsia="宋体" w:cs="宋体"/>
                <w:color w:val="000000" w:themeColor="text1"/>
                <w:szCs w:val="21"/>
                <w:highlight w:val="none"/>
                <w:lang w:val="en-US" w:eastAsia="zh"/>
                <w14:textFill>
                  <w14:solidFill>
                    <w14:schemeClr w14:val="tx1"/>
                  </w14:solidFill>
                </w14:textFill>
              </w:rPr>
              <w:t>2.9</w:t>
            </w:r>
            <w:r>
              <w:rPr>
                <w:rFonts w:hint="eastAsia" w:ascii="宋体" w:hAnsi="宋体" w:eastAsia="宋体" w:cs="宋体"/>
                <w:color w:val="000000" w:themeColor="text1"/>
                <w:szCs w:val="21"/>
                <w:highlight w:val="none"/>
                <w:lang w:val="en-US" w:eastAsia="zh-CN"/>
                <w14:textFill>
                  <w14:solidFill>
                    <w14:schemeClr w14:val="tx1"/>
                  </w14:solidFill>
                </w14:textFill>
              </w:rPr>
              <w:t>-1分；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3.对需求不了解，重点难点分析不到位，不适用本项目采购需求，或无重点难点分析的，得0</w:t>
            </w:r>
            <w:r>
              <w:rPr>
                <w:rFonts w:hint="eastAsia" w:ascii="宋体" w:hAnsi="宋体" w:eastAsia="宋体" w:cs="宋体"/>
                <w:color w:val="000000" w:themeColor="text1"/>
                <w:szCs w:val="21"/>
                <w:highlight w:val="none"/>
                <w:lang w:val="en-US" w:eastAsia="zh"/>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-0分。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承保方案</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根据投标人提供的承保方案进行综合评分：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1.方案内容、保障方案内容描述详细、全面，服务保证措施、风险管控体系完善，能提供稳健</w:t>
            </w:r>
            <w:r>
              <w:rPr>
                <w:rFonts w:hint="eastAsia"/>
                <w:lang w:val="en-US" w:eastAsia="zh-CN"/>
              </w:rPr>
              <w:t>的</w:t>
            </w:r>
            <w:r>
              <w:rPr>
                <w:rFonts w:hint="eastAsia" w:ascii="宋体" w:hAnsi="宋体" w:eastAsia="宋体" w:cs="宋体"/>
                <w:color w:val="000000" w:themeColor="text1"/>
                <w:szCs w:val="21"/>
                <w:highlight w:val="none"/>
                <w:lang w:val="en-US" w:eastAsia="zh-CN"/>
                <w14:textFill>
                  <w14:solidFill>
                    <w14:schemeClr w14:val="tx1"/>
                  </w14:solidFill>
                </w14:textFill>
              </w:rPr>
              <w:t>大灾风险安排规划，以及完备的大灾风险应对预案，完全适用且优于本项目采购需求的，得8-6分；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2.方案内容、保障方案内容描述较详细、全面，服务保证措施、风险管控体系相对完善，有大灾风险安排规划和大灾风险应对预案的，得5.9-4分；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3.方案内容、保障方案内容描述完整，服务保证措施一般，大灾风险安排规划和大灾风险应对预案不够完备或无大灾风险安排规划和大灾风险应对预案的，得3.9-1.5分；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4.方案内容、保障方案内容描述不完整，服务保证措施不完善或无服务保证措施，且无大灾风险安排规划和大灾风险应对预案的，得1.4-0分。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vMerge w:val="restart"/>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服务方案</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按照“保险+服务”要求，根据投标人提供的关于完善保险服务网络、提高灾害预防水平、强化社会救援能力、提升全民防灾意识四项服务要求的服务方案，针对上述四项分别进行赋分：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1.服务方案完全满足采购需求，可行性强，且能够在原有要求上提出增强或创新方案的，得4-3分；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2.服务方案完全满足采购需求，可行性较强的，得2.9-2分；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3.服务方案部分满足采购需求的，得1.9-0分；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4.服务方案不满足采购需求的，此项不得分。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本项评分项为四项服务要求方案满足情况相加，最高得16分。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vMerge w:val="continue"/>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根据投标人提供的其他服务方案进行综合评分：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1.其他服务方案完全满足且优于采购需求，设立专人负责机制，内容丰富、可行性强、针对性强，其中理赔项目或索赔时效年限或售后服务等方面的可行增值方案数量丰富的，得5-4分；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2.其他服务方案完全满足采购需求，设立专人负责机制，其中理赔项目或索赔时效年限或售后服务等方面的可行增值方案数量一般的，得3.9-2分；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3.其他服务方案能够满足采购需求，无专人负责机制,其中理赔项目或索赔时效年限或售后服务等方面无可行增值方案的，得1.9-0分；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4.其他服务方案不能完全满足采购需求的，得0分。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保险业务管理规章制度</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根据投标人提供的保险业务管理规章制度进行综合评分：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1.投标人提供的保险业务管理规章制度完备、规范，涵盖业务管理、信息管理、单证管理、风险管理、客户服务的，具有针对财产损失保险管理办法等的，得5-3.5分；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2.投标人提供的保险业务管理规章制度较完备，涵盖业务管理、信息管理、单证管理、风险管理、客户服务的，得3.4-1.5分；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3.投标人提供的保险业务管理规章制度简单，设有承保管理、理赔管理的，得1.4-0分。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理赔服务措施</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根据投标人提供的理赔服务措施进行综合评分：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1.理赔服务措施在满足采购基本要求的前提下，内容丰富，理赔程序清晰、简便迅速，能有效预计到可能出现的各种问题，对于收到被保险人提交的有效齐全的理赔资料后2日内完成理赔，得5-3分；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2.理赔服务措施在满足采购基本要求的前提下，理赔程序规范，理赔速度较快，有一定优势，对于收到被保险人提交的有效齐全的理赔资料后均能在3日内完成理赔的，得2.9-1分；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3.理赔服务措施仅满足采购基本要求或无理赔服务措施的，得0.9-0分。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restart"/>
            <w:tcMar>
              <w:top w:w="57" w:type="dxa"/>
              <w:left w:w="108" w:type="dxa"/>
              <w:bottom w:w="57" w:type="dxa"/>
              <w:right w:w="108" w:type="dxa"/>
            </w:tcMar>
            <w:vAlign w:val="center"/>
          </w:tcPr>
          <w:p>
            <w:pPr>
              <w:pStyle w:val="7"/>
              <w:keepNext w:val="0"/>
              <w:keepLines w:val="0"/>
              <w:pageBreakBefore w:val="0"/>
              <w:kinsoku/>
              <w:wordWrap/>
              <w:overflowPunct/>
              <w:topLinePunct w:val="0"/>
              <w:bidi w:val="0"/>
              <w:adjustRightInd/>
              <w:snapToGrid/>
              <w:spacing w:line="280" w:lineRule="exact"/>
              <w:ind w:firstLine="0"/>
              <w:jc w:val="center"/>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实力信誉及业绩</w:t>
            </w:r>
          </w:p>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cs="宋体"/>
                <w:b/>
                <w:bCs/>
                <w:color w:val="000000" w:themeColor="text1"/>
                <w:szCs w:val="21"/>
                <w:highlight w:val="none"/>
                <w:lang w:val="en-US" w:eastAsia="zh-CN"/>
                <w14:textFill>
                  <w14:solidFill>
                    <w14:schemeClr w14:val="tx1"/>
                  </w14:solidFill>
                </w14:textFill>
              </w:rPr>
              <w:t>1.5</w:t>
            </w:r>
            <w:r>
              <w:rPr>
                <w:rFonts w:hint="eastAsia" w:ascii="宋体" w:hAnsi="宋体" w:eastAsia="宋体" w:cs="宋体"/>
                <w:b/>
                <w:bCs/>
                <w:color w:val="000000" w:themeColor="text1"/>
                <w:szCs w:val="21"/>
                <w:highlight w:val="none"/>
                <w14:textFill>
                  <w14:solidFill>
                    <w14:schemeClr w14:val="tx1"/>
                  </w14:solidFill>
                </w14:textFill>
              </w:rPr>
              <w:t>分</w:t>
            </w: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经验业绩</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投标人自2019年8月以来承保</w:t>
            </w:r>
            <w:r>
              <w:rPr>
                <w:rFonts w:hint="eastAsia" w:ascii="宋体" w:hAnsi="宋体" w:cs="宋体"/>
                <w:color w:val="000000" w:themeColor="text1"/>
                <w:szCs w:val="21"/>
                <w:highlight w:val="none"/>
                <w:lang w:val="en-US" w:eastAsia="zh-CN"/>
                <w14:textFill>
                  <w14:solidFill>
                    <w14:schemeClr w14:val="tx1"/>
                  </w14:solidFill>
                </w14:textFill>
              </w:rPr>
              <w:t>类似</w:t>
            </w:r>
            <w:r>
              <w:rPr>
                <w:rFonts w:hint="eastAsia" w:ascii="宋体" w:hAnsi="宋体" w:eastAsia="宋体" w:cs="宋体"/>
                <w:color w:val="000000" w:themeColor="text1"/>
                <w:szCs w:val="21"/>
                <w:highlight w:val="none"/>
                <w:lang w:val="en-US" w:eastAsia="zh-CN"/>
                <w14:textFill>
                  <w14:solidFill>
                    <w14:schemeClr w14:val="tx1"/>
                  </w14:solidFill>
                </w14:textFill>
              </w:rPr>
              <w:t>（巨灾指数类、巨灾民生救助类）（以合同签订时间为准）项目的，独家或首席承保的，每个项目得0.3分；非首席参与承保的，每个项目得0.1分，最高得1.5分。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（需提供合同及相关证明材料的原件扫描件，否则不得分）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综合偿付能力</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根据投标人总公司</w:t>
            </w:r>
            <w:r>
              <w:rPr>
                <w:rFonts w:hint="eastAsia" w:ascii="宋体" w:hAnsi="宋体" w:cs="宋体"/>
                <w:b w:val="0"/>
                <w:bCs w:val="0"/>
                <w:color w:val="000000" w:themeColor="text1"/>
                <w:szCs w:val="21"/>
                <w:highlight w:val="none"/>
                <w:lang w:val="en-US" w:eastAsia="zh-CN"/>
                <w14:textFill>
                  <w14:solidFill>
                    <w14:schemeClr w14:val="tx1"/>
                  </w14:solidFill>
                </w14:textFill>
              </w:rPr>
              <w:t>2020年及2021年</w:t>
            </w:r>
            <w:r>
              <w:rPr>
                <w:rFonts w:hint="eastAsia" w:ascii="宋体" w:hAnsi="宋体" w:eastAsia="宋体" w:cs="宋体"/>
                <w:color w:val="000000" w:themeColor="text1"/>
                <w:szCs w:val="21"/>
                <w:highlight w:val="none"/>
                <w:lang w:val="en-US" w:eastAsia="zh-CN"/>
                <w14:textFill>
                  <w14:solidFill>
                    <w14:schemeClr w14:val="tx1"/>
                  </w14:solidFill>
                </w14:textFill>
              </w:rPr>
              <w:t>的综合偿付能力充足率进行打分：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每一年度综合偿付能力充足率</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≥260%的，得3分；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200%≤每一年度综合偿付能力充足率＜260%的</w:t>
            </w:r>
            <w:r>
              <w:rPr>
                <w:rFonts w:hint="eastAsia" w:ascii="宋体" w:hAnsi="宋体" w:eastAsia="宋体" w:cs="宋体"/>
                <w:color w:val="000000" w:themeColor="text1"/>
                <w:szCs w:val="21"/>
                <w:highlight w:val="none"/>
                <w:lang w:val="en-US" w:eastAsia="zh-CN"/>
                <w14:textFill>
                  <w14:solidFill>
                    <w14:schemeClr w14:val="tx1"/>
                  </w14:solidFill>
                </w14:textFill>
              </w:rPr>
              <w:t>，得2分；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100%≤每一年度综合偿付能力充足率＜200%的，得1分。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需提供综合偿付能力报告等相关证明材料</w:t>
            </w:r>
            <w:r>
              <w:rPr>
                <w:rFonts w:hint="eastAsia" w:ascii="宋体" w:hAnsi="宋体" w:eastAsia="宋体" w:cs="宋体"/>
                <w:color w:val="000000" w:themeColor="text1"/>
                <w:szCs w:val="21"/>
                <w:highlight w:val="none"/>
                <w:lang w:val="en-US" w:eastAsia="zh-CN"/>
                <w14:textFill>
                  <w14:solidFill>
                    <w14:schemeClr w14:val="tx1"/>
                  </w14:solidFill>
                </w14:textFill>
              </w:rPr>
              <w:t>，未提供或无法证明的不得分）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综合</w:t>
            </w:r>
          </w:p>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评级</w:t>
            </w:r>
          </w:p>
        </w:tc>
        <w:tc>
          <w:tcPr>
            <w:tcW w:w="6682"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根据投保人总公司2021年度法人机构综合风险评级进行打分：A级得</w:t>
            </w:r>
            <w:r>
              <w:rPr>
                <w:rFonts w:hint="eastAsia" w:ascii="宋体" w:hAnsi="宋体" w:eastAsia="宋体" w:cs="宋体"/>
                <w:color w:val="000000" w:themeColor="text1"/>
                <w:kern w:val="2"/>
                <w:sz w:val="21"/>
                <w:szCs w:val="21"/>
                <w:highlight w:val="none"/>
                <w:lang w:val="en"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分，B级得</w:t>
            </w:r>
            <w:r>
              <w:rPr>
                <w:rFonts w:hint="eastAsia" w:ascii="宋体" w:hAnsi="宋体" w:eastAsia="宋体" w:cs="宋体"/>
                <w:color w:val="000000" w:themeColor="text1"/>
                <w:kern w:val="2"/>
                <w:sz w:val="21"/>
                <w:szCs w:val="21"/>
                <w:highlight w:val="none"/>
                <w:lang w:val="en"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.5分，C级得</w:t>
            </w:r>
            <w:r>
              <w:rPr>
                <w:rFonts w:hint="eastAsia" w:ascii="宋体" w:hAnsi="宋体" w:eastAsia="宋体" w:cs="宋体"/>
                <w:color w:val="000000" w:themeColor="text1"/>
                <w:kern w:val="2"/>
                <w:sz w:val="21"/>
                <w:szCs w:val="21"/>
                <w:highlight w:val="none"/>
                <w:lang w:val="en"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分，D级得</w:t>
            </w:r>
            <w:r>
              <w:rPr>
                <w:rFonts w:hint="eastAsia" w:ascii="宋体" w:hAnsi="宋体" w:eastAsia="宋体" w:cs="宋体"/>
                <w:color w:val="000000" w:themeColor="text1"/>
                <w:kern w:val="2"/>
                <w:sz w:val="21"/>
                <w:szCs w:val="21"/>
                <w:highlight w:val="none"/>
                <w:lang w:val="en"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w:t>
            </w:r>
            <w:r>
              <w:rPr>
                <w:rFonts w:hint="eastAsia" w:ascii="宋体" w:hAnsi="宋体" w:cs="宋体"/>
                <w:color w:val="000000" w:themeColor="text1"/>
                <w:szCs w:val="21"/>
                <w:highlight w:val="none"/>
                <w:lang w:val="en-US" w:eastAsia="zh-CN"/>
                <w14:textFill>
                  <w14:solidFill>
                    <w14:schemeClr w14:val="tx1"/>
                  </w14:solidFill>
                </w14:textFill>
              </w:rPr>
              <w:t>相关证明材料</w:t>
            </w:r>
            <w:r>
              <w:rPr>
                <w:rFonts w:hint="eastAsia" w:ascii="宋体" w:hAnsi="宋体" w:eastAsia="宋体" w:cs="宋体"/>
                <w:color w:val="000000" w:themeColor="text1"/>
                <w:szCs w:val="21"/>
                <w:highlight w:val="none"/>
                <w:lang w:val="en-US" w:eastAsia="zh-CN"/>
                <w14:textFill>
                  <w14:solidFill>
                    <w14:schemeClr w14:val="tx1"/>
                  </w14:solidFill>
                </w14:textFill>
              </w:rPr>
              <w:t>，否则不得分）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 w:eastAsia="zh-CN"/>
                <w14:textFill>
                  <w14:solidFill>
                    <w14:schemeClr w14:val="tx1"/>
                  </w14:solidFill>
                </w14:textFill>
              </w:rPr>
            </w:pPr>
            <w:r>
              <w:rPr>
                <w:rFonts w:hint="eastAsia" w:ascii="宋体" w:hAnsi="宋体" w:eastAsia="宋体" w:cs="宋体"/>
                <w:color w:val="000000" w:themeColor="text1"/>
                <w:szCs w:val="21"/>
                <w:highlight w:val="none"/>
                <w:lang w:val="en"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经营</w:t>
            </w:r>
          </w:p>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评价</w:t>
            </w:r>
          </w:p>
        </w:tc>
        <w:tc>
          <w:tcPr>
            <w:tcW w:w="6682"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根据投保人总公司2020年度保险公司法人机构经营评价结果打分：A级得</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分，B级得</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.5分，C级得</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分，D级得</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（需提供</w:t>
            </w:r>
            <w:r>
              <w:rPr>
                <w:rFonts w:hint="eastAsia" w:ascii="宋体" w:hAnsi="宋体" w:cs="宋体"/>
                <w:b w:val="0"/>
                <w:bCs w:val="0"/>
                <w:color w:val="000000" w:themeColor="text1"/>
                <w:szCs w:val="21"/>
                <w:highlight w:val="none"/>
                <w:lang w:val="en-US" w:eastAsia="zh-CN"/>
                <w14:textFill>
                  <w14:solidFill>
                    <w14:schemeClr w14:val="tx1"/>
                  </w14:solidFill>
                </w14:textFill>
              </w:rPr>
              <w:t>相关证明材料</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，否则不得分）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再保险支持</w:t>
            </w:r>
          </w:p>
        </w:tc>
        <w:tc>
          <w:tcPr>
            <w:tcW w:w="6682"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投标人提供再保险公司关于巨灾保险承接意向函的，根据再保人对所投标项再保承接比例进行打分: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再保承接比例</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≥50%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的，得5分；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40%</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再保承接比例</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＜50%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的，得4分；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30%</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再保承接比例</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＜40%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的，得3分；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4.</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20%</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再保承接比例</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＜30%</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的，得2分；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5.</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再保承接比例</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0%的，得1分；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未提供再保险公司关于巨灾保险承接意向函</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的，此项不得分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上级公司承担风险承诺</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投标人上级公司承诺当投标人无能力为本项目提供服务和风险保障时，由上级公司提供服务和风险保障。提供承诺的得 3分，未提供的不得分。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restart"/>
            <w:tcMar>
              <w:top w:w="57" w:type="dxa"/>
              <w:left w:w="108" w:type="dxa"/>
              <w:bottom w:w="57" w:type="dxa"/>
              <w:right w:w="108" w:type="dxa"/>
            </w:tcMar>
            <w:vAlign w:val="center"/>
          </w:tcPr>
          <w:p>
            <w:pPr>
              <w:pStyle w:val="7"/>
              <w:keepNext w:val="0"/>
              <w:keepLines w:val="0"/>
              <w:pageBreakBefore w:val="0"/>
              <w:kinsoku/>
              <w:wordWrap/>
              <w:overflowPunct/>
              <w:topLinePunct w:val="0"/>
              <w:bidi w:val="0"/>
              <w:adjustRightInd/>
              <w:snapToGrid/>
              <w:spacing w:line="280" w:lineRule="exact"/>
              <w:ind w:firstLine="0"/>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服务</w:t>
            </w:r>
          </w:p>
          <w:p>
            <w:pPr>
              <w:pStyle w:val="7"/>
              <w:keepNext w:val="0"/>
              <w:keepLines w:val="0"/>
              <w:pageBreakBefore w:val="0"/>
              <w:kinsoku/>
              <w:wordWrap/>
              <w:overflowPunct/>
              <w:topLinePunct w:val="0"/>
              <w:bidi w:val="0"/>
              <w:adjustRightInd/>
              <w:snapToGrid/>
              <w:spacing w:line="280" w:lineRule="exact"/>
              <w:ind w:firstLine="0"/>
              <w:jc w:val="center"/>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能力</w:t>
            </w:r>
          </w:p>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w:t>
            </w:r>
            <w:r>
              <w:rPr>
                <w:rFonts w:hint="eastAsia" w:ascii="宋体" w:hAnsi="宋体" w:cs="宋体"/>
                <w:b/>
                <w:bCs/>
                <w:color w:val="000000" w:themeColor="text1"/>
                <w:szCs w:val="21"/>
                <w:highlight w:val="none"/>
                <w:lang w:val="en-US" w:eastAsia="zh-CN"/>
                <w14:textFill>
                  <w14:solidFill>
                    <w14:schemeClr w14:val="tx1"/>
                  </w14:solidFill>
                </w14:textFill>
              </w:rPr>
              <w:t>9.5</w:t>
            </w:r>
            <w:r>
              <w:rPr>
                <w:rFonts w:hint="eastAsia" w:ascii="宋体" w:hAnsi="宋体" w:eastAsia="宋体" w:cs="宋体"/>
                <w:b/>
                <w:bCs/>
                <w:color w:val="000000" w:themeColor="text1"/>
                <w:szCs w:val="21"/>
                <w:highlight w:val="none"/>
                <w14:textFill>
                  <w14:solidFill>
                    <w14:schemeClr w14:val="tx1"/>
                  </w14:solidFill>
                </w14:textFill>
              </w:rPr>
              <w:t>分</w:t>
            </w: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服务</w:t>
            </w:r>
          </w:p>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部门</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投标人承诺针对本项目市本级成立专业的服务部门，并由投标人副总经理职务及以上人员担任项目负责人，指导全市开展本保险项目的，符合上述要求的，得5分，未达到要求的，不得分。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投诉情况</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根据2021年中国银保监会发布的保险消费投诉情况，即万张保单投诉量（按照四个季度的平均值，数值四舍五入保留两位小数）进行打分：1. 万张保单平均投诉量≤0.05的，得1.5分；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2. 0.05</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万张保单平均投诉量≤0.1的，得1分；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 万张保单平均投诉量＞0.1的，得0.5分。</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本地化服务</w:t>
            </w:r>
          </w:p>
        </w:tc>
        <w:tc>
          <w:tcPr>
            <w:tcW w:w="6682" w:type="dxa"/>
            <w:tcMar>
              <w:top w:w="57" w:type="dxa"/>
              <w:left w:w="108" w:type="dxa"/>
              <w:bottom w:w="57" w:type="dxa"/>
              <w:right w:w="108" w:type="dxa"/>
            </w:tcMar>
            <w:vAlign w:val="center"/>
          </w:tcPr>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根据投标人现有或承诺的本地化服务能力（包括但不限于服务网点、响应时间等）进行综合评分：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1.现有或承诺的服务网点数量多，响应时间快，本地化服务能力强的，得5-3.5分；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2.现有或承诺的服务网点数量一般，响应时间较快，本地化服务能力较强的，得3.4-2分；</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3.现有或承诺的服务网点数量少，响应时间一般，本地化服务能力一般的，得1.9-0.5分；</w:t>
            </w:r>
          </w:p>
          <w:p>
            <w:pPr>
              <w:pStyle w:val="8"/>
              <w:keepNext w:val="0"/>
              <w:keepLines w:val="0"/>
              <w:pageBreakBefore w:val="0"/>
              <w:kinsoku/>
              <w:wordWrap/>
              <w:overflowPunct/>
              <w:topLinePunct w:val="0"/>
              <w:bidi w:val="0"/>
              <w:adjustRightInd/>
              <w:snapToGrid/>
              <w:spacing w:line="280" w:lineRule="exact"/>
              <w:jc w:val="both"/>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4.无现有或承诺的服务网点数量</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响应时间</w:t>
            </w:r>
            <w:r>
              <w:rPr>
                <w:rFonts w:hint="eastAsia" w:ascii="宋体" w:hAnsi="宋体" w:cs="宋体"/>
                <w:color w:val="000000" w:themeColor="text1"/>
                <w:szCs w:val="21"/>
                <w:highlight w:val="none"/>
                <w:lang w:val="en-US" w:eastAsia="zh-CN"/>
                <w14:textFill>
                  <w14:solidFill>
                    <w14:schemeClr w14:val="tx1"/>
                  </w14:solidFill>
                </w14:textFill>
              </w:rPr>
              <w:t>慢</w:t>
            </w:r>
            <w:r>
              <w:rPr>
                <w:rFonts w:hint="eastAsia" w:ascii="宋体" w:hAnsi="宋体" w:eastAsia="宋体" w:cs="宋体"/>
                <w:color w:val="000000" w:themeColor="text1"/>
                <w:szCs w:val="21"/>
                <w:highlight w:val="none"/>
                <w:lang w:val="en-US" w:eastAsia="zh-CN"/>
                <w14:textFill>
                  <w14:solidFill>
                    <w14:schemeClr w14:val="tx1"/>
                  </w14:solidFill>
                </w14:textFill>
              </w:rPr>
              <w:t>，本地化服务能力</w:t>
            </w:r>
            <w:r>
              <w:rPr>
                <w:rFonts w:hint="eastAsia" w:ascii="宋体" w:hAnsi="宋体" w:cs="宋体"/>
                <w:color w:val="000000" w:themeColor="text1"/>
                <w:szCs w:val="21"/>
                <w:highlight w:val="none"/>
                <w:lang w:val="en-US" w:eastAsia="zh-CN"/>
                <w14:textFill>
                  <w14:solidFill>
                    <w14:schemeClr w14:val="tx1"/>
                  </w14:solidFill>
                </w14:textFill>
              </w:rPr>
              <w:t>差</w:t>
            </w:r>
            <w:r>
              <w:rPr>
                <w:rFonts w:hint="eastAsia" w:ascii="宋体" w:hAnsi="宋体" w:eastAsia="宋体" w:cs="宋体"/>
                <w:color w:val="000000" w:themeColor="text1"/>
                <w:szCs w:val="21"/>
                <w:highlight w:val="none"/>
                <w:lang w:val="en-US" w:eastAsia="zh-CN"/>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0.4</w:t>
            </w:r>
            <w:r>
              <w:rPr>
                <w:rFonts w:hint="eastAsia" w:ascii="宋体" w:hAnsi="宋体" w:eastAsia="宋体" w:cs="宋体"/>
                <w:color w:val="000000" w:themeColor="text1"/>
                <w:szCs w:val="21"/>
                <w:highlight w:val="none"/>
                <w:lang w:val="en-US" w:eastAsia="zh-CN"/>
                <w14:textFill>
                  <w14:solidFill>
                    <w14:schemeClr w14:val="tx1"/>
                  </w14:solidFill>
                </w14:textFill>
              </w:rPr>
              <w:t>-0分</w:t>
            </w:r>
            <w:r>
              <w:rPr>
                <w:rFonts w:hint="eastAsia" w:ascii="宋体" w:hAnsi="宋体" w:cs="宋体"/>
                <w:color w:val="000000" w:themeColor="text1"/>
                <w:szCs w:val="21"/>
                <w:highlight w:val="none"/>
                <w:lang w:val="en-US" w:eastAsia="zh-CN"/>
                <w14:textFill>
                  <w14:solidFill>
                    <w14:schemeClr w14:val="tx1"/>
                  </w14:solidFill>
                </w14:textFill>
              </w:rPr>
              <w:t>。</w:t>
            </w:r>
          </w:p>
          <w:p>
            <w:pPr>
              <w:pStyle w:val="8"/>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（需提供服务网点《营业执照》、《保险许可证》</w:t>
            </w:r>
            <w:r>
              <w:rPr>
                <w:rFonts w:hint="eastAsia" w:ascii="宋体" w:hAnsi="宋体" w:cs="宋体"/>
                <w:color w:val="000000" w:themeColor="text1"/>
                <w:szCs w:val="21"/>
                <w:highlight w:val="none"/>
                <w:lang w:val="en-US" w:eastAsia="zh-CN"/>
                <w14:textFill>
                  <w14:solidFill>
                    <w14:schemeClr w14:val="tx1"/>
                  </w14:solidFill>
                </w14:textFill>
              </w:rPr>
              <w:t>、承诺书等</w:t>
            </w:r>
            <w:r>
              <w:rPr>
                <w:rFonts w:hint="eastAsia" w:ascii="宋体" w:hAnsi="宋体" w:eastAsia="宋体" w:cs="宋体"/>
                <w:color w:val="000000" w:themeColor="text1"/>
                <w:szCs w:val="21"/>
                <w:highlight w:val="none"/>
                <w:lang w:val="en-US" w:eastAsia="zh-CN"/>
                <w14:textFill>
                  <w14:solidFill>
                    <w14:schemeClr w14:val="tx1"/>
                  </w14:solidFill>
                </w14:textFill>
              </w:rPr>
              <w:t>相关证明材料原件扫描件，承诺设立网点的需提供网点建设计划表（承诺书需总公司签章同意），中标后未按计划表落实网点建设的，按合同条款执行）</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平台</w:t>
            </w:r>
          </w:p>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建设</w:t>
            </w:r>
          </w:p>
        </w:tc>
        <w:tc>
          <w:tcPr>
            <w:tcW w:w="6682"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已搭建</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或承诺中标后</w:t>
            </w:r>
            <w:r>
              <w:rPr>
                <w:rFonts w:hint="eastAsia"/>
                <w:lang w:val="en-US" w:eastAsia="zh-CN"/>
              </w:rPr>
              <w:t>建设</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自然灾害或巨灾保险信息化服务专属平台的，得3分，无巨灾保险信息化服务平台的，不得分。（提供平台网址、登录界面、登录首页以及功能页面的截图）</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Merge w:val="continue"/>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p>
        </w:tc>
        <w:tc>
          <w:tcPr>
            <w:tcW w:w="870"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服务人员配备</w:t>
            </w:r>
          </w:p>
        </w:tc>
        <w:tc>
          <w:tcPr>
            <w:tcW w:w="6682"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投标人承诺在</w:t>
            </w:r>
            <w:r>
              <w:rPr>
                <w:rFonts w:hint="eastAsia" w:ascii="宋体" w:hAnsi="宋体" w:eastAsia="宋体" w:cs="宋体"/>
                <w:color w:val="000000" w:themeColor="text1"/>
                <w:szCs w:val="21"/>
                <w:highlight w:val="none"/>
                <w:lang w:val="en-US" w:eastAsia="zh-CN"/>
                <w14:textFill>
                  <w14:solidFill>
                    <w14:schemeClr w14:val="tx1"/>
                  </w14:solidFill>
                </w14:textFill>
              </w:rPr>
              <w:t>所投标项各县</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市、区</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分别建立服务小组，统筹当地巨灾保险工作：</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所投标项各县(市、区)必须组建一支以上的服务团队，服务团队需包含1名项目负责人，1名项目联系人，1名理赔专员。其中项目负责人必须由县级网点班子成员担任。</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根据投标人服务人员设置的科学性、人员结构、服务分工、服务人员资质、县市区配备理赔服务人员到位等内容进行</w:t>
            </w:r>
            <w:r>
              <w:rPr>
                <w:rFonts w:hint="eastAsia" w:ascii="宋体" w:hAnsi="宋体" w:cs="宋体"/>
                <w:kern w:val="2"/>
                <w:sz w:val="21"/>
                <w:szCs w:val="21"/>
                <w:lang w:val="en-US" w:eastAsia="zh-CN" w:bidi="ar-SA"/>
              </w:rPr>
              <w:t>综合</w:t>
            </w:r>
            <w:r>
              <w:rPr>
                <w:rFonts w:hint="eastAsia" w:ascii="宋体" w:hAnsi="宋体" w:eastAsia="宋体" w:cs="宋体"/>
                <w:kern w:val="2"/>
                <w:sz w:val="21"/>
                <w:szCs w:val="21"/>
                <w:lang w:val="en-US" w:eastAsia="zh-CN" w:bidi="ar-SA"/>
              </w:rPr>
              <w:t>打分：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1.服务人员结构配置科学合理，服务分工明确，人员资质完全符合或优于本项目需求的，得5-3.5分；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2.服务人员结构配置较合理，服务分工较明确，人员资质符合本项目需求的，得3.4-2分；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3.服务人员结构配置不够合理，人员数量及资质不能满足本项目需求的，得1.9-0分；</w:t>
            </w:r>
          </w:p>
          <w:p>
            <w:pPr>
              <w:keepNext w:val="0"/>
              <w:keepLines w:val="0"/>
              <w:pageBreakBefore w:val="0"/>
              <w:kinsoku/>
              <w:wordWrap/>
              <w:overflowPunct/>
              <w:topLinePunct w:val="0"/>
              <w:bidi w:val="0"/>
              <w:adjustRightInd/>
              <w:snapToGrid/>
              <w:spacing w:line="280" w:lineRule="exact"/>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kern w:val="2"/>
                <w:sz w:val="21"/>
                <w:szCs w:val="21"/>
                <w:lang w:val="en-US" w:eastAsia="zh-CN" w:bidi="ar-SA"/>
              </w:rPr>
              <w:t>4.未</w:t>
            </w:r>
            <w:r>
              <w:rPr>
                <w:rFonts w:hint="eastAsia" w:ascii="宋体" w:hAnsi="宋体" w:eastAsia="宋体" w:cs="宋体"/>
                <w:kern w:val="2"/>
                <w:sz w:val="21"/>
                <w:szCs w:val="21"/>
                <w:lang w:val="en-US" w:eastAsia="zh-CN" w:bidi="ar-SA"/>
              </w:rPr>
              <w:t>承诺在</w:t>
            </w:r>
            <w:r>
              <w:rPr>
                <w:rFonts w:hint="eastAsia" w:ascii="宋体" w:hAnsi="宋体" w:cs="宋体"/>
                <w:szCs w:val="21"/>
                <w:lang w:val="en-US" w:eastAsia="zh-CN"/>
              </w:rPr>
              <w:t>所投标项县市区</w:t>
            </w:r>
            <w:r>
              <w:rPr>
                <w:rFonts w:hint="eastAsia" w:ascii="宋体" w:hAnsi="宋体" w:eastAsia="宋体" w:cs="宋体"/>
                <w:kern w:val="2"/>
                <w:sz w:val="21"/>
                <w:szCs w:val="21"/>
                <w:lang w:val="en-US" w:eastAsia="zh-CN" w:bidi="ar-SA"/>
              </w:rPr>
              <w:t>分别建立服务小组</w:t>
            </w:r>
            <w:r>
              <w:rPr>
                <w:rFonts w:hint="eastAsia" w:ascii="宋体" w:hAnsi="宋体" w:cs="宋体"/>
                <w:kern w:val="2"/>
                <w:sz w:val="21"/>
                <w:szCs w:val="21"/>
                <w:lang w:val="en-US" w:eastAsia="zh-CN" w:bidi="ar-SA"/>
              </w:rPr>
              <w:t>的，此项不得分。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（需提供服务小组成员名单、劳动合同及社保缴纳</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等相关</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证明</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资料</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tcMar>
              <w:top w:w="57" w:type="dxa"/>
              <w:left w:w="108" w:type="dxa"/>
              <w:bottom w:w="57" w:type="dxa"/>
              <w:right w:w="108" w:type="dxa"/>
            </w:tcMar>
            <w:vAlign w:val="center"/>
          </w:tcPr>
          <w:p>
            <w:pPr>
              <w:keepNext w:val="0"/>
              <w:keepLines w:val="0"/>
              <w:pageBreakBefore w:val="0"/>
              <w:widowControl/>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价格分</w:t>
            </w:r>
          </w:p>
          <w:p>
            <w:pPr>
              <w:keepNext w:val="0"/>
              <w:keepLines w:val="0"/>
              <w:pageBreakBefore w:val="0"/>
              <w:widowControl/>
              <w:kinsoku/>
              <w:wordWrap/>
              <w:overflowPunct/>
              <w:topLinePunct w:val="0"/>
              <w:bidi w:val="0"/>
              <w:adjustRightInd/>
              <w:snapToGrid/>
              <w:spacing w:line="280" w:lineRule="exact"/>
              <w:jc w:val="center"/>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15</w:t>
            </w:r>
            <w:r>
              <w:rPr>
                <w:rFonts w:hint="eastAsia" w:ascii="宋体" w:hAnsi="宋体" w:eastAsia="宋体" w:cs="宋体"/>
                <w:b/>
                <w:color w:val="000000" w:themeColor="text1"/>
                <w:szCs w:val="21"/>
                <w:highlight w:val="none"/>
                <w14:textFill>
                  <w14:solidFill>
                    <w14:schemeClr w14:val="tx1"/>
                  </w14:solidFill>
                </w14:textFill>
              </w:rPr>
              <w:t>分</w:t>
            </w:r>
          </w:p>
        </w:tc>
        <w:tc>
          <w:tcPr>
            <w:tcW w:w="7552" w:type="dxa"/>
            <w:gridSpan w:val="2"/>
            <w:tcMar>
              <w:top w:w="57" w:type="dxa"/>
              <w:left w:w="108" w:type="dxa"/>
              <w:bottom w:w="57" w:type="dxa"/>
              <w:right w:w="108" w:type="dxa"/>
            </w:tcMar>
            <w:vAlign w:val="center"/>
          </w:tcPr>
          <w:p>
            <w:pPr>
              <w:pStyle w:val="8"/>
              <w:keepNext w:val="0"/>
              <w:keepLines w:val="0"/>
              <w:pageBreakBefore w:val="0"/>
              <w:tabs>
                <w:tab w:val="left" w:pos="220"/>
              </w:tabs>
              <w:kinsoku/>
              <w:wordWrap/>
              <w:overflowPunct/>
              <w:topLinePunct w:val="0"/>
              <w:bidi w:val="0"/>
              <w:adjustRightInd/>
              <w:snapToGrid/>
              <w:spacing w:line="280" w:lineRule="exac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以</w:t>
            </w:r>
            <w:r>
              <w:rPr>
                <w:rFonts w:hint="eastAsia" w:ascii="宋体" w:hAnsi="宋体" w:eastAsia="宋体" w:cs="宋体"/>
                <w:b w:val="0"/>
                <w:bCs w:val="0"/>
                <w:color w:val="000000" w:themeColor="text1"/>
                <w:szCs w:val="21"/>
                <w:highlight w:val="none"/>
                <w14:textFill>
                  <w14:solidFill>
                    <w14:schemeClr w14:val="tx1"/>
                  </w14:solidFill>
                </w14:textFill>
              </w:rPr>
              <w:t>合格投标人</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报出</w:t>
            </w:r>
            <w:r>
              <w:rPr>
                <w:rFonts w:hint="eastAsia" w:ascii="宋体" w:hAnsi="宋体" w:eastAsia="宋体" w:cs="宋体"/>
                <w:b w:val="0"/>
                <w:bCs w:val="0"/>
                <w:color w:val="000000" w:themeColor="text1"/>
                <w:szCs w:val="21"/>
                <w:highlight w:val="none"/>
                <w14:textFill>
                  <w14:solidFill>
                    <w14:schemeClr w14:val="tx1"/>
                  </w14:solidFill>
                </w14:textFill>
              </w:rPr>
              <w:t>的赔付</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额</w:t>
            </w:r>
            <w:r>
              <w:rPr>
                <w:rFonts w:hint="eastAsia" w:ascii="宋体" w:hAnsi="宋体" w:eastAsia="宋体" w:cs="宋体"/>
                <w:b w:val="0"/>
                <w:bCs w:val="0"/>
                <w:color w:val="000000" w:themeColor="text1"/>
                <w:szCs w:val="21"/>
                <w:highlight w:val="none"/>
                <w14:textFill>
                  <w14:solidFill>
                    <w14:schemeClr w14:val="tx1"/>
                  </w14:solidFill>
                </w14:textFill>
              </w:rPr>
              <w:t>整体上浮幅度</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最高为</w:t>
            </w:r>
            <w:r>
              <w:rPr>
                <w:rFonts w:hint="eastAsia" w:ascii="宋体" w:hAnsi="宋体" w:eastAsia="宋体" w:cs="宋体"/>
                <w:b w:val="0"/>
                <w:bCs w:val="0"/>
                <w:color w:val="000000" w:themeColor="text1"/>
                <w:szCs w:val="21"/>
                <w:highlight w:val="none"/>
                <w14:textFill>
                  <w14:solidFill>
                    <w14:schemeClr w14:val="tx1"/>
                  </w14:solidFill>
                </w14:textFill>
              </w:rPr>
              <w:t>基准</w:t>
            </w:r>
            <w:r>
              <w:rPr>
                <w:rFonts w:hint="eastAsia" w:ascii="宋体" w:hAnsi="宋体" w:cs="宋体"/>
                <w:b w:val="0"/>
                <w:bCs w:val="0"/>
                <w:color w:val="000000" w:themeColor="text1"/>
                <w:szCs w:val="21"/>
                <w:highlight w:val="none"/>
                <w:lang w:val="en-US" w:eastAsia="zh-CN"/>
                <w14:textFill>
                  <w14:solidFill>
                    <w14:schemeClr w14:val="tx1"/>
                  </w14:solidFill>
                </w14:textFill>
              </w:rPr>
              <w:t>幅度</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基准幅度为15分。价格分</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赔付</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额</w:t>
            </w:r>
            <w:r>
              <w:rPr>
                <w:rFonts w:hint="eastAsia" w:ascii="宋体" w:hAnsi="宋体" w:eastAsia="宋体" w:cs="宋体"/>
                <w:b w:val="0"/>
                <w:bCs w:val="0"/>
                <w:color w:val="000000" w:themeColor="text1"/>
                <w:szCs w:val="21"/>
                <w:highlight w:val="none"/>
                <w14:textFill>
                  <w14:solidFill>
                    <w14:schemeClr w14:val="tx1"/>
                  </w14:solidFill>
                </w14:textFill>
              </w:rPr>
              <w:t>整体上浮幅度</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赔付基准值（</w:t>
            </w:r>
            <w:r>
              <w:rPr>
                <w:rFonts w:hint="eastAsia" w:ascii="宋体" w:hAnsi="宋体" w:eastAsia="宋体" w:cs="宋体"/>
                <w:b w:val="0"/>
                <w:bCs w:val="0"/>
                <w:color w:val="000000" w:themeColor="text1"/>
                <w:szCs w:val="21"/>
                <w:highlight w:val="none"/>
                <w14:textFill>
                  <w14:solidFill>
                    <w14:schemeClr w14:val="tx1"/>
                  </w14:solidFill>
                </w14:textFill>
              </w:rPr>
              <w:t>100%</w:t>
            </w:r>
            <w:r>
              <w:rPr>
                <w:rFonts w:hint="eastAsia" w:ascii="宋体" w:hAnsi="宋体" w:eastAsia="宋体" w:cs="宋体"/>
                <w:b w:val="0"/>
                <w:bCs w:val="0"/>
                <w:color w:val="000000" w:themeColor="text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 ( </w:t>
            </w:r>
            <w:r>
              <w:rPr>
                <w:rFonts w:hint="eastAsia" w:ascii="宋体" w:hAnsi="宋体" w:eastAsia="宋体" w:cs="宋体"/>
                <w:b w:val="0"/>
                <w:bCs w:val="0"/>
                <w:color w:val="000000" w:themeColor="text1"/>
                <w:szCs w:val="21"/>
                <w:highlight w:val="none"/>
                <w14:textFill>
                  <w14:solidFill>
                    <w14:schemeClr w14:val="tx1"/>
                  </w14:solidFill>
                </w14:textFill>
              </w:rPr>
              <w:t>基准</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幅度 </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赔付基准值</w:t>
            </w:r>
            <w:r>
              <w:rPr>
                <w:rFonts w:hint="eastAsia" w:ascii="宋体" w:hAnsi="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100%</w:t>
            </w:r>
            <w:r>
              <w:rPr>
                <w:rFonts w:hint="eastAsia" w:ascii="宋体" w:hAnsi="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Cs w:val="21"/>
                <w:highlight w:val="none"/>
                <w14:textFill>
                  <w14:solidFill>
                    <w14:schemeClr w14:val="tx1"/>
                  </w14:solidFill>
                </w14:textFill>
              </w:rPr>
              <w:t>（小数点后保留2位小数）。</w:t>
            </w:r>
          </w:p>
        </w:tc>
        <w:tc>
          <w:tcPr>
            <w:tcW w:w="735" w:type="dxa"/>
            <w:tcMar>
              <w:top w:w="57" w:type="dxa"/>
              <w:left w:w="108" w:type="dxa"/>
              <w:bottom w:w="57" w:type="dxa"/>
              <w:right w:w="108" w:type="dxa"/>
            </w:tcMar>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r>
    </w:tbl>
    <w:p>
      <w:pPr>
        <w:keepNext w:val="0"/>
        <w:keepLines w:val="0"/>
        <w:pageBreakBefore w:val="0"/>
        <w:widowControl w:val="0"/>
        <w:kinsoku/>
        <w:wordWrap/>
        <w:overflowPunct/>
        <w:topLinePunct w:val="0"/>
        <w:autoSpaceDE/>
        <w:autoSpaceDN/>
        <w:bidi w:val="0"/>
        <w:adjustRightInd/>
        <w:spacing w:line="336" w:lineRule="auto"/>
        <w:textAlignment w:val="auto"/>
      </w:pPr>
      <w:r>
        <w:rPr>
          <w:rFonts w:hint="eastAsia"/>
          <w:b/>
          <w:bCs/>
        </w:rPr>
        <w:t>注</w:t>
      </w:r>
      <w:r>
        <w:rPr>
          <w:rFonts w:hint="eastAsia"/>
        </w:rPr>
        <w:t>：①请扫描上传合同、证书、报告及其他相关证明材料的原件至投标文件，并加盖公章。</w:t>
      </w:r>
    </w:p>
    <w:p>
      <w:pPr>
        <w:pStyle w:val="11"/>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2.评审要求</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hAnsi="宋体" w:cs="宋体"/>
          <w:sz w:val="24"/>
        </w:rPr>
      </w:pPr>
      <w:r>
        <w:rPr>
          <w:rFonts w:hint="eastAsia" w:ascii="宋体" w:hAnsi="宋体" w:cs="宋体"/>
          <w:sz w:val="24"/>
        </w:rPr>
        <w:t>③大写金额和小写金额不一致的，以大写金额为准；</w:t>
      </w:r>
    </w:p>
    <w:p>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eastAsia="宋体" w:cs="宋体"/>
          <w:sz w:val="24"/>
          <w:lang w:val="zh-CN"/>
        </w:rPr>
        <w:t>得分相同</w:t>
      </w:r>
      <w:r>
        <w:rPr>
          <w:rFonts w:hint="eastAsia" w:ascii="宋体" w:hAnsi="宋体" w:eastAsia="宋体" w:cs="宋体"/>
          <w:sz w:val="24"/>
        </w:rPr>
        <w:t>的</w:t>
      </w:r>
      <w:r>
        <w:rPr>
          <w:rFonts w:hint="eastAsia" w:ascii="宋体" w:hAnsi="宋体" w:eastAsia="宋体" w:cs="宋体"/>
          <w:sz w:val="24"/>
          <w:lang w:val="zh-CN"/>
        </w:rPr>
        <w:t>，</w:t>
      </w:r>
      <w:r>
        <w:rPr>
          <w:rFonts w:hint="eastAsia" w:ascii="宋体" w:hAnsi="宋体" w:eastAsia="宋体" w:cs="宋体"/>
          <w:sz w:val="24"/>
        </w:rPr>
        <w:t>按</w:t>
      </w:r>
      <w:r>
        <w:rPr>
          <w:rFonts w:hint="eastAsia" w:ascii="宋体" w:hAnsi="宋体" w:cs="宋体"/>
          <w:sz w:val="24"/>
          <w:lang w:val="en-US" w:eastAsia="zh-CN"/>
        </w:rPr>
        <w:t>报出</w:t>
      </w:r>
      <w:r>
        <w:rPr>
          <w:rFonts w:hint="eastAsia" w:ascii="宋体" w:hAnsi="宋体" w:eastAsia="宋体" w:cs="宋体"/>
          <w:sz w:val="24"/>
          <w:lang w:val="zh-CN"/>
        </w:rPr>
        <w:t>赔付额整体上浮幅度</w:t>
      </w:r>
      <w:r>
        <w:rPr>
          <w:rFonts w:hint="eastAsia" w:ascii="宋体" w:hAnsi="宋体" w:eastAsia="宋体" w:cs="宋体"/>
          <w:sz w:val="24"/>
        </w:rPr>
        <w:t>由高到</w:t>
      </w:r>
      <w:r>
        <w:rPr>
          <w:rFonts w:hint="eastAsia" w:ascii="宋体" w:hAnsi="宋体" w:eastAsia="宋体" w:cs="宋体"/>
          <w:sz w:val="24"/>
          <w:lang w:val="zh-CN"/>
        </w:rPr>
        <w:t>低</w:t>
      </w:r>
      <w:r>
        <w:rPr>
          <w:rFonts w:hint="eastAsia" w:ascii="宋体" w:hAnsi="宋体" w:eastAsia="宋体" w:cs="宋体"/>
          <w:sz w:val="24"/>
        </w:rPr>
        <w:t>顺序排列。</w:t>
      </w:r>
      <w:r>
        <w:rPr>
          <w:rFonts w:hint="eastAsia" w:ascii="宋体" w:hAnsi="宋体" w:eastAsia="宋体" w:cs="宋体"/>
          <w:sz w:val="24"/>
          <w:lang w:val="zh-CN"/>
        </w:rPr>
        <w:t>得分且</w:t>
      </w:r>
      <w:r>
        <w:rPr>
          <w:rFonts w:hint="eastAsia" w:ascii="宋体" w:hAnsi="宋体" w:cs="宋体"/>
          <w:sz w:val="24"/>
          <w:lang w:val="en-US" w:eastAsia="zh-CN"/>
        </w:rPr>
        <w:t>报出</w:t>
      </w:r>
      <w:r>
        <w:rPr>
          <w:rFonts w:hint="eastAsia" w:ascii="宋体" w:hAnsi="宋体" w:eastAsia="宋体" w:cs="宋体"/>
          <w:sz w:val="24"/>
          <w:lang w:val="zh-CN"/>
        </w:rPr>
        <w:t>赔付额整体上浮幅度相同的</w:t>
      </w:r>
      <w:r>
        <w:rPr>
          <w:rFonts w:hint="eastAsia" w:ascii="宋体" w:hAnsi="宋体" w:eastAsia="宋体" w:cs="宋体"/>
          <w:sz w:val="24"/>
        </w:rPr>
        <w:t>并列</w:t>
      </w:r>
      <w:r>
        <w:rPr>
          <w:rFonts w:hint="eastAsia" w:ascii="宋体" w:hAnsi="宋体" w:eastAsia="宋体" w:cs="宋体"/>
          <w:sz w:val="24"/>
          <w:lang w:val="zh-CN"/>
        </w:rPr>
        <w:t>。</w:t>
      </w:r>
      <w:r>
        <w:rPr>
          <w:rFonts w:hint="eastAsia" w:ascii="宋体" w:hAnsi="宋体" w:eastAsia="宋体" w:cs="宋体"/>
          <w:sz w:val="24"/>
        </w:rPr>
        <w:t>投标文</w:t>
      </w:r>
      <w:r>
        <w:rPr>
          <w:rFonts w:hint="eastAsia" w:ascii="宋体" w:hAnsi="宋体" w:cs="宋体"/>
          <w:sz w:val="24"/>
        </w:rPr>
        <w:t>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hint="eastAsia"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39" w:name="_Toc27944_WPSOffice_Level1"/>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 xml:space="preserve">第五章 </w:t>
      </w:r>
      <w:bookmarkEnd w:id="39"/>
      <w:r>
        <w:rPr>
          <w:rFonts w:hint="eastAsia" w:asciiTheme="minorEastAsia" w:hAnsiTheme="minorEastAsia" w:eastAsiaTheme="minorEastAsia"/>
          <w:b/>
          <w:color w:val="auto"/>
          <w:sz w:val="36"/>
          <w:szCs w:val="36"/>
        </w:rPr>
        <w:t>拟签订的合同文本</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textAlignment w:val="auto"/>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sz w:val="24"/>
        </w:rPr>
      </w:pPr>
      <w:r>
        <w:rPr>
          <w:rFonts w:hAnsi="宋体"/>
          <w:sz w:val="24"/>
        </w:rPr>
        <w:t>项目名称：                                项目编号：</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rPr>
        <w:t>甲方</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投保人/被保险人</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台州市应急管理局</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val="0"/>
          <w:sz w:val="24"/>
          <w:szCs w:val="24"/>
          <w:lang w:val="en-US" w:eastAsia="zh-CN"/>
        </w:rPr>
      </w:pPr>
      <w:r>
        <w:rPr>
          <w:rFonts w:hint="eastAsia" w:ascii="宋体" w:hAnsi="宋体" w:eastAsia="宋体" w:cs="宋体"/>
          <w:bCs/>
          <w:kern w:val="2"/>
          <w:sz w:val="24"/>
          <w:szCs w:val="24"/>
          <w:lang w:val="en-US" w:eastAsia="zh-CN" w:bidi="ar-SA"/>
        </w:rPr>
        <w:t>地址：椒江区白云山西路300号</w:t>
      </w:r>
    </w:p>
    <w:p>
      <w:pPr>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rPr>
        <w:t>乙方</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保险人</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****保险股份有限公司台州市分公司</w:t>
      </w:r>
    </w:p>
    <w:p>
      <w:pPr>
        <w:pStyle w:val="2"/>
        <w:pageBreakBefore w:val="0"/>
        <w:widowControl w:val="0"/>
        <w:kinsoku/>
        <w:wordWrap/>
        <w:overflowPunct/>
        <w:topLinePunct w:val="0"/>
        <w:bidi w:val="0"/>
        <w:spacing w:line="360" w:lineRule="auto"/>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地址：*****号</w:t>
      </w:r>
    </w:p>
    <w:p>
      <w:pPr>
        <w:pStyle w:val="2"/>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甲</w:t>
      </w:r>
      <w:r>
        <w:rPr>
          <w:rFonts w:hint="eastAsia" w:ascii="宋体" w:hAnsi="宋体" w:eastAsia="宋体" w:cs="宋体"/>
          <w:bCs/>
          <w:sz w:val="24"/>
          <w:szCs w:val="24"/>
          <w:lang w:eastAsia="zh-CN"/>
        </w:rPr>
        <w:t>、</w:t>
      </w:r>
      <w:r>
        <w:rPr>
          <w:rFonts w:hint="eastAsia" w:ascii="宋体" w:hAnsi="宋体" w:eastAsia="宋体" w:cs="宋体"/>
          <w:bCs/>
          <w:sz w:val="24"/>
          <w:szCs w:val="24"/>
        </w:rPr>
        <w:t>乙</w:t>
      </w:r>
      <w:r>
        <w:rPr>
          <w:rFonts w:hint="eastAsia" w:ascii="宋体" w:hAnsi="宋体" w:eastAsia="宋体" w:cs="宋体"/>
          <w:bCs/>
          <w:sz w:val="24"/>
          <w:szCs w:val="24"/>
          <w:lang w:eastAsia="zh-CN"/>
        </w:rPr>
        <w:t>双</w:t>
      </w:r>
      <w:r>
        <w:rPr>
          <w:rFonts w:hint="eastAsia" w:ascii="宋体" w:hAnsi="宋体" w:eastAsia="宋体" w:cs="宋体"/>
          <w:bCs/>
          <w:sz w:val="24"/>
          <w:szCs w:val="24"/>
        </w:rPr>
        <w:t>方</w:t>
      </w:r>
      <w:r>
        <w:rPr>
          <w:rFonts w:hint="eastAsia" w:ascii="宋体" w:hAnsi="宋体" w:eastAsia="宋体" w:cs="宋体"/>
          <w:bCs/>
          <w:sz w:val="24"/>
          <w:szCs w:val="24"/>
          <w:lang w:eastAsia="zh-CN"/>
        </w:rPr>
        <w:t>根据台州市政府采购中心关于</w:t>
      </w:r>
      <w:r>
        <w:rPr>
          <w:rFonts w:hint="eastAsia" w:ascii="宋体" w:hAnsi="宋体" w:eastAsia="宋体" w:cs="宋体"/>
          <w:bCs/>
          <w:sz w:val="24"/>
          <w:szCs w:val="24"/>
          <w:lang w:val="en-US" w:eastAsia="zh-CN"/>
        </w:rPr>
        <w:t>台州市巨灾保险项目公开招标的结果，签署本合同。</w:t>
      </w:r>
    </w:p>
    <w:p>
      <w:pPr>
        <w:pStyle w:val="2"/>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一、合同文件</w:t>
      </w:r>
    </w:p>
    <w:p>
      <w:pPr>
        <w:pStyle w:val="2"/>
        <w:keepNext w:val="0"/>
        <w:keepLines w:val="0"/>
        <w:pageBreakBefore w:val="0"/>
        <w:widowControl w:val="0"/>
        <w:numPr>
          <w:ilvl w:val="0"/>
          <w:numId w:val="0"/>
        </w:numPr>
        <w:kinsoku/>
        <w:wordWrap/>
        <w:overflowPunct/>
        <w:topLinePunct w:val="0"/>
        <w:bidi w:val="0"/>
        <w:snapToGrid w:val="0"/>
        <w:spacing w:line="360" w:lineRule="auto"/>
        <w:ind w:firstLine="720" w:firstLineChars="300"/>
        <w:textAlignment w:val="auto"/>
        <w:rPr>
          <w:rFonts w:hint="eastAsia" w:ascii="宋体" w:hAnsi="宋体" w:eastAsia="宋体" w:cs="宋体"/>
          <w:bCs/>
          <w:color w:val="auto"/>
          <w:kern w:val="2"/>
          <w:sz w:val="24"/>
          <w:szCs w:val="24"/>
          <w:lang w:val="en-US" w:eastAsia="zh-CN" w:bidi="ar-SA"/>
        </w:rPr>
      </w:pPr>
      <w:bookmarkStart w:id="40" w:name="_Toc27532"/>
      <w:bookmarkStart w:id="41" w:name="_Toc116"/>
      <w:bookmarkStart w:id="42" w:name="_Toc11313"/>
      <w:r>
        <w:rPr>
          <w:rFonts w:hint="eastAsia" w:ascii="宋体" w:hAnsi="宋体" w:eastAsia="宋体" w:cs="宋体"/>
          <w:bCs/>
          <w:color w:val="auto"/>
          <w:kern w:val="2"/>
          <w:sz w:val="24"/>
          <w:szCs w:val="24"/>
          <w:lang w:val="en-US" w:eastAsia="zh-CN" w:bidi="ar-SA"/>
        </w:rPr>
        <w:t>（一）合同条款</w:t>
      </w:r>
    </w:p>
    <w:p>
      <w:pPr>
        <w:pStyle w:val="2"/>
        <w:keepNext w:val="0"/>
        <w:keepLines w:val="0"/>
        <w:pageBreakBefore w:val="0"/>
        <w:widowControl w:val="0"/>
        <w:numPr>
          <w:ilvl w:val="0"/>
          <w:numId w:val="0"/>
        </w:numPr>
        <w:kinsoku/>
        <w:wordWrap/>
        <w:overflowPunct/>
        <w:topLinePunct w:val="0"/>
        <w:bidi w:val="0"/>
        <w:snapToGrid w:val="0"/>
        <w:spacing w:line="360" w:lineRule="auto"/>
        <w:ind w:firstLine="720" w:firstLineChars="3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（二）中标通知书</w:t>
      </w:r>
    </w:p>
    <w:p>
      <w:pPr>
        <w:pStyle w:val="2"/>
        <w:keepNext w:val="0"/>
        <w:keepLines w:val="0"/>
        <w:pageBreakBefore w:val="0"/>
        <w:widowControl w:val="0"/>
        <w:numPr>
          <w:ilvl w:val="0"/>
          <w:numId w:val="0"/>
        </w:numPr>
        <w:kinsoku/>
        <w:wordWrap/>
        <w:overflowPunct/>
        <w:topLinePunct w:val="0"/>
        <w:bidi w:val="0"/>
        <w:snapToGrid w:val="0"/>
        <w:spacing w:line="360" w:lineRule="auto"/>
        <w:ind w:firstLine="720" w:firstLineChars="3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（三）招标文件</w:t>
      </w:r>
    </w:p>
    <w:p>
      <w:pPr>
        <w:pStyle w:val="2"/>
        <w:keepNext w:val="0"/>
        <w:keepLines w:val="0"/>
        <w:pageBreakBefore w:val="0"/>
        <w:widowControl w:val="0"/>
        <w:numPr>
          <w:ilvl w:val="0"/>
          <w:numId w:val="0"/>
        </w:numPr>
        <w:kinsoku/>
        <w:wordWrap/>
        <w:overflowPunct/>
        <w:topLinePunct w:val="0"/>
        <w:bidi w:val="0"/>
        <w:snapToGrid w:val="0"/>
        <w:spacing w:line="360" w:lineRule="auto"/>
        <w:ind w:firstLine="720" w:firstLineChars="3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（四）中标人投标文件</w:t>
      </w:r>
    </w:p>
    <w:p>
      <w:pPr>
        <w:pStyle w:val="2"/>
        <w:keepNext w:val="0"/>
        <w:keepLines w:val="0"/>
        <w:pageBreakBefore w:val="0"/>
        <w:widowControl w:val="0"/>
        <w:numPr>
          <w:ilvl w:val="0"/>
          <w:numId w:val="0"/>
        </w:numPr>
        <w:kinsoku/>
        <w:wordWrap/>
        <w:overflowPunct/>
        <w:topLinePunct w:val="0"/>
        <w:bidi w:val="0"/>
        <w:snapToGrid w:val="0"/>
        <w:spacing w:line="360" w:lineRule="auto"/>
        <w:ind w:firstLine="720" w:firstLineChars="3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（五）其他</w:t>
      </w:r>
    </w:p>
    <w:p>
      <w:pPr>
        <w:pStyle w:val="27"/>
        <w:keepNext/>
        <w:keepLines/>
        <w:pageBreakBefore w:val="0"/>
        <w:widowControl w:val="0"/>
        <w:kinsoku/>
        <w:wordWrap/>
        <w:overflowPunct/>
        <w:topLinePunct w:val="0"/>
        <w:autoSpaceDE/>
        <w:autoSpaceDN/>
        <w:bidi w:val="0"/>
        <w:adjustRightInd/>
        <w:snapToGrid w:val="0"/>
        <w:spacing w:before="0" w:line="360" w:lineRule="auto"/>
        <w:ind w:firstLine="480" w:firstLineChars="200"/>
        <w:jc w:val="both"/>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上述文件互为补充及解释，如有冲突之处，以所列内容顺序为准。</w:t>
      </w:r>
    </w:p>
    <w:p>
      <w:pPr>
        <w:pStyle w:val="2"/>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保险险种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巨灾保险</w:t>
      </w:r>
      <w:r>
        <w:rPr>
          <w:rFonts w:hint="eastAsia" w:ascii="宋体" w:hAnsi="宋体" w:eastAsia="宋体" w:cs="宋体"/>
          <w:bCs/>
          <w:kern w:val="2"/>
          <w:sz w:val="24"/>
          <w:szCs w:val="24"/>
          <w:lang w:val="en" w:eastAsia="zh-CN" w:bidi="ar-SA"/>
        </w:rPr>
        <w:t>(台风指</w:t>
      </w:r>
      <w:r>
        <w:rPr>
          <w:rFonts w:hint="eastAsia" w:ascii="宋体" w:hAnsi="宋体" w:eastAsia="宋体" w:cs="宋体"/>
          <w:bCs/>
          <w:kern w:val="2"/>
          <w:sz w:val="24"/>
          <w:szCs w:val="24"/>
          <w:lang w:val="zh-TW" w:eastAsia="zh-TW" w:bidi="ar-SA"/>
        </w:rPr>
        <w:t>数保险</w:t>
      </w:r>
      <w:r>
        <w:rPr>
          <w:rFonts w:hint="eastAsia" w:ascii="宋体" w:hAnsi="宋体" w:eastAsia="宋体" w:cs="宋体"/>
          <w:bCs/>
          <w:kern w:val="2"/>
          <w:sz w:val="24"/>
          <w:szCs w:val="24"/>
          <w:lang w:val="en-US" w:eastAsia="zh-CN" w:bidi="ar-SA"/>
        </w:rPr>
        <w:t>和</w:t>
      </w:r>
      <w:r>
        <w:rPr>
          <w:rFonts w:hint="eastAsia" w:ascii="宋体" w:hAnsi="宋体" w:eastAsia="宋体" w:cs="宋体"/>
          <w:bCs/>
          <w:kern w:val="2"/>
          <w:sz w:val="24"/>
          <w:szCs w:val="24"/>
          <w:lang w:val="zh-TW" w:eastAsia="zh-TW" w:bidi="ar-SA"/>
        </w:rPr>
        <w:t>强降雨指数保险</w:t>
      </w:r>
      <w:r>
        <w:rPr>
          <w:rFonts w:hint="eastAsia" w:ascii="宋体" w:hAnsi="宋体" w:eastAsia="宋体" w:cs="宋体"/>
          <w:bCs/>
          <w:kern w:val="2"/>
          <w:sz w:val="24"/>
          <w:szCs w:val="24"/>
          <w:lang w:val="en" w:eastAsia="zh-CN" w:bidi="ar-SA"/>
        </w:rPr>
        <w:t>)</w:t>
      </w:r>
      <w:r>
        <w:rPr>
          <w:rFonts w:hint="eastAsia" w:ascii="宋体" w:hAnsi="宋体" w:eastAsia="宋体" w:cs="宋体"/>
          <w:bCs/>
          <w:kern w:val="2"/>
          <w:sz w:val="24"/>
          <w:szCs w:val="24"/>
          <w:lang w:val="en-US" w:eastAsia="zh-CN" w:bidi="ar-SA"/>
        </w:rPr>
        <w:t>。</w:t>
      </w:r>
    </w:p>
    <w:p>
      <w:pPr>
        <w:pStyle w:val="2"/>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 xml:space="preserve">承保区域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w:t>
      </w:r>
    </w:p>
    <w:p>
      <w:pPr>
        <w:pStyle w:val="2"/>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合同期限</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    （一）合同期限为一年，自2022年**</w:t>
      </w:r>
      <w:r>
        <w:rPr>
          <w:rFonts w:hint="eastAsia" w:ascii="宋体" w:hAnsi="宋体" w:eastAsia="宋体" w:cs="宋体"/>
          <w:bCs/>
          <w:color w:val="FF0000"/>
          <w:kern w:val="2"/>
          <w:sz w:val="24"/>
          <w:szCs w:val="24"/>
          <w:lang w:val="en-US" w:eastAsia="zh-CN" w:bidi="ar-SA"/>
        </w:rPr>
        <w:t>月**</w:t>
      </w:r>
      <w:r>
        <w:rPr>
          <w:rFonts w:hint="eastAsia" w:ascii="宋体" w:hAnsi="宋体" w:eastAsia="宋体" w:cs="宋体"/>
          <w:bCs/>
          <w:kern w:val="2"/>
          <w:sz w:val="24"/>
          <w:szCs w:val="24"/>
          <w:lang w:val="en-US" w:eastAsia="zh-CN" w:bidi="ar-SA"/>
        </w:rPr>
        <w:t>日零时起至2023</w:t>
      </w:r>
      <w:r>
        <w:rPr>
          <w:rFonts w:hint="eastAsia" w:ascii="宋体" w:hAnsi="宋体" w:eastAsia="宋体" w:cs="宋体"/>
          <w:bCs/>
          <w:color w:val="FF0000"/>
          <w:kern w:val="2"/>
          <w:sz w:val="24"/>
          <w:szCs w:val="24"/>
          <w:lang w:val="en-US" w:eastAsia="zh-CN" w:bidi="ar-SA"/>
        </w:rPr>
        <w:t>年**月**</w:t>
      </w:r>
      <w:r>
        <w:rPr>
          <w:rFonts w:hint="eastAsia" w:ascii="宋体" w:hAnsi="宋体" w:eastAsia="宋体" w:cs="宋体"/>
          <w:bCs/>
          <w:kern w:val="2"/>
          <w:sz w:val="24"/>
          <w:szCs w:val="24"/>
          <w:lang w:val="en-US" w:eastAsia="zh-CN" w:bidi="ar-SA"/>
        </w:rPr>
        <w:t>日二十四时止。被保险人或者受益人，向保险人请求赔偿或者给付保险金的诉讼时效为二年，自其知道或者应当知道保险事故发生之日起计算。</w:t>
      </w:r>
    </w:p>
    <w:p>
      <w:pPr>
        <w:pStyle w:val="2"/>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（二）本合同生效后，在保险责任期限内，甲乙双方均不得以任何理由、任何方式解除本合同。</w:t>
      </w:r>
    </w:p>
    <w:p>
      <w:pPr>
        <w:pStyle w:val="2"/>
        <w:keepNext w:val="0"/>
        <w:keepLines w:val="0"/>
        <w:pageBreakBefore w:val="0"/>
        <w:widowControl w:val="0"/>
        <w:numPr>
          <w:ilvl w:val="0"/>
          <w:numId w:val="9"/>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保障对象</w:t>
      </w:r>
    </w:p>
    <w:bookmarkEnd w:id="40"/>
    <w:bookmarkEnd w:id="41"/>
    <w:bookmarkEnd w:id="42"/>
    <w:p>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（一）台风巨灾指数保险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FF0000"/>
          <w:kern w:val="2"/>
          <w:sz w:val="24"/>
          <w:szCs w:val="24"/>
          <w:lang w:val="en-US" w:eastAsia="zh-CN" w:bidi="ar-SA"/>
        </w:rPr>
      </w:pPr>
      <w:r>
        <w:rPr>
          <w:rFonts w:hint="eastAsia" w:ascii="宋体" w:hAnsi="宋体" w:eastAsia="宋体" w:cs="宋体"/>
          <w:bCs/>
          <w:kern w:val="2"/>
          <w:sz w:val="24"/>
          <w:szCs w:val="24"/>
          <w:lang w:val="en-US" w:eastAsia="zh-CN" w:bidi="ar-SA"/>
        </w:rPr>
        <w:t>1.保障对象：</w:t>
      </w:r>
      <w:r>
        <w:rPr>
          <w:rFonts w:hint="eastAsia" w:ascii="宋体" w:hAnsi="宋体" w:eastAsia="宋体" w:cs="宋体"/>
          <w:bCs/>
          <w:color w:val="FF0000"/>
          <w:kern w:val="2"/>
          <w:sz w:val="24"/>
          <w:szCs w:val="24"/>
          <w:lang w:val="en-US" w:eastAsia="zh-CN" w:bidi="ar-SA"/>
        </w:rPr>
        <w:t>***政府、***政府。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2.保障责任：保险期间发生台风受灾事件，当台风强度达到约定阈值，承保机构依照本合同约定赔付。</w:t>
      </w:r>
    </w:p>
    <w:p>
      <w:pPr>
        <w:pStyle w:val="5"/>
        <w:keepNext w:val="0"/>
        <w:keepLines w:val="0"/>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（二）强降雨指数保险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FF0000"/>
          <w:kern w:val="2"/>
          <w:sz w:val="24"/>
          <w:szCs w:val="24"/>
          <w:lang w:val="en-US" w:eastAsia="zh-CN" w:bidi="ar-SA"/>
        </w:rPr>
      </w:pPr>
      <w:r>
        <w:rPr>
          <w:rFonts w:hint="eastAsia" w:ascii="宋体" w:hAnsi="宋体" w:eastAsia="宋体" w:cs="宋体"/>
          <w:bCs/>
          <w:kern w:val="2"/>
          <w:sz w:val="24"/>
          <w:szCs w:val="24"/>
          <w:lang w:val="en-US" w:eastAsia="zh-CN" w:bidi="ar-SA"/>
        </w:rPr>
        <w:t>1.保障对象：</w:t>
      </w:r>
      <w:r>
        <w:rPr>
          <w:rFonts w:hint="eastAsia" w:ascii="宋体" w:hAnsi="宋体" w:eastAsia="宋体" w:cs="宋体"/>
          <w:bCs/>
          <w:color w:val="FF0000"/>
          <w:kern w:val="2"/>
          <w:sz w:val="24"/>
          <w:szCs w:val="24"/>
          <w:lang w:val="en-US" w:eastAsia="zh-CN" w:bidi="ar-SA"/>
        </w:rPr>
        <w:t>***政府、***政府。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000000"/>
          <w:kern w:val="2"/>
          <w:sz w:val="24"/>
          <w:szCs w:val="24"/>
          <w:lang w:val="zh-TW" w:eastAsia="zh-TW" w:bidi="ar-SA"/>
        </w:rPr>
      </w:pPr>
      <w:r>
        <w:rPr>
          <w:rFonts w:hint="eastAsia" w:ascii="宋体" w:hAnsi="宋体" w:eastAsia="宋体" w:cs="宋体"/>
          <w:bCs/>
          <w:kern w:val="2"/>
          <w:sz w:val="24"/>
          <w:szCs w:val="24"/>
          <w:lang w:val="en-US" w:eastAsia="zh-CN" w:bidi="ar-SA"/>
        </w:rPr>
        <w:t>2.保障责任：</w:t>
      </w:r>
      <w:r>
        <w:rPr>
          <w:rFonts w:hint="eastAsia" w:ascii="宋体" w:hAnsi="宋体" w:eastAsia="宋体" w:cs="宋体"/>
          <w:bCs/>
          <w:color w:val="000000"/>
          <w:kern w:val="2"/>
          <w:sz w:val="24"/>
          <w:szCs w:val="24"/>
          <w:lang w:val="zh-TW" w:eastAsia="zh-TW" w:bidi="ar-SA"/>
        </w:rPr>
        <w:t>保险期间发生强降雨事件，并且触发最大降雨量阈值</w:t>
      </w:r>
      <w:r>
        <w:rPr>
          <w:rFonts w:hint="eastAsia" w:ascii="宋体" w:hAnsi="宋体" w:eastAsia="宋体" w:cs="宋体"/>
          <w:bCs/>
          <w:color w:val="000000"/>
          <w:kern w:val="2"/>
          <w:sz w:val="24"/>
          <w:szCs w:val="24"/>
          <w:lang w:val="zh-TW" w:eastAsia="zh-CN" w:bidi="ar-SA"/>
        </w:rPr>
        <w:t>（</w:t>
      </w:r>
      <w:r>
        <w:rPr>
          <w:rFonts w:hint="eastAsia" w:ascii="宋体" w:hAnsi="宋体" w:eastAsia="宋体" w:cs="宋体"/>
          <w:bCs/>
          <w:color w:val="000000"/>
          <w:kern w:val="2"/>
          <w:sz w:val="24"/>
          <w:szCs w:val="24"/>
          <w:lang w:val="en-US" w:eastAsia="zh-CN" w:bidi="ar-SA"/>
        </w:rPr>
        <w:t>140</w:t>
      </w:r>
      <w:r>
        <w:rPr>
          <w:rFonts w:hint="eastAsia" w:ascii="宋体" w:hAnsi="宋体" w:eastAsia="宋体" w:cs="宋体"/>
          <w:bCs/>
          <w:color w:val="000000"/>
          <w:kern w:val="2"/>
          <w:sz w:val="24"/>
          <w:szCs w:val="24"/>
          <w:lang w:val="en" w:eastAsia="zh-CN" w:bidi="ar-SA"/>
        </w:rPr>
        <w:t>㎜</w:t>
      </w:r>
      <w:r>
        <w:rPr>
          <w:rFonts w:hint="eastAsia" w:ascii="宋体" w:hAnsi="宋体" w:eastAsia="宋体" w:cs="宋体"/>
          <w:bCs/>
          <w:color w:val="000000"/>
          <w:kern w:val="2"/>
          <w:sz w:val="24"/>
          <w:szCs w:val="24"/>
          <w:lang w:val="zh-TW" w:eastAsia="zh-CN" w:bidi="ar-SA"/>
        </w:rPr>
        <w:t>）</w:t>
      </w:r>
      <w:r>
        <w:rPr>
          <w:rFonts w:hint="eastAsia" w:ascii="宋体" w:hAnsi="宋体" w:eastAsia="宋体" w:cs="宋体"/>
          <w:bCs/>
          <w:color w:val="000000"/>
          <w:kern w:val="2"/>
          <w:sz w:val="24"/>
          <w:szCs w:val="24"/>
          <w:lang w:val="zh-TW" w:eastAsia="zh-TW" w:bidi="ar-SA"/>
        </w:rPr>
        <w:t>，承保机构依照</w:t>
      </w:r>
      <w:r>
        <w:rPr>
          <w:rFonts w:hint="eastAsia" w:ascii="宋体" w:hAnsi="宋体" w:eastAsia="宋体" w:cs="宋体"/>
          <w:bCs/>
          <w:color w:val="000000"/>
          <w:kern w:val="2"/>
          <w:sz w:val="24"/>
          <w:szCs w:val="24"/>
          <w:lang w:val="zh-TW" w:eastAsia="zh-CN" w:bidi="ar-SA"/>
        </w:rPr>
        <w:t>本</w:t>
      </w:r>
      <w:r>
        <w:rPr>
          <w:rFonts w:hint="eastAsia" w:ascii="宋体" w:hAnsi="宋体" w:eastAsia="宋体" w:cs="宋体"/>
          <w:bCs/>
          <w:color w:val="000000"/>
          <w:kern w:val="2"/>
          <w:sz w:val="24"/>
          <w:szCs w:val="24"/>
          <w:lang w:val="zh-TW" w:eastAsia="zh-TW" w:bidi="ar-SA"/>
        </w:rPr>
        <w:t>合同</w:t>
      </w:r>
      <w:r>
        <w:rPr>
          <w:rFonts w:hint="eastAsia" w:ascii="宋体" w:hAnsi="宋体" w:eastAsia="宋体" w:cs="宋体"/>
          <w:bCs/>
          <w:color w:val="000000"/>
          <w:kern w:val="2"/>
          <w:sz w:val="24"/>
          <w:szCs w:val="24"/>
          <w:lang w:val="zh-TW" w:eastAsia="zh-CN" w:bidi="ar-SA"/>
        </w:rPr>
        <w:t>约定</w:t>
      </w:r>
      <w:r>
        <w:rPr>
          <w:rFonts w:hint="eastAsia" w:ascii="宋体" w:hAnsi="宋体" w:eastAsia="宋体" w:cs="宋体"/>
          <w:bCs/>
          <w:color w:val="000000"/>
          <w:kern w:val="2"/>
          <w:sz w:val="24"/>
          <w:szCs w:val="24"/>
          <w:lang w:val="zh-TW" w:eastAsia="zh-TW" w:bidi="ar-SA"/>
        </w:rPr>
        <w:t>赔付。</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zh-TW" w:eastAsia="zh-CN" w:bidi="ar-SA"/>
        </w:rPr>
      </w:pPr>
      <w:r>
        <w:rPr>
          <w:rFonts w:hint="eastAsia" w:ascii="宋体" w:hAnsi="宋体" w:eastAsia="宋体" w:cs="宋体"/>
          <w:bCs/>
          <w:kern w:val="2"/>
          <w:sz w:val="24"/>
          <w:szCs w:val="24"/>
          <w:lang w:val="zh-TW" w:eastAsia="zh-CN" w:bidi="ar-SA"/>
        </w:rPr>
        <w:t>（</w:t>
      </w:r>
      <w:r>
        <w:rPr>
          <w:rFonts w:hint="eastAsia" w:ascii="宋体" w:hAnsi="宋体" w:eastAsia="宋体" w:cs="宋体"/>
          <w:bCs/>
          <w:kern w:val="2"/>
          <w:sz w:val="24"/>
          <w:szCs w:val="24"/>
          <w:lang w:val="en-US" w:eastAsia="zh-CN" w:bidi="ar-SA"/>
        </w:rPr>
        <w:t>三</w:t>
      </w:r>
      <w:r>
        <w:rPr>
          <w:rFonts w:hint="eastAsia" w:ascii="宋体" w:hAnsi="宋体" w:eastAsia="宋体" w:cs="宋体"/>
          <w:bCs/>
          <w:kern w:val="2"/>
          <w:sz w:val="24"/>
          <w:szCs w:val="24"/>
          <w:lang w:val="zh-TW" w:eastAsia="zh-CN" w:bidi="ar-SA"/>
        </w:rPr>
        <w:t>）</w:t>
      </w:r>
      <w:r>
        <w:rPr>
          <w:rFonts w:hint="eastAsia" w:ascii="宋体" w:hAnsi="宋体" w:eastAsia="宋体" w:cs="宋体"/>
          <w:bCs/>
          <w:kern w:val="2"/>
          <w:sz w:val="24"/>
          <w:szCs w:val="24"/>
          <w:lang w:val="zh-TW" w:eastAsia="zh-TW" w:bidi="ar-SA"/>
        </w:rPr>
        <w:t>台风指数保险</w:t>
      </w:r>
      <w:r>
        <w:rPr>
          <w:rFonts w:hint="eastAsia" w:ascii="宋体" w:hAnsi="宋体" w:eastAsia="宋体" w:cs="宋体"/>
          <w:bCs/>
          <w:kern w:val="2"/>
          <w:sz w:val="24"/>
          <w:szCs w:val="24"/>
          <w:lang w:val="en-US" w:eastAsia="zh-CN" w:bidi="ar-SA"/>
        </w:rPr>
        <w:t>和</w:t>
      </w:r>
      <w:r>
        <w:rPr>
          <w:rFonts w:hint="eastAsia" w:ascii="宋体" w:hAnsi="宋体" w:eastAsia="宋体" w:cs="宋体"/>
          <w:bCs/>
          <w:kern w:val="2"/>
          <w:sz w:val="24"/>
          <w:szCs w:val="24"/>
          <w:lang w:val="zh-TW" w:eastAsia="zh-TW" w:bidi="ar-SA"/>
        </w:rPr>
        <w:t>强降雨指数保险两种保险责任独立不重叠</w:t>
      </w:r>
      <w:r>
        <w:rPr>
          <w:rFonts w:hint="eastAsia" w:ascii="宋体" w:hAnsi="宋体" w:eastAsia="宋体" w:cs="宋体"/>
          <w:bCs/>
          <w:kern w:val="2"/>
          <w:sz w:val="24"/>
          <w:szCs w:val="24"/>
          <w:lang w:val="zh-TW" w:eastAsia="zh-CN" w:bidi="ar-SA"/>
        </w:rPr>
        <w:t>，</w:t>
      </w:r>
      <w:r>
        <w:rPr>
          <w:rFonts w:hint="eastAsia" w:ascii="宋体" w:hAnsi="宋体" w:eastAsia="宋体" w:cs="宋体"/>
          <w:bCs/>
          <w:kern w:val="2"/>
          <w:sz w:val="24"/>
          <w:szCs w:val="24"/>
          <w:lang w:val="zh-TW" w:eastAsia="zh-TW" w:bidi="ar-SA"/>
        </w:rPr>
        <w:t>达到理赔条件，独立计算理赔金额，最后累加赔付</w:t>
      </w:r>
      <w:r>
        <w:rPr>
          <w:rFonts w:hint="eastAsia" w:ascii="宋体" w:hAnsi="宋体" w:eastAsia="宋体" w:cs="宋体"/>
          <w:bCs/>
          <w:kern w:val="2"/>
          <w:sz w:val="24"/>
          <w:szCs w:val="24"/>
          <w:lang w:val="zh-TW" w:eastAsia="zh-CN" w:bidi="ar-SA"/>
        </w:rPr>
        <w:t>。</w:t>
      </w:r>
    </w:p>
    <w:p>
      <w:pPr>
        <w:pStyle w:val="55"/>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合同金额（保险费）</w:t>
      </w:r>
    </w:p>
    <w:p>
      <w:pPr>
        <w:pStyle w:val="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保险费：****元；本合同执行中相关一切税费均由</w:t>
      </w:r>
      <w:r>
        <w:rPr>
          <w:rFonts w:hint="eastAsia" w:ascii="宋体" w:hAnsi="宋体" w:eastAsia="宋体" w:cs="宋体"/>
          <w:bCs/>
          <w:sz w:val="24"/>
          <w:szCs w:val="24"/>
        </w:rPr>
        <w:t>乙</w:t>
      </w:r>
      <w:r>
        <w:rPr>
          <w:rFonts w:hint="eastAsia" w:ascii="宋体" w:hAnsi="宋体" w:eastAsia="宋体" w:cs="宋体"/>
          <w:bCs/>
          <w:sz w:val="24"/>
          <w:szCs w:val="24"/>
          <w:lang w:eastAsia="zh-CN"/>
        </w:rPr>
        <w:t>方负担。</w:t>
      </w:r>
    </w:p>
    <w:p>
      <w:pPr>
        <w:pStyle w:val="55"/>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付款方式</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分二期付款，合同签订后一个月内支付合同款40%，2023年6月底前支付合同款60%。</w:t>
      </w:r>
    </w:p>
    <w:p>
      <w:pPr>
        <w:pStyle w:val="55"/>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保险责任触发条件</w:t>
      </w:r>
    </w:p>
    <w:p>
      <w:pPr>
        <w:pStyle w:val="1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（一）台风巨灾指数保险</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台风巨灾保险范围为台州市整体区域，以东经121°07'、北纬28°39'为圆心，以85公里为半径（已覆盖大陈岛）设置巨灾框。</w:t>
      </w:r>
    </w:p>
    <w:p>
      <w:pPr>
        <w:widowControl w:val="0"/>
        <w:suppressAutoHyphens/>
        <w:autoSpaceDE w:val="0"/>
        <w:autoSpaceDN w:val="0"/>
        <w:adjustRightInd w:val="0"/>
        <w:snapToGrid w:val="0"/>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s="Times New Roman"/>
          <w:color w:val="auto"/>
          <w:kern w:val="2"/>
          <w:sz w:val="21"/>
          <w:szCs w:val="24"/>
          <w:lang w:val="en-US" w:eastAsia="zh-CN" w:bidi="ar-SA"/>
        </w:rPr>
        <w:drawing>
          <wp:inline distT="0" distB="0" distL="114935" distR="114935">
            <wp:extent cx="4503420" cy="3959860"/>
            <wp:effectExtent l="0" t="0" r="11430" b="2540"/>
            <wp:docPr id="1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图片1"/>
                    <pic:cNvPicPr>
                      <a:picLocks noChangeAspect="1"/>
                    </pic:cNvPicPr>
                  </pic:nvPicPr>
                  <pic:blipFill>
                    <a:blip r:embed="rId9"/>
                    <a:stretch>
                      <a:fillRect/>
                    </a:stretch>
                  </pic:blipFill>
                  <pic:spPr>
                    <a:xfrm>
                      <a:off x="0" y="0"/>
                      <a:ext cx="4503420" cy="3959860"/>
                    </a:xfrm>
                    <a:prstGeom prst="rect">
                      <a:avLst/>
                    </a:prstGeom>
                    <a:noFill/>
                    <a:ln>
                      <a:noFill/>
                    </a:ln>
                  </pic:spPr>
                </pic:pic>
              </a:graphicData>
            </a:graphic>
          </wp:inline>
        </w:drawing>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根据中央气象台发布的台风定位、强度信息，台风中心进入上述巨灾框内且近中心最大风力达到12级及以上，风速大于等于32.7米/秒，即触发台风指数保险理赔。</w:t>
      </w:r>
    </w:p>
    <w:p>
      <w:pPr>
        <w:spacing w:line="360" w:lineRule="auto"/>
        <w:ind w:firstLine="482" w:firstLineChars="200"/>
        <w:rPr>
          <w:rFonts w:hint="eastAsia" w:asciiTheme="minorEastAsia" w:hAnsiTheme="minorEastAsia" w:eastAsiaTheme="minorEastAsia"/>
          <w:b/>
          <w:bCs w:val="0"/>
          <w:color w:val="auto"/>
          <w:sz w:val="24"/>
          <w:lang w:val="en-US" w:eastAsia="zh-CN"/>
        </w:rPr>
      </w:pPr>
      <w:r>
        <w:rPr>
          <w:rFonts w:hint="eastAsia" w:asciiTheme="minorEastAsia" w:hAnsiTheme="minorEastAsia" w:eastAsiaTheme="minorEastAsia"/>
          <w:b/>
          <w:bCs w:val="0"/>
          <w:color w:val="auto"/>
          <w:sz w:val="24"/>
          <w:lang w:val="en-US" w:eastAsia="zh-CN"/>
        </w:rPr>
        <w:t>2.强降雨指数保险</w:t>
      </w:r>
    </w:p>
    <w:p>
      <w:pPr>
        <w:spacing w:line="360" w:lineRule="auto"/>
        <w:ind w:firstLine="480" w:firstLineChars="200"/>
        <w:rPr>
          <w:rFonts w:hint="eastAsia" w:asciiTheme="minorEastAsia" w:hAnsiTheme="minorEastAsia" w:eastAsiaTheme="minorEastAsia"/>
          <w:b w:val="0"/>
          <w:bCs/>
          <w:color w:val="auto"/>
          <w:sz w:val="24"/>
          <w:lang w:val="en-US" w:eastAsia="zh-CN"/>
        </w:rPr>
      </w:pPr>
      <w:r>
        <w:rPr>
          <w:rFonts w:hint="eastAsia" w:asciiTheme="minorEastAsia" w:hAnsiTheme="minorEastAsia" w:eastAsiaTheme="minorEastAsia"/>
          <w:b w:val="0"/>
          <w:bCs/>
          <w:color w:val="auto"/>
          <w:sz w:val="24"/>
          <w:lang w:val="en-US" w:eastAsia="zh-CN"/>
        </w:rPr>
        <w:t>各县（市、区）、台州湾新区选定3个气象观测站（包括国家站和区域站）作为有效观测站，在发生强降雨事件的任何时点，有效观测站的最大降雨量等于或大于受灾阈值（140mm）时（台州市气象局提供数据），即触发赔付，每个站点按照1/3的保险权重分别进行赔付。</w:t>
      </w:r>
    </w:p>
    <w:p>
      <w:pPr>
        <w:pStyle w:val="1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kern w:val="2"/>
          <w:sz w:val="24"/>
          <w:szCs w:val="24"/>
          <w:lang w:val="en-US" w:eastAsia="zh-CN" w:bidi="ar-SA"/>
        </w:rPr>
      </w:pPr>
      <w:r>
        <w:rPr>
          <w:rFonts w:hint="eastAsia" w:asciiTheme="minorEastAsia" w:hAnsiTheme="minorEastAsia" w:eastAsiaTheme="minorEastAsia"/>
          <w:b w:val="0"/>
          <w:bCs/>
          <w:color w:val="auto"/>
          <w:sz w:val="24"/>
          <w:lang w:val="en-US" w:eastAsia="zh-CN"/>
        </w:rPr>
        <w:t>最大降雨量：指有效观测站在强降雨事件中监测到的最大的连续72小时累计降雨量。</w:t>
      </w:r>
    </w:p>
    <w:p>
      <w:pPr>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十、赔付标准</w:t>
      </w:r>
    </w:p>
    <w:p>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（一）台风巨灾指数保险保障范围内的赔付标准</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赔付结构：12级台风，32.7米/秒≤风速＜37米/秒，赔付10,000,000元；13级台风，37.0米/秒≤风速＜41.5米/秒，赔付18,750,000元；14级台风，41.5米/秒≤风速＜46.2米/秒，赔付37,500,000元；15级台风，46.2米/秒≤风速＜51米/秒，赔付60,000,000元；16级台风，51.0米/秒≤风速＜56.1米/秒，赔付90,000,000元；17级台风，56.1米/秒≤风速＜米/秒，赔付160,000,000元。</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2.赔付分摊：赔付触发时，各个县（市、区）按指数保险保费占比台州市台风指数保险总保费（1600万）的比例分摊赔付金额，预测各个县市区各级台风对应赔付金额分摊如下（也可以完全由市政府统筹使用）：</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5"/>
        <w:gridCol w:w="952"/>
        <w:gridCol w:w="1190"/>
        <w:gridCol w:w="1190"/>
        <w:gridCol w:w="1190"/>
        <w:gridCol w:w="1190"/>
        <w:gridCol w:w="1190"/>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559" w:type="pct"/>
            <w:tcBorders>
              <w:top w:val="single" w:color="000000" w:sz="8" w:space="0"/>
              <w:left w:val="single" w:color="000000" w:sz="8" w:space="0"/>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分项</w:t>
            </w:r>
          </w:p>
        </w:tc>
        <w:tc>
          <w:tcPr>
            <w:tcW w:w="514" w:type="pct"/>
            <w:tcBorders>
              <w:top w:val="single" w:color="000000" w:sz="8" w:space="0"/>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保费占比</w:t>
            </w:r>
          </w:p>
        </w:tc>
        <w:tc>
          <w:tcPr>
            <w:tcW w:w="643" w:type="pct"/>
            <w:tcBorders>
              <w:top w:val="single" w:color="000000" w:sz="8" w:space="0"/>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12级</w:t>
            </w:r>
          </w:p>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台风</w:t>
            </w:r>
          </w:p>
        </w:tc>
        <w:tc>
          <w:tcPr>
            <w:tcW w:w="643" w:type="pct"/>
            <w:tcBorders>
              <w:top w:val="single" w:color="000000" w:sz="8" w:space="0"/>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13级</w:t>
            </w:r>
          </w:p>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台风</w:t>
            </w:r>
          </w:p>
        </w:tc>
        <w:tc>
          <w:tcPr>
            <w:tcW w:w="643" w:type="pct"/>
            <w:tcBorders>
              <w:top w:val="single" w:color="000000" w:sz="8" w:space="0"/>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14级</w:t>
            </w:r>
          </w:p>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台风</w:t>
            </w:r>
          </w:p>
        </w:tc>
        <w:tc>
          <w:tcPr>
            <w:tcW w:w="643" w:type="pct"/>
            <w:tcBorders>
              <w:top w:val="single" w:color="000000" w:sz="8" w:space="0"/>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15级</w:t>
            </w:r>
          </w:p>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台风</w:t>
            </w:r>
          </w:p>
        </w:tc>
        <w:tc>
          <w:tcPr>
            <w:tcW w:w="643" w:type="pct"/>
            <w:tcBorders>
              <w:top w:val="single" w:color="000000" w:sz="8" w:space="0"/>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16级</w:t>
            </w:r>
          </w:p>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台风</w:t>
            </w:r>
          </w:p>
        </w:tc>
        <w:tc>
          <w:tcPr>
            <w:tcW w:w="710" w:type="pct"/>
            <w:tcBorders>
              <w:top w:val="single" w:color="000000" w:sz="8" w:space="0"/>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17级</w:t>
            </w:r>
          </w:p>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9" w:type="pct"/>
            <w:tcBorders>
              <w:top w:val="nil"/>
              <w:left w:val="single" w:color="000000" w:sz="8" w:space="0"/>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w:t>
            </w:r>
          </w:p>
        </w:tc>
        <w:tc>
          <w:tcPr>
            <w:tcW w:w="514"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710"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9" w:type="pct"/>
            <w:tcBorders>
              <w:top w:val="nil"/>
              <w:left w:val="single" w:color="000000" w:sz="8" w:space="0"/>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FF0000"/>
                <w:kern w:val="0"/>
                <w:sz w:val="24"/>
                <w:szCs w:val="24"/>
                <w:lang w:val="en-US" w:eastAsia="zh-CN" w:bidi="ar-SA"/>
              </w:rPr>
            </w:pPr>
          </w:p>
        </w:tc>
        <w:tc>
          <w:tcPr>
            <w:tcW w:w="514"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710"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9" w:type="pct"/>
            <w:tcBorders>
              <w:top w:val="nil"/>
              <w:left w:val="single" w:color="000000" w:sz="8" w:space="0"/>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FF0000"/>
                <w:kern w:val="0"/>
                <w:sz w:val="24"/>
                <w:szCs w:val="24"/>
                <w:lang w:val="en-US" w:eastAsia="zh-CN" w:bidi="ar-SA"/>
              </w:rPr>
            </w:pPr>
          </w:p>
        </w:tc>
        <w:tc>
          <w:tcPr>
            <w:tcW w:w="514"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710"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9" w:type="pct"/>
            <w:tcBorders>
              <w:top w:val="nil"/>
              <w:left w:val="single" w:color="000000" w:sz="8" w:space="0"/>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FF0000"/>
                <w:kern w:val="0"/>
                <w:sz w:val="24"/>
                <w:szCs w:val="24"/>
                <w:lang w:val="en-US" w:eastAsia="zh-CN" w:bidi="ar-SA"/>
              </w:rPr>
            </w:pPr>
          </w:p>
        </w:tc>
        <w:tc>
          <w:tcPr>
            <w:tcW w:w="514"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643"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c>
          <w:tcPr>
            <w:tcW w:w="710" w:type="pct"/>
            <w:tcBorders>
              <w:top w:val="nil"/>
              <w:left w:val="nil"/>
              <w:bottom w:val="single" w:color="000000" w:sz="8" w:space="0"/>
              <w:right w:val="single" w:color="000000" w:sz="8" w:space="0"/>
            </w:tcBorders>
            <w:noWrap w:val="0"/>
            <w:vAlign w:val="center"/>
          </w:tcPr>
          <w:p>
            <w:pPr>
              <w:pStyle w:val="18"/>
              <w:spacing w:line="360" w:lineRule="auto"/>
              <w:ind w:left="0" w:leftChars="0" w:firstLine="0" w:firstLineChars="0"/>
              <w:rPr>
                <w:rFonts w:hint="eastAsia" w:ascii="宋体" w:hAnsi="宋体" w:eastAsia="宋体" w:cs="宋体"/>
                <w:color w:val="auto"/>
                <w:kern w:val="0"/>
                <w:sz w:val="24"/>
                <w:szCs w:val="24"/>
                <w:lang w:val="en-US" w:eastAsia="zh-CN" w:bidi="ar-SA"/>
              </w:rPr>
            </w:pPr>
          </w:p>
        </w:tc>
      </w:tr>
    </w:tbl>
    <w:p>
      <w:pPr>
        <w:pStyle w:val="2"/>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w:t>
      </w:r>
      <w:r>
        <w:rPr>
          <w:rFonts w:hint="eastAsia" w:ascii="宋体" w:hAnsi="宋体" w:eastAsia="宋体" w:cs="宋体"/>
          <w:bCs/>
          <w:kern w:val="2"/>
          <w:sz w:val="24"/>
          <w:szCs w:val="24"/>
          <w:lang w:val="zh-TW" w:eastAsia="zh-CN" w:bidi="ar-SA"/>
        </w:rPr>
        <w:t>台风受灾事件每次事故及年度累计赔付限额为</w:t>
      </w:r>
      <w:r>
        <w:rPr>
          <w:rFonts w:hint="eastAsia" w:ascii="宋体" w:hAnsi="宋体" w:eastAsia="宋体" w:cs="宋体"/>
          <w:bCs/>
          <w:kern w:val="2"/>
          <w:sz w:val="24"/>
          <w:szCs w:val="24"/>
          <w:lang w:val="en-US" w:eastAsia="zh-CN" w:bidi="ar-SA"/>
        </w:rPr>
        <w:t>***万</w:t>
      </w:r>
      <w:r>
        <w:rPr>
          <w:rFonts w:hint="eastAsia" w:ascii="宋体" w:hAnsi="宋体" w:eastAsia="宋体" w:cs="宋体"/>
          <w:bCs/>
          <w:kern w:val="2"/>
          <w:sz w:val="24"/>
          <w:szCs w:val="24"/>
          <w:lang w:val="zh-TW" w:eastAsia="zh-CN" w:bidi="ar-SA"/>
        </w:rPr>
        <w:t>元人民币，</w:t>
      </w:r>
      <w:r>
        <w:rPr>
          <w:rFonts w:hint="eastAsia" w:ascii="宋体" w:hAnsi="宋体" w:eastAsia="宋体" w:cs="宋体"/>
          <w:bCs/>
          <w:kern w:val="2"/>
          <w:sz w:val="24"/>
          <w:szCs w:val="24"/>
          <w:lang w:val="en-US" w:eastAsia="zh-CN" w:bidi="ar-SA"/>
        </w:rPr>
        <w:t>赔付对象为台州市政府。</w:t>
      </w:r>
    </w:p>
    <w:p>
      <w:pPr>
        <w:pStyle w:val="5"/>
        <w:pageBreakBefore w:val="0"/>
        <w:widowControl w:val="0"/>
        <w:kinsoku/>
        <w:wordWrap/>
        <w:overflowPunct/>
        <w:topLinePunct w:val="0"/>
        <w:bidi w:val="0"/>
        <w:adjustRightInd w:val="0"/>
        <w:snapToGrid w:val="0"/>
        <w:spacing w:before="0" w:after="0" w:line="360" w:lineRule="auto"/>
        <w:ind w:firstLine="480" w:firstLineChars="200"/>
        <w:textAlignment w:val="auto"/>
        <w:rPr>
          <w:rFonts w:hint="eastAsia" w:ascii="宋体" w:hAnsi="宋体" w:eastAsia="宋体" w:cs="宋体"/>
          <w:bCs/>
          <w:kern w:val="2"/>
          <w:sz w:val="24"/>
          <w:szCs w:val="24"/>
          <w:lang w:val="zh-TW" w:eastAsia="zh-CN" w:bidi="ar-SA"/>
        </w:rPr>
      </w:pPr>
      <w:r>
        <w:rPr>
          <w:rFonts w:hint="eastAsia" w:ascii="宋体" w:hAnsi="宋体" w:eastAsia="宋体" w:cs="宋体"/>
          <w:bCs/>
          <w:kern w:val="2"/>
          <w:sz w:val="24"/>
          <w:szCs w:val="24"/>
          <w:lang w:val="zh-TW" w:eastAsia="zh-CN" w:bidi="ar-SA"/>
        </w:rPr>
        <w:t>（二）</w:t>
      </w:r>
      <w:r>
        <w:rPr>
          <w:rFonts w:hint="eastAsia" w:ascii="宋体" w:hAnsi="宋体" w:eastAsia="宋体" w:cs="宋体"/>
          <w:bCs/>
          <w:kern w:val="2"/>
          <w:sz w:val="24"/>
          <w:szCs w:val="24"/>
          <w:lang w:val="en-US" w:eastAsia="zh-CN" w:bidi="ar-SA"/>
        </w:rPr>
        <w:t>强降雨指数保险</w:t>
      </w:r>
      <w:r>
        <w:rPr>
          <w:rFonts w:hint="eastAsia" w:ascii="宋体" w:hAnsi="宋体" w:eastAsia="宋体" w:cs="宋体"/>
          <w:bCs/>
          <w:kern w:val="2"/>
          <w:sz w:val="24"/>
          <w:szCs w:val="24"/>
          <w:lang w:val="zh-TW" w:eastAsia="zh-CN" w:bidi="ar-SA"/>
        </w:rPr>
        <w:t>保障范围内赔付</w:t>
      </w:r>
      <w:r>
        <w:rPr>
          <w:rFonts w:hint="eastAsia" w:ascii="宋体" w:hAnsi="宋体" w:eastAsia="宋体" w:cs="宋体"/>
          <w:bCs/>
          <w:kern w:val="2"/>
          <w:sz w:val="24"/>
          <w:szCs w:val="24"/>
          <w:lang w:val="en-US" w:eastAsia="zh-CN" w:bidi="ar-SA"/>
        </w:rPr>
        <w:t>标准</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w:t>
      </w:r>
      <w:r>
        <w:rPr>
          <w:rFonts w:hint="eastAsia" w:ascii="宋体" w:hAnsi="宋体" w:eastAsia="宋体" w:cs="宋体"/>
          <w:bCs/>
          <w:kern w:val="2"/>
          <w:sz w:val="24"/>
          <w:szCs w:val="24"/>
          <w:lang w:val="zh-TW" w:eastAsia="zh-CN" w:bidi="ar-SA"/>
        </w:rPr>
        <w:t>根据有效观测站最大降雨量与灾害损失的相关性分析构建成灾指数，成灾指数=（最大降雨量-所适用层级起始雨量）/（所适用层级雨量上限-所适用层级起始雨量）×（所适用层级成灾指数上限-所适用层级起始成灾指数）+所适用层级起始成灾指数。</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kern w:val="2"/>
          <w:sz w:val="24"/>
          <w:szCs w:val="24"/>
          <w:lang w:val="zh-TW" w:eastAsia="zh-CN" w:bidi="ar-SA"/>
        </w:rPr>
      </w:pPr>
      <w:r>
        <w:rPr>
          <w:rFonts w:hint="eastAsia" w:ascii="宋体" w:hAnsi="宋体" w:eastAsia="宋体" w:cs="宋体"/>
          <w:bCs/>
          <w:kern w:val="2"/>
          <w:sz w:val="24"/>
          <w:szCs w:val="24"/>
          <w:lang w:val="en-US" w:eastAsia="zh-CN" w:bidi="ar-SA"/>
        </w:rPr>
        <w:t>2.</w:t>
      </w:r>
      <w:r>
        <w:rPr>
          <w:rFonts w:hint="eastAsia" w:ascii="宋体" w:hAnsi="宋体" w:eastAsia="宋体" w:cs="宋体"/>
          <w:bCs/>
          <w:kern w:val="2"/>
          <w:sz w:val="24"/>
          <w:szCs w:val="24"/>
          <w:lang w:val="zh-TW" w:eastAsia="zh-CN" w:bidi="ar-SA"/>
        </w:rPr>
        <w:t>保险赔付起点为成灾指数大于0，若成灾指数小于或等于30%，赔付金额为定额赔付乘以对应站点的保险权重；若成灾指数大于30%且小于或等于100%，则每次事故赔付金额=（成灾指数-所适用层级起赔点）/（所适用层级赔付上限点-所适用层级起赔点）×（所适用层级赔付额上限-所适用层级起赔额）+所适用层级起赔额。</w:t>
      </w:r>
    </w:p>
    <w:p>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强降雨指数保险成灾指数结构图（参照）</w:t>
      </w:r>
    </w:p>
    <w:tbl>
      <w:tblPr>
        <w:tblStyle w:val="20"/>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9"/>
        <w:gridCol w:w="2009"/>
        <w:gridCol w:w="3159"/>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6" w:hRule="atLeast"/>
        </w:trPr>
        <w:tc>
          <w:tcPr>
            <w:tcW w:w="18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最大降雨量（A）起始雨量A1≤最大降雨量＜雨量上限A</w:t>
            </w:r>
            <w:r>
              <w:rPr>
                <w:rStyle w:val="41"/>
                <w:rFonts w:hint="eastAsia" w:ascii="宋体" w:hAnsi="宋体" w:eastAsia="宋体" w:cs="宋体"/>
                <w:sz w:val="24"/>
                <w:szCs w:val="24"/>
                <w:lang w:val="en-US" w:eastAsia="zh-CN" w:bidi="ar"/>
              </w:rPr>
              <w:t>n</w:t>
            </w:r>
            <w:r>
              <w:rPr>
                <w:rFonts w:hint="eastAsia" w:ascii="宋体" w:hAnsi="宋体" w:eastAsia="宋体" w:cs="宋体"/>
                <w:b/>
                <w:i w:val="0"/>
                <w:color w:val="000000"/>
                <w:kern w:val="0"/>
                <w:sz w:val="24"/>
                <w:szCs w:val="24"/>
                <w:u w:val="none"/>
                <w:lang w:val="en-US" w:eastAsia="zh-CN" w:bidi="ar"/>
              </w:rPr>
              <w:t>）</w:t>
            </w:r>
          </w:p>
        </w:tc>
        <w:tc>
          <w:tcPr>
            <w:tcW w:w="200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成灾指数公式</w:t>
            </w:r>
          </w:p>
        </w:tc>
        <w:tc>
          <w:tcPr>
            <w:tcW w:w="31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成灾指数（x）（起赔点X1＜成灾指数≤赔付上限点Xn）</w:t>
            </w:r>
          </w:p>
        </w:tc>
        <w:tc>
          <w:tcPr>
            <w:tcW w:w="15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保险分段赔付金额（单位：万元）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87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 A &lt;180</w:t>
            </w:r>
          </w:p>
        </w:tc>
        <w:tc>
          <w:tcPr>
            <w:tcW w:w="2009" w:type="dxa"/>
            <w:vMerge w:val="restart"/>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X=(A-A1</w:t>
            </w:r>
            <w:r>
              <w:rPr>
                <w:rStyle w:val="53"/>
                <w:rFonts w:hint="eastAsia" w:ascii="宋体" w:hAnsi="宋体" w:eastAsia="宋体" w:cs="宋体"/>
                <w:sz w:val="24"/>
                <w:szCs w:val="24"/>
                <w:lang w:val="en-US" w:eastAsia="zh-CN" w:bidi="ar"/>
              </w:rPr>
              <w:t>)/(An-A</w:t>
            </w:r>
            <w:r>
              <w:rPr>
                <w:rFonts w:hint="eastAsia" w:ascii="宋体" w:hAnsi="宋体" w:eastAsia="宋体" w:cs="宋体"/>
                <w:i w:val="0"/>
                <w:color w:val="000000"/>
                <w:kern w:val="0"/>
                <w:sz w:val="24"/>
                <w:szCs w:val="24"/>
                <w:u w:val="none"/>
                <w:lang w:val="en-US" w:eastAsia="zh-CN" w:bidi="ar"/>
              </w:rPr>
              <w:t>1</w:t>
            </w:r>
            <w:r>
              <w:rPr>
                <w:rStyle w:val="53"/>
                <w:rFonts w:hint="eastAsia" w:ascii="宋体" w:hAnsi="宋体" w:eastAsia="宋体" w:cs="宋体"/>
                <w:sz w:val="24"/>
                <w:szCs w:val="24"/>
                <w:lang w:val="en-US" w:eastAsia="zh-CN" w:bidi="ar"/>
              </w:rPr>
              <w:t>)*(Xn-X</w:t>
            </w:r>
            <w:r>
              <w:rPr>
                <w:rFonts w:hint="eastAsia" w:ascii="宋体" w:hAnsi="宋体" w:eastAsia="宋体" w:cs="宋体"/>
                <w:i w:val="0"/>
                <w:color w:val="000000"/>
                <w:kern w:val="0"/>
                <w:sz w:val="24"/>
                <w:szCs w:val="24"/>
                <w:u w:val="none"/>
                <w:lang w:val="en-US" w:eastAsia="zh-CN" w:bidi="ar"/>
              </w:rPr>
              <w:t>1</w:t>
            </w:r>
            <w:r>
              <w:rPr>
                <w:rStyle w:val="53"/>
                <w:rFonts w:hint="eastAsia" w:ascii="宋体" w:hAnsi="宋体" w:eastAsia="宋体" w:cs="宋体"/>
                <w:sz w:val="24"/>
                <w:szCs w:val="24"/>
                <w:lang w:val="en-US" w:eastAsia="zh-CN" w:bidi="ar"/>
              </w:rPr>
              <w:t>)+X</w:t>
            </w:r>
            <w:r>
              <w:rPr>
                <w:rFonts w:hint="eastAsia" w:ascii="宋体" w:hAnsi="宋体" w:eastAsia="宋体" w:cs="宋体"/>
                <w:i w:val="0"/>
                <w:color w:val="000000"/>
                <w:kern w:val="0"/>
                <w:sz w:val="24"/>
                <w:szCs w:val="24"/>
                <w:u w:val="none"/>
                <w:lang w:val="en-US" w:eastAsia="zh-CN" w:bidi="ar"/>
              </w:rPr>
              <w:t>1</w:t>
            </w:r>
          </w:p>
        </w:tc>
        <w:tc>
          <w:tcPr>
            <w:tcW w:w="3159"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 x ≤30%</w:t>
            </w:r>
          </w:p>
        </w:tc>
        <w:tc>
          <w:tcPr>
            <w:tcW w:w="1584"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87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 A &lt;240</w:t>
            </w:r>
          </w:p>
        </w:tc>
        <w:tc>
          <w:tcPr>
            <w:tcW w:w="2009"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color w:val="000000"/>
                <w:sz w:val="24"/>
                <w:szCs w:val="24"/>
                <w:u w:val="none"/>
              </w:rPr>
            </w:pPr>
          </w:p>
        </w:tc>
        <w:tc>
          <w:tcPr>
            <w:tcW w:w="31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 x ≤50%</w:t>
            </w:r>
          </w:p>
        </w:tc>
        <w:tc>
          <w:tcPr>
            <w:tcW w:w="1584"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Y1</w:t>
            </w:r>
            <w:r>
              <w:rPr>
                <w:rStyle w:val="53"/>
                <w:rFonts w:hint="eastAsia" w:ascii="宋体" w:hAnsi="宋体" w:eastAsia="宋体" w:cs="宋体"/>
                <w:sz w:val="24"/>
                <w:szCs w:val="24"/>
                <w:lang w:val="en-US" w:eastAsia="zh-CN" w:bidi="ar"/>
              </w:rPr>
              <w:t>～</w:t>
            </w:r>
            <w:r>
              <w:rPr>
                <w:rStyle w:val="53"/>
                <w:rFonts w:hint="eastAsia" w:ascii="宋体" w:hAnsi="宋体" w:eastAsia="宋体" w:cs="宋体"/>
                <w:sz w:val="24"/>
                <w:szCs w:val="24"/>
                <w:u w:val="none"/>
                <w:lang w:val="en-US" w:eastAsia="zh-CN" w:bidi="ar"/>
              </w:rPr>
              <w:t>Yn</w:t>
            </w:r>
            <w:r>
              <w:rPr>
                <w:rStyle w:val="53"/>
                <w:rFonts w:hint="eastAsia" w:ascii="宋体" w:hAnsi="宋体" w:eastAsia="宋体" w:cs="宋体"/>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87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 A &lt;360</w:t>
            </w:r>
          </w:p>
        </w:tc>
        <w:tc>
          <w:tcPr>
            <w:tcW w:w="2009"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color w:val="000000"/>
                <w:sz w:val="24"/>
                <w:szCs w:val="24"/>
                <w:u w:val="none"/>
              </w:rPr>
            </w:pPr>
          </w:p>
        </w:tc>
        <w:tc>
          <w:tcPr>
            <w:tcW w:w="3159"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 x ≤80%</w:t>
            </w:r>
          </w:p>
        </w:tc>
        <w:tc>
          <w:tcPr>
            <w:tcW w:w="1584"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Y1</w:t>
            </w:r>
            <w:r>
              <w:rPr>
                <w:rStyle w:val="53"/>
                <w:rFonts w:hint="eastAsia" w:ascii="宋体" w:hAnsi="宋体" w:eastAsia="宋体" w:cs="宋体"/>
                <w:sz w:val="24"/>
                <w:szCs w:val="24"/>
                <w:lang w:val="en-US" w:eastAsia="zh-CN" w:bidi="ar"/>
              </w:rPr>
              <w:t>～Yn元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8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 A &lt;420</w:t>
            </w:r>
          </w:p>
        </w:tc>
        <w:tc>
          <w:tcPr>
            <w:tcW w:w="2009"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color w:val="000000"/>
                <w:sz w:val="24"/>
                <w:szCs w:val="24"/>
                <w:u w:val="none"/>
              </w:rPr>
            </w:pPr>
          </w:p>
        </w:tc>
        <w:tc>
          <w:tcPr>
            <w:tcW w:w="31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 x ≤90%</w:t>
            </w:r>
          </w:p>
        </w:tc>
        <w:tc>
          <w:tcPr>
            <w:tcW w:w="1584"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Y1</w:t>
            </w:r>
            <w:r>
              <w:rPr>
                <w:rStyle w:val="53"/>
                <w:rFonts w:hint="eastAsia" w:ascii="宋体" w:hAnsi="宋体" w:eastAsia="宋体" w:cs="宋体"/>
                <w:sz w:val="24"/>
                <w:szCs w:val="24"/>
                <w:lang w:val="en-US" w:eastAsia="zh-CN" w:bidi="ar"/>
              </w:rPr>
              <w:t>～</w:t>
            </w:r>
            <w:r>
              <w:rPr>
                <w:rStyle w:val="53"/>
                <w:rFonts w:hint="eastAsia" w:ascii="宋体" w:hAnsi="宋体" w:eastAsia="宋体" w:cs="宋体"/>
                <w:sz w:val="24"/>
                <w:szCs w:val="24"/>
                <w:u w:val="none"/>
                <w:lang w:val="en-US" w:eastAsia="zh-CN" w:bidi="ar"/>
              </w:rPr>
              <w:t>Yn</w:t>
            </w:r>
            <w:r>
              <w:rPr>
                <w:rStyle w:val="53"/>
                <w:rFonts w:hint="eastAsia" w:ascii="宋体" w:hAnsi="宋体" w:eastAsia="宋体" w:cs="宋体"/>
                <w:sz w:val="24"/>
                <w:szCs w:val="24"/>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8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 A &lt;490</w:t>
            </w:r>
          </w:p>
        </w:tc>
        <w:tc>
          <w:tcPr>
            <w:tcW w:w="2009"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color w:val="000000"/>
                <w:sz w:val="24"/>
                <w:szCs w:val="24"/>
                <w:u w:val="none"/>
              </w:rPr>
            </w:pPr>
          </w:p>
        </w:tc>
        <w:tc>
          <w:tcPr>
            <w:tcW w:w="31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 x ≤100%</w:t>
            </w:r>
          </w:p>
        </w:tc>
        <w:tc>
          <w:tcPr>
            <w:tcW w:w="1584"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Y1</w:t>
            </w:r>
            <w:r>
              <w:rPr>
                <w:rStyle w:val="53"/>
                <w:rFonts w:hint="eastAsia" w:ascii="宋体" w:hAnsi="宋体" w:eastAsia="宋体" w:cs="宋体"/>
                <w:sz w:val="24"/>
                <w:szCs w:val="24"/>
                <w:lang w:val="en-US" w:eastAsia="zh-CN" w:bidi="ar"/>
              </w:rPr>
              <w:t>～Yn元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8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 ≥490</w:t>
            </w:r>
          </w:p>
        </w:tc>
        <w:tc>
          <w:tcPr>
            <w:tcW w:w="2009" w:type="dxa"/>
            <w:vMerge w:val="continue"/>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color w:val="000000"/>
                <w:sz w:val="24"/>
                <w:szCs w:val="24"/>
                <w:u w:val="none"/>
              </w:rPr>
            </w:pPr>
          </w:p>
        </w:tc>
        <w:tc>
          <w:tcPr>
            <w:tcW w:w="31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年度强降雨累计赔付限额</w:t>
            </w:r>
          </w:p>
        </w:tc>
        <w:tc>
          <w:tcPr>
            <w:tcW w:w="15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Yn元</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Cs/>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强降雨指数保险段赔付金额（参照）</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6480" w:firstLineChars="27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（单位：万元）</w:t>
      </w:r>
    </w:p>
    <w:tbl>
      <w:tblPr>
        <w:tblStyle w:val="20"/>
        <w:tblW w:w="9385" w:type="dxa"/>
        <w:jc w:val="center"/>
        <w:tblLayout w:type="autofit"/>
        <w:tblCellMar>
          <w:top w:w="0" w:type="dxa"/>
          <w:left w:w="108" w:type="dxa"/>
          <w:bottom w:w="0" w:type="dxa"/>
          <w:right w:w="108" w:type="dxa"/>
        </w:tblCellMar>
      </w:tblPr>
      <w:tblGrid>
        <w:gridCol w:w="1149"/>
        <w:gridCol w:w="1220"/>
        <w:gridCol w:w="1076"/>
        <w:gridCol w:w="1297"/>
        <w:gridCol w:w="1297"/>
        <w:gridCol w:w="1236"/>
        <w:gridCol w:w="1297"/>
        <w:gridCol w:w="813"/>
      </w:tblGrid>
      <w:tr>
        <w:tblPrEx>
          <w:tblCellMar>
            <w:top w:w="0" w:type="dxa"/>
            <w:left w:w="108" w:type="dxa"/>
            <w:bottom w:w="0" w:type="dxa"/>
            <w:right w:w="108" w:type="dxa"/>
          </w:tblCellMar>
        </w:tblPrEx>
        <w:trPr>
          <w:trHeight w:val="1229" w:hRule="atLeast"/>
          <w:jc w:val="center"/>
        </w:trPr>
        <w:tc>
          <w:tcPr>
            <w:tcW w:w="23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righ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-53975</wp:posOffset>
                      </wp:positionH>
                      <wp:positionV relativeFrom="paragraph">
                        <wp:posOffset>3175</wp:posOffset>
                      </wp:positionV>
                      <wp:extent cx="457835" cy="836295"/>
                      <wp:effectExtent l="4445" t="2540" r="13970" b="18415"/>
                      <wp:wrapNone/>
                      <wp:docPr id="4" name="直接箭头连接符 4"/>
                      <wp:cNvGraphicFramePr/>
                      <a:graphic xmlns:a="http://schemas.openxmlformats.org/drawingml/2006/main">
                        <a:graphicData uri="http://schemas.microsoft.com/office/word/2010/wordprocessingShape">
                          <wps:wsp>
                            <wps:cNvCnPr/>
                            <wps:spPr>
                              <a:xfrm>
                                <a:off x="0" y="0"/>
                                <a:ext cx="457835" cy="836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5pt;margin-top:0.25pt;height:65.85pt;width:36.05pt;z-index:251663360;mso-width-relative:page;mso-height-relative:page;" filled="f" stroked="t" coordsize="21600,21600" o:gfxdata="UEsDBAoAAAAAAIdO4kAAAAAAAAAAAAAAAAAEAAAAZHJzL1BLAwQUAAAACACHTuJA+3wDstUAAAAG&#10;AQAADwAAAGRycy9kb3ducmV2LnhtbE2OQWvCQBCF7wX/wzKFXoruJmKwaTYihR56rApe1+w0SZud&#10;DdmNsf76Tk96GXi8jzdfsbm4TpxxCK0nDclCgUCqvG2p1nDYv8/XIEI0ZE3nCTX8YoBNOXsoTG79&#10;RJ943sVa8AiF3GhoYuxzKUPVoDNh4Xsk7r784EzkONTSDmbicdfJVKlMOtMSf2hMj28NVj+70WnA&#10;MK4StX1x9eHjOj0f0+v31O+1fnpM1CuIiJd4g+Ffn9WhZKeTH8kG0WmYr1dMauDLbbbMQJyYWqYp&#10;yLKQ9/rlH1BLAwQUAAAACACHTuJAKM9fFwECAADwAwAADgAAAGRycy9lMm9Eb2MueG1srVO9jhMx&#10;EO6ReAfLPdkklxy5VTZXJBwNgkjAAzi2d9eS/+TxZZOX4AWQqICKo7qep4HjMRh7Qw6OJgVbeMee&#10;mW/m+zyeX+6MJlsZQDlb0dFgSIm03Allm4q+fXP1ZEYJRGYF087Kiu4l0MvF40fzzpdy7FqnhQwE&#10;QSyUna9oG6MviwJ4Kw2DgfPSorN2wbCI29AUIrAO0Y0uxsPhedG5IHxwXALg6ap30gNiOAXQ1bXi&#10;cuX4tZE29qhBahaRErTKA13kbuta8viqrkFGoiuKTGNesQjam7QWizkrm8B8q/ihBXZKCw84GaYs&#10;Fj1CrVhk5Dqof6CM4sGBq+OAO1P0RLIiyGI0fKDN65Z5mbmg1OCPosP/g+Uvt+tAlKjohBLLDF74&#10;3fvbH+8+3X29+f7x9ue3D8n+8plMklSdhxIzlnYdDjvw65B47+pg0h8ZkV2Wd3+UV+4i4Xg4mT6d&#10;nU0p4eianZ2PL6YJs7hP9gHic+kMSUZFIQammjYunbV4kS6MssRs+wJin/g7IVXWlnQVvZiOUwWG&#10;g1njQKBpPJID2+RccFqJK6V1yoDQbJY6kC1Lw5G/Q0N/haUiKwZtH5ddKYyVrWTimRUk7j3KZvG1&#10;0NSCkYISLfFxJStHRqb0KZGohbYoSdK5VzZZGyf2WfB8joOQRTsMbZq0P/c5+/6h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wDstUAAAAGAQAADwAAAAAAAAABACAAAAAiAAAAZHJzL2Rvd25y&#10;ZXYueG1sUEsBAhQAFAAAAAgAh07iQCjPXxcBAgAA8AMAAA4AAAAAAAAAAQAgAAAAJAEAAGRycy9l&#10;Mm9Eb2MueG1sUEsFBgAAAAAGAAYAWQEAAJcFAAAAAA==&#10;">
                      <v:fill on="f" focussize="0,0"/>
                      <v:stroke color="#000000" joinstyle="round"/>
                      <v:imagedata o:title=""/>
                      <o:lock v:ext="edit" aspectratio="f"/>
                    </v:shape>
                  </w:pict>
                </mc:Fallback>
              </mc:AlternateContent>
            </w:r>
            <w:r>
              <w:rPr>
                <w:rFonts w:hint="eastAsia" w:ascii="宋体" w:hAnsi="宋体" w:eastAsia="宋体" w:cs="宋体"/>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4445</wp:posOffset>
                      </wp:positionV>
                      <wp:extent cx="1470660" cy="687070"/>
                      <wp:effectExtent l="1905" t="4445" r="13335" b="13335"/>
                      <wp:wrapNone/>
                      <wp:docPr id="10" name="直接箭头连接符 10"/>
                      <wp:cNvGraphicFramePr/>
                      <a:graphic xmlns:a="http://schemas.openxmlformats.org/drawingml/2006/main">
                        <a:graphicData uri="http://schemas.microsoft.com/office/word/2010/wordprocessingShape">
                          <wps:wsp>
                            <wps:cNvCnPr/>
                            <wps:spPr>
                              <a:xfrm>
                                <a:off x="0" y="0"/>
                                <a:ext cx="1470660" cy="6870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pt;margin-top:0.35pt;height:54.1pt;width:115.8pt;z-index:251664384;mso-width-relative:page;mso-height-relative:page;" filled="f" stroked="t" coordsize="21600,21600" o:gfxdata="UEsDBAoAAAAAAIdO4kAAAAAAAAAAAAAAAAAEAAAAZHJzL1BLAwQUAAAACACHTuJAg/Di49cAAAAH&#10;AQAADwAAAGRycy9kb3ducmV2LnhtbE2PwU7DMBBE70j9B2srcUGtnSBKGuJUVSUOHGkrcXXjJQnE&#10;6yh2mtKvZznR42hGM2+KzcV14oxDaD1pSJYKBFLlbUu1huPhdZGBCNGQNZ0n1PCDATbl7K4wufUT&#10;veN5H2vBJRRyo6GJsc+lDFWDzoSl75HY+/SDM5HlUEs7mInLXSdTpVbSmZZ4oTE97hqsvvej04Bh&#10;fErUdu3q49t1evhIr19Tf9D6fp6oFxARL/E/DH/4jA4lM538SDaITsMi4ytRwzMIdtP0cQXixDGV&#10;rUGWhbzlL38BUEsDBBQAAAAIAIdO4kAtg2TkBAIAAPMDAAAOAAAAZHJzL2Uyb0RvYy54bWytU82O&#10;0zAQviPxDpbvNGnFtrtR0z20LBcElWAfwLWdxJL/5PE27UvwAkicgBNw2jtPA8tjMHZKF5ZLD+SQ&#10;jD2eb+b78nl+uTOabGUA5WxNx6OSEmm5E8q2Nb1+c/XknBKIzAqmnZU13Uugl4vHj+a9r+TEdU4L&#10;GQiCWKh6X9MuRl8VBfBOGgYj56XFZOOCYRGXoS1EYD2iG11MynJa9C4IHxyXALi7GpL0gBhOAXRN&#10;o7hcOX5jpI0DapCaRaQEnfJAF3nappE8vmoakJHomiLTmN/YBONNeheLOavawHyn+GEEdsoIDzgZ&#10;piw2PUKtWGTkJqh/oIziwYFr4og7UwxEsiLIYlw+0OZ1x7zMXFBq8EfR4f/B8pfbdSBKoBNQEssM&#10;/vG7d7c/3n68+/rl+4fbn9/ep/jzJ4J5FKv3UGHN0q7DYQV+HRLzXRNM+iInsssC748Cy10kHDfH&#10;T2fldIqNOOam57NylkGL+2ofID6XzpAU1BRiYKrt4tJZi//ShXFWmW1fQMT+WPi7ILXWlvQ1vTib&#10;nGEHht5s0BMYGo/8wLa5FpxW4kppnSogtJulDmTLkj/yk1gi7l/HUpMVg244l1ODczrJxDMrSNx7&#10;FM7ihaFpBCMFJVri/UoRArIqMqVPOYmttcUJktCDtCnaOLHPiud99EKe8eDbZLY/17n6/q4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8OLj1wAAAAcBAAAPAAAAAAAAAAEAIAAAACIAAABkcnMv&#10;ZG93bnJldi54bWxQSwECFAAUAAAACACHTuJALYNk5AQCAADzAwAADgAAAAAAAAABACAAAAAmAQAA&#10;ZHJzL2Uyb0RvYy54bWxQSwUGAAAAAAYABgBZAQAAnAUAAAAA&#10;">
                      <v:fill on="f" focussize="0,0"/>
                      <v:stroke color="#000000" joinstyle="round"/>
                      <v:imagedata o:title=""/>
                      <o:lock v:ext="edit" aspectratio="f"/>
                    </v:shape>
                  </w:pict>
                </mc:Fallback>
              </mc:AlternateContent>
            </w:r>
            <w:r>
              <w:rPr>
                <w:rFonts w:hint="eastAsia" w:ascii="宋体" w:hAnsi="宋体" w:eastAsia="宋体" w:cs="宋体"/>
                <w:color w:val="000000"/>
                <w:kern w:val="0"/>
                <w:sz w:val="24"/>
                <w:szCs w:val="24"/>
                <w:lang w:bidi="ar"/>
              </w:rPr>
              <w:t>最大降雨量（A）</w:t>
            </w:r>
          </w:p>
          <w:p>
            <w:pPr>
              <w:widowControl/>
              <w:spacing w:line="240" w:lineRule="exact"/>
              <w:jc w:val="right"/>
              <w:textAlignment w:val="center"/>
              <w:rPr>
                <w:rFonts w:hint="eastAsia" w:ascii="宋体" w:hAnsi="宋体" w:eastAsia="宋体" w:cs="宋体"/>
                <w:bCs/>
                <w:sz w:val="24"/>
                <w:szCs w:val="24"/>
              </w:rPr>
            </w:pPr>
            <w:r>
              <w:rPr>
                <w:rFonts w:hint="eastAsia" w:ascii="宋体" w:hAnsi="宋体" w:eastAsia="宋体" w:cs="宋体"/>
                <w:bCs/>
                <w:sz w:val="24"/>
                <w:szCs w:val="24"/>
              </w:rPr>
              <w:t>（单位mm）</w:t>
            </w:r>
          </w:p>
          <w:p>
            <w:pPr>
              <w:widowControl/>
              <w:spacing w:before="240" w:beforeLines="40" w:after="60" w:afterLines="10" w:line="240" w:lineRule="exact"/>
              <w:ind w:firstLine="480" w:firstLineChars="200"/>
              <w:jc w:val="left"/>
              <w:textAlignment w:val="center"/>
              <w:rPr>
                <w:rFonts w:hint="eastAsia" w:ascii="宋体" w:hAnsi="宋体" w:eastAsia="宋体" w:cs="宋体"/>
                <w:bCs/>
                <w:sz w:val="24"/>
                <w:szCs w:val="24"/>
              </w:rPr>
            </w:pPr>
            <w:r>
              <w:rPr>
                <w:rFonts w:hint="eastAsia" w:ascii="宋体" w:hAnsi="宋体" w:eastAsia="宋体" w:cs="宋体"/>
                <w:bCs/>
                <w:sz w:val="24"/>
                <w:szCs w:val="24"/>
              </w:rPr>
              <w:t>赔付金额</w:t>
            </w:r>
          </w:p>
          <w:p>
            <w:pPr>
              <w:widowControl/>
              <w:spacing w:line="3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区域</w:t>
            </w:r>
          </w:p>
        </w:tc>
        <w:tc>
          <w:tcPr>
            <w:tcW w:w="1076"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140≤A &lt;180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180≤A &lt;240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240≤A &lt;360</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360≤A &lt;420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420≤A &lt;490</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A≥490</w:t>
            </w:r>
          </w:p>
        </w:tc>
      </w:tr>
      <w:tr>
        <w:tblPrEx>
          <w:tblCellMar>
            <w:top w:w="0" w:type="dxa"/>
            <w:left w:w="108" w:type="dxa"/>
            <w:bottom w:w="0" w:type="dxa"/>
            <w:right w:w="108" w:type="dxa"/>
          </w:tblCellMar>
        </w:tblPrEx>
        <w:trPr>
          <w:trHeight w:val="611" w:hRule="atLeast"/>
          <w:jc w:val="center"/>
        </w:trPr>
        <w:tc>
          <w:tcPr>
            <w:tcW w:w="1149"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县市区</w:t>
            </w:r>
          </w:p>
        </w:tc>
        <w:tc>
          <w:tcPr>
            <w:tcW w:w="1220"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站点</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611" w:hRule="atLeast"/>
          <w:jc w:val="center"/>
        </w:trPr>
        <w:tc>
          <w:tcPr>
            <w:tcW w:w="1149"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p>
        </w:tc>
        <w:tc>
          <w:tcPr>
            <w:tcW w:w="1220" w:type="dxa"/>
            <w:tcBorders>
              <w:top w:val="single" w:color="000000" w:sz="4" w:space="0"/>
              <w:left w:val="single" w:color="auto"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宋体" w:hAnsi="宋体" w:eastAsia="宋体" w:cs="宋体"/>
                <w:color w:val="000000"/>
                <w:sz w:val="24"/>
                <w:szCs w:val="24"/>
              </w:rPr>
            </w:pP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6480" w:firstLineChars="2700"/>
        <w:textAlignment w:val="auto"/>
        <w:rPr>
          <w:rFonts w:hint="eastAsia" w:ascii="宋体" w:hAnsi="宋体" w:eastAsia="宋体" w:cs="宋体"/>
          <w:bCs/>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6480" w:firstLineChars="2700"/>
        <w:textAlignment w:val="auto"/>
        <w:rPr>
          <w:rFonts w:hint="eastAsia" w:ascii="宋体" w:hAnsi="宋体" w:eastAsia="宋体" w:cs="宋体"/>
          <w:bCs/>
          <w:kern w:val="2"/>
          <w:sz w:val="24"/>
          <w:szCs w:val="24"/>
          <w:lang w:val="en-US" w:eastAsia="zh-CN" w:bidi="ar-SA"/>
        </w:rPr>
      </w:pPr>
    </w:p>
    <w:p>
      <w:pPr>
        <w:pStyle w:val="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十一、保险赔付</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（一）当台风路径点进入巨灾框时，按照相应的赔付标准进行赔付；当降雨量触发阀值时，按照相应的赔付标准进行赔付。</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（二）赔付时间。甲方与乙方确认触发巨灾理赔条件及赔付金额，达成一致意见后，按以下约定时间赔付：</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1、500万（不含）以下赔款：3个工作日内赔付；</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2、500万（含）-1000万（不含）以下赔款：7个工作日内赔付；</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3、1000万（含）以上赔款：10个工作日内赔付。</w:t>
      </w:r>
    </w:p>
    <w:p>
      <w:pPr>
        <w:pStyle w:val="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十二、巨灾指数报告及计算机构</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台州市气象局</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十三、理赔程序</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（一）可能损失通知：被保险人在其认为合理的可能导致台风或强降雨受灾事件的任何事件开始后五个工作日内向保险人发出书面可能损失通知并同时将其提交给巨灾指数计算机构。</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（二）台风事件报告：由巨灾指数计算机构在台风事件报告中明确：</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 台风或强降雨受灾事件已经发生。</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2.提供台风受灾事件的路径、近中心最大风速或提供强降雨成灾指数。</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（三）索赔申请：被保险人根据台风或强降雨事件报告向保险人提出正式索赔申请。</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（四）保险赔付：保险人与被保险人确认触及巨灾理赔及赔付金额后按约定时间向被保险人支付赔款。</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（五）理赔依据：以台风或强降雨指数计算机构出具的事件报告为理赔依据。</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zh-TW" w:eastAsia="zh-TW" w:bidi="ar-SA"/>
        </w:rPr>
      </w:pPr>
      <w:r>
        <w:rPr>
          <w:rFonts w:hint="eastAsia" w:ascii="宋体" w:hAnsi="宋体" w:eastAsia="宋体" w:cs="宋体"/>
          <w:bCs/>
          <w:kern w:val="2"/>
          <w:sz w:val="24"/>
          <w:szCs w:val="24"/>
          <w:lang w:val="en-US" w:eastAsia="zh-CN" w:bidi="ar-SA"/>
        </w:rPr>
        <w:t>（六）保险赔偿金（含预付赔款）支付：凭甲方指示，乙方将部分或全部支付给特定需求单位。</w:t>
      </w:r>
    </w:p>
    <w:p>
      <w:pPr>
        <w:pStyle w:val="55"/>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十四、保险服务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按照投标承诺，乙方组建专门的防灾防损工作小组组织开展保险期限内的各项防灾防损服务，各个县（市、区）服务小组名单及联系方式：</w:t>
      </w:r>
    </w:p>
    <w:tbl>
      <w:tblPr>
        <w:tblStyle w:val="20"/>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905"/>
        <w:gridCol w:w="1950"/>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5" w:type="dxa"/>
            <w:gridSpan w:val="4"/>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r>
              <w:rPr>
                <w:rFonts w:hint="eastAsia" w:ascii="宋体" w:hAnsi="宋体" w:eastAsia="宋体" w:cs="宋体"/>
                <w:bCs/>
                <w:color w:val="FF0000"/>
                <w:kern w:val="2"/>
                <w:sz w:val="24"/>
                <w:szCs w:val="24"/>
                <w:lang w:val="en-US" w:eastAsia="zh-CN" w:bidi="ar-SA"/>
              </w:rPr>
              <w:t>***</w:t>
            </w:r>
            <w:r>
              <w:rPr>
                <w:rFonts w:hint="eastAsia" w:ascii="宋体" w:hAnsi="宋体" w:eastAsia="宋体" w:cs="宋体"/>
                <w:bCs/>
                <w:kern w:val="2"/>
                <w:sz w:val="24"/>
                <w:szCs w:val="24"/>
                <w:lang w:val="en-US" w:eastAsia="zh-CN" w:bidi="ar-SA"/>
              </w:rPr>
              <w:t>服务小组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dxa"/>
            <w:noWrap w:val="0"/>
            <w:vAlign w:val="center"/>
          </w:tcPr>
          <w:p>
            <w:pPr>
              <w:pageBreakBefore w:val="0"/>
              <w:kinsoku/>
              <w:wordWrap/>
              <w:overflowPunct/>
              <w:topLinePunct w:val="0"/>
              <w:bidi w:val="0"/>
              <w:spacing w:line="560" w:lineRule="exact"/>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成员</w:t>
            </w:r>
          </w:p>
        </w:tc>
        <w:tc>
          <w:tcPr>
            <w:tcW w:w="1905" w:type="dxa"/>
            <w:noWrap w:val="0"/>
            <w:vAlign w:val="center"/>
          </w:tcPr>
          <w:p>
            <w:pPr>
              <w:pageBreakBefore w:val="0"/>
              <w:kinsoku/>
              <w:wordWrap/>
              <w:overflowPunct/>
              <w:topLinePunct w:val="0"/>
              <w:bidi w:val="0"/>
              <w:spacing w:line="560" w:lineRule="exact"/>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姓名</w:t>
            </w:r>
          </w:p>
        </w:tc>
        <w:tc>
          <w:tcPr>
            <w:tcW w:w="1950" w:type="dxa"/>
            <w:noWrap w:val="0"/>
            <w:vAlign w:val="center"/>
          </w:tcPr>
          <w:p>
            <w:pPr>
              <w:pageBreakBefore w:val="0"/>
              <w:kinsoku/>
              <w:wordWrap/>
              <w:overflowPunct/>
              <w:topLinePunct w:val="0"/>
              <w:bidi w:val="0"/>
              <w:spacing w:line="560" w:lineRule="exact"/>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电话（手机）</w:t>
            </w:r>
          </w:p>
        </w:tc>
        <w:tc>
          <w:tcPr>
            <w:tcW w:w="3511" w:type="dxa"/>
            <w:noWrap w:val="0"/>
            <w:vAlign w:val="center"/>
          </w:tcPr>
          <w:p>
            <w:pPr>
              <w:pageBreakBefore w:val="0"/>
              <w:kinsoku/>
              <w:wordWrap/>
              <w:overflowPunct/>
              <w:topLinePunct w:val="0"/>
              <w:bidi w:val="0"/>
              <w:spacing w:line="560" w:lineRule="exact"/>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在本服务小组内的职能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05"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50"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zh-CN" w:eastAsia="zh-CN" w:bidi="ar-SA"/>
              </w:rPr>
            </w:pPr>
          </w:p>
        </w:tc>
        <w:tc>
          <w:tcPr>
            <w:tcW w:w="3511"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05"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50"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3511"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05"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50"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3511"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9"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05"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1950"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c>
          <w:tcPr>
            <w:tcW w:w="3511" w:type="dxa"/>
            <w:noWrap w:val="0"/>
            <w:vAlign w:val="center"/>
          </w:tcPr>
          <w:p>
            <w:pPr>
              <w:pageBreakBefore w:val="0"/>
              <w:kinsoku/>
              <w:wordWrap/>
              <w:overflowPunct/>
              <w:topLinePunct w:val="0"/>
              <w:bidi w:val="0"/>
              <w:spacing w:line="560" w:lineRule="exact"/>
              <w:ind w:firstLine="480" w:firstLineChars="200"/>
              <w:jc w:val="center"/>
              <w:rPr>
                <w:rFonts w:hint="eastAsia" w:ascii="宋体" w:hAnsi="宋体" w:eastAsia="宋体" w:cs="宋体"/>
                <w:bCs/>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bookmarkStart w:id="43" w:name="_Toc8709"/>
      <w:r>
        <w:rPr>
          <w:rFonts w:hint="eastAsia" w:ascii="宋体" w:hAnsi="宋体" w:eastAsia="宋体" w:cs="宋体"/>
          <w:bCs/>
          <w:kern w:val="2"/>
          <w:sz w:val="24"/>
          <w:szCs w:val="24"/>
          <w:lang w:val="en-US" w:eastAsia="zh-CN" w:bidi="ar-SA"/>
        </w:rPr>
        <w:t>按照投标承诺，在该标段设立并开业**个服务网点，每少一个网点，按该标段保费总额的1%扣除。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lang w:val="en-US" w:eastAsia="zh-CN"/>
        </w:rPr>
      </w:pPr>
      <w:r>
        <w:rPr>
          <w:rFonts w:hint="eastAsia" w:ascii="宋体" w:hAnsi="宋体" w:eastAsia="宋体" w:cs="宋体"/>
          <w:bCs/>
          <w:kern w:val="2"/>
          <w:sz w:val="24"/>
          <w:szCs w:val="24"/>
          <w:lang w:val="en-US" w:eastAsia="zh-CN" w:bidi="ar-SA"/>
        </w:rPr>
        <w:t>在本合同有效期内，保险机构要加强与政府减灾救灾工作的配合，</w:t>
      </w:r>
      <w:r>
        <w:rPr>
          <w:rFonts w:hint="eastAsia" w:ascii="宋体" w:hAnsi="宋体" w:cs="宋体"/>
          <w:bCs/>
          <w:color w:val="auto"/>
          <w:kern w:val="2"/>
          <w:sz w:val="24"/>
          <w:szCs w:val="24"/>
          <w:lang w:val="en-US" w:eastAsia="zh-CN" w:bidi="ar-SA"/>
        </w:rPr>
        <w:t>每年服务费用不少于该标项保费的5%，</w:t>
      </w:r>
      <w:r>
        <w:rPr>
          <w:rFonts w:hint="eastAsia" w:ascii="宋体" w:hAnsi="宋体" w:cs="宋体"/>
          <w:bCs/>
          <w:kern w:val="2"/>
          <w:sz w:val="24"/>
          <w:szCs w:val="24"/>
          <w:lang w:val="en-US" w:eastAsia="zh-CN" w:bidi="ar-SA"/>
        </w:rPr>
        <w:t>重点</w:t>
      </w:r>
      <w:r>
        <w:rPr>
          <w:rFonts w:hint="eastAsia" w:ascii="宋体" w:hAnsi="宋体" w:eastAsia="宋体" w:cs="宋体"/>
          <w:bCs/>
          <w:kern w:val="2"/>
          <w:sz w:val="24"/>
          <w:szCs w:val="24"/>
          <w:lang w:val="en-US" w:eastAsia="zh-CN" w:bidi="ar-SA"/>
        </w:rPr>
        <w:t>加强服务队伍和救援队伍建设，提高保险数字化服务水平，积极参与开展灾害风险评估、预警和宣传等服务，提供灾前、灾中、灾后全方位、多渠道的服务措施，努力形成“保险+服务”全过程防灾减灾救灾机制。开展期内服务的具体时间、地点和方式，由甲乙双方共同协商决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FF0000"/>
          <w:kern w:val="2"/>
          <w:sz w:val="24"/>
          <w:szCs w:val="24"/>
          <w:lang w:val="en-US" w:eastAsia="zh-CN" w:bidi="ar-SA"/>
        </w:rPr>
      </w:pPr>
      <w:r>
        <w:rPr>
          <w:rFonts w:hint="eastAsia" w:ascii="宋体" w:hAnsi="宋体" w:eastAsia="宋体" w:cs="宋体"/>
          <w:bCs/>
          <w:color w:val="auto"/>
          <w:kern w:val="2"/>
          <w:sz w:val="24"/>
          <w:szCs w:val="24"/>
          <w:lang w:val="en-US" w:eastAsia="zh-CN" w:bidi="ar-SA"/>
        </w:rPr>
        <w:t>对承诺服务网点、信息化平台和县级服务小组等建设，及其他相关保险服务没能完成的将按不少于该标项保费的5%进行扣除，并作为今后巨灾保险招投标重要考虑因素。</w:t>
      </w:r>
    </w:p>
    <w:bookmarkEnd w:id="43"/>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十五 、一般条款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(一)合同有效期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本合同自签订之日起生效，在保险期限内持续有效。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(二)合同变更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本合同如有未尽事宜，经各方协商确定后可随时以书面形式修改或补充，并作为本合同的组成部分。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本合同签订后，双方不得随意终止本合同。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(三)保密条款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除非下列情况，自本合同生效之日起，各方不得将本合同涉及的所有有形、无形的信息及资料等泄露给其他方: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1.为执行本合同而提供相关服务的雇员或顾问;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2.应法律或司法管辖要求而提供;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3.经各方书面同意。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本合同一方因过错造成泄密而给另一方造成损失的，由过错一方承担全部经济赔偿责任。</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保险合同终止时，本条款自合同终止之日起继续有效两年。</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(四)法律责任</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由于保险合同一方当事人的过错，造成保险合同不能履行或者不能完全履行的，由有过错的一方依法承担违约责任:如属双方当事人的过错，则根据双方当事人过错的实际情况，由双方当事人分别承担各自应负的违约责任;</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若发生违约情形，违约方依法依约承担其相应法律责任，除非守约方同意终止本合同的，本合同仍须继续履行。</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(五)争议解决</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因履行本保险合同发生的争议，由合同当事人协商解决。协商不成的，可提交台州市仲裁委员会仲裁，或依法向甲方所在地人民法院起诉。</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与本保险合同有关的以及履行本保险合同产生的一切争议处理适用中华人民共和国法律(不包括港澳台地区法律)。</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(六)其他</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1</w:t>
      </w:r>
      <w:r>
        <w:rPr>
          <w:rFonts w:hint="eastAsia" w:ascii="宋体" w:hAnsi="宋体" w:eastAsia="宋体" w:cs="宋体"/>
          <w:bCs/>
          <w:kern w:val="2"/>
          <w:sz w:val="24"/>
          <w:szCs w:val="24"/>
          <w:lang w:val="en-US" w:eastAsia="zh-CN" w:bidi="ar-SA"/>
        </w:rPr>
        <w:t>.乙方按本合同出具的保单作为本合同的有效组成部分，保单与本合同冲突之处，以本合同内容为准，本合同另有明确约定的情况除外。</w:t>
      </w:r>
    </w:p>
    <w:p>
      <w:pPr>
        <w:pStyle w:val="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cs="宋体"/>
          <w:bCs/>
          <w:kern w:val="2"/>
          <w:sz w:val="24"/>
          <w:szCs w:val="24"/>
          <w:lang w:val="en-US" w:eastAsia="zh-CN" w:bidi="ar-SA"/>
        </w:rPr>
        <w:t>2</w:t>
      </w:r>
      <w:r>
        <w:rPr>
          <w:rFonts w:hint="eastAsia" w:ascii="宋体" w:hAnsi="宋体" w:eastAsia="宋体" w:cs="宋体"/>
          <w:bCs/>
          <w:kern w:val="2"/>
          <w:sz w:val="24"/>
          <w:szCs w:val="24"/>
          <w:lang w:val="en-US" w:eastAsia="zh-CN" w:bidi="ar-SA"/>
        </w:rPr>
        <w:t>.本合同正、副本各一式贰份，甲乙双方各持正、副本壹份，各正本具有同等效力。双方对本合同的任何补充修改，均应以书面形式为准。补充修改合同经双方授权签字盖章生效后，即作为本合同的组成部分。</w:t>
      </w:r>
    </w:p>
    <w:p>
      <w:pPr>
        <w:pStyle w:val="27"/>
        <w:keepNext w:val="0"/>
        <w:keepLines w:val="0"/>
        <w:pageBreakBefore w:val="0"/>
        <w:kinsoku/>
        <w:wordWrap/>
        <w:overflowPunct/>
        <w:topLinePunct w:val="0"/>
        <w:bidi w:val="0"/>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甲方（投保人）：（盖章）               乙方（保险人）：（盖章）</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                                                       </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负责人或                               负责人或</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授权代理人签字：                       授权代理人签字：</w:t>
      </w:r>
    </w:p>
    <w:p>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kern w:val="2"/>
          <w:sz w:val="32"/>
          <w:szCs w:val="32"/>
          <w:lang w:val="en-US" w:eastAsia="zh-CN" w:bidi="ar-SA"/>
        </w:rPr>
      </w:pPr>
      <w:r>
        <w:rPr>
          <w:rFonts w:hint="eastAsia" w:ascii="宋体" w:hAnsi="宋体" w:eastAsia="宋体" w:cs="宋体"/>
          <w:bCs/>
          <w:kern w:val="2"/>
          <w:sz w:val="24"/>
          <w:szCs w:val="24"/>
          <w:lang w:val="en-US" w:eastAsia="zh-CN" w:bidi="ar-SA"/>
        </w:rPr>
        <w:t>年    月    日                           年    月    日</w:t>
      </w:r>
    </w:p>
    <w:p>
      <w:pPr>
        <w:spacing w:line="360" w:lineRule="auto"/>
        <w:jc w:val="center"/>
        <w:rPr>
          <w:rFonts w:hint="eastAsia" w:asciiTheme="majorEastAsia" w:hAnsiTheme="majorEastAsia" w:eastAsiaTheme="majorEastAsia"/>
          <w:b/>
          <w:sz w:val="36"/>
        </w:rPr>
      </w:pPr>
    </w:p>
    <w:p>
      <w:pPr>
        <w:spacing w:line="360" w:lineRule="auto"/>
        <w:jc w:val="center"/>
        <w:rPr>
          <w:rFonts w:hint="eastAsia" w:asciiTheme="majorEastAsia" w:hAnsiTheme="majorEastAsia" w:eastAsiaTheme="majorEastAsia"/>
          <w:b/>
          <w:sz w:val="36"/>
        </w:rPr>
      </w:pPr>
    </w:p>
    <w:p>
      <w:pPr>
        <w:spacing w:line="360" w:lineRule="auto"/>
        <w:jc w:val="center"/>
        <w:rPr>
          <w:rFonts w:hint="eastAsia" w:asciiTheme="majorEastAsia" w:hAnsiTheme="majorEastAsia" w:eastAsiaTheme="majorEastAsia"/>
          <w:b/>
          <w:sz w:val="36"/>
        </w:rPr>
      </w:pPr>
    </w:p>
    <w:p>
      <w:pPr>
        <w:spacing w:line="360" w:lineRule="auto"/>
        <w:jc w:val="center"/>
        <w:rPr>
          <w:rFonts w:hint="eastAsia" w:asciiTheme="majorEastAsia" w:hAnsiTheme="majorEastAsia" w:eastAsiaTheme="majorEastAsia"/>
          <w:b/>
          <w:sz w:val="36"/>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44" w:name="_Toc5481_WPSOffice_Level1"/>
      <w:r>
        <w:rPr>
          <w:rFonts w:hint="eastAsia" w:asciiTheme="minorEastAsia" w:hAnsiTheme="minorEastAsia" w:eastAsiaTheme="minorEastAsia"/>
          <w:b/>
          <w:sz w:val="36"/>
          <w:szCs w:val="36"/>
        </w:rPr>
        <w:t>第六章 投标文件格式</w:t>
      </w:r>
      <w:bookmarkEnd w:id="44"/>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5" w:name="_Toc19093_WPSOffice_Level1"/>
      <w:bookmarkStart w:id="46" w:name="_Toc32372_WPSOffice_Level1"/>
      <w:bookmarkStart w:id="47" w:name="_Toc4956_WPSOffice_Level1"/>
      <w:r>
        <w:rPr>
          <w:rFonts w:hint="eastAsia"/>
          <w:sz w:val="52"/>
          <w:szCs w:val="52"/>
        </w:rPr>
        <w:t>项目名称</w:t>
      </w:r>
      <w:bookmarkEnd w:id="45"/>
      <w:bookmarkEnd w:id="46"/>
      <w:bookmarkEnd w:id="47"/>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spacing w:line="360" w:lineRule="auto"/>
        <w:jc w:val="center"/>
        <w:rPr>
          <w:rFonts w:hint="eastAsia"/>
          <w:b/>
          <w:bCs/>
          <w:sz w:val="36"/>
          <w:szCs w:val="36"/>
        </w:rPr>
        <w:sectPr>
          <w:headerReference r:id="rId3" w:type="default"/>
          <w:footerReference r:id="rId4" w:type="default"/>
          <w:pgSz w:w="11906" w:h="16838"/>
          <w:pgMar w:top="1701" w:right="1448" w:bottom="1531" w:left="1418" w:header="851" w:footer="851" w:gutter="0"/>
          <w:cols w:space="720" w:num="1"/>
          <w:docGrid w:linePitch="312" w:charSpace="0"/>
        </w:sectPr>
      </w:pPr>
    </w:p>
    <w:p>
      <w:pPr>
        <w:spacing w:line="360" w:lineRule="auto"/>
        <w:jc w:val="center"/>
        <w:rPr>
          <w:b/>
          <w:bCs/>
          <w:sz w:val="36"/>
          <w:szCs w:val="36"/>
        </w:rPr>
      </w:pPr>
      <w:r>
        <w:rPr>
          <w:rFonts w:hint="eastAsia"/>
          <w:b/>
          <w:bCs/>
          <w:sz w:val="36"/>
          <w:szCs w:val="36"/>
        </w:rPr>
        <w:t>资格证明文件目录</w:t>
      </w:r>
    </w:p>
    <w:p>
      <w:pPr>
        <w:spacing w:line="360" w:lineRule="auto"/>
        <w:rPr>
          <w:rFonts w:ascii="宋体" w:hAnsi="宋体"/>
          <w:b/>
          <w:sz w:val="28"/>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1.投标声明书（附件1）</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2.授权委托书（法定代表人办理投标事宜的，则无需提交)（附件2）</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3.联合体授权委托书及联合体声明、协议（若项目接受联合体投标时需提供）</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4.法人或者其他组织的营业执照等证明文件，自然人的身份证明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5.符合参与政府采购活动的资格条件并且没有税收缴纳、社会保障等方面的失信记录的承诺函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6.具备履行合同所必需的设备和专业技术能力的证明材料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7.本项目要求的特定资质证书</w:t>
      </w:r>
    </w:p>
    <w:p>
      <w:pPr>
        <w:pStyle w:val="25"/>
        <w:rPr>
          <w:rFonts w:ascii="宋体" w:hAnsi="宋体"/>
          <w:b/>
          <w:sz w:val="28"/>
        </w:rPr>
      </w:pPr>
    </w:p>
    <w:p>
      <w:pPr>
        <w:pStyle w:val="25"/>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7"/>
        <w:ind w:left="0" w:leftChars="0" w:firstLine="0" w:firstLineChars="0"/>
        <w:rPr>
          <w:rFonts w:ascii="宋体" w:hAnsi="宋体"/>
          <w:b/>
          <w:sz w:val="28"/>
        </w:rPr>
      </w:pPr>
    </w:p>
    <w:p>
      <w:pPr>
        <w:spacing w:line="312" w:lineRule="auto"/>
        <w:rPr>
          <w:rFonts w:hint="eastAsia" w:ascii="宋体" w:hAnsi="宋体"/>
          <w:b/>
          <w:sz w:val="28"/>
        </w:rPr>
        <w:sectPr>
          <w:pgSz w:w="11906" w:h="16838"/>
          <w:pgMar w:top="1701" w:right="1448" w:bottom="1531" w:left="1418" w:header="851" w:footer="851" w:gutter="0"/>
          <w:cols w:space="720" w:num="1"/>
          <w:docGrid w:linePitch="312" w:charSpace="0"/>
        </w:sect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48" w:name="_Toc31708_WPSOffice_Level1"/>
      <w:bookmarkStart w:id="49" w:name="_Toc30723_WPSOffice_Level1"/>
      <w:r>
        <w:rPr>
          <w:rFonts w:hint="eastAsia" w:ascii="宋体" w:hAnsi="宋体"/>
          <w:b/>
          <w:kern w:val="0"/>
          <w:sz w:val="32"/>
          <w:szCs w:val="32"/>
          <w:lang w:val="zh-CN"/>
        </w:rPr>
        <w:t>投标声明书</w:t>
      </w:r>
      <w:bookmarkEnd w:id="48"/>
      <w:bookmarkEnd w:id="49"/>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0"/>
        </w:numPr>
        <w:snapToGrid w:val="0"/>
        <w:spacing w:line="360" w:lineRule="auto"/>
        <w:ind w:left="5" w:firstLine="415"/>
        <w:rPr>
          <w:rFonts w:hint="eastAsia"/>
          <w:lang w:val="en-US" w:eastAsia="zh-CN"/>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hint="eastAsia"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rPr>
          <w:rFonts w:ascii="宋体" w:hAnsi="宋体"/>
          <w:b/>
          <w:sz w:val="28"/>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eastAsia="宋体"/>
          <w:b/>
          <w:sz w:val="30"/>
          <w:szCs w:val="30"/>
          <w:lang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bookmarkStart w:id="50" w:name="_Toc24373_WPSOffice_Level1"/>
      <w:bookmarkStart w:id="51" w:name="_Toc6870_WPSOffice_Level1"/>
      <w:r>
        <w:rPr>
          <w:b/>
          <w:sz w:val="32"/>
          <w:szCs w:val="32"/>
        </w:rPr>
        <w:t>授权</w:t>
      </w:r>
      <w:r>
        <w:rPr>
          <w:rFonts w:hint="eastAsia"/>
          <w:b/>
          <w:sz w:val="32"/>
          <w:szCs w:val="32"/>
        </w:rPr>
        <w:t>委托</w:t>
      </w:r>
      <w:r>
        <w:rPr>
          <w:b/>
          <w:sz w:val="32"/>
          <w:szCs w:val="32"/>
        </w:rPr>
        <w:t>书</w:t>
      </w:r>
      <w:bookmarkEnd w:id="50"/>
      <w:bookmarkEnd w:id="51"/>
    </w:p>
    <w:p>
      <w:pPr>
        <w:keepNext w:val="0"/>
        <w:keepLines w:val="0"/>
        <w:pageBreakBefore w:val="0"/>
        <w:widowControl w:val="0"/>
        <w:kinsoku/>
        <w:wordWrap/>
        <w:overflowPunct/>
        <w:topLinePunct w:val="0"/>
        <w:autoSpaceDE/>
        <w:autoSpaceDN/>
        <w:bidi w:val="0"/>
        <w:adjustRightInd/>
        <w:snapToGrid w:val="0"/>
        <w:spacing w:beforeLines="50" w:after="50" w:line="336" w:lineRule="auto"/>
        <w:textAlignment w:val="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1"/>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Ansi="宋体"/>
          <w:sz w:val="24"/>
        </w:rPr>
      </w:pPr>
      <w:r>
        <w:rPr>
          <w:rFonts w:hint="eastAsia" w:hAnsi="宋体"/>
          <w:sz w:val="24"/>
        </w:rPr>
        <w:t>全权代表无转委托权，特此委托。</w:t>
      </w: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法定代表人签字或盖章：</w:t>
      </w: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投标人全称（公章）：                              日期：</w:t>
      </w:r>
    </w:p>
    <w:p>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b/>
          <w:sz w:val="24"/>
        </w:rPr>
      </w:pPr>
    </w:p>
    <w:p>
      <w:pPr>
        <w:keepNext w:val="0"/>
        <w:keepLines w:val="0"/>
        <w:pageBreakBefore w:val="0"/>
        <w:widowControl w:val="0"/>
        <w:kinsoku/>
        <w:wordWrap/>
        <w:overflowPunct/>
        <w:topLinePunct w:val="0"/>
        <w:autoSpaceDE/>
        <w:autoSpaceDN/>
        <w:bidi w:val="0"/>
        <w:adjustRightInd/>
        <w:spacing w:line="336" w:lineRule="auto"/>
        <w:textAlignment w:val="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widowControl w:val="0"/>
              <w:kinsoku/>
              <w:wordWrap/>
              <w:overflowPunct/>
              <w:topLinePunct w:val="0"/>
              <w:autoSpaceDE/>
              <w:autoSpaceDN/>
              <w:bidi w:val="0"/>
              <w:adjustRightInd/>
              <w:spacing w:line="336" w:lineRule="auto"/>
              <w:textAlignment w:val="auto"/>
              <w:rPr>
                <w:rFonts w:ascii="宋体"/>
                <w:b/>
                <w:sz w:val="24"/>
              </w:rPr>
            </w:pPr>
          </w:p>
          <w:p>
            <w:pPr>
              <w:keepNext w:val="0"/>
              <w:keepLines w:val="0"/>
              <w:pageBreakBefore w:val="0"/>
              <w:widowControl w:val="0"/>
              <w:kinsoku/>
              <w:wordWrap/>
              <w:overflowPunct/>
              <w:topLinePunct w:val="0"/>
              <w:autoSpaceDE/>
              <w:autoSpaceDN/>
              <w:bidi w:val="0"/>
              <w:adjustRightInd/>
              <w:spacing w:line="336" w:lineRule="auto"/>
              <w:ind w:firstLine="361" w:firstLineChars="150"/>
              <w:textAlignment w:val="auto"/>
              <w:rPr>
                <w:rFonts w:ascii="宋体"/>
                <w:b/>
                <w:sz w:val="24"/>
              </w:rPr>
            </w:pPr>
            <w:r>
              <w:rPr>
                <w:rFonts w:hint="eastAsia" w:ascii="宋体"/>
                <w:b/>
                <w:sz w:val="24"/>
              </w:rPr>
              <w:t>法定代表</w:t>
            </w:r>
            <w:r>
              <w:rPr>
                <w:rFonts w:hint="eastAsia" w:ascii="宋体"/>
                <w:b/>
                <w:sz w:val="24"/>
                <w:lang w:eastAsia="zh-CN"/>
              </w:rPr>
              <w:t>人</w:t>
            </w:r>
            <w:r>
              <w:rPr>
                <w:rFonts w:hint="eastAsia" w:ascii="宋体"/>
                <w:b/>
                <w:sz w:val="24"/>
              </w:rPr>
              <w:t>身份证</w:t>
            </w:r>
          </w:p>
        </w:tc>
      </w:tr>
    </w:tbl>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 xml:space="preserve">法定代表人姓名：                                 </w:t>
      </w: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传真：</w:t>
      </w:r>
    </w:p>
    <w:p>
      <w:pPr>
        <w:keepNext w:val="0"/>
        <w:keepLines w:val="0"/>
        <w:pageBreakBefore w:val="0"/>
        <w:widowControl w:val="0"/>
        <w:kinsoku/>
        <w:wordWrap/>
        <w:overflowPunct/>
        <w:topLinePunct w:val="0"/>
        <w:autoSpaceDE/>
        <w:autoSpaceDN/>
        <w:bidi w:val="0"/>
        <w:adjustRightInd/>
        <w:spacing w:line="336" w:lineRule="auto"/>
        <w:textAlignment w:val="auto"/>
        <w:rPr>
          <w:rFonts w:ascii="宋体"/>
          <w:sz w:val="24"/>
        </w:rPr>
      </w:pPr>
      <w:r>
        <w:rPr>
          <w:rFonts w:hint="eastAsia" w:ascii="宋体"/>
          <w:sz w:val="24"/>
        </w:rPr>
        <w:t>电话：</w:t>
      </w: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详细通讯地址：</w:t>
      </w:r>
    </w:p>
    <w:p>
      <w:pPr>
        <w:keepNext w:val="0"/>
        <w:keepLines w:val="0"/>
        <w:pageBreakBefore w:val="0"/>
        <w:widowControl w:val="0"/>
        <w:kinsoku/>
        <w:wordWrap/>
        <w:overflowPunct/>
        <w:topLinePunct w:val="0"/>
        <w:autoSpaceDE/>
        <w:autoSpaceDN/>
        <w:bidi w:val="0"/>
        <w:adjustRightInd/>
        <w:spacing w:line="336" w:lineRule="auto"/>
        <w:textAlignment w:val="auto"/>
        <w:rPr>
          <w:rFonts w:ascii="宋体"/>
          <w:sz w:val="24"/>
        </w:rPr>
      </w:pPr>
      <w:r>
        <w:rPr>
          <w:rFonts w:hint="eastAsia" w:ascii="宋体"/>
          <w:sz w:val="24"/>
        </w:rPr>
        <w:t>邮政编码：</w:t>
      </w:r>
    </w:p>
    <w:p>
      <w:pPr>
        <w:keepNext w:val="0"/>
        <w:keepLines w:val="0"/>
        <w:pageBreakBefore w:val="0"/>
        <w:widowControl w:val="0"/>
        <w:kinsoku/>
        <w:wordWrap/>
        <w:overflowPunct/>
        <w:topLinePunct w:val="0"/>
        <w:autoSpaceDE/>
        <w:autoSpaceDN/>
        <w:bidi w:val="0"/>
        <w:adjustRightInd/>
        <w:spacing w:line="336" w:lineRule="auto"/>
        <w:textAlignment w:val="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pageBreakBefore w:val="0"/>
              <w:widowControl w:val="0"/>
              <w:kinsoku/>
              <w:wordWrap/>
              <w:overflowPunct/>
              <w:topLinePunct w:val="0"/>
              <w:autoSpaceDE/>
              <w:autoSpaceDN/>
              <w:bidi w:val="0"/>
              <w:adjustRightInd/>
              <w:spacing w:line="336" w:lineRule="auto"/>
              <w:textAlignment w:val="auto"/>
              <w:rPr>
                <w:rFonts w:ascii="宋体"/>
                <w:b/>
                <w:sz w:val="24"/>
              </w:rPr>
            </w:pPr>
          </w:p>
          <w:p>
            <w:pPr>
              <w:keepNext w:val="0"/>
              <w:keepLines w:val="0"/>
              <w:pageBreakBefore w:val="0"/>
              <w:widowControl w:val="0"/>
              <w:kinsoku/>
              <w:wordWrap/>
              <w:overflowPunct/>
              <w:topLinePunct w:val="0"/>
              <w:autoSpaceDE/>
              <w:autoSpaceDN/>
              <w:bidi w:val="0"/>
              <w:adjustRightInd/>
              <w:spacing w:line="336" w:lineRule="auto"/>
              <w:ind w:firstLine="361" w:firstLineChars="150"/>
              <w:textAlignment w:val="auto"/>
              <w:rPr>
                <w:rFonts w:ascii="宋体"/>
                <w:b/>
                <w:sz w:val="24"/>
              </w:rPr>
            </w:pPr>
            <w:r>
              <w:rPr>
                <w:rFonts w:hint="eastAsia" w:ascii="宋体"/>
                <w:b/>
                <w:sz w:val="24"/>
              </w:rPr>
              <w:t>全权代表身份证</w:t>
            </w:r>
          </w:p>
        </w:tc>
      </w:tr>
    </w:tbl>
    <w:p>
      <w:pPr>
        <w:keepNext w:val="0"/>
        <w:keepLines w:val="0"/>
        <w:pageBreakBefore w:val="0"/>
        <w:widowControl w:val="0"/>
        <w:kinsoku/>
        <w:wordWrap/>
        <w:overflowPunct/>
        <w:topLinePunct w:val="0"/>
        <w:autoSpaceDE/>
        <w:autoSpaceDN/>
        <w:bidi w:val="0"/>
        <w:adjustRightInd/>
        <w:spacing w:line="336" w:lineRule="auto"/>
        <w:textAlignment w:val="auto"/>
        <w:rPr>
          <w:rFonts w:ascii="宋体"/>
          <w:sz w:val="24"/>
        </w:rPr>
      </w:pPr>
      <w:r>
        <w:rPr>
          <w:rFonts w:hint="eastAsia" w:ascii="宋体"/>
          <w:sz w:val="24"/>
        </w:rPr>
        <w:t xml:space="preserve">全权代表姓名：       </w:t>
      </w: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 xml:space="preserve">职务：                           </w:t>
      </w: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传真：</w:t>
      </w:r>
    </w:p>
    <w:p>
      <w:pPr>
        <w:keepNext w:val="0"/>
        <w:keepLines w:val="0"/>
        <w:pageBreakBefore w:val="0"/>
        <w:widowControl w:val="0"/>
        <w:kinsoku/>
        <w:wordWrap/>
        <w:overflowPunct/>
        <w:topLinePunct w:val="0"/>
        <w:autoSpaceDE/>
        <w:autoSpaceDN/>
        <w:bidi w:val="0"/>
        <w:adjustRightInd/>
        <w:spacing w:line="336" w:lineRule="auto"/>
        <w:textAlignment w:val="auto"/>
        <w:rPr>
          <w:rFonts w:ascii="宋体"/>
          <w:sz w:val="24"/>
        </w:rPr>
      </w:pPr>
      <w:r>
        <w:rPr>
          <w:rFonts w:hint="eastAsia" w:ascii="宋体"/>
          <w:sz w:val="24"/>
        </w:rPr>
        <w:t>电话：</w:t>
      </w:r>
    </w:p>
    <w:p>
      <w:pPr>
        <w:keepNext w:val="0"/>
        <w:keepLines w:val="0"/>
        <w:pageBreakBefore w:val="0"/>
        <w:widowControl w:val="0"/>
        <w:kinsoku/>
        <w:wordWrap/>
        <w:overflowPunct/>
        <w:topLinePunct w:val="0"/>
        <w:autoSpaceDE/>
        <w:autoSpaceDN/>
        <w:bidi w:val="0"/>
        <w:adjustRightInd/>
        <w:spacing w:line="336" w:lineRule="auto"/>
        <w:textAlignment w:val="auto"/>
        <w:rPr>
          <w:sz w:val="24"/>
        </w:rPr>
      </w:pPr>
      <w:r>
        <w:rPr>
          <w:rFonts w:hint="eastAsia" w:ascii="宋体"/>
          <w:sz w:val="24"/>
        </w:rPr>
        <w:t>详细通讯地址：</w:t>
      </w:r>
    </w:p>
    <w:p>
      <w:pPr>
        <w:keepNext w:val="0"/>
        <w:keepLines w:val="0"/>
        <w:pageBreakBefore w:val="0"/>
        <w:widowControl w:val="0"/>
        <w:kinsoku/>
        <w:wordWrap/>
        <w:overflowPunct/>
        <w:topLinePunct w:val="0"/>
        <w:autoSpaceDE/>
        <w:autoSpaceDN/>
        <w:bidi w:val="0"/>
        <w:adjustRightInd/>
        <w:spacing w:line="336" w:lineRule="auto"/>
        <w:textAlignment w:val="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both"/>
        <w:rPr>
          <w:rFonts w:hint="eastAsia"/>
          <w:sz w:val="52"/>
          <w:szCs w:val="52"/>
        </w:rPr>
      </w:pPr>
      <w:bookmarkStart w:id="52" w:name="_Toc12331_WPSOffice_Level1"/>
      <w:bookmarkStart w:id="53" w:name="_Toc16825_WPSOffice_Level1"/>
      <w:bookmarkStart w:id="54" w:name="_Toc26389_WPSOffice_Level1"/>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52"/>
      <w:bookmarkEnd w:id="53"/>
      <w:bookmarkEnd w:id="54"/>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仿宋_GB2312" w:hAnsi="宋体" w:eastAsia="仿宋_GB2312"/>
          <w:b/>
          <w:sz w:val="36"/>
          <w:szCs w:val="36"/>
        </w:rPr>
      </w:pPr>
      <w:r>
        <w:rPr>
          <w:rFonts w:hint="eastAsia" w:ascii="宋体" w:hAnsi="宋体"/>
          <w:sz w:val="36"/>
          <w:szCs w:val="36"/>
        </w:rPr>
        <w:t>时    间：</w:t>
      </w:r>
    </w:p>
    <w:p>
      <w:pPr>
        <w:jc w:val="both"/>
        <w:rPr>
          <w:b/>
          <w:bCs/>
          <w:sz w:val="32"/>
          <w:szCs w:val="32"/>
          <w:lang w:val="zh-CN"/>
        </w:rPr>
      </w:pPr>
      <w:bookmarkStart w:id="55" w:name="_Toc5889_WPSOffice_Level1"/>
      <w:bookmarkStart w:id="56" w:name="_Toc11308_WPSOffice_Level1"/>
    </w:p>
    <w:p>
      <w:pPr>
        <w:jc w:val="center"/>
        <w:rPr>
          <w:rFonts w:hint="eastAsia"/>
          <w:b/>
          <w:bCs/>
          <w:sz w:val="36"/>
          <w:szCs w:val="36"/>
          <w:lang w:val="zh-CN"/>
        </w:rPr>
      </w:pPr>
    </w:p>
    <w:p>
      <w:pPr>
        <w:jc w:val="center"/>
        <w:rPr>
          <w:rFonts w:hint="eastAsia"/>
          <w:b/>
          <w:bCs/>
          <w:sz w:val="36"/>
          <w:szCs w:val="36"/>
          <w:lang w:val="zh-CN"/>
        </w:rPr>
      </w:pPr>
    </w:p>
    <w:p>
      <w:pPr>
        <w:jc w:val="center"/>
        <w:rPr>
          <w:rFonts w:hint="eastAsia"/>
          <w:b/>
          <w:bCs/>
          <w:sz w:val="36"/>
          <w:szCs w:val="36"/>
          <w:lang w:val="zh-CN"/>
        </w:rPr>
      </w:pPr>
    </w:p>
    <w:p>
      <w:pPr>
        <w:jc w:val="center"/>
        <w:rPr>
          <w:rFonts w:hint="eastAsia"/>
          <w:b/>
          <w:bCs/>
          <w:sz w:val="36"/>
          <w:szCs w:val="36"/>
          <w:lang w:val="zh-CN"/>
        </w:rPr>
      </w:pPr>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55"/>
      <w:bookmarkEnd w:id="56"/>
    </w:p>
    <w:p>
      <w:pPr>
        <w:spacing w:line="360" w:lineRule="auto"/>
        <w:rPr>
          <w:sz w:val="24"/>
          <w:szCs w:val="24"/>
        </w:rPr>
      </w:pPr>
    </w:p>
    <w:p>
      <w:pPr>
        <w:spacing w:line="360" w:lineRule="auto"/>
        <w:ind w:firstLine="562" w:firstLineChars="200"/>
        <w:rPr>
          <w:b/>
          <w:bCs/>
          <w:sz w:val="28"/>
          <w:szCs w:val="28"/>
        </w:rPr>
      </w:pPr>
      <w:bookmarkStart w:id="57" w:name="_Toc20529_WPSOffice_Level1"/>
      <w:bookmarkStart w:id="58" w:name="_Toc21250_WPSOffice_Level1"/>
      <w:r>
        <w:rPr>
          <w:rFonts w:hint="eastAsia"/>
          <w:b/>
          <w:bCs/>
          <w:sz w:val="28"/>
          <w:szCs w:val="28"/>
        </w:rPr>
        <w:t>第一部分  技术方案描述部分</w:t>
      </w:r>
      <w:bookmarkEnd w:id="57"/>
      <w:bookmarkEnd w:id="58"/>
    </w:p>
    <w:p>
      <w:pPr>
        <w:numPr>
          <w:ilvl w:val="0"/>
          <w:numId w:val="11"/>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3</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项目需求的理解与分析</w:t>
      </w:r>
    </w:p>
    <w:p>
      <w:pPr>
        <w:numPr>
          <w:ilvl w:val="0"/>
          <w:numId w:val="11"/>
        </w:numPr>
        <w:spacing w:line="360" w:lineRule="auto"/>
        <w:ind w:left="5" w:firstLine="415"/>
        <w:rPr>
          <w:sz w:val="28"/>
          <w:szCs w:val="28"/>
        </w:rPr>
      </w:pPr>
      <w:r>
        <w:rPr>
          <w:rFonts w:hint="eastAsia"/>
          <w:sz w:val="28"/>
          <w:szCs w:val="28"/>
        </w:rPr>
        <w:t>总体设计（技术、服务）方案</w:t>
      </w:r>
    </w:p>
    <w:p>
      <w:pPr>
        <w:numPr>
          <w:ilvl w:val="0"/>
          <w:numId w:val="11"/>
        </w:numPr>
        <w:spacing w:line="360" w:lineRule="auto"/>
        <w:ind w:left="5" w:firstLine="415"/>
        <w:rPr>
          <w:sz w:val="28"/>
          <w:szCs w:val="28"/>
        </w:rPr>
      </w:pPr>
      <w:r>
        <w:rPr>
          <w:rFonts w:hint="eastAsia"/>
          <w:sz w:val="28"/>
          <w:szCs w:val="28"/>
        </w:rPr>
        <w:t>功能设计方案</w:t>
      </w:r>
    </w:p>
    <w:p>
      <w:pPr>
        <w:numPr>
          <w:ilvl w:val="0"/>
          <w:numId w:val="11"/>
        </w:numPr>
        <w:spacing w:line="360" w:lineRule="auto"/>
        <w:ind w:left="5" w:firstLine="415"/>
        <w:rPr>
          <w:sz w:val="28"/>
          <w:szCs w:val="28"/>
        </w:rPr>
      </w:pPr>
      <w:r>
        <w:rPr>
          <w:rFonts w:hint="eastAsia"/>
          <w:sz w:val="28"/>
          <w:szCs w:val="28"/>
        </w:rPr>
        <w:t>质量保证方案</w:t>
      </w:r>
    </w:p>
    <w:p>
      <w:pPr>
        <w:numPr>
          <w:ilvl w:val="0"/>
          <w:numId w:val="11"/>
        </w:numPr>
        <w:spacing w:line="360" w:lineRule="auto"/>
        <w:ind w:left="5" w:firstLine="415"/>
        <w:rPr>
          <w:sz w:val="28"/>
          <w:szCs w:val="28"/>
        </w:rPr>
      </w:pPr>
      <w:r>
        <w:rPr>
          <w:rFonts w:hint="eastAsia"/>
          <w:sz w:val="28"/>
          <w:szCs w:val="28"/>
        </w:rPr>
        <w:t>项目实施方案</w:t>
      </w:r>
    </w:p>
    <w:p>
      <w:pPr>
        <w:numPr>
          <w:ilvl w:val="0"/>
          <w:numId w:val="11"/>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4</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5</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工程量/原材料、人工费清单（均不含报价）</w:t>
      </w:r>
    </w:p>
    <w:p>
      <w:pPr>
        <w:numPr>
          <w:ilvl w:val="0"/>
          <w:numId w:val="11"/>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6</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1"/>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7</w:t>
      </w:r>
      <w:r>
        <w:rPr>
          <w:rFonts w:hint="eastAsia"/>
          <w:sz w:val="28"/>
          <w:szCs w:val="28"/>
        </w:rPr>
        <w:t>）</w:t>
      </w:r>
    </w:p>
    <w:p>
      <w:pPr>
        <w:numPr>
          <w:ilvl w:val="0"/>
          <w:numId w:val="11"/>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59" w:name="_Toc20986_WPSOffice_Level1"/>
      <w:bookmarkStart w:id="60" w:name="_Toc30029_WPSOffice_Level1"/>
      <w:r>
        <w:rPr>
          <w:rFonts w:hint="eastAsia"/>
          <w:b/>
          <w:bCs/>
          <w:sz w:val="28"/>
          <w:szCs w:val="28"/>
        </w:rPr>
        <w:t xml:space="preserve">第二部分  </w:t>
      </w:r>
      <w:bookmarkEnd w:id="59"/>
      <w:bookmarkEnd w:id="60"/>
      <w:r>
        <w:rPr>
          <w:rFonts w:hint="eastAsia"/>
          <w:b/>
          <w:bCs/>
          <w:sz w:val="28"/>
          <w:szCs w:val="28"/>
        </w:rPr>
        <w:t>商务响应及其他部分</w:t>
      </w:r>
    </w:p>
    <w:p>
      <w:pPr>
        <w:numPr>
          <w:ilvl w:val="0"/>
          <w:numId w:val="12"/>
        </w:numPr>
        <w:spacing w:line="360" w:lineRule="auto"/>
        <w:ind w:hanging="5"/>
        <w:rPr>
          <w:sz w:val="28"/>
          <w:szCs w:val="28"/>
        </w:rPr>
      </w:pPr>
      <w:r>
        <w:rPr>
          <w:rFonts w:hint="eastAsia"/>
          <w:sz w:val="28"/>
          <w:szCs w:val="28"/>
        </w:rPr>
        <w:t>证书一览表（附件</w:t>
      </w:r>
      <w:r>
        <w:rPr>
          <w:rFonts w:hint="eastAsia"/>
          <w:sz w:val="28"/>
          <w:szCs w:val="28"/>
          <w:lang w:val="en-US" w:eastAsia="zh-CN"/>
        </w:rPr>
        <w:t>8</w:t>
      </w:r>
      <w:r>
        <w:rPr>
          <w:rFonts w:hint="eastAsia"/>
          <w:sz w:val="28"/>
          <w:szCs w:val="28"/>
        </w:rPr>
        <w:t>）</w:t>
      </w:r>
    </w:p>
    <w:p>
      <w:pPr>
        <w:numPr>
          <w:ilvl w:val="0"/>
          <w:numId w:val="12"/>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9</w:t>
      </w:r>
      <w:r>
        <w:rPr>
          <w:rFonts w:hint="eastAsia"/>
          <w:sz w:val="28"/>
          <w:szCs w:val="28"/>
        </w:rPr>
        <w:t>）</w:t>
      </w:r>
    </w:p>
    <w:p>
      <w:pPr>
        <w:pStyle w:val="7"/>
        <w:numPr>
          <w:ilvl w:val="0"/>
          <w:numId w:val="12"/>
        </w:numPr>
        <w:spacing w:line="360" w:lineRule="auto"/>
        <w:ind w:hanging="5"/>
        <w:rPr>
          <w:sz w:val="28"/>
          <w:szCs w:val="28"/>
        </w:rPr>
      </w:pPr>
      <w:r>
        <w:rPr>
          <w:rFonts w:hint="eastAsia"/>
          <w:sz w:val="28"/>
          <w:szCs w:val="28"/>
        </w:rPr>
        <w:t>商务需求响应表（附件1</w:t>
      </w:r>
      <w:r>
        <w:rPr>
          <w:rFonts w:hint="eastAsia"/>
          <w:sz w:val="28"/>
          <w:szCs w:val="28"/>
          <w:lang w:val="en-US" w:eastAsia="zh-CN"/>
        </w:rPr>
        <w:t>0</w:t>
      </w:r>
      <w:r>
        <w:rPr>
          <w:rFonts w:hint="eastAsia"/>
          <w:sz w:val="28"/>
          <w:szCs w:val="28"/>
        </w:rPr>
        <w:t>）</w:t>
      </w:r>
    </w:p>
    <w:p>
      <w:pPr>
        <w:pStyle w:val="7"/>
        <w:spacing w:line="360" w:lineRule="auto"/>
        <w:ind w:firstLine="480" w:firstLineChars="200"/>
        <w:rPr>
          <w:sz w:val="24"/>
          <w:szCs w:val="24"/>
        </w:rPr>
      </w:pPr>
    </w:p>
    <w:p>
      <w:pPr>
        <w:pStyle w:val="29"/>
        <w:shd w:val="clear" w:color="auto" w:fill="FFFFFF"/>
        <w:spacing w:before="0" w:beforeAutospacing="0" w:after="0" w:afterAutospacing="0" w:line="360" w:lineRule="auto"/>
        <w:rPr>
          <w:rFonts w:hint="eastAsia"/>
          <w:b/>
          <w:color w:val="auto"/>
          <w:sz w:val="28"/>
        </w:rPr>
      </w:pPr>
    </w:p>
    <w:p>
      <w:pPr>
        <w:pStyle w:val="29"/>
        <w:shd w:val="clear" w:color="auto" w:fill="FFFFFF"/>
        <w:spacing w:before="0" w:beforeAutospacing="0" w:after="0" w:afterAutospacing="0" w:line="360" w:lineRule="auto"/>
        <w:rPr>
          <w:rFonts w:hint="eastAsia"/>
          <w:b/>
          <w:color w:val="auto"/>
          <w:sz w:val="28"/>
        </w:rPr>
      </w:pPr>
    </w:p>
    <w:p>
      <w:pPr>
        <w:pStyle w:val="29"/>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3</w:t>
      </w:r>
    </w:p>
    <w:p>
      <w:pPr>
        <w:pStyle w:val="29"/>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1" w:name="_Toc14261_WPSOffice_Level1"/>
      <w:bookmarkStart w:id="62" w:name="_Toc13307_WPSOffice_Level1"/>
      <w:r>
        <w:rPr>
          <w:rFonts w:hint="eastAsia"/>
          <w:b/>
          <w:color w:val="auto"/>
          <w:sz w:val="32"/>
          <w:szCs w:val="32"/>
        </w:rPr>
        <w:t>投标</w:t>
      </w:r>
      <w:r>
        <w:rPr>
          <w:rFonts w:hint="eastAsia"/>
          <w:b/>
          <w:bCs/>
          <w:color w:val="auto"/>
          <w:sz w:val="32"/>
          <w:szCs w:val="32"/>
        </w:rPr>
        <w:t>人基本情况表</w:t>
      </w:r>
      <w:bookmarkEnd w:id="61"/>
      <w:bookmarkEnd w:id="62"/>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1</w:t>
            </w:r>
            <w:r>
              <w:rPr>
                <w:rFonts w:hint="eastAsia"/>
                <w:bCs/>
              </w:rPr>
              <w:t>.</w:t>
            </w:r>
          </w:p>
          <w:p>
            <w:pPr>
              <w:pStyle w:val="29"/>
              <w:shd w:val="clear" w:color="auto" w:fill="FFFFFF"/>
              <w:spacing w:before="0" w:beforeAutospacing="0" w:after="0" w:afterAutospacing="0"/>
              <w:jc w:val="center"/>
              <w:rPr>
                <w:bCs/>
              </w:rPr>
            </w:pPr>
            <w:r>
              <w:rPr>
                <w:rFonts w:hint="eastAsia"/>
                <w:bCs/>
              </w:rPr>
              <w:t>企</w:t>
            </w:r>
          </w:p>
          <w:p>
            <w:pPr>
              <w:pStyle w:val="29"/>
              <w:shd w:val="clear" w:color="auto" w:fill="FFFFFF"/>
              <w:spacing w:before="0" w:beforeAutospacing="0" w:after="0" w:afterAutospacing="0"/>
              <w:jc w:val="center"/>
              <w:rPr>
                <w:bCs/>
              </w:rPr>
            </w:pPr>
            <w:r>
              <w:rPr>
                <w:rFonts w:hint="eastAsia"/>
                <w:bCs/>
              </w:rPr>
              <w:t>业</w:t>
            </w:r>
          </w:p>
          <w:p>
            <w:pPr>
              <w:pStyle w:val="29"/>
              <w:shd w:val="clear" w:color="auto" w:fill="FFFFFF"/>
              <w:spacing w:before="0" w:beforeAutospacing="0" w:after="0" w:afterAutospacing="0"/>
              <w:jc w:val="center"/>
              <w:rPr>
                <w:bCs/>
              </w:rPr>
            </w:pPr>
            <w:r>
              <w:rPr>
                <w:rFonts w:hint="eastAsia"/>
                <w:bCs/>
              </w:rPr>
              <w:t>概</w:t>
            </w:r>
          </w:p>
          <w:p>
            <w:pPr>
              <w:pStyle w:val="29"/>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平方米</w:t>
            </w:r>
          </w:p>
          <w:p>
            <w:pPr>
              <w:pStyle w:val="29"/>
              <w:shd w:val="clear" w:color="auto" w:fill="FFFFFF"/>
              <w:spacing w:before="0" w:beforeAutospacing="0" w:after="0" w:afterAutospacing="0"/>
              <w:jc w:val="center"/>
              <w:rPr>
                <w:bCs/>
              </w:rPr>
            </w:pPr>
            <w:r>
              <w:rPr>
                <w:rFonts w:hint="eastAsia"/>
                <w:bCs/>
              </w:rPr>
              <w:t>□自有</w:t>
            </w:r>
          </w:p>
          <w:p>
            <w:pPr>
              <w:pStyle w:val="29"/>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2</w:t>
            </w:r>
            <w:r>
              <w:rPr>
                <w:rFonts w:hint="eastAsia"/>
                <w:bCs/>
              </w:rPr>
              <w:t>．</w:t>
            </w:r>
          </w:p>
          <w:p>
            <w:pPr>
              <w:pStyle w:val="29"/>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29"/>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933" w:type="dxa"/>
            <w:tcMar>
              <w:top w:w="57" w:type="dxa"/>
              <w:left w:w="85" w:type="dxa"/>
              <w:bottom w:w="0" w:type="dxa"/>
              <w:right w:w="85" w:type="dxa"/>
            </w:tcMar>
            <w:vAlign w:val="center"/>
          </w:tcPr>
          <w:p>
            <w:pPr>
              <w:pStyle w:val="29"/>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bl>
    <w:p>
      <w:pPr>
        <w:pStyle w:val="29"/>
        <w:shd w:val="clear" w:color="auto" w:fill="FFFFFF"/>
        <w:spacing w:before="0" w:beforeAutospacing="0" w:after="0" w:afterAutospacing="0" w:line="360" w:lineRule="auto"/>
        <w:rPr>
          <w:b/>
          <w:sz w:val="21"/>
          <w:szCs w:val="21"/>
        </w:rPr>
      </w:pPr>
      <w:r>
        <w:rPr>
          <w:rFonts w:hint="eastAsia"/>
          <w:b/>
          <w:sz w:val="21"/>
          <w:szCs w:val="21"/>
        </w:rPr>
        <w:t>要求：</w:t>
      </w:r>
    </w:p>
    <w:p>
      <w:pPr>
        <w:pStyle w:val="29"/>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19"/>
      </w:pPr>
    </w:p>
    <w:p>
      <w:pPr>
        <w:pStyle w:val="19"/>
        <w:ind w:left="0" w:leftChars="0" w:firstLine="0" w:firstLineChars="0"/>
      </w:pPr>
    </w:p>
    <w:p>
      <w:pPr>
        <w:spacing w:line="360" w:lineRule="auto"/>
        <w:rPr>
          <w:rFonts w:hint="eastAsia" w:ascii="宋体" w:hAnsi="宋体"/>
          <w:b/>
          <w:sz w:val="28"/>
        </w:rPr>
        <w:sectPr>
          <w:pgSz w:w="11906" w:h="16838"/>
          <w:pgMar w:top="1701" w:right="1448" w:bottom="1531" w:left="1418" w:header="851" w:footer="851" w:gutter="0"/>
          <w:cols w:space="720" w:num="1"/>
          <w:docGrid w:linePitch="312" w:charSpace="0"/>
        </w:sect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pPr>
        <w:spacing w:line="360" w:lineRule="auto"/>
        <w:jc w:val="center"/>
        <w:rPr>
          <w:rFonts w:ascii="宋体" w:hAnsi="宋体"/>
          <w:sz w:val="24"/>
        </w:rPr>
      </w:pPr>
      <w:bookmarkStart w:id="63" w:name="_Toc26601_WPSOffice_Level1"/>
      <w:bookmarkStart w:id="64"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3"/>
      <w:bookmarkEnd w:id="64"/>
    </w:p>
    <w:tbl>
      <w:tblPr>
        <w:tblStyle w:val="20"/>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1"/>
        <w:tabs>
          <w:tab w:val="left" w:pos="360"/>
        </w:tabs>
        <w:spacing w:line="360" w:lineRule="auto"/>
        <w:ind w:right="84" w:rightChars="40"/>
        <w:rPr>
          <w:rFonts w:ascii="宋体"/>
          <w:b/>
          <w:szCs w:val="21"/>
        </w:rPr>
      </w:pPr>
      <w:r>
        <w:rPr>
          <w:rFonts w:hint="eastAsia" w:ascii="宋体"/>
          <w:b/>
          <w:szCs w:val="21"/>
        </w:rPr>
        <w:t>要求：</w:t>
      </w:r>
    </w:p>
    <w:p>
      <w:pPr>
        <w:pStyle w:val="31"/>
        <w:spacing w:line="360" w:lineRule="auto"/>
        <w:ind w:right="84" w:rightChars="40" w:firstLine="420" w:firstLineChars="200"/>
        <w:rPr>
          <w:rFonts w:hint="eastAsia" w:ascii="宋体" w:hAnsi="宋体" w:eastAsia="宋体" w:cs="宋体"/>
          <w:szCs w:val="21"/>
        </w:rPr>
      </w:pPr>
      <w:r>
        <w:rPr>
          <w:rFonts w:hint="eastAsia" w:ascii="宋体" w:hAnsi="宋体" w:eastAsia="宋体" w:cs="宋体"/>
          <w:lang w:val="en-US" w:eastAsia="zh-CN"/>
        </w:rPr>
        <w:t>1</w:t>
      </w:r>
      <w:r>
        <w:rPr>
          <w:rFonts w:hint="eastAsia" w:ascii="宋体" w:hAnsi="宋体" w:eastAsia="宋体" w:cs="宋体"/>
          <w:szCs w:val="21"/>
        </w:rPr>
        <w:t>.本表参照本招标文件第二部分“招标需求”内第二条“具体技术需求”填制，投标人应根据投标设备的性能指标、服务指标，对照招标文件要求在“偏离情况”栏注明“正偏离”、“负偏离”或“无偏离”。</w:t>
      </w:r>
    </w:p>
    <w:p>
      <w:pPr>
        <w:pStyle w:val="31"/>
        <w:spacing w:line="360" w:lineRule="auto"/>
        <w:ind w:right="84" w:rightChars="40" w:firstLine="420" w:firstLineChars="200"/>
        <w:rPr>
          <w:rFonts w:hint="eastAsia" w:ascii="宋体" w:hAnsi="宋体" w:eastAsia="宋体" w:cs="宋体"/>
          <w:sz w:val="24"/>
        </w:rPr>
      </w:pPr>
      <w:r>
        <w:rPr>
          <w:rFonts w:hint="eastAsia" w:ascii="宋体" w:hAnsi="宋体" w:eastAsia="宋体" w:cs="宋体"/>
          <w:szCs w:val="21"/>
          <w:lang w:val="en-US" w:eastAsia="zh-CN"/>
        </w:rPr>
        <w:t>2</w:t>
      </w:r>
      <w:r>
        <w:rPr>
          <w:rFonts w:hint="eastAsia" w:ascii="宋体" w:hAnsi="宋体" w:eastAsia="宋体" w:cs="宋体"/>
          <w:szCs w:val="21"/>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5" w:name="_Toc23671_WPSOffice_Level1"/>
      <w:bookmarkStart w:id="66" w:name="_Toc20569_WPSOffice_Level1"/>
      <w:r>
        <w:rPr>
          <w:rFonts w:hint="eastAsia" w:ascii="宋体" w:hAnsi="宋体"/>
          <w:b/>
          <w:sz w:val="32"/>
          <w:szCs w:val="32"/>
        </w:rPr>
        <w:t>项目实施人员一览表</w:t>
      </w:r>
      <w:bookmarkEnd w:id="65"/>
      <w:bookmarkEnd w:id="66"/>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0"/>
        <w:spacing w:line="360" w:lineRule="auto"/>
        <w:ind w:left="424" w:leftChars="202"/>
        <w:rPr>
          <w:rFonts w:ascii="宋体" w:hAnsi="宋体"/>
          <w:szCs w:val="21"/>
        </w:rPr>
      </w:pPr>
      <w:r>
        <w:rPr>
          <w:rFonts w:hint="eastAsia" w:ascii="宋体" w:hAnsi="宋体"/>
          <w:szCs w:val="21"/>
        </w:rPr>
        <w:t>2.附人员证书。</w:t>
      </w:r>
    </w:p>
    <w:p>
      <w:pPr>
        <w:pStyle w:val="30"/>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pacing w:line="360" w:lineRule="auto"/>
        <w:rPr>
          <w:rFonts w:hint="eastAsia" w:ascii="宋体" w:hAnsi="宋体"/>
          <w:b/>
          <w:sz w:val="28"/>
        </w:rPr>
        <w:sectPr>
          <w:pgSz w:w="11906" w:h="16838"/>
          <w:pgMar w:top="1701" w:right="1448" w:bottom="1531" w:left="1418" w:header="851" w:footer="851" w:gutter="0"/>
          <w:cols w:space="720" w:num="1"/>
          <w:docGrid w:linePitch="312" w:charSpace="0"/>
        </w:sect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6</w:t>
      </w:r>
    </w:p>
    <w:p>
      <w:pPr>
        <w:spacing w:beforeLines="50" w:afterLines="50" w:line="360" w:lineRule="auto"/>
        <w:ind w:right="-10"/>
        <w:jc w:val="center"/>
        <w:rPr>
          <w:rFonts w:ascii="宋体" w:hAnsi="宋体"/>
          <w:b/>
          <w:bCs/>
          <w:sz w:val="32"/>
          <w:szCs w:val="32"/>
        </w:rPr>
      </w:pPr>
      <w:bookmarkStart w:id="67" w:name="_Toc12710_WPSOffice_Level1"/>
      <w:bookmarkStart w:id="68" w:name="_Toc23055_WPSOffice_Level1"/>
      <w:r>
        <w:rPr>
          <w:rFonts w:hint="eastAsia" w:ascii="宋体" w:hAnsi="宋体"/>
          <w:b/>
          <w:bCs/>
          <w:sz w:val="32"/>
          <w:szCs w:val="32"/>
        </w:rPr>
        <w:t>项目负责人资格情况表</w:t>
      </w:r>
      <w:bookmarkEnd w:id="67"/>
      <w:bookmarkEnd w:id="68"/>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0"/>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4"/>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0" w:hRule="atLeas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4"/>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4"/>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0" w:hRule="atLeas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4"/>
              <w:spacing w:line="360" w:lineRule="auto"/>
              <w:rPr>
                <w:rFonts w:ascii="宋体" w:hAnsi="宋体" w:cs="Arial"/>
                <w:bCs/>
                <w:sz w:val="21"/>
                <w:szCs w:val="21"/>
              </w:rPr>
            </w:pP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p>
            <w:pPr>
              <w:pStyle w:val="34"/>
              <w:widowControl/>
              <w:spacing w:line="360" w:lineRule="auto"/>
              <w:jc w:val="left"/>
              <w:rPr>
                <w:rFonts w:ascii="宋体" w:hAnsi="宋体" w:cs="Arial"/>
                <w:bCs/>
                <w:sz w:val="21"/>
                <w:szCs w:val="21"/>
              </w:rPr>
            </w:pPr>
          </w:p>
          <w:p>
            <w:pPr>
              <w:pStyle w:val="34"/>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p>
            <w:pPr>
              <w:pStyle w:val="34"/>
              <w:widowControl/>
              <w:spacing w:line="360" w:lineRule="auto"/>
              <w:jc w:val="left"/>
              <w:rPr>
                <w:rFonts w:ascii="宋体" w:hAnsi="宋体" w:cs="Arial"/>
                <w:bCs/>
                <w:sz w:val="21"/>
                <w:szCs w:val="21"/>
              </w:rPr>
            </w:pPr>
          </w:p>
          <w:p>
            <w:pPr>
              <w:pStyle w:val="34"/>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0" w:hRule="atLeast"/>
          <w:jc w:val="center"/>
        </w:trPr>
        <w:tc>
          <w:tcPr>
            <w:tcW w:w="739" w:type="dxa"/>
            <w:tcMar>
              <w:top w:w="57" w:type="dxa"/>
              <w:left w:w="108" w:type="dxa"/>
              <w:bottom w:w="0" w:type="dxa"/>
              <w:right w:w="108" w:type="dxa"/>
            </w:tcMar>
            <w:vAlign w:val="center"/>
          </w:tcPr>
          <w:p>
            <w:pPr>
              <w:pStyle w:val="34"/>
              <w:widowControl/>
              <w:spacing w:line="360" w:lineRule="auto"/>
              <w:jc w:val="center"/>
              <w:rPr>
                <w:rFonts w:ascii="宋体" w:hAnsi="宋体" w:cs="Arial"/>
                <w:bCs/>
                <w:sz w:val="21"/>
                <w:szCs w:val="21"/>
              </w:rPr>
            </w:pPr>
            <w:r>
              <w:rPr>
                <w:rFonts w:hint="eastAsia" w:ascii="宋体" w:hAnsi="宋体" w:cs="Arial"/>
                <w:bCs/>
                <w:sz w:val="21"/>
                <w:szCs w:val="21"/>
              </w:rPr>
              <w:t>3</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p>
            <w:pPr>
              <w:pStyle w:val="34"/>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0" w:hRule="atLeas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p>
    <w:p>
      <w:pPr>
        <w:pStyle w:val="32"/>
        <w:spacing w:line="360" w:lineRule="auto"/>
        <w:jc w:val="left"/>
        <w:rPr>
          <w:rFonts w:hint="eastAsia" w:ascii="宋体" w:hAnsi="宋体"/>
          <w:b/>
          <w:sz w:val="28"/>
        </w:rPr>
      </w:pPr>
    </w:p>
    <w:p>
      <w:pPr>
        <w:pStyle w:val="32"/>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pStyle w:val="33"/>
        <w:spacing w:line="360" w:lineRule="auto"/>
        <w:jc w:val="center"/>
        <w:rPr>
          <w:rFonts w:ascii="宋体" w:hAnsi="宋体" w:cs="Arial"/>
          <w:sz w:val="28"/>
          <w:szCs w:val="28"/>
        </w:rPr>
      </w:pPr>
      <w:bookmarkStart w:id="69" w:name="_Toc17604_WPSOffice_Level1"/>
      <w:bookmarkStart w:id="70" w:name="_Toc11030_WPSOffice_Level1"/>
      <w:r>
        <w:rPr>
          <w:rFonts w:hint="eastAsia" w:ascii="宋体" w:hAnsi="宋体"/>
          <w:b/>
          <w:sz w:val="32"/>
          <w:szCs w:val="32"/>
        </w:rPr>
        <w:t>证书一览表</w:t>
      </w:r>
      <w:bookmarkEnd w:id="69"/>
      <w:bookmarkEnd w:id="70"/>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3"/>
              <w:spacing w:line="360" w:lineRule="auto"/>
              <w:jc w:val="center"/>
              <w:rPr>
                <w:rFonts w:ascii="宋体" w:hAnsi="宋体" w:cs="Arial"/>
                <w:szCs w:val="21"/>
              </w:rPr>
            </w:pPr>
          </w:p>
        </w:tc>
      </w:tr>
    </w:tbl>
    <w:p>
      <w:pPr>
        <w:pStyle w:val="33"/>
        <w:tabs>
          <w:tab w:val="left" w:pos="1050"/>
        </w:tabs>
        <w:spacing w:line="360" w:lineRule="auto"/>
        <w:rPr>
          <w:rFonts w:ascii="宋体" w:hAnsi="宋体"/>
          <w:szCs w:val="21"/>
        </w:rPr>
      </w:pPr>
      <w:r>
        <w:rPr>
          <w:rFonts w:hint="eastAsia" w:ascii="宋体" w:hAnsi="宋体"/>
          <w:b/>
          <w:szCs w:val="21"/>
        </w:rPr>
        <w:t>要求：</w:t>
      </w:r>
    </w:p>
    <w:p>
      <w:pPr>
        <w:pStyle w:val="33"/>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3"/>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3"/>
        <w:tabs>
          <w:tab w:val="left" w:pos="1050"/>
        </w:tabs>
        <w:spacing w:line="360" w:lineRule="auto"/>
        <w:rPr>
          <w:rFonts w:ascii="仿宋_GB2312" w:hAnsi="宋体" w:eastAsia="仿宋_GB2312"/>
          <w:sz w:val="24"/>
        </w:rPr>
      </w:pPr>
    </w:p>
    <w:p>
      <w:pPr>
        <w:pStyle w:val="3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jc w:val="center"/>
        <w:rPr>
          <w:rFonts w:hint="eastAsia" w:ascii="宋体" w:hAnsi="宋体"/>
          <w:b/>
          <w:bCs/>
          <w:kern w:val="0"/>
          <w:sz w:val="32"/>
          <w:szCs w:val="32"/>
        </w:rPr>
      </w:pPr>
      <w:bookmarkStart w:id="71" w:name="_Toc19231_WPSOffice_Level1"/>
      <w:bookmarkStart w:id="72" w:name="_Toc7134_WPSOffice_Level1"/>
      <w:r>
        <w:rPr>
          <w:rFonts w:hint="eastAsia" w:ascii="宋体" w:hAnsi="宋体"/>
          <w:b/>
          <w:bCs/>
          <w:kern w:val="0"/>
          <w:sz w:val="32"/>
          <w:szCs w:val="32"/>
        </w:rPr>
        <w:t>投标人类似项目实施情况一览表</w:t>
      </w:r>
      <w:bookmarkEnd w:id="71"/>
      <w:bookmarkEnd w:id="72"/>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3"/>
        <w:tabs>
          <w:tab w:val="left" w:pos="1050"/>
        </w:tabs>
        <w:spacing w:line="360" w:lineRule="auto"/>
        <w:rPr>
          <w:rFonts w:ascii="宋体" w:hAnsi="宋体"/>
          <w:b/>
          <w:sz w:val="28"/>
        </w:rPr>
      </w:pPr>
    </w:p>
    <w:p>
      <w:pPr>
        <w:pStyle w:val="33"/>
        <w:tabs>
          <w:tab w:val="left" w:pos="1050"/>
        </w:tabs>
        <w:spacing w:line="360" w:lineRule="auto"/>
        <w:rPr>
          <w:rFonts w:hint="eastAsia" w:ascii="宋体" w:hAnsi="宋体"/>
          <w:b/>
          <w:sz w:val="28"/>
        </w:rPr>
      </w:pPr>
    </w:p>
    <w:p>
      <w:pPr>
        <w:pStyle w:val="33"/>
        <w:tabs>
          <w:tab w:val="left" w:pos="1050"/>
        </w:tabs>
        <w:spacing w:line="360" w:lineRule="auto"/>
        <w:rPr>
          <w:rFonts w:hint="eastAsia" w:ascii="宋体" w:hAnsi="宋体"/>
          <w:b/>
          <w:sz w:val="28"/>
        </w:rPr>
      </w:pPr>
    </w:p>
    <w:p>
      <w:pPr>
        <w:pStyle w:val="33"/>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549" w:hanging="549" w:hangingChars="171"/>
        <w:jc w:val="center"/>
        <w:rPr>
          <w:rFonts w:ascii="宋体" w:hAnsi="宋体"/>
          <w:b/>
          <w:sz w:val="18"/>
          <w:szCs w:val="18"/>
        </w:rPr>
      </w:pPr>
      <w:bookmarkStart w:id="73" w:name="_Toc3068_WPSOffice_Level1"/>
      <w:bookmarkStart w:id="74" w:name="_Toc21582_WPSOffice_Level1"/>
      <w:r>
        <w:rPr>
          <w:rFonts w:hint="eastAsia" w:ascii="宋体" w:hAnsi="宋体"/>
          <w:b/>
          <w:sz w:val="32"/>
          <w:szCs w:val="32"/>
        </w:rPr>
        <w:t>商务需求响应表(第 标)</w:t>
      </w:r>
      <w:bookmarkEnd w:id="73"/>
      <w:bookmarkEnd w:id="74"/>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75" w:name="_Toc4615_WPSOffice_Level1"/>
      <w:bookmarkStart w:id="76" w:name="_Toc21322_WPSOffice_Level1"/>
      <w:bookmarkStart w:id="77" w:name="_Toc30468_WPSOffice_Level1"/>
    </w:p>
    <w:p>
      <w:pPr>
        <w:pStyle w:val="19"/>
        <w:rPr>
          <w:rFonts w:hint="eastAsia"/>
        </w:rPr>
      </w:pPr>
    </w:p>
    <w:p>
      <w:pPr>
        <w:jc w:val="both"/>
        <w:rPr>
          <w:rFonts w:hint="eastAsia"/>
          <w:sz w:val="52"/>
          <w:szCs w:val="52"/>
        </w:rPr>
      </w:pPr>
    </w:p>
    <w:p>
      <w:pPr>
        <w:jc w:val="center"/>
        <w:rPr>
          <w:sz w:val="52"/>
          <w:szCs w:val="52"/>
        </w:rPr>
      </w:pPr>
      <w:r>
        <w:rPr>
          <w:rFonts w:hint="eastAsia"/>
          <w:sz w:val="52"/>
          <w:szCs w:val="52"/>
        </w:rPr>
        <w:t>项目名称</w:t>
      </w:r>
      <w:bookmarkEnd w:id="75"/>
      <w:bookmarkEnd w:id="76"/>
      <w:bookmarkEnd w:id="77"/>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78" w:name="_Toc9453_WPSOffice_Level1"/>
      <w:bookmarkStart w:id="79" w:name="_Toc8885_WPSOffice_Level1"/>
      <w:r>
        <w:rPr>
          <w:rFonts w:hint="eastAsia"/>
          <w:sz w:val="84"/>
          <w:szCs w:val="84"/>
        </w:rPr>
        <w:t>报</w:t>
      </w:r>
      <w:bookmarkEnd w:id="78"/>
      <w:bookmarkEnd w:id="79"/>
    </w:p>
    <w:p>
      <w:pPr>
        <w:jc w:val="center"/>
        <w:rPr>
          <w:sz w:val="84"/>
          <w:szCs w:val="84"/>
        </w:rPr>
      </w:pPr>
      <w:bookmarkStart w:id="80" w:name="_Toc7485_WPSOffice_Level1"/>
      <w:bookmarkStart w:id="81" w:name="_Toc10910_WPSOffice_Level1"/>
      <w:r>
        <w:rPr>
          <w:rFonts w:hint="eastAsia"/>
          <w:sz w:val="84"/>
          <w:szCs w:val="84"/>
        </w:rPr>
        <w:t>价</w:t>
      </w:r>
      <w:bookmarkEnd w:id="80"/>
      <w:bookmarkEnd w:id="81"/>
    </w:p>
    <w:p>
      <w:pPr>
        <w:jc w:val="center"/>
        <w:rPr>
          <w:sz w:val="84"/>
          <w:szCs w:val="84"/>
        </w:rPr>
      </w:pPr>
      <w:bookmarkStart w:id="82" w:name="_Toc3932_WPSOffice_Level1"/>
      <w:bookmarkStart w:id="83" w:name="_Toc14572_WPSOffice_Level1"/>
      <w:r>
        <w:rPr>
          <w:rFonts w:hint="eastAsia"/>
          <w:sz w:val="84"/>
          <w:szCs w:val="84"/>
        </w:rPr>
        <w:t>文</w:t>
      </w:r>
      <w:bookmarkEnd w:id="82"/>
      <w:bookmarkEnd w:id="83"/>
    </w:p>
    <w:p>
      <w:pPr>
        <w:jc w:val="center"/>
        <w:rPr>
          <w:sz w:val="84"/>
          <w:szCs w:val="84"/>
        </w:rPr>
      </w:pPr>
      <w:bookmarkStart w:id="84" w:name="_Toc7562_WPSOffice_Level1"/>
      <w:bookmarkStart w:id="85" w:name="_Toc16973_WPSOffice_Level1"/>
      <w:r>
        <w:rPr>
          <w:rFonts w:hint="eastAsia"/>
          <w:sz w:val="84"/>
          <w:szCs w:val="84"/>
        </w:rPr>
        <w:t>件</w:t>
      </w:r>
      <w:bookmarkEnd w:id="84"/>
      <w:bookmarkEnd w:id="85"/>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86" w:name="_Toc4603_WPSOffice_Level1"/>
      <w:bookmarkStart w:id="87" w:name="_Toc26700_WPSOffice_Level1"/>
      <w:r>
        <w:rPr>
          <w:rFonts w:hint="eastAsia" w:ascii="宋体" w:hAnsi="宋体"/>
          <w:sz w:val="36"/>
          <w:szCs w:val="36"/>
        </w:rPr>
        <w:t>投标人全称（公章）：</w:t>
      </w:r>
      <w:bookmarkEnd w:id="86"/>
      <w:bookmarkEnd w:id="87"/>
    </w:p>
    <w:p>
      <w:pPr>
        <w:spacing w:line="360" w:lineRule="auto"/>
        <w:ind w:right="-108" w:firstLine="720" w:firstLineChars="200"/>
        <w:rPr>
          <w:rFonts w:ascii="宋体" w:hAnsi="宋体"/>
          <w:sz w:val="36"/>
          <w:szCs w:val="36"/>
        </w:rPr>
      </w:pPr>
      <w:bookmarkStart w:id="88" w:name="_Toc1391_WPSOffice_Level1"/>
      <w:bookmarkStart w:id="89" w:name="_Toc32593_WPSOffice_Level1"/>
      <w:r>
        <w:rPr>
          <w:rFonts w:hint="eastAsia" w:ascii="宋体" w:hAnsi="宋体"/>
          <w:sz w:val="36"/>
          <w:szCs w:val="36"/>
        </w:rPr>
        <w:t>地    址：</w:t>
      </w:r>
      <w:bookmarkEnd w:id="88"/>
      <w:bookmarkEnd w:id="89"/>
    </w:p>
    <w:p>
      <w:pPr>
        <w:spacing w:line="360" w:lineRule="auto"/>
        <w:ind w:right="-108" w:firstLine="720" w:firstLineChars="200"/>
        <w:rPr>
          <w:rFonts w:ascii="宋体" w:hAnsi="宋体"/>
          <w:sz w:val="36"/>
          <w:szCs w:val="36"/>
        </w:rPr>
      </w:pPr>
      <w:bookmarkStart w:id="90" w:name="_Toc3791_WPSOffice_Level1"/>
      <w:bookmarkStart w:id="91" w:name="_Toc20938_WPSOffice_Level1"/>
      <w:r>
        <w:rPr>
          <w:rFonts w:hint="eastAsia" w:ascii="宋体" w:hAnsi="宋体"/>
          <w:sz w:val="36"/>
          <w:szCs w:val="36"/>
        </w:rPr>
        <w:t>时    间：</w:t>
      </w:r>
      <w:bookmarkEnd w:id="90"/>
      <w:bookmarkEnd w:id="91"/>
    </w:p>
    <w:p>
      <w:pPr>
        <w:spacing w:line="480" w:lineRule="auto"/>
        <w:jc w:val="center"/>
        <w:rPr>
          <w:rFonts w:hint="eastAsia" w:ascii="宋体" w:hAnsi="宋体"/>
          <w:b/>
          <w:bCs/>
          <w:sz w:val="36"/>
          <w:szCs w:val="36"/>
        </w:rPr>
      </w:pPr>
      <w:bookmarkStart w:id="92" w:name="_Toc19972_WPSOffice_Level1"/>
      <w:bookmarkStart w:id="93" w:name="_Toc29537_WPSOffice_Level1"/>
    </w:p>
    <w:p>
      <w:pPr>
        <w:spacing w:line="480" w:lineRule="auto"/>
        <w:jc w:val="center"/>
        <w:rPr>
          <w:rFonts w:hint="eastAsia" w:ascii="宋体" w:hAnsi="宋体"/>
          <w:b/>
          <w:bCs/>
          <w:sz w:val="36"/>
          <w:szCs w:val="36"/>
        </w:rPr>
      </w:pPr>
    </w:p>
    <w:p>
      <w:pPr>
        <w:spacing w:line="480" w:lineRule="auto"/>
        <w:jc w:val="center"/>
        <w:rPr>
          <w:rFonts w:hint="eastAsia" w:ascii="宋体" w:hAnsi="宋体"/>
          <w:b/>
          <w:bCs/>
          <w:sz w:val="36"/>
          <w:szCs w:val="36"/>
        </w:rPr>
      </w:pPr>
      <w:r>
        <w:rPr>
          <w:rFonts w:hint="eastAsia" w:ascii="宋体" w:hAnsi="宋体"/>
          <w:b/>
          <w:bCs/>
          <w:sz w:val="36"/>
          <w:szCs w:val="36"/>
        </w:rPr>
        <w:t>报价文件目录</w:t>
      </w:r>
      <w:bookmarkEnd w:id="92"/>
      <w:bookmarkEnd w:id="93"/>
    </w:p>
    <w:p>
      <w:pPr>
        <w:pStyle w:val="19"/>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4" w:name="_Toc29988_WPSOffice_Level1"/>
      <w:bookmarkStart w:id="95"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bookmarkEnd w:id="94"/>
      <w:bookmarkEnd w:id="95"/>
    </w:p>
    <w:p>
      <w:pPr>
        <w:pStyle w:val="11"/>
        <w:spacing w:line="360" w:lineRule="auto"/>
        <w:jc w:val="both"/>
        <w:outlineLvl w:val="1"/>
        <w:rPr>
          <w:rFonts w:hint="eastAsia" w:asciiTheme="minorEastAsia" w:hAnsiTheme="minorEastAsia" w:eastAsiaTheme="minorEastAsia" w:cstheme="minorEastAsia"/>
          <w:sz w:val="28"/>
          <w:szCs w:val="28"/>
        </w:rPr>
      </w:pPr>
      <w:bookmarkStart w:id="96" w:name="_Toc45_WPSOffice_Level1"/>
      <w:bookmarkStart w:id="97" w:name="_Toc17543_WPSOffice_Level1"/>
      <w:r>
        <w:rPr>
          <w:rFonts w:hint="eastAsia" w:asciiTheme="minorEastAsia" w:hAnsiTheme="minorEastAsia" w:eastAsiaTheme="minorEastAsia" w:cstheme="minorEastAsia"/>
          <w:kern w:val="2"/>
          <w:sz w:val="28"/>
          <w:szCs w:val="28"/>
          <w:lang w:val="en-US" w:eastAsia="zh-CN" w:bidi="ar-SA"/>
        </w:rPr>
        <w:t>2.中小企业声明函、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96"/>
      <w:bookmarkEnd w:id="97"/>
    </w:p>
    <w:p>
      <w:pPr>
        <w:spacing w:line="360" w:lineRule="auto"/>
        <w:jc w:val="both"/>
        <w:rPr>
          <w:rFonts w:hint="eastAsia" w:asciiTheme="minorEastAsia" w:hAnsiTheme="minorEastAsia" w:eastAsiaTheme="minorEastAsia" w:cstheme="minorEastAsia"/>
          <w:sz w:val="28"/>
          <w:szCs w:val="28"/>
        </w:rPr>
      </w:pPr>
      <w:bookmarkStart w:id="98" w:name="_Toc3001_WPSOffice_Level1"/>
      <w:bookmarkStart w:id="99" w:name="_Toc14672_WPSOffice_Level1"/>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针对报价投标人认为其他需要说明的</w:t>
      </w:r>
      <w:bookmarkEnd w:id="98"/>
      <w:bookmarkEnd w:id="99"/>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sectPr>
          <w:pgSz w:w="11906" w:h="16838"/>
          <w:pgMar w:top="1701" w:right="1448" w:bottom="1531" w:left="1418" w:header="851" w:footer="851" w:gutter="0"/>
          <w:cols w:space="720" w:num="1"/>
          <w:docGrid w:linePitch="312" w:charSpace="0"/>
        </w:sect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bookmarkStart w:id="100" w:name="_Toc16144_WPSOffice_Level1"/>
      <w:bookmarkStart w:id="101" w:name="_Toc30363_WPSOffice_Level1"/>
      <w:r>
        <w:rPr>
          <w:rFonts w:hint="eastAsia" w:ascii="宋体" w:hAnsi="宋体"/>
          <w:b/>
          <w:sz w:val="32"/>
          <w:szCs w:val="32"/>
        </w:rPr>
        <w:t xml:space="preserve">开标一览表 </w:t>
      </w:r>
      <w:bookmarkEnd w:id="100"/>
      <w:bookmarkEnd w:id="101"/>
    </w:p>
    <w:p>
      <w:pPr>
        <w:spacing w:line="360" w:lineRule="auto"/>
        <w:ind w:left="-2" w:hanging="2"/>
        <w:jc w:val="center"/>
        <w:rPr>
          <w:rFonts w:ascii="宋体" w:hAnsi="宋体"/>
          <w:b/>
          <w:sz w:val="32"/>
          <w:szCs w:val="32"/>
        </w:rPr>
      </w:pPr>
    </w:p>
    <w:p>
      <w:pPr>
        <w:pStyle w:val="11"/>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hAnsi="宋体"/>
          <w:color w:val="FF0000"/>
          <w:sz w:val="24"/>
        </w:rPr>
      </w:pPr>
      <w:r>
        <w:rPr>
          <w:rFonts w:hAnsi="宋体"/>
          <w:b/>
          <w:sz w:val="24"/>
        </w:rPr>
        <w:t>项目名称：</w:t>
      </w:r>
      <w:r>
        <w:rPr>
          <w:rFonts w:hint="eastAsia" w:ascii="宋体" w:hAnsi="宋体"/>
          <w:sz w:val="24"/>
        </w:rPr>
        <w:t xml:space="preserve">                                    </w:t>
      </w:r>
    </w:p>
    <w:tbl>
      <w:tblPr>
        <w:tblStyle w:val="20"/>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11"/>
        <w:gridCol w:w="1407"/>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1553" w:type="pct"/>
            <w:vAlign w:val="center"/>
          </w:tcPr>
          <w:p>
            <w:pPr>
              <w:autoSpaceDE w:val="0"/>
              <w:autoSpaceDN w:val="0"/>
              <w:spacing w:line="450" w:lineRule="exact"/>
              <w:jc w:val="center"/>
              <w:textAlignment w:val="bottom"/>
              <w:rPr>
                <w:rFonts w:hint="eastAsia" w:ascii="宋体" w:hAnsi="宋体" w:eastAsia="宋体"/>
                <w:color w:val="auto"/>
                <w:sz w:val="24"/>
                <w:szCs w:val="24"/>
                <w:lang w:eastAsia="zh-CN"/>
              </w:rPr>
            </w:pPr>
            <w:r>
              <w:rPr>
                <w:rFonts w:hint="eastAsia" w:ascii="宋体" w:hAnsi="宋体"/>
                <w:color w:val="auto"/>
                <w:sz w:val="24"/>
                <w:szCs w:val="24"/>
                <w:lang w:eastAsia="zh-CN"/>
              </w:rPr>
              <w:t>赔付</w:t>
            </w:r>
            <w:r>
              <w:rPr>
                <w:rFonts w:hint="eastAsia" w:ascii="宋体" w:hAnsi="宋体"/>
                <w:color w:val="auto"/>
                <w:sz w:val="24"/>
                <w:szCs w:val="24"/>
                <w:lang w:val="en-US" w:eastAsia="zh-CN"/>
              </w:rPr>
              <w:t>额</w:t>
            </w:r>
            <w:r>
              <w:rPr>
                <w:rFonts w:hint="eastAsia" w:ascii="宋体" w:hAnsi="宋体"/>
                <w:color w:val="auto"/>
                <w:sz w:val="24"/>
                <w:szCs w:val="24"/>
                <w:lang w:eastAsia="zh-CN"/>
              </w:rPr>
              <w:t>整体上浮幅度</w:t>
            </w:r>
          </w:p>
        </w:tc>
        <w:tc>
          <w:tcPr>
            <w:tcW w:w="777" w:type="pct"/>
            <w:vAlign w:val="center"/>
          </w:tcPr>
          <w:p>
            <w:pPr>
              <w:autoSpaceDE w:val="0"/>
              <w:autoSpaceDN w:val="0"/>
              <w:spacing w:line="450" w:lineRule="exact"/>
              <w:jc w:val="center"/>
              <w:textAlignment w:val="bottom"/>
              <w:rPr>
                <w:rFonts w:hint="eastAsia" w:ascii="宋体" w:hAnsi="宋体" w:eastAsia="宋体"/>
                <w:color w:val="auto"/>
                <w:sz w:val="24"/>
                <w:szCs w:val="24"/>
                <w:lang w:eastAsia="zh-CN"/>
              </w:rPr>
            </w:pPr>
            <w:r>
              <w:rPr>
                <w:rFonts w:hint="eastAsia" w:ascii="宋体" w:hAnsi="宋体"/>
                <w:color w:val="auto"/>
                <w:sz w:val="24"/>
                <w:szCs w:val="24"/>
                <w:lang w:val="en-US" w:eastAsia="zh-CN"/>
              </w:rPr>
              <w:t>%</w:t>
            </w:r>
          </w:p>
        </w:tc>
        <w:tc>
          <w:tcPr>
            <w:tcW w:w="2668" w:type="pct"/>
            <w:vAlign w:val="center"/>
          </w:tcPr>
          <w:p>
            <w:pPr>
              <w:autoSpaceDE w:val="0"/>
              <w:autoSpaceDN w:val="0"/>
              <w:spacing w:line="450" w:lineRule="exact"/>
              <w:jc w:val="center"/>
              <w:textAlignment w:val="bottom"/>
              <w:rPr>
                <w:rFonts w:ascii="宋体" w:hAnsi="宋体"/>
                <w:color w:val="auto"/>
                <w:sz w:val="21"/>
                <w:szCs w:val="21"/>
              </w:rPr>
            </w:pPr>
          </w:p>
        </w:tc>
      </w:tr>
    </w:tbl>
    <w:p>
      <w:pPr>
        <w:spacing w:line="360" w:lineRule="auto"/>
        <w:ind w:firstLine="422" w:firstLineChars="200"/>
        <w:rPr>
          <w:rFonts w:hint="eastAsia" w:ascii="宋体" w:hAnsi="宋体"/>
          <w:sz w:val="24"/>
        </w:rPr>
      </w:pPr>
      <w:r>
        <w:rPr>
          <w:rFonts w:hint="eastAsia" w:ascii="宋体" w:hAnsi="宋体"/>
          <w:b/>
          <w:color w:val="auto"/>
          <w:szCs w:val="21"/>
        </w:rPr>
        <w:t>填报要求：</w:t>
      </w:r>
      <w:r>
        <w:rPr>
          <w:rFonts w:hint="eastAsia" w:ascii="宋体" w:hAnsi="宋体"/>
          <w:color w:val="auto"/>
          <w:sz w:val="21"/>
          <w:szCs w:val="21"/>
          <w:lang w:val="en-US" w:eastAsia="zh-CN"/>
        </w:rPr>
        <w:t>参照招标需求中的台风和强降雨赔付标准，按</w:t>
      </w:r>
      <w:r>
        <w:rPr>
          <w:rFonts w:hint="eastAsia" w:ascii="宋体" w:hAnsi="宋体"/>
          <w:color w:val="auto"/>
          <w:sz w:val="21"/>
          <w:szCs w:val="21"/>
          <w:lang w:eastAsia="zh-CN"/>
        </w:rPr>
        <w:t>赔付额的</w:t>
      </w:r>
      <w:r>
        <w:rPr>
          <w:rFonts w:hint="eastAsia" w:ascii="宋体" w:hAnsi="宋体"/>
          <w:color w:val="auto"/>
          <w:sz w:val="21"/>
          <w:szCs w:val="21"/>
          <w:lang w:val="en-US" w:eastAsia="zh-CN"/>
        </w:rPr>
        <w:t>整体</w:t>
      </w:r>
      <w:r>
        <w:rPr>
          <w:rFonts w:hint="eastAsia" w:ascii="宋体" w:hAnsi="宋体"/>
          <w:color w:val="auto"/>
          <w:sz w:val="21"/>
          <w:szCs w:val="21"/>
          <w:lang w:eastAsia="zh-CN"/>
        </w:rPr>
        <w:t>上浮百分比填报</w:t>
      </w:r>
      <w:r>
        <w:rPr>
          <w:rFonts w:hint="eastAsia" w:ascii="宋体" w:hAnsi="宋体"/>
          <w:color w:val="auto"/>
          <w:sz w:val="21"/>
          <w:szCs w:val="21"/>
        </w:rPr>
        <w:t>。</w:t>
      </w:r>
    </w:p>
    <w:p>
      <w:pPr>
        <w:pStyle w:val="19"/>
        <w:ind w:left="0" w:leftChars="0" w:firstLine="0" w:firstLineChars="0"/>
        <w:rPr>
          <w:rFonts w:hint="eastAsia" w:ascii="宋体" w:hAnsi="宋体"/>
          <w:sz w:val="24"/>
        </w:rPr>
      </w:pPr>
    </w:p>
    <w:p>
      <w:pPr>
        <w:pStyle w:val="19"/>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19"/>
        <w:ind w:left="0" w:leftChars="0" w:firstLine="0" w:firstLineChars="0"/>
        <w:rPr>
          <w:rFonts w:hint="eastAsia"/>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sectPr>
          <w:pgSz w:w="11906" w:h="16838"/>
          <w:pgMar w:top="1701" w:right="1448" w:bottom="1531" w:left="1418" w:header="851" w:footer="851" w:gutter="0"/>
          <w:cols w:space="720" w:num="1"/>
          <w:docGrid w:linePitch="312" w:charSpace="0"/>
        </w:sectPr>
      </w:pP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2</w:t>
      </w:r>
    </w:p>
    <w:p>
      <w:pPr>
        <w:pStyle w:val="39"/>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39"/>
        <w:spacing w:line="360" w:lineRule="auto"/>
        <w:jc w:val="center"/>
        <w:rPr>
          <w:rFonts w:ascii="宋体" w:hAnsi="宋体"/>
          <w:b/>
          <w:sz w:val="24"/>
          <w:lang w:val="en-GB"/>
        </w:rPr>
      </w:pPr>
    </w:p>
    <w:p>
      <w:pPr>
        <w:pStyle w:val="39"/>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39"/>
        <w:numPr>
          <w:ilvl w:val="0"/>
          <w:numId w:val="13"/>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39"/>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39"/>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39"/>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39"/>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pStyle w:val="39"/>
        <w:spacing w:line="360" w:lineRule="auto"/>
        <w:rPr>
          <w:rFonts w:ascii="宋体" w:hAnsi="宋体"/>
          <w:sz w:val="24"/>
        </w:rPr>
      </w:pPr>
    </w:p>
    <w:p>
      <w:pPr>
        <w:pStyle w:val="39"/>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39"/>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7"/>
        <w:rPr>
          <w:rFonts w:ascii="宋体" w:hAnsi="宋体" w:cs="宋体"/>
          <w:sz w:val="24"/>
          <w:szCs w:val="24"/>
        </w:rPr>
      </w:pPr>
    </w:p>
    <w:p>
      <w:pPr>
        <w:pStyle w:val="7"/>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02" w:name="_Toc27483_WPSOffice_Level1"/>
      <w:bookmarkStart w:id="103" w:name="_Toc17646_WPSOffice_Level1"/>
      <w:r>
        <w:rPr>
          <w:rFonts w:hint="eastAsia" w:hAnsi="宋体" w:cs="宋体"/>
          <w:b/>
          <w:sz w:val="32"/>
          <w:szCs w:val="32"/>
          <w:lang w:val="en-GB"/>
        </w:rPr>
        <w:t>残疾人福利性单位声明函</w:t>
      </w:r>
      <w:bookmarkEnd w:id="102"/>
      <w:bookmarkEnd w:id="103"/>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19"/>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39"/>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39"/>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39"/>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rFonts w:hint="default" w:eastAsia="宋体"/>
        <w:b/>
        <w:color w:val="000000" w:themeColor="text1"/>
        <w:sz w:val="10"/>
        <w:u w:val="single"/>
        <w:lang w:val="en-US" w:eastAsia="zh-CN"/>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 xml:space="preserve">台州市政府采购招标文件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99F11"/>
    <w:multiLevelType w:val="singleLevel"/>
    <w:tmpl w:val="C8F99F11"/>
    <w:lvl w:ilvl="0" w:tentative="0">
      <w:start w:val="1"/>
      <w:numFmt w:val="decimal"/>
      <w:lvlText w:val="%1."/>
      <w:lvlJc w:val="left"/>
      <w:pPr>
        <w:ind w:left="425" w:hanging="425"/>
      </w:pPr>
      <w:rPr>
        <w:rFonts w:hint="default"/>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3">
    <w:nsid w:val="F931D4A4"/>
    <w:multiLevelType w:val="singleLevel"/>
    <w:tmpl w:val="F931D4A4"/>
    <w:lvl w:ilvl="0" w:tentative="0">
      <w:start w:val="1"/>
      <w:numFmt w:val="decimal"/>
      <w:lvlText w:val="%1."/>
      <w:lvlJc w:val="left"/>
      <w:pPr>
        <w:tabs>
          <w:tab w:val="left" w:pos="312"/>
        </w:tabs>
      </w:p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6">
    <w:nsid w:val="36EC01A0"/>
    <w:multiLevelType w:val="singleLevel"/>
    <w:tmpl w:val="36EC01A0"/>
    <w:lvl w:ilvl="0" w:tentative="0">
      <w:start w:val="2"/>
      <w:numFmt w:val="chineseCounting"/>
      <w:suff w:val="nothing"/>
      <w:lvlText w:val="%1、"/>
      <w:lvlJc w:val="left"/>
      <w:rPr>
        <w:rFonts w:hint="eastAsia"/>
        <w:b/>
        <w:bCs/>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num w:numId="1">
    <w:abstractNumId w:val="10"/>
  </w:num>
  <w:num w:numId="2">
    <w:abstractNumId w:val="5"/>
  </w:num>
  <w:num w:numId="3">
    <w:abstractNumId w:val="11"/>
  </w:num>
  <w:num w:numId="4">
    <w:abstractNumId w:val="7"/>
  </w:num>
  <w:num w:numId="5">
    <w:abstractNumId w:val="3"/>
  </w:num>
  <w:num w:numId="6">
    <w:abstractNumId w:val="1"/>
  </w:num>
  <w:num w:numId="7">
    <w:abstractNumId w:val="2"/>
  </w:num>
  <w:num w:numId="8">
    <w:abstractNumId w:val="4"/>
  </w:num>
  <w:num w:numId="9">
    <w:abstractNumId w:val="6"/>
  </w:num>
  <w:num w:numId="10">
    <w:abstractNumId w:val="9"/>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UyMWQ0MmFiMTRmMjRhZDk1NTc2MWJlMWI1MWMifQ=="/>
  </w:docVars>
  <w:rsids>
    <w:rsidRoot w:val="685F2B0C"/>
    <w:rsid w:val="00030D77"/>
    <w:rsid w:val="00071BA1"/>
    <w:rsid w:val="000A2B60"/>
    <w:rsid w:val="000C024B"/>
    <w:rsid w:val="001146EF"/>
    <w:rsid w:val="00165EE9"/>
    <w:rsid w:val="00186236"/>
    <w:rsid w:val="00291503"/>
    <w:rsid w:val="00315916"/>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FC1E7F"/>
    <w:rsid w:val="00FF7A94"/>
    <w:rsid w:val="010742D5"/>
    <w:rsid w:val="010F7B98"/>
    <w:rsid w:val="01270A4D"/>
    <w:rsid w:val="01851778"/>
    <w:rsid w:val="01A729ED"/>
    <w:rsid w:val="01AE11E6"/>
    <w:rsid w:val="01B729F0"/>
    <w:rsid w:val="01E96BCD"/>
    <w:rsid w:val="01F53A09"/>
    <w:rsid w:val="02222883"/>
    <w:rsid w:val="02A01370"/>
    <w:rsid w:val="02C62BA9"/>
    <w:rsid w:val="030A7540"/>
    <w:rsid w:val="034C79A8"/>
    <w:rsid w:val="035E327D"/>
    <w:rsid w:val="03624C71"/>
    <w:rsid w:val="036C5A75"/>
    <w:rsid w:val="037171B2"/>
    <w:rsid w:val="03723D7D"/>
    <w:rsid w:val="03901AEA"/>
    <w:rsid w:val="03A55E37"/>
    <w:rsid w:val="04071573"/>
    <w:rsid w:val="040F08E1"/>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6A0A8C"/>
    <w:rsid w:val="05782C43"/>
    <w:rsid w:val="05903056"/>
    <w:rsid w:val="059E1050"/>
    <w:rsid w:val="05B01B1D"/>
    <w:rsid w:val="05E17C80"/>
    <w:rsid w:val="05E55725"/>
    <w:rsid w:val="05E5760D"/>
    <w:rsid w:val="060559B6"/>
    <w:rsid w:val="06066F04"/>
    <w:rsid w:val="0639353C"/>
    <w:rsid w:val="06474E34"/>
    <w:rsid w:val="06484055"/>
    <w:rsid w:val="065949DD"/>
    <w:rsid w:val="06653EC4"/>
    <w:rsid w:val="0699402C"/>
    <w:rsid w:val="069B1B3E"/>
    <w:rsid w:val="069C64C8"/>
    <w:rsid w:val="06A0112C"/>
    <w:rsid w:val="06A81BEC"/>
    <w:rsid w:val="06DC60DB"/>
    <w:rsid w:val="06F44F8B"/>
    <w:rsid w:val="06F84851"/>
    <w:rsid w:val="06FB0045"/>
    <w:rsid w:val="074018C2"/>
    <w:rsid w:val="077B362D"/>
    <w:rsid w:val="079A6E72"/>
    <w:rsid w:val="079F3EE7"/>
    <w:rsid w:val="07AA1AB7"/>
    <w:rsid w:val="07DF5164"/>
    <w:rsid w:val="07E50580"/>
    <w:rsid w:val="07EE133F"/>
    <w:rsid w:val="07FF5BBB"/>
    <w:rsid w:val="08065B86"/>
    <w:rsid w:val="08274ACF"/>
    <w:rsid w:val="08310251"/>
    <w:rsid w:val="084703F0"/>
    <w:rsid w:val="08696EDC"/>
    <w:rsid w:val="08705B4A"/>
    <w:rsid w:val="087A7753"/>
    <w:rsid w:val="08814CE3"/>
    <w:rsid w:val="08884C10"/>
    <w:rsid w:val="08986544"/>
    <w:rsid w:val="08BB6846"/>
    <w:rsid w:val="08C23B9D"/>
    <w:rsid w:val="08D55A74"/>
    <w:rsid w:val="08DC3175"/>
    <w:rsid w:val="08E052CE"/>
    <w:rsid w:val="08FD3C48"/>
    <w:rsid w:val="09161D47"/>
    <w:rsid w:val="093D3ABC"/>
    <w:rsid w:val="094D61D3"/>
    <w:rsid w:val="09CE19BC"/>
    <w:rsid w:val="09E70A54"/>
    <w:rsid w:val="09E84CCD"/>
    <w:rsid w:val="0A051115"/>
    <w:rsid w:val="0A221E12"/>
    <w:rsid w:val="0A3A5C5D"/>
    <w:rsid w:val="0A5330D3"/>
    <w:rsid w:val="0A8528D5"/>
    <w:rsid w:val="0A8A0A3A"/>
    <w:rsid w:val="0AB52BD8"/>
    <w:rsid w:val="0AD56F1F"/>
    <w:rsid w:val="0AEA3C8C"/>
    <w:rsid w:val="0B1E0CF0"/>
    <w:rsid w:val="0B1E2894"/>
    <w:rsid w:val="0B253CB2"/>
    <w:rsid w:val="0B3A637F"/>
    <w:rsid w:val="0BBF2F78"/>
    <w:rsid w:val="0BCE1370"/>
    <w:rsid w:val="0BCF240A"/>
    <w:rsid w:val="0BD84E5C"/>
    <w:rsid w:val="0BE34CD8"/>
    <w:rsid w:val="0BE83010"/>
    <w:rsid w:val="0BF47D4E"/>
    <w:rsid w:val="0BF86799"/>
    <w:rsid w:val="0C377F1F"/>
    <w:rsid w:val="0C4A4ECC"/>
    <w:rsid w:val="0C516743"/>
    <w:rsid w:val="0C5D1BDB"/>
    <w:rsid w:val="0C6112A5"/>
    <w:rsid w:val="0C7E2237"/>
    <w:rsid w:val="0CA34118"/>
    <w:rsid w:val="0CA758F8"/>
    <w:rsid w:val="0CCD457A"/>
    <w:rsid w:val="0CED2959"/>
    <w:rsid w:val="0CEF3BF8"/>
    <w:rsid w:val="0D000761"/>
    <w:rsid w:val="0D3F7F2E"/>
    <w:rsid w:val="0D417E74"/>
    <w:rsid w:val="0D6344EC"/>
    <w:rsid w:val="0D705EC6"/>
    <w:rsid w:val="0D7446FA"/>
    <w:rsid w:val="0D870C14"/>
    <w:rsid w:val="0D901F13"/>
    <w:rsid w:val="0DAD021E"/>
    <w:rsid w:val="0DB14507"/>
    <w:rsid w:val="0DB757B9"/>
    <w:rsid w:val="0DE545F3"/>
    <w:rsid w:val="0DE7555E"/>
    <w:rsid w:val="0E0316BF"/>
    <w:rsid w:val="0E072513"/>
    <w:rsid w:val="0EA132AA"/>
    <w:rsid w:val="0F0D0D2C"/>
    <w:rsid w:val="0F385060"/>
    <w:rsid w:val="0F58781F"/>
    <w:rsid w:val="0F5D7625"/>
    <w:rsid w:val="0F6147A2"/>
    <w:rsid w:val="0F86061B"/>
    <w:rsid w:val="0FC27645"/>
    <w:rsid w:val="0FD4645C"/>
    <w:rsid w:val="1007199F"/>
    <w:rsid w:val="101A3630"/>
    <w:rsid w:val="102C199B"/>
    <w:rsid w:val="105576A8"/>
    <w:rsid w:val="10944A68"/>
    <w:rsid w:val="10BE1B05"/>
    <w:rsid w:val="10C64B9C"/>
    <w:rsid w:val="10CB7C05"/>
    <w:rsid w:val="10CF3933"/>
    <w:rsid w:val="10EB51B9"/>
    <w:rsid w:val="10FD1FE7"/>
    <w:rsid w:val="11344EBE"/>
    <w:rsid w:val="115B5C4F"/>
    <w:rsid w:val="117C20D6"/>
    <w:rsid w:val="118A244C"/>
    <w:rsid w:val="118D341C"/>
    <w:rsid w:val="11A2124C"/>
    <w:rsid w:val="11BFC24D"/>
    <w:rsid w:val="11C20C82"/>
    <w:rsid w:val="11C8536C"/>
    <w:rsid w:val="11D0460B"/>
    <w:rsid w:val="11DE5C79"/>
    <w:rsid w:val="120F2EE9"/>
    <w:rsid w:val="12101447"/>
    <w:rsid w:val="12215961"/>
    <w:rsid w:val="125F1817"/>
    <w:rsid w:val="128D04EC"/>
    <w:rsid w:val="12A50D67"/>
    <w:rsid w:val="12AA2320"/>
    <w:rsid w:val="12DB53B1"/>
    <w:rsid w:val="12E81B94"/>
    <w:rsid w:val="13257C63"/>
    <w:rsid w:val="132B3D2F"/>
    <w:rsid w:val="133707C2"/>
    <w:rsid w:val="13441C72"/>
    <w:rsid w:val="134C77A5"/>
    <w:rsid w:val="13731B39"/>
    <w:rsid w:val="13732205"/>
    <w:rsid w:val="137F0CE3"/>
    <w:rsid w:val="13AB1E43"/>
    <w:rsid w:val="13C30E6E"/>
    <w:rsid w:val="13ED25C0"/>
    <w:rsid w:val="141B13D5"/>
    <w:rsid w:val="141C741E"/>
    <w:rsid w:val="14222F4A"/>
    <w:rsid w:val="14234B06"/>
    <w:rsid w:val="149D3DC9"/>
    <w:rsid w:val="149E1778"/>
    <w:rsid w:val="14AD4839"/>
    <w:rsid w:val="14EA3450"/>
    <w:rsid w:val="14F767B6"/>
    <w:rsid w:val="14F905C9"/>
    <w:rsid w:val="15287486"/>
    <w:rsid w:val="15840A84"/>
    <w:rsid w:val="15AF033B"/>
    <w:rsid w:val="15B744E3"/>
    <w:rsid w:val="15C012BB"/>
    <w:rsid w:val="16031113"/>
    <w:rsid w:val="160C1329"/>
    <w:rsid w:val="16332D75"/>
    <w:rsid w:val="164D0312"/>
    <w:rsid w:val="16502A53"/>
    <w:rsid w:val="166D4038"/>
    <w:rsid w:val="16725D01"/>
    <w:rsid w:val="16777B9F"/>
    <w:rsid w:val="168F227C"/>
    <w:rsid w:val="169A575C"/>
    <w:rsid w:val="16AD5C51"/>
    <w:rsid w:val="16C11894"/>
    <w:rsid w:val="16C377D3"/>
    <w:rsid w:val="17002FA9"/>
    <w:rsid w:val="170C7078"/>
    <w:rsid w:val="171F0861"/>
    <w:rsid w:val="1731374B"/>
    <w:rsid w:val="173B1F0E"/>
    <w:rsid w:val="173D243C"/>
    <w:rsid w:val="17534ECF"/>
    <w:rsid w:val="177046F6"/>
    <w:rsid w:val="17DC7BF0"/>
    <w:rsid w:val="180053F0"/>
    <w:rsid w:val="181011F1"/>
    <w:rsid w:val="185F5F75"/>
    <w:rsid w:val="18674829"/>
    <w:rsid w:val="188227EF"/>
    <w:rsid w:val="189220EE"/>
    <w:rsid w:val="189E4B47"/>
    <w:rsid w:val="18C4410A"/>
    <w:rsid w:val="18E36CFC"/>
    <w:rsid w:val="19000C71"/>
    <w:rsid w:val="192A06DB"/>
    <w:rsid w:val="193028F8"/>
    <w:rsid w:val="19800DAF"/>
    <w:rsid w:val="198218DD"/>
    <w:rsid w:val="198B2D9E"/>
    <w:rsid w:val="198D1B84"/>
    <w:rsid w:val="198E4D52"/>
    <w:rsid w:val="19923F06"/>
    <w:rsid w:val="19AF2729"/>
    <w:rsid w:val="19B16EF1"/>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2232B"/>
    <w:rsid w:val="1ACE692C"/>
    <w:rsid w:val="1AE33064"/>
    <w:rsid w:val="1AF357C2"/>
    <w:rsid w:val="1B3B15AA"/>
    <w:rsid w:val="1B610D9D"/>
    <w:rsid w:val="1B6A3FBF"/>
    <w:rsid w:val="1B6F6BD4"/>
    <w:rsid w:val="1B8C6B7B"/>
    <w:rsid w:val="1B9E29B4"/>
    <w:rsid w:val="1BBF65FB"/>
    <w:rsid w:val="1BC2281C"/>
    <w:rsid w:val="1BE7486A"/>
    <w:rsid w:val="1BF657FB"/>
    <w:rsid w:val="1C374515"/>
    <w:rsid w:val="1C4235A6"/>
    <w:rsid w:val="1C457C21"/>
    <w:rsid w:val="1C4F222F"/>
    <w:rsid w:val="1C611598"/>
    <w:rsid w:val="1CA86A15"/>
    <w:rsid w:val="1CBB4247"/>
    <w:rsid w:val="1CFA7EEF"/>
    <w:rsid w:val="1CFB1146"/>
    <w:rsid w:val="1D1338EC"/>
    <w:rsid w:val="1D253890"/>
    <w:rsid w:val="1D37062D"/>
    <w:rsid w:val="1D3B199E"/>
    <w:rsid w:val="1D5B6D2E"/>
    <w:rsid w:val="1D755466"/>
    <w:rsid w:val="1DC84F72"/>
    <w:rsid w:val="1DEC270F"/>
    <w:rsid w:val="1DF10281"/>
    <w:rsid w:val="1E0672A1"/>
    <w:rsid w:val="1E0D3D46"/>
    <w:rsid w:val="1E331E3B"/>
    <w:rsid w:val="1E370C0B"/>
    <w:rsid w:val="1E4E212D"/>
    <w:rsid w:val="1E561B49"/>
    <w:rsid w:val="1E5A2895"/>
    <w:rsid w:val="1E5B5B74"/>
    <w:rsid w:val="1E762E69"/>
    <w:rsid w:val="1E7C5B85"/>
    <w:rsid w:val="1E847B39"/>
    <w:rsid w:val="1E860C88"/>
    <w:rsid w:val="1EAD27E8"/>
    <w:rsid w:val="1ED462A6"/>
    <w:rsid w:val="1ED734FA"/>
    <w:rsid w:val="1EDB21B2"/>
    <w:rsid w:val="1EE21D29"/>
    <w:rsid w:val="1EE72005"/>
    <w:rsid w:val="1EEF5AE8"/>
    <w:rsid w:val="1F2F246F"/>
    <w:rsid w:val="1F3E1D5D"/>
    <w:rsid w:val="1F6E3177"/>
    <w:rsid w:val="1F6F04BA"/>
    <w:rsid w:val="1F8129BD"/>
    <w:rsid w:val="1FFFCB22"/>
    <w:rsid w:val="20027E74"/>
    <w:rsid w:val="2024650C"/>
    <w:rsid w:val="204663FA"/>
    <w:rsid w:val="20624FA2"/>
    <w:rsid w:val="206A1137"/>
    <w:rsid w:val="20835E3C"/>
    <w:rsid w:val="208B2C4C"/>
    <w:rsid w:val="209232CC"/>
    <w:rsid w:val="20AA1825"/>
    <w:rsid w:val="20BB1EB1"/>
    <w:rsid w:val="21144C23"/>
    <w:rsid w:val="21231859"/>
    <w:rsid w:val="212A75E7"/>
    <w:rsid w:val="21593740"/>
    <w:rsid w:val="215C6880"/>
    <w:rsid w:val="2163612C"/>
    <w:rsid w:val="217039C6"/>
    <w:rsid w:val="21754AF5"/>
    <w:rsid w:val="217E7700"/>
    <w:rsid w:val="218158E0"/>
    <w:rsid w:val="218F0080"/>
    <w:rsid w:val="21BA53F5"/>
    <w:rsid w:val="21EB3652"/>
    <w:rsid w:val="220B781D"/>
    <w:rsid w:val="2220525E"/>
    <w:rsid w:val="224449F5"/>
    <w:rsid w:val="225D16C1"/>
    <w:rsid w:val="2266010D"/>
    <w:rsid w:val="226E674C"/>
    <w:rsid w:val="22712A0D"/>
    <w:rsid w:val="22734646"/>
    <w:rsid w:val="22B609EC"/>
    <w:rsid w:val="22C23296"/>
    <w:rsid w:val="22CF4727"/>
    <w:rsid w:val="22E35CB6"/>
    <w:rsid w:val="22F02FE0"/>
    <w:rsid w:val="23280561"/>
    <w:rsid w:val="2330019D"/>
    <w:rsid w:val="23391874"/>
    <w:rsid w:val="235E2799"/>
    <w:rsid w:val="23666663"/>
    <w:rsid w:val="23693289"/>
    <w:rsid w:val="23795972"/>
    <w:rsid w:val="239147E1"/>
    <w:rsid w:val="23BB34F7"/>
    <w:rsid w:val="23CB333E"/>
    <w:rsid w:val="23D558FF"/>
    <w:rsid w:val="23F91B39"/>
    <w:rsid w:val="241F18CE"/>
    <w:rsid w:val="242E5E97"/>
    <w:rsid w:val="243A5F83"/>
    <w:rsid w:val="244702BD"/>
    <w:rsid w:val="247E0687"/>
    <w:rsid w:val="247E4C4A"/>
    <w:rsid w:val="249A76A4"/>
    <w:rsid w:val="24A20628"/>
    <w:rsid w:val="24B45D14"/>
    <w:rsid w:val="24FC55A5"/>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07C4C"/>
    <w:rsid w:val="26546373"/>
    <w:rsid w:val="26841C6E"/>
    <w:rsid w:val="26934343"/>
    <w:rsid w:val="26B424FB"/>
    <w:rsid w:val="26B73D93"/>
    <w:rsid w:val="26BE7FC2"/>
    <w:rsid w:val="26DB6322"/>
    <w:rsid w:val="26E62133"/>
    <w:rsid w:val="26FF64A7"/>
    <w:rsid w:val="27727895"/>
    <w:rsid w:val="277F68D2"/>
    <w:rsid w:val="27870FB2"/>
    <w:rsid w:val="278F0AAA"/>
    <w:rsid w:val="27A931C6"/>
    <w:rsid w:val="27B84345"/>
    <w:rsid w:val="27CB7A47"/>
    <w:rsid w:val="27CF31D6"/>
    <w:rsid w:val="27E53B63"/>
    <w:rsid w:val="27F52A10"/>
    <w:rsid w:val="27FDF597"/>
    <w:rsid w:val="280E4470"/>
    <w:rsid w:val="283E405F"/>
    <w:rsid w:val="28630CF6"/>
    <w:rsid w:val="28D9203E"/>
    <w:rsid w:val="295E1181"/>
    <w:rsid w:val="2979252A"/>
    <w:rsid w:val="298330BD"/>
    <w:rsid w:val="29B00B02"/>
    <w:rsid w:val="29B661A7"/>
    <w:rsid w:val="29DB1483"/>
    <w:rsid w:val="29DC3277"/>
    <w:rsid w:val="29F97883"/>
    <w:rsid w:val="29FA460F"/>
    <w:rsid w:val="2A0B6D48"/>
    <w:rsid w:val="2A397DF9"/>
    <w:rsid w:val="2A7C5019"/>
    <w:rsid w:val="2A8E3410"/>
    <w:rsid w:val="2AAE7DEA"/>
    <w:rsid w:val="2AC017A8"/>
    <w:rsid w:val="2B127E2F"/>
    <w:rsid w:val="2B3677A4"/>
    <w:rsid w:val="2B7F5D7B"/>
    <w:rsid w:val="2B9073EB"/>
    <w:rsid w:val="2BAD682D"/>
    <w:rsid w:val="2BC41873"/>
    <w:rsid w:val="2BEE5A9C"/>
    <w:rsid w:val="2C051A5F"/>
    <w:rsid w:val="2C6B41B7"/>
    <w:rsid w:val="2CAF7AE9"/>
    <w:rsid w:val="2CB550EC"/>
    <w:rsid w:val="2CF947D9"/>
    <w:rsid w:val="2CFA06CC"/>
    <w:rsid w:val="2D3F090C"/>
    <w:rsid w:val="2D473273"/>
    <w:rsid w:val="2D7C085D"/>
    <w:rsid w:val="2D8167C0"/>
    <w:rsid w:val="2D9C1D44"/>
    <w:rsid w:val="2DAB174B"/>
    <w:rsid w:val="2DAC3053"/>
    <w:rsid w:val="2DB40F04"/>
    <w:rsid w:val="2DB55317"/>
    <w:rsid w:val="2DD04A2C"/>
    <w:rsid w:val="2DD902F4"/>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17695"/>
    <w:rsid w:val="30A8450A"/>
    <w:rsid w:val="30B147B2"/>
    <w:rsid w:val="30F26EB8"/>
    <w:rsid w:val="30FE64F4"/>
    <w:rsid w:val="310D00D7"/>
    <w:rsid w:val="311E1FF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257A5C"/>
    <w:rsid w:val="3341533E"/>
    <w:rsid w:val="33835108"/>
    <w:rsid w:val="33843CA1"/>
    <w:rsid w:val="344D764F"/>
    <w:rsid w:val="34690455"/>
    <w:rsid w:val="34AA1765"/>
    <w:rsid w:val="34B561E0"/>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5F74E4B"/>
    <w:rsid w:val="36243C2B"/>
    <w:rsid w:val="36475152"/>
    <w:rsid w:val="365674EF"/>
    <w:rsid w:val="365E4D3E"/>
    <w:rsid w:val="366E5884"/>
    <w:rsid w:val="367134DE"/>
    <w:rsid w:val="36787E34"/>
    <w:rsid w:val="3692435D"/>
    <w:rsid w:val="36FC06E4"/>
    <w:rsid w:val="370B0055"/>
    <w:rsid w:val="374976F8"/>
    <w:rsid w:val="37533A9C"/>
    <w:rsid w:val="37821544"/>
    <w:rsid w:val="3787676D"/>
    <w:rsid w:val="37953793"/>
    <w:rsid w:val="37A53093"/>
    <w:rsid w:val="37E702EC"/>
    <w:rsid w:val="37EF22FA"/>
    <w:rsid w:val="38287D7A"/>
    <w:rsid w:val="38720FCE"/>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7FC5D9"/>
    <w:rsid w:val="3B970D6B"/>
    <w:rsid w:val="3BD32F33"/>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06BBC"/>
    <w:rsid w:val="3CE437F4"/>
    <w:rsid w:val="3D386985"/>
    <w:rsid w:val="3D3906B1"/>
    <w:rsid w:val="3D584E9B"/>
    <w:rsid w:val="3D6A3A3E"/>
    <w:rsid w:val="3D880E45"/>
    <w:rsid w:val="3D9C69C1"/>
    <w:rsid w:val="3DA0424A"/>
    <w:rsid w:val="3DA419D7"/>
    <w:rsid w:val="3DDA6370"/>
    <w:rsid w:val="3DDD2C1B"/>
    <w:rsid w:val="3DFF5060"/>
    <w:rsid w:val="3E136870"/>
    <w:rsid w:val="3E5B4089"/>
    <w:rsid w:val="3E5D5F3B"/>
    <w:rsid w:val="3E615282"/>
    <w:rsid w:val="3E8429B9"/>
    <w:rsid w:val="3E886F46"/>
    <w:rsid w:val="3EBE7D18"/>
    <w:rsid w:val="3EBFF4F7"/>
    <w:rsid w:val="3ECC547A"/>
    <w:rsid w:val="3EE01AD6"/>
    <w:rsid w:val="3F1A1718"/>
    <w:rsid w:val="3F4E5041"/>
    <w:rsid w:val="3F506818"/>
    <w:rsid w:val="3FBA14BF"/>
    <w:rsid w:val="3FE36C1C"/>
    <w:rsid w:val="3FEB19D5"/>
    <w:rsid w:val="3FF15ABF"/>
    <w:rsid w:val="3FFDF75C"/>
    <w:rsid w:val="3FFF5D97"/>
    <w:rsid w:val="40340044"/>
    <w:rsid w:val="40661E5E"/>
    <w:rsid w:val="406E45AD"/>
    <w:rsid w:val="407C0CAD"/>
    <w:rsid w:val="40924D64"/>
    <w:rsid w:val="40963A57"/>
    <w:rsid w:val="40C22B7E"/>
    <w:rsid w:val="40D16C5D"/>
    <w:rsid w:val="410A3110"/>
    <w:rsid w:val="41310CA2"/>
    <w:rsid w:val="417E2272"/>
    <w:rsid w:val="41893506"/>
    <w:rsid w:val="41957B4C"/>
    <w:rsid w:val="419915A4"/>
    <w:rsid w:val="41A63555"/>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010021"/>
    <w:rsid w:val="452905F3"/>
    <w:rsid w:val="4531085A"/>
    <w:rsid w:val="4567157B"/>
    <w:rsid w:val="456A35B3"/>
    <w:rsid w:val="45A45439"/>
    <w:rsid w:val="45CA7348"/>
    <w:rsid w:val="45CB72CE"/>
    <w:rsid w:val="45EA6B98"/>
    <w:rsid w:val="460F09FA"/>
    <w:rsid w:val="4618400B"/>
    <w:rsid w:val="461F4864"/>
    <w:rsid w:val="462B6DAB"/>
    <w:rsid w:val="46977D08"/>
    <w:rsid w:val="469B5592"/>
    <w:rsid w:val="46A5400A"/>
    <w:rsid w:val="46C67C71"/>
    <w:rsid w:val="46DB6342"/>
    <w:rsid w:val="46E13873"/>
    <w:rsid w:val="46E76BE4"/>
    <w:rsid w:val="46F207EA"/>
    <w:rsid w:val="46F40267"/>
    <w:rsid w:val="46F87058"/>
    <w:rsid w:val="47283388"/>
    <w:rsid w:val="4750618B"/>
    <w:rsid w:val="477A20CD"/>
    <w:rsid w:val="47C35102"/>
    <w:rsid w:val="47C56896"/>
    <w:rsid w:val="47C90408"/>
    <w:rsid w:val="47CA3491"/>
    <w:rsid w:val="47DE0285"/>
    <w:rsid w:val="47EA0372"/>
    <w:rsid w:val="47F77566"/>
    <w:rsid w:val="47FFC0BB"/>
    <w:rsid w:val="480046AE"/>
    <w:rsid w:val="48131737"/>
    <w:rsid w:val="481C1F20"/>
    <w:rsid w:val="482932B2"/>
    <w:rsid w:val="48353471"/>
    <w:rsid w:val="48452D6C"/>
    <w:rsid w:val="48490177"/>
    <w:rsid w:val="48734131"/>
    <w:rsid w:val="487D41D8"/>
    <w:rsid w:val="48801F0A"/>
    <w:rsid w:val="489C4879"/>
    <w:rsid w:val="489C7EA5"/>
    <w:rsid w:val="49276E58"/>
    <w:rsid w:val="494B4338"/>
    <w:rsid w:val="497C5511"/>
    <w:rsid w:val="49B65DC9"/>
    <w:rsid w:val="49DA170B"/>
    <w:rsid w:val="4A131AB1"/>
    <w:rsid w:val="4A34760C"/>
    <w:rsid w:val="4A64259A"/>
    <w:rsid w:val="4AA4128B"/>
    <w:rsid w:val="4AAA7028"/>
    <w:rsid w:val="4AD50D4A"/>
    <w:rsid w:val="4ADC75C4"/>
    <w:rsid w:val="4B2977E3"/>
    <w:rsid w:val="4B3A3263"/>
    <w:rsid w:val="4B404F96"/>
    <w:rsid w:val="4B5F395F"/>
    <w:rsid w:val="4BB73A13"/>
    <w:rsid w:val="4BB7713E"/>
    <w:rsid w:val="4BE22955"/>
    <w:rsid w:val="4C1415FC"/>
    <w:rsid w:val="4C2A043E"/>
    <w:rsid w:val="4C491FB6"/>
    <w:rsid w:val="4C60411D"/>
    <w:rsid w:val="4C9743B6"/>
    <w:rsid w:val="4CA56DBD"/>
    <w:rsid w:val="4CCD70EB"/>
    <w:rsid w:val="4CD15334"/>
    <w:rsid w:val="4CDC2AC2"/>
    <w:rsid w:val="4CEF194A"/>
    <w:rsid w:val="4D123D13"/>
    <w:rsid w:val="4D222417"/>
    <w:rsid w:val="4D4473CA"/>
    <w:rsid w:val="4D57F067"/>
    <w:rsid w:val="4D594184"/>
    <w:rsid w:val="4D670A85"/>
    <w:rsid w:val="4D80617B"/>
    <w:rsid w:val="4D806473"/>
    <w:rsid w:val="4DB87F6B"/>
    <w:rsid w:val="4DBE0333"/>
    <w:rsid w:val="4DC608A6"/>
    <w:rsid w:val="4DF85FC0"/>
    <w:rsid w:val="4E1074C8"/>
    <w:rsid w:val="4E2B1D2E"/>
    <w:rsid w:val="4E527CB0"/>
    <w:rsid w:val="4E5447FD"/>
    <w:rsid w:val="4E6F1EF6"/>
    <w:rsid w:val="4E7B029B"/>
    <w:rsid w:val="4E9C2A45"/>
    <w:rsid w:val="4EB37374"/>
    <w:rsid w:val="4EC9591C"/>
    <w:rsid w:val="4ECB07EA"/>
    <w:rsid w:val="4EDA18B9"/>
    <w:rsid w:val="4F216F20"/>
    <w:rsid w:val="4F573543"/>
    <w:rsid w:val="4F6D467A"/>
    <w:rsid w:val="4F7A3E56"/>
    <w:rsid w:val="4FC56CE5"/>
    <w:rsid w:val="4FED507D"/>
    <w:rsid w:val="4FFB62E9"/>
    <w:rsid w:val="501C4E89"/>
    <w:rsid w:val="502B325D"/>
    <w:rsid w:val="50355CCB"/>
    <w:rsid w:val="505D795E"/>
    <w:rsid w:val="50630959"/>
    <w:rsid w:val="50DD3BA3"/>
    <w:rsid w:val="50E61CAB"/>
    <w:rsid w:val="50E8074E"/>
    <w:rsid w:val="5132754D"/>
    <w:rsid w:val="513564CC"/>
    <w:rsid w:val="514E3A09"/>
    <w:rsid w:val="517C3AF1"/>
    <w:rsid w:val="51915B3D"/>
    <w:rsid w:val="519F5121"/>
    <w:rsid w:val="51CA2B0A"/>
    <w:rsid w:val="51FBAC41"/>
    <w:rsid w:val="5229273F"/>
    <w:rsid w:val="52547228"/>
    <w:rsid w:val="529432E6"/>
    <w:rsid w:val="52A8026E"/>
    <w:rsid w:val="52EC7710"/>
    <w:rsid w:val="532C197B"/>
    <w:rsid w:val="534C6115"/>
    <w:rsid w:val="53561F88"/>
    <w:rsid w:val="536B5C40"/>
    <w:rsid w:val="537E0A5E"/>
    <w:rsid w:val="53BC34C4"/>
    <w:rsid w:val="53CE29B7"/>
    <w:rsid w:val="53D06AC4"/>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95BEC"/>
    <w:rsid w:val="555B4C1C"/>
    <w:rsid w:val="55665E4B"/>
    <w:rsid w:val="557564F8"/>
    <w:rsid w:val="557C6AE7"/>
    <w:rsid w:val="55A0704C"/>
    <w:rsid w:val="55A923B9"/>
    <w:rsid w:val="55B5BE1A"/>
    <w:rsid w:val="55B94D08"/>
    <w:rsid w:val="55D37E92"/>
    <w:rsid w:val="55DD38ED"/>
    <w:rsid w:val="55E72D6A"/>
    <w:rsid w:val="561A3EA2"/>
    <w:rsid w:val="56434C8D"/>
    <w:rsid w:val="567F3C65"/>
    <w:rsid w:val="568A68D9"/>
    <w:rsid w:val="56A438D4"/>
    <w:rsid w:val="56BA5C7F"/>
    <w:rsid w:val="56D50ABF"/>
    <w:rsid w:val="56EA1F97"/>
    <w:rsid w:val="56F47DAB"/>
    <w:rsid w:val="570F0FFB"/>
    <w:rsid w:val="574E065D"/>
    <w:rsid w:val="575B7C13"/>
    <w:rsid w:val="576E7E03"/>
    <w:rsid w:val="578A5B09"/>
    <w:rsid w:val="57AA49F3"/>
    <w:rsid w:val="57AA5D1A"/>
    <w:rsid w:val="57BE32DB"/>
    <w:rsid w:val="57D631F8"/>
    <w:rsid w:val="57E43D53"/>
    <w:rsid w:val="58082218"/>
    <w:rsid w:val="581028EA"/>
    <w:rsid w:val="58321523"/>
    <w:rsid w:val="58344161"/>
    <w:rsid w:val="585D0DF7"/>
    <w:rsid w:val="587316C8"/>
    <w:rsid w:val="58AD641D"/>
    <w:rsid w:val="58B420E4"/>
    <w:rsid w:val="58F92391"/>
    <w:rsid w:val="59135C67"/>
    <w:rsid w:val="593C1329"/>
    <w:rsid w:val="593C32E2"/>
    <w:rsid w:val="595A34E9"/>
    <w:rsid w:val="595B7937"/>
    <w:rsid w:val="597C7365"/>
    <w:rsid w:val="597F7369"/>
    <w:rsid w:val="59997155"/>
    <w:rsid w:val="59A2414B"/>
    <w:rsid w:val="59BF20DA"/>
    <w:rsid w:val="59FE08FA"/>
    <w:rsid w:val="5A060D86"/>
    <w:rsid w:val="5A886394"/>
    <w:rsid w:val="5A9F6060"/>
    <w:rsid w:val="5ACF7403"/>
    <w:rsid w:val="5AFA5A75"/>
    <w:rsid w:val="5B46719F"/>
    <w:rsid w:val="5B737DCF"/>
    <w:rsid w:val="5B842E95"/>
    <w:rsid w:val="5BA42A14"/>
    <w:rsid w:val="5BB47CCC"/>
    <w:rsid w:val="5BD05B9D"/>
    <w:rsid w:val="5BD343E6"/>
    <w:rsid w:val="5BE00F61"/>
    <w:rsid w:val="5BFB5206"/>
    <w:rsid w:val="5BFEA3ED"/>
    <w:rsid w:val="5C867601"/>
    <w:rsid w:val="5CA92663"/>
    <w:rsid w:val="5CB65A64"/>
    <w:rsid w:val="5CD26BB3"/>
    <w:rsid w:val="5CEB063E"/>
    <w:rsid w:val="5D0B0214"/>
    <w:rsid w:val="5D1A0A42"/>
    <w:rsid w:val="5D4F1710"/>
    <w:rsid w:val="5D71045F"/>
    <w:rsid w:val="5D740167"/>
    <w:rsid w:val="5D7B7702"/>
    <w:rsid w:val="5DA55EAC"/>
    <w:rsid w:val="5DABAADD"/>
    <w:rsid w:val="5DAC626B"/>
    <w:rsid w:val="5DC133FE"/>
    <w:rsid w:val="5E146811"/>
    <w:rsid w:val="5E3F1ED0"/>
    <w:rsid w:val="5E4A015A"/>
    <w:rsid w:val="5E4D34A0"/>
    <w:rsid w:val="5E4E1E2F"/>
    <w:rsid w:val="5E7E280E"/>
    <w:rsid w:val="5EA343F9"/>
    <w:rsid w:val="5EF37FFE"/>
    <w:rsid w:val="5F164D5E"/>
    <w:rsid w:val="5F2D2E3D"/>
    <w:rsid w:val="5F4203B1"/>
    <w:rsid w:val="5F511649"/>
    <w:rsid w:val="5F741C71"/>
    <w:rsid w:val="5F884475"/>
    <w:rsid w:val="5F940261"/>
    <w:rsid w:val="5FAC17B4"/>
    <w:rsid w:val="5FBE713C"/>
    <w:rsid w:val="5FD2601A"/>
    <w:rsid w:val="5FDA399F"/>
    <w:rsid w:val="5FE3B6C5"/>
    <w:rsid w:val="5FFA79ED"/>
    <w:rsid w:val="5FFC6E1A"/>
    <w:rsid w:val="60350249"/>
    <w:rsid w:val="606D0EF6"/>
    <w:rsid w:val="6071745F"/>
    <w:rsid w:val="60806A99"/>
    <w:rsid w:val="60B442A8"/>
    <w:rsid w:val="60FD7810"/>
    <w:rsid w:val="61013040"/>
    <w:rsid w:val="610E310A"/>
    <w:rsid w:val="611C35B8"/>
    <w:rsid w:val="611D1C0E"/>
    <w:rsid w:val="61A25580"/>
    <w:rsid w:val="61AE7556"/>
    <w:rsid w:val="61C55F7F"/>
    <w:rsid w:val="61CA3612"/>
    <w:rsid w:val="61D41854"/>
    <w:rsid w:val="61E57F97"/>
    <w:rsid w:val="61F46458"/>
    <w:rsid w:val="62282B27"/>
    <w:rsid w:val="625A6442"/>
    <w:rsid w:val="62C31135"/>
    <w:rsid w:val="62C61C59"/>
    <w:rsid w:val="62C76106"/>
    <w:rsid w:val="62CC474C"/>
    <w:rsid w:val="62EC1213"/>
    <w:rsid w:val="6301219A"/>
    <w:rsid w:val="637B0B27"/>
    <w:rsid w:val="63874046"/>
    <w:rsid w:val="638B4892"/>
    <w:rsid w:val="63BB45AD"/>
    <w:rsid w:val="63C73E6D"/>
    <w:rsid w:val="63CE5D8F"/>
    <w:rsid w:val="63DD4529"/>
    <w:rsid w:val="63FC0611"/>
    <w:rsid w:val="64010633"/>
    <w:rsid w:val="641222ED"/>
    <w:rsid w:val="642B5582"/>
    <w:rsid w:val="644878A5"/>
    <w:rsid w:val="64516BFF"/>
    <w:rsid w:val="64643953"/>
    <w:rsid w:val="64963CFA"/>
    <w:rsid w:val="64B31A3E"/>
    <w:rsid w:val="64BB7086"/>
    <w:rsid w:val="64DF720B"/>
    <w:rsid w:val="64FB2F8F"/>
    <w:rsid w:val="6502750F"/>
    <w:rsid w:val="653762AD"/>
    <w:rsid w:val="655769D7"/>
    <w:rsid w:val="65643453"/>
    <w:rsid w:val="658C66C4"/>
    <w:rsid w:val="65AB66C0"/>
    <w:rsid w:val="65B76CC0"/>
    <w:rsid w:val="65C86337"/>
    <w:rsid w:val="65DC6542"/>
    <w:rsid w:val="65FE3124"/>
    <w:rsid w:val="66475BEE"/>
    <w:rsid w:val="66894914"/>
    <w:rsid w:val="66921396"/>
    <w:rsid w:val="669A00A1"/>
    <w:rsid w:val="669A0A1D"/>
    <w:rsid w:val="66C77EC3"/>
    <w:rsid w:val="66CD32EE"/>
    <w:rsid w:val="66EF31C1"/>
    <w:rsid w:val="6712481A"/>
    <w:rsid w:val="67286643"/>
    <w:rsid w:val="67340A1D"/>
    <w:rsid w:val="67415D12"/>
    <w:rsid w:val="67645CC5"/>
    <w:rsid w:val="6776325E"/>
    <w:rsid w:val="679D0438"/>
    <w:rsid w:val="679F14A6"/>
    <w:rsid w:val="67A7594A"/>
    <w:rsid w:val="67F71CAA"/>
    <w:rsid w:val="6833136E"/>
    <w:rsid w:val="68374646"/>
    <w:rsid w:val="6851003F"/>
    <w:rsid w:val="68532F31"/>
    <w:rsid w:val="685F2B0C"/>
    <w:rsid w:val="686A5890"/>
    <w:rsid w:val="686E4CA0"/>
    <w:rsid w:val="6870598D"/>
    <w:rsid w:val="688C24A9"/>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E133DF"/>
    <w:rsid w:val="69E31534"/>
    <w:rsid w:val="69F431E5"/>
    <w:rsid w:val="69FB05D9"/>
    <w:rsid w:val="6A1A0FB2"/>
    <w:rsid w:val="6A21429B"/>
    <w:rsid w:val="6A317FEC"/>
    <w:rsid w:val="6A395739"/>
    <w:rsid w:val="6A50232E"/>
    <w:rsid w:val="6A5D1615"/>
    <w:rsid w:val="6A667351"/>
    <w:rsid w:val="6A690452"/>
    <w:rsid w:val="6AC86B5F"/>
    <w:rsid w:val="6AD5470C"/>
    <w:rsid w:val="6AF1512E"/>
    <w:rsid w:val="6B372870"/>
    <w:rsid w:val="6B4C78DC"/>
    <w:rsid w:val="6B6D4BD4"/>
    <w:rsid w:val="6B736C65"/>
    <w:rsid w:val="6B884223"/>
    <w:rsid w:val="6BCC6A33"/>
    <w:rsid w:val="6BE94680"/>
    <w:rsid w:val="6C1648A2"/>
    <w:rsid w:val="6C2B5B56"/>
    <w:rsid w:val="6C405A24"/>
    <w:rsid w:val="6C4C1DDE"/>
    <w:rsid w:val="6C7360A2"/>
    <w:rsid w:val="6C785344"/>
    <w:rsid w:val="6C98271E"/>
    <w:rsid w:val="6CB357D4"/>
    <w:rsid w:val="6CD6095A"/>
    <w:rsid w:val="6CDD06CC"/>
    <w:rsid w:val="6D09664F"/>
    <w:rsid w:val="6D1A3ED2"/>
    <w:rsid w:val="6D1C5D45"/>
    <w:rsid w:val="6D2052F1"/>
    <w:rsid w:val="6D2A1AE4"/>
    <w:rsid w:val="6D2C0363"/>
    <w:rsid w:val="6D420584"/>
    <w:rsid w:val="6D4556BC"/>
    <w:rsid w:val="6D7C6B86"/>
    <w:rsid w:val="6D886D51"/>
    <w:rsid w:val="6D916F74"/>
    <w:rsid w:val="6D98425A"/>
    <w:rsid w:val="6D9C4CB2"/>
    <w:rsid w:val="6DAC52D8"/>
    <w:rsid w:val="6DCC4C0D"/>
    <w:rsid w:val="6DE52F24"/>
    <w:rsid w:val="6E0D5193"/>
    <w:rsid w:val="6E2B38B7"/>
    <w:rsid w:val="6E42100A"/>
    <w:rsid w:val="6E4341AC"/>
    <w:rsid w:val="6E6C4A2A"/>
    <w:rsid w:val="6E7654EE"/>
    <w:rsid w:val="6E7C77A9"/>
    <w:rsid w:val="6E9D5BDB"/>
    <w:rsid w:val="6ED422FF"/>
    <w:rsid w:val="6F436F8F"/>
    <w:rsid w:val="6F4D5562"/>
    <w:rsid w:val="6F663712"/>
    <w:rsid w:val="6F6D69E8"/>
    <w:rsid w:val="6F8B29B5"/>
    <w:rsid w:val="6F9B0752"/>
    <w:rsid w:val="6FD156E3"/>
    <w:rsid w:val="6FED75FB"/>
    <w:rsid w:val="6FF22729"/>
    <w:rsid w:val="70041560"/>
    <w:rsid w:val="703467FC"/>
    <w:rsid w:val="7040732E"/>
    <w:rsid w:val="70572EC7"/>
    <w:rsid w:val="7086364B"/>
    <w:rsid w:val="70A42103"/>
    <w:rsid w:val="710B27AB"/>
    <w:rsid w:val="712C6F85"/>
    <w:rsid w:val="71320E55"/>
    <w:rsid w:val="71321C7C"/>
    <w:rsid w:val="71340B64"/>
    <w:rsid w:val="713D7CA6"/>
    <w:rsid w:val="714D7437"/>
    <w:rsid w:val="715069EC"/>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BD631B"/>
    <w:rsid w:val="73C761B5"/>
    <w:rsid w:val="73C97C37"/>
    <w:rsid w:val="73D872D7"/>
    <w:rsid w:val="73FA14E3"/>
    <w:rsid w:val="740A7F35"/>
    <w:rsid w:val="742D4CA1"/>
    <w:rsid w:val="74336AF3"/>
    <w:rsid w:val="74411194"/>
    <w:rsid w:val="74613585"/>
    <w:rsid w:val="747D3462"/>
    <w:rsid w:val="74812030"/>
    <w:rsid w:val="74886161"/>
    <w:rsid w:val="74A039B1"/>
    <w:rsid w:val="74C01A4B"/>
    <w:rsid w:val="74E66F49"/>
    <w:rsid w:val="74EB245C"/>
    <w:rsid w:val="74FE7F7B"/>
    <w:rsid w:val="753C15BB"/>
    <w:rsid w:val="75427CB2"/>
    <w:rsid w:val="75585493"/>
    <w:rsid w:val="755E6626"/>
    <w:rsid w:val="75697399"/>
    <w:rsid w:val="75841DF5"/>
    <w:rsid w:val="758C4CA2"/>
    <w:rsid w:val="75CB1C36"/>
    <w:rsid w:val="75D40046"/>
    <w:rsid w:val="75D96E3B"/>
    <w:rsid w:val="762F29E5"/>
    <w:rsid w:val="764374F1"/>
    <w:rsid w:val="76944E76"/>
    <w:rsid w:val="769A26CA"/>
    <w:rsid w:val="76C34928"/>
    <w:rsid w:val="76D17FE1"/>
    <w:rsid w:val="76DF15B8"/>
    <w:rsid w:val="76FB601C"/>
    <w:rsid w:val="76FB684D"/>
    <w:rsid w:val="7708778F"/>
    <w:rsid w:val="770B7BD2"/>
    <w:rsid w:val="778364BE"/>
    <w:rsid w:val="7799548D"/>
    <w:rsid w:val="77BDAABB"/>
    <w:rsid w:val="77ED1FBE"/>
    <w:rsid w:val="77FC1658"/>
    <w:rsid w:val="787764A6"/>
    <w:rsid w:val="78867CFB"/>
    <w:rsid w:val="78AE1EE3"/>
    <w:rsid w:val="78D06FA5"/>
    <w:rsid w:val="78F044C0"/>
    <w:rsid w:val="78F36D80"/>
    <w:rsid w:val="792132B2"/>
    <w:rsid w:val="793D3D59"/>
    <w:rsid w:val="795F47C4"/>
    <w:rsid w:val="795F4B87"/>
    <w:rsid w:val="7964594B"/>
    <w:rsid w:val="799447B2"/>
    <w:rsid w:val="79993DEC"/>
    <w:rsid w:val="79CD1CC3"/>
    <w:rsid w:val="79D33A4B"/>
    <w:rsid w:val="79E02F00"/>
    <w:rsid w:val="79EA1578"/>
    <w:rsid w:val="79F9227E"/>
    <w:rsid w:val="79FEAABE"/>
    <w:rsid w:val="7A03141B"/>
    <w:rsid w:val="7A2F68CB"/>
    <w:rsid w:val="7A532F6D"/>
    <w:rsid w:val="7A75CD12"/>
    <w:rsid w:val="7A855D33"/>
    <w:rsid w:val="7A92077E"/>
    <w:rsid w:val="7A9E603E"/>
    <w:rsid w:val="7AA163B3"/>
    <w:rsid w:val="7AA7708F"/>
    <w:rsid w:val="7AB01F3D"/>
    <w:rsid w:val="7AB7180C"/>
    <w:rsid w:val="7ACE4950"/>
    <w:rsid w:val="7ADB04CF"/>
    <w:rsid w:val="7ADD1DF2"/>
    <w:rsid w:val="7AFE0D18"/>
    <w:rsid w:val="7B2A08CC"/>
    <w:rsid w:val="7B4B5341"/>
    <w:rsid w:val="7B5B1A0B"/>
    <w:rsid w:val="7B670FE8"/>
    <w:rsid w:val="7B70050C"/>
    <w:rsid w:val="7B7E8850"/>
    <w:rsid w:val="7B856E03"/>
    <w:rsid w:val="7BA750AC"/>
    <w:rsid w:val="7BB31608"/>
    <w:rsid w:val="7BD95DD9"/>
    <w:rsid w:val="7BDF3D33"/>
    <w:rsid w:val="7BE50BC8"/>
    <w:rsid w:val="7BF9716D"/>
    <w:rsid w:val="7BF9B3DA"/>
    <w:rsid w:val="7BFB5D98"/>
    <w:rsid w:val="7C077508"/>
    <w:rsid w:val="7C1F4334"/>
    <w:rsid w:val="7C3F8FD6"/>
    <w:rsid w:val="7C42078B"/>
    <w:rsid w:val="7C4D1893"/>
    <w:rsid w:val="7C5713BA"/>
    <w:rsid w:val="7C695398"/>
    <w:rsid w:val="7C6D2C5C"/>
    <w:rsid w:val="7C867073"/>
    <w:rsid w:val="7C8D2D58"/>
    <w:rsid w:val="7CA503F5"/>
    <w:rsid w:val="7CB302CB"/>
    <w:rsid w:val="7CCA1F6A"/>
    <w:rsid w:val="7CDB4B98"/>
    <w:rsid w:val="7CF71EBB"/>
    <w:rsid w:val="7D1948FD"/>
    <w:rsid w:val="7D2C6F9F"/>
    <w:rsid w:val="7D543264"/>
    <w:rsid w:val="7D6D7156"/>
    <w:rsid w:val="7D7115AD"/>
    <w:rsid w:val="7D7F6894"/>
    <w:rsid w:val="7DAE4568"/>
    <w:rsid w:val="7DBA8648"/>
    <w:rsid w:val="7DC85A4E"/>
    <w:rsid w:val="7DF33C8D"/>
    <w:rsid w:val="7DF550BA"/>
    <w:rsid w:val="7DFFC267"/>
    <w:rsid w:val="7E3241C7"/>
    <w:rsid w:val="7E3AE69A"/>
    <w:rsid w:val="7E531FFF"/>
    <w:rsid w:val="7E5E764B"/>
    <w:rsid w:val="7E7F2042"/>
    <w:rsid w:val="7EAF90A2"/>
    <w:rsid w:val="7ECB55B8"/>
    <w:rsid w:val="7EE626A2"/>
    <w:rsid w:val="7EEC63E7"/>
    <w:rsid w:val="7EF54C4F"/>
    <w:rsid w:val="7EFB3937"/>
    <w:rsid w:val="7F020EC4"/>
    <w:rsid w:val="7F381A2F"/>
    <w:rsid w:val="7F3E7DC2"/>
    <w:rsid w:val="7F5957B0"/>
    <w:rsid w:val="7F77BDCB"/>
    <w:rsid w:val="7F8F37DD"/>
    <w:rsid w:val="7F9846AE"/>
    <w:rsid w:val="7F9A7F46"/>
    <w:rsid w:val="7FACF44B"/>
    <w:rsid w:val="7FAD0277"/>
    <w:rsid w:val="7FBD28C5"/>
    <w:rsid w:val="7FC50214"/>
    <w:rsid w:val="7FEF71EF"/>
    <w:rsid w:val="7FF9D1CB"/>
    <w:rsid w:val="7FFB57DE"/>
    <w:rsid w:val="7FFEEDB4"/>
    <w:rsid w:val="99F6C46F"/>
    <w:rsid w:val="9E7A5889"/>
    <w:rsid w:val="AFBD4045"/>
    <w:rsid w:val="B8E73464"/>
    <w:rsid w:val="B9AE7902"/>
    <w:rsid w:val="BD78D80B"/>
    <w:rsid w:val="BDFD4B1D"/>
    <w:rsid w:val="BE7F7794"/>
    <w:rsid w:val="BEF53AA3"/>
    <w:rsid w:val="C7FE108A"/>
    <w:rsid w:val="CFBFEE3A"/>
    <w:rsid w:val="D1E780A8"/>
    <w:rsid w:val="D77A87D7"/>
    <w:rsid w:val="D9FE8FBC"/>
    <w:rsid w:val="DEDF59BB"/>
    <w:rsid w:val="DF77A672"/>
    <w:rsid w:val="DFBF1E9B"/>
    <w:rsid w:val="DFEF54E6"/>
    <w:rsid w:val="E7FEC068"/>
    <w:rsid w:val="EE7F18DB"/>
    <w:rsid w:val="EF7FF18F"/>
    <w:rsid w:val="F5B9588F"/>
    <w:rsid w:val="F6D739D1"/>
    <w:rsid w:val="F7AFEDDB"/>
    <w:rsid w:val="F7FA5158"/>
    <w:rsid w:val="F9F73321"/>
    <w:rsid w:val="FBCF0AAE"/>
    <w:rsid w:val="FBD7E7A7"/>
    <w:rsid w:val="FBDD23F7"/>
    <w:rsid w:val="FBEFDC44"/>
    <w:rsid w:val="FBFF71EA"/>
    <w:rsid w:val="FD7BC45A"/>
    <w:rsid w:val="FDDA2109"/>
    <w:rsid w:val="FDED5E0B"/>
    <w:rsid w:val="FE658343"/>
    <w:rsid w:val="FEFDACBB"/>
    <w:rsid w:val="FF3D7C04"/>
    <w:rsid w:val="FF6F15A7"/>
    <w:rsid w:val="FF77F8FD"/>
    <w:rsid w:val="FFCB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书正文"/>
    <w:basedOn w:val="1"/>
    <w:qFormat/>
    <w:uiPriority w:val="0"/>
    <w:pPr>
      <w:suppressAutoHyphens/>
      <w:autoSpaceDE w:val="0"/>
      <w:autoSpaceDN w:val="0"/>
      <w:adjustRightInd w:val="0"/>
      <w:snapToGrid w:val="0"/>
    </w:pPr>
    <w:rPr>
      <w:rFonts w:hAnsi="Times New Roman"/>
      <w:szCs w:val="24"/>
    </w:r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10"/>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_Style 2"/>
    <w:next w:val="1"/>
    <w:qFormat/>
    <w:uiPriority w:val="99"/>
    <w:pPr>
      <w:adjustRightInd w:val="0"/>
      <w:snapToGrid w:val="0"/>
    </w:pPr>
    <w:rPr>
      <w:rFonts w:ascii="Tahoma" w:hAnsi="Tahoma" w:eastAsia="微软雅黑" w:cs="Tahoma"/>
      <w:sz w:val="22"/>
      <w:szCs w:val="22"/>
      <w:lang w:val="en-US" w:eastAsia="zh-CN" w:bidi="ar-SA"/>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21"/>
    <w:basedOn w:val="22"/>
    <w:qFormat/>
    <w:uiPriority w:val="0"/>
    <w:rPr>
      <w:rFonts w:hint="default" w:ascii="Arial" w:hAnsi="Arial" w:cs="Arial"/>
      <w:color w:val="000000"/>
      <w:sz w:val="20"/>
      <w:szCs w:val="20"/>
      <w:u w:val="none"/>
    </w:rPr>
  </w:style>
  <w:style w:type="character" w:customStyle="1" w:styleId="42">
    <w:name w:val="font01"/>
    <w:basedOn w:val="22"/>
    <w:qFormat/>
    <w:uiPriority w:val="0"/>
    <w:rPr>
      <w:rFonts w:hint="eastAsia" w:ascii="宋体" w:hAnsi="宋体" w:eastAsia="宋体" w:cs="宋体"/>
      <w:color w:val="000000"/>
      <w:sz w:val="20"/>
      <w:szCs w:val="20"/>
      <w:u w:val="none"/>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Table Paragraph"/>
    <w:basedOn w:val="1"/>
    <w:qFormat/>
    <w:uiPriority w:val="1"/>
    <w:rPr>
      <w:rFonts w:ascii="宋体" w:hAnsi="宋体" w:cs="宋体"/>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Char"/>
    <w:basedOn w:val="22"/>
    <w:link w:val="13"/>
    <w:qFormat/>
    <w:uiPriority w:val="0"/>
    <w:rPr>
      <w:kern w:val="2"/>
      <w:sz w:val="18"/>
      <w:szCs w:val="18"/>
    </w:rPr>
  </w:style>
  <w:style w:type="paragraph" w:customStyle="1" w:styleId="49">
    <w:name w:val="英文"/>
    <w:basedOn w:val="1"/>
    <w:link w:val="51"/>
    <w:qFormat/>
    <w:uiPriority w:val="0"/>
    <w:pPr>
      <w:adjustRightInd w:val="0"/>
      <w:snapToGrid w:val="0"/>
      <w:spacing w:line="360" w:lineRule="auto"/>
      <w:ind w:firstLine="480" w:firstLineChars="200"/>
    </w:pPr>
    <w:rPr>
      <w:rFonts w:ascii="Arial" w:hAnsi="Arial" w:cs="Arial"/>
      <w:sz w:val="24"/>
    </w:rPr>
  </w:style>
  <w:style w:type="paragraph" w:customStyle="1" w:styleId="5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1">
    <w:name w:val="英文 Char"/>
    <w:link w:val="49"/>
    <w:qFormat/>
    <w:uiPriority w:val="0"/>
    <w:rPr>
      <w:rFonts w:ascii="Arial" w:hAnsi="Arial" w:cs="Arial"/>
      <w:sz w:val="24"/>
    </w:rPr>
  </w:style>
  <w:style w:type="paragraph" w:customStyle="1" w:styleId="5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3">
    <w:name w:val="font41"/>
    <w:basedOn w:val="22"/>
    <w:qFormat/>
    <w:uiPriority w:val="0"/>
    <w:rPr>
      <w:rFonts w:hint="default" w:ascii="仿宋_GB2312" w:eastAsia="仿宋_GB2312" w:cs="仿宋_GB2312"/>
      <w:color w:val="000000"/>
      <w:sz w:val="24"/>
      <w:szCs w:val="24"/>
      <w:u w:val="none"/>
    </w:rPr>
  </w:style>
  <w:style w:type="character" w:customStyle="1" w:styleId="54">
    <w:name w:val="font11"/>
    <w:basedOn w:val="22"/>
    <w:qFormat/>
    <w:uiPriority w:val="0"/>
    <w:rPr>
      <w:rFonts w:hint="eastAsia" w:ascii="宋体" w:hAnsi="宋体" w:eastAsia="宋体" w:cs="宋体"/>
      <w:color w:val="000000"/>
      <w:sz w:val="22"/>
      <w:szCs w:val="22"/>
      <w:u w:val="none"/>
    </w:rPr>
  </w:style>
  <w:style w:type="paragraph" w:customStyle="1" w:styleId="55">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24825</Words>
  <Characters>27007</Characters>
  <Lines>154</Lines>
  <Paragraphs>43</Paragraphs>
  <TotalTime>2</TotalTime>
  <ScaleCrop>false</ScaleCrop>
  <LinksUpToDate>false</LinksUpToDate>
  <CharactersWithSpaces>27850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2021-02-12T01:06:00Z</dcterms:created>
  <dc:creator>Thorpe521</dc:creator>
  <cp:lastModifiedBy>阿拉丁</cp:lastModifiedBy>
  <dcterms:modified xsi:type="dcterms:W3CDTF">2022-08-17T02:39:13Z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EA4A0E49513944B4AD60CAF286B291CA</vt:lpwstr>
  </property>
</Properties>
</file>