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 w:val="left" w:pos="904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kern w:val="0"/>
          <w:sz w:val="32"/>
          <w:lang w:val="en-US" w:eastAsia="zh-CN"/>
        </w:rPr>
        <w:t>TZCG-2022-G</w:t>
      </w:r>
      <w:r>
        <w:rPr>
          <w:rFonts w:hint="eastAsia" w:ascii="宋体"/>
          <w:b/>
          <w:color w:val="auto"/>
          <w:kern w:val="0"/>
          <w:sz w:val="32"/>
          <w:lang w:val="en-US" w:eastAsia="zh-CN"/>
        </w:rPr>
        <w:t>K006</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center"/>
        <w:rPr>
          <w:rFonts w:ascii="宋体"/>
          <w:kern w:val="0"/>
          <w:sz w:val="28"/>
        </w:rPr>
      </w:pPr>
    </w:p>
    <w:p>
      <w:pPr>
        <w:autoSpaceDE w:val="0"/>
        <w:autoSpaceDN w:val="0"/>
        <w:adjustRightInd w:val="0"/>
        <w:spacing w:line="360" w:lineRule="auto"/>
        <w:ind w:left="0" w:leftChars="0" w:firstLine="0" w:firstLineChars="0"/>
        <w:jc w:val="center"/>
        <w:rPr>
          <w:rFonts w:hint="default" w:ascii="宋体" w:eastAsia="宋体"/>
          <w:kern w:val="0"/>
          <w:sz w:val="28"/>
          <w:lang w:val="en-US" w:eastAsia="zh-CN"/>
        </w:rPr>
      </w:pPr>
      <w:r>
        <w:rPr>
          <w:rFonts w:hint="eastAsia" w:ascii="宋体"/>
          <w:kern w:val="0"/>
          <w:sz w:val="28"/>
        </w:rPr>
        <w:t>采购项目：</w:t>
      </w:r>
      <w:r>
        <w:rPr>
          <w:rFonts w:hint="eastAsia" w:ascii="宋体"/>
          <w:kern w:val="0"/>
          <w:sz w:val="28"/>
          <w:lang w:val="en-US" w:eastAsia="zh-CN"/>
        </w:rPr>
        <w:t>LED采购项目</w:t>
      </w:r>
    </w:p>
    <w:p>
      <w:pPr>
        <w:autoSpaceDE w:val="0"/>
        <w:autoSpaceDN w:val="0"/>
        <w:adjustRightInd w:val="0"/>
        <w:spacing w:line="360" w:lineRule="auto"/>
        <w:ind w:left="0" w:leftChars="0" w:firstLine="0" w:firstLineChars="0"/>
        <w:jc w:val="center"/>
        <w:rPr>
          <w:rFonts w:hint="eastAsia" w:ascii="宋体" w:eastAsia="宋体"/>
          <w:kern w:val="0"/>
          <w:sz w:val="28"/>
          <w:lang w:eastAsia="zh-CN"/>
        </w:rPr>
      </w:pPr>
      <w:r>
        <w:rPr>
          <w:rFonts w:hint="eastAsia" w:ascii="宋体"/>
          <w:kern w:val="0"/>
          <w:sz w:val="28"/>
        </w:rPr>
        <w:t>采 购 人：台州市青少年活动中心</w:t>
      </w:r>
      <w:r>
        <w:rPr>
          <w:rFonts w:hint="eastAsia" w:ascii="宋体"/>
          <w:kern w:val="0"/>
          <w:sz w:val="28"/>
          <w:lang w:eastAsia="zh-CN"/>
        </w:rPr>
        <w:t>（</w:t>
      </w:r>
      <w:r>
        <w:rPr>
          <w:rFonts w:hint="eastAsia" w:ascii="宋体"/>
          <w:kern w:val="0"/>
          <w:sz w:val="28"/>
          <w:lang w:val="en-US" w:eastAsia="zh-CN"/>
        </w:rPr>
        <w:t>台州市希望工程与青少年事务中心</w:t>
      </w:r>
      <w:r>
        <w:rPr>
          <w:rFonts w:hint="eastAsia" w:ascii="宋体"/>
          <w:kern w:val="0"/>
          <w:sz w:val="28"/>
          <w:lang w:eastAsia="zh-CN"/>
        </w:rPr>
        <w:t>）</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both"/>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2022</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6</w:t>
      </w:r>
      <w:r>
        <w:rPr>
          <w:rFonts w:hint="eastAsia" w:ascii="宋体" w:hAnsi="宋体" w:cs="宋体"/>
          <w:kern w:val="0"/>
          <w:sz w:val="28"/>
          <w:szCs w:val="28"/>
        </w:rPr>
        <w:t xml:space="preserve"> 月</w:t>
      </w:r>
      <w:r>
        <w:rPr>
          <w:rFonts w:hint="eastAsia" w:ascii="宋体" w:hAnsi="宋体" w:cs="宋体"/>
          <w:color w:val="auto"/>
          <w:kern w:val="0"/>
          <w:sz w:val="28"/>
          <w:szCs w:val="28"/>
        </w:rPr>
        <w:t xml:space="preserve"> </w:t>
      </w:r>
      <w:r>
        <w:rPr>
          <w:rFonts w:hint="eastAsia" w:ascii="宋体" w:hAnsi="宋体" w:cs="宋体"/>
          <w:color w:val="auto"/>
          <w:kern w:val="0"/>
          <w:sz w:val="28"/>
          <w:szCs w:val="28"/>
          <w:lang w:val="en-US" w:eastAsia="zh-CN"/>
        </w:rPr>
        <w:t>1</w:t>
      </w:r>
      <w:r>
        <w:rPr>
          <w:rFonts w:hint="eastAsia" w:ascii="宋体" w:hAnsi="宋体" w:cs="宋体"/>
          <w:color w:val="FF0000"/>
          <w:kern w:val="0"/>
          <w:sz w:val="28"/>
          <w:szCs w:val="28"/>
        </w:rPr>
        <w:t xml:space="preserve"> </w:t>
      </w:r>
      <w:r>
        <w:rPr>
          <w:rFonts w:hint="eastAsia" w:ascii="宋体" w:hAnsi="宋体" w:cs="宋体"/>
          <w:kern w:val="0"/>
          <w:sz w:val="28"/>
          <w:szCs w:val="28"/>
        </w:rPr>
        <w:t>日</w:t>
      </w:r>
    </w:p>
    <w:p>
      <w:pPr>
        <w:spacing w:line="360" w:lineRule="auto"/>
      </w:pPr>
    </w:p>
    <w:p>
      <w:pPr>
        <w:pStyle w:val="18"/>
      </w:pPr>
    </w:p>
    <w:p>
      <w:pPr>
        <w:pStyle w:val="18"/>
      </w:pPr>
    </w:p>
    <w:p>
      <w:pPr>
        <w:pStyle w:val="18"/>
      </w:pPr>
    </w:p>
    <w:p>
      <w:pPr>
        <w:pStyle w:val="18"/>
      </w:pPr>
    </w:p>
    <w:p>
      <w:pPr>
        <w:pStyle w:val="18"/>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both"/>
            <w:rPr>
              <w:rFonts w:ascii="宋体" w:hAnsi="宋体"/>
              <w:kern w:val="0"/>
              <w:sz w:val="28"/>
              <w:szCs w:val="28"/>
            </w:rPr>
          </w:pPr>
          <w:bookmarkStart w:id="0" w:name="_Toc25017_WPSOffice_Type1"/>
        </w:p>
        <w:p>
          <w:pPr>
            <w:pStyle w:val="18"/>
          </w:pPr>
        </w:p>
        <w:p>
          <w:pPr>
            <w:spacing w:line="480" w:lineRule="auto"/>
            <w:jc w:val="center"/>
            <w:rPr>
              <w:rFonts w:hint="eastAsia" w:ascii="宋体" w:hAnsi="宋体"/>
              <w:b/>
              <w:bCs/>
              <w:sz w:val="36"/>
              <w:szCs w:val="36"/>
            </w:rPr>
          </w:pPr>
          <w:r>
            <w:rPr>
              <w:rFonts w:hint="eastAsia" w:ascii="宋体" w:hAnsi="宋体"/>
              <w:b/>
              <w:bCs/>
              <w:sz w:val="36"/>
              <w:szCs w:val="36"/>
            </w:rPr>
            <w:t>目  录</w:t>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hint="eastAsia" w:eastAsiaTheme="minorEastAsia" w:cstheme="minorBidi"/>
              <w:sz w:val="28"/>
              <w:szCs w:val="28"/>
            </w:rPr>
            <w:tab/>
          </w:r>
          <w:bookmarkStart w:id="1" w:name="_Toc4350_WPSOffice_Level1Page"/>
          <w:r>
            <w:rPr>
              <w:rFonts w:hint="eastAsia" w:eastAsiaTheme="minorEastAsia" w:cstheme="minorBidi"/>
              <w:sz w:val="28"/>
              <w:szCs w:val="28"/>
            </w:rPr>
            <w:t>3</w:t>
          </w:r>
          <w:bookmarkEnd w:id="1"/>
          <w:r>
            <w:rPr>
              <w:rFonts w:hint="eastAsia" w:eastAsiaTheme="minorEastAsia" w:cstheme="minorBidi"/>
              <w:sz w:val="28"/>
              <w:szCs w:val="28"/>
            </w:rPr>
            <w:fldChar w:fldCharType="end"/>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5"/>
            <w:tabs>
              <w:tab w:val="right" w:leader="dot" w:pos="8620"/>
            </w:tabs>
            <w:rPr>
              <w:rFonts w:hint="eastAsia" w:eastAsiaTheme="minorEastAsia" w:cstheme="minorBidi"/>
              <w:sz w:val="28"/>
              <w:szCs w:val="28"/>
              <w:lang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hint="eastAsia"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lang w:val="en-US" w:eastAsia="zh-CN"/>
            </w:rPr>
            <w:t>5</w:t>
          </w:r>
        </w:p>
        <w:p>
          <w:pPr>
            <w:pStyle w:val="15"/>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hint="eastAsia" w:eastAsiaTheme="minorEastAsia" w:cstheme="minorBidi"/>
              <w:sz w:val="28"/>
              <w:szCs w:val="28"/>
            </w:rPr>
            <w:tab/>
          </w:r>
          <w:bookmarkStart w:id="2" w:name="_Toc31173_WPSOffice_Level1Page"/>
          <w:r>
            <w:rPr>
              <w:rFonts w:hint="eastAsia" w:eastAsiaTheme="minorEastAsia" w:cstheme="minorBidi"/>
              <w:sz w:val="28"/>
              <w:szCs w:val="28"/>
            </w:rPr>
            <w:t>2</w:t>
          </w:r>
          <w:bookmarkEnd w:id="2"/>
          <w:r>
            <w:rPr>
              <w:rFonts w:hint="eastAsia" w:eastAsiaTheme="minorEastAsia" w:cstheme="minorBidi"/>
              <w:sz w:val="28"/>
              <w:szCs w:val="28"/>
              <w:lang w:val="en-US" w:eastAsia="zh-CN"/>
            </w:rPr>
            <w:t>0</w:t>
          </w:r>
          <w:r>
            <w:rPr>
              <w:rFonts w:hint="eastAsia" w:eastAsiaTheme="minorEastAsia" w:cstheme="minorBidi"/>
              <w:sz w:val="28"/>
              <w:szCs w:val="28"/>
            </w:rPr>
            <w:fldChar w:fldCharType="end"/>
          </w:r>
        </w:p>
        <w:p>
          <w:pPr>
            <w:pStyle w:val="15"/>
            <w:tabs>
              <w:tab w:val="right" w:leader="dot" w:pos="8620"/>
            </w:tabs>
            <w:rPr>
              <w:rFonts w:hint="eastAsia" w:eastAsiaTheme="minorEastAsia" w:cstheme="minorBidi"/>
              <w:sz w:val="28"/>
              <w:szCs w:val="28"/>
              <w:lang w:val="en-US" w:eastAsia="zh-CN"/>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r>
            <w:rPr>
              <w:rFonts w:hint="eastAsia" w:eastAsiaTheme="minorEastAsia" w:cstheme="minorBidi"/>
              <w:sz w:val="28"/>
              <w:szCs w:val="28"/>
              <w:lang w:val="en-US" w:eastAsia="zh-CN"/>
            </w:rPr>
            <w:t>2</w:t>
          </w:r>
          <w:r>
            <w:rPr>
              <w:rFonts w:hint="eastAsia" w:eastAsiaTheme="minorEastAsia" w:cstheme="minorBidi"/>
              <w:sz w:val="28"/>
              <w:szCs w:val="28"/>
            </w:rPr>
            <w:fldChar w:fldCharType="end"/>
          </w:r>
          <w:r>
            <w:rPr>
              <w:rFonts w:hint="eastAsia" w:eastAsiaTheme="minorEastAsia" w:cstheme="minorBidi"/>
              <w:sz w:val="28"/>
              <w:szCs w:val="28"/>
              <w:lang w:val="en-US" w:eastAsia="zh-CN"/>
            </w:rPr>
            <w:t>7</w:t>
          </w:r>
        </w:p>
        <w:p>
          <w:pPr>
            <w:pStyle w:val="15"/>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hint="eastAsia" w:eastAsiaTheme="minorEastAsia" w:cstheme="minorBidi"/>
              <w:sz w:val="28"/>
              <w:szCs w:val="28"/>
            </w:rPr>
            <w:tab/>
          </w:r>
          <w:r>
            <w:rPr>
              <w:rFonts w:hint="eastAsia" w:eastAsiaTheme="minorEastAsia" w:cstheme="minorBidi"/>
              <w:sz w:val="28"/>
              <w:szCs w:val="28"/>
              <w:lang w:val="en-US" w:eastAsia="zh-CN"/>
            </w:rPr>
            <w:t>3</w:t>
          </w:r>
          <w:r>
            <w:rPr>
              <w:rFonts w:hint="eastAsia" w:eastAsiaTheme="minorEastAsia" w:cstheme="minorBidi"/>
              <w:sz w:val="28"/>
              <w:szCs w:val="28"/>
            </w:rPr>
            <w:fldChar w:fldCharType="end"/>
          </w:r>
          <w:r>
            <w:rPr>
              <w:rFonts w:hint="eastAsia" w:eastAsiaTheme="minorEastAsia" w:cstheme="minorBidi"/>
              <w:sz w:val="28"/>
              <w:szCs w:val="28"/>
              <w:lang w:val="en-US" w:eastAsia="zh-CN"/>
            </w:rPr>
            <w:t>2</w:t>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3" w:name="_Toc4350_WPSOffice_Level1"/>
      <w:r>
        <w:rPr>
          <w:rFonts w:hint="eastAsia" w:ascii="宋体" w:hAnsi="宋体" w:cs="宋体"/>
          <w:b/>
          <w:kern w:val="0"/>
          <w:sz w:val="36"/>
          <w:szCs w:val="36"/>
        </w:rPr>
        <w:t>投标邀请</w:t>
      </w:r>
      <w:bookmarkEnd w:id="3"/>
    </w:p>
    <w:p>
      <w:pPr>
        <w:pStyle w:val="4"/>
        <w:ind w:firstLine="480" w:firstLineChars="200"/>
        <w:rPr>
          <w:rFonts w:cs="宋体"/>
          <w:b w:val="0"/>
          <w:sz w:val="24"/>
          <w:szCs w:val="24"/>
        </w:rPr>
      </w:pPr>
      <w:bookmarkStart w:id="4" w:name="_Toc35393621"/>
      <w:bookmarkStart w:id="5" w:name="_Toc28359002"/>
      <w:bookmarkStart w:id="6" w:name="_Toc28359079"/>
      <w:bookmarkStart w:id="7" w:name="_Toc35393790"/>
      <w:bookmarkStart w:id="8" w:name="_Hlk24379207"/>
      <w:r>
        <w:rPr>
          <w:rFonts w:hint="eastAsia" w:cs="宋体"/>
          <w:b w:val="0"/>
          <w:sz w:val="24"/>
          <w:szCs w:val="24"/>
          <w:lang w:val="en-US" w:eastAsia="zh-CN"/>
        </w:rPr>
        <w:t>台州市</w:t>
      </w:r>
      <w:r>
        <w:rPr>
          <w:rFonts w:hint="eastAsia" w:cs="宋体"/>
          <w:b w:val="0"/>
          <w:sz w:val="24"/>
          <w:szCs w:val="24"/>
        </w:rPr>
        <w:t>政府采购中心受台州市青少年活动中心（台州市希望工程与青少年事务中心）委托，就</w:t>
      </w:r>
      <w:r>
        <w:rPr>
          <w:rFonts w:hint="eastAsia" w:cs="宋体"/>
          <w:b w:val="0"/>
          <w:sz w:val="24"/>
          <w:szCs w:val="24"/>
          <w:lang w:val="en-US" w:eastAsia="zh-CN"/>
        </w:rPr>
        <w:t>LED采购</w:t>
      </w:r>
      <w:r>
        <w:rPr>
          <w:rFonts w:hint="eastAsia" w:cs="宋体"/>
          <w:b w:val="0"/>
          <w:sz w:val="24"/>
          <w:szCs w:val="24"/>
        </w:rPr>
        <w:t>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4"/>
      <w:bookmarkEnd w:id="5"/>
      <w:bookmarkEnd w:id="6"/>
      <w:bookmarkEnd w:id="7"/>
    </w:p>
    <w:p>
      <w:pPr>
        <w:spacing w:line="360" w:lineRule="auto"/>
        <w:ind w:firstLine="480" w:firstLineChars="200"/>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TZCG-2022-G</w:t>
      </w:r>
      <w:r>
        <w:rPr>
          <w:rFonts w:hint="eastAsia" w:ascii="宋体" w:hAnsi="宋体" w:cs="宋体"/>
          <w:color w:val="auto"/>
          <w:sz w:val="24"/>
          <w:lang w:val="en-US" w:eastAsia="zh-CN"/>
        </w:rPr>
        <w:t>K006</w:t>
      </w:r>
      <w:r>
        <w:rPr>
          <w:rFonts w:hint="eastAsia" w:asciiTheme="minorEastAsia" w:hAnsiTheme="minorEastAsia" w:eastAsiaTheme="minorEastAsia" w:cstheme="minorEastAsia"/>
          <w:sz w:val="24"/>
        </w:rPr>
        <w:t>号</w:t>
      </w:r>
      <w:bookmarkStart w:id="119" w:name="_GoBack"/>
      <w:bookmarkEnd w:id="119"/>
    </w:p>
    <w:bookmarkEnd w:id="8"/>
    <w:p>
      <w:pPr>
        <w:spacing w:line="360" w:lineRule="auto"/>
        <w:ind w:firstLine="480" w:firstLineChars="200"/>
        <w:rPr>
          <w:rFonts w:hint="eastAsia" w:ascii="宋体" w:hAnsi="宋体" w:cs="宋体"/>
          <w:kern w:val="0"/>
          <w:sz w:val="24"/>
        </w:rPr>
      </w:pPr>
      <w:r>
        <w:rPr>
          <w:rFonts w:hint="eastAsia" w:ascii="宋体" w:hAnsi="宋体" w:cs="宋体"/>
          <w:sz w:val="24"/>
        </w:rPr>
        <w:t>项目名称：台州市青少年活动中心LED采购项目</w:t>
      </w:r>
    </w:p>
    <w:tbl>
      <w:tblPr>
        <w:tblStyle w:val="19"/>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cs="宋体"/>
                <w:b w:val="0"/>
                <w:bCs/>
                <w:sz w:val="21"/>
                <w:szCs w:val="21"/>
              </w:rPr>
              <w:t>1</w:t>
            </w:r>
          </w:p>
        </w:tc>
        <w:tc>
          <w:tcPr>
            <w:tcW w:w="2741" w:type="dxa"/>
            <w:vAlign w:val="center"/>
          </w:tcPr>
          <w:p>
            <w:pPr>
              <w:tabs>
                <w:tab w:val="left" w:pos="8280"/>
              </w:tabs>
              <w:autoSpaceDE w:val="0"/>
              <w:autoSpaceDN w:val="0"/>
              <w:adjustRightInd w:val="0"/>
              <w:jc w:val="center"/>
              <w:rPr>
                <w:rFonts w:hint="default" w:ascii="宋体" w:hAnsi="宋体" w:eastAsia="宋体" w:cs="宋体"/>
                <w:b w:val="0"/>
                <w:bCs/>
                <w:sz w:val="21"/>
                <w:szCs w:val="21"/>
                <w:lang w:val="en-US" w:eastAsia="zh-CN"/>
              </w:rPr>
            </w:pPr>
            <w:r>
              <w:rPr>
                <w:rFonts w:hint="eastAsia" w:ascii="宋体" w:hAnsi="宋体" w:cs="宋体"/>
                <w:b w:val="0"/>
                <w:bCs/>
                <w:sz w:val="21"/>
                <w:szCs w:val="21"/>
                <w:lang w:val="en-US" w:eastAsia="zh-CN"/>
              </w:rPr>
              <w:t>LED采购</w:t>
            </w:r>
          </w:p>
        </w:tc>
        <w:tc>
          <w:tcPr>
            <w:tcW w:w="99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1</w:t>
            </w:r>
          </w:p>
        </w:tc>
        <w:tc>
          <w:tcPr>
            <w:tcW w:w="979" w:type="dxa"/>
            <w:vAlign w:val="center"/>
          </w:tcPr>
          <w:p>
            <w:pPr>
              <w:tabs>
                <w:tab w:val="left" w:pos="8280"/>
              </w:tabs>
              <w:autoSpaceDE w:val="0"/>
              <w:autoSpaceDN w:val="0"/>
              <w:adjustRightInd w:val="0"/>
              <w:jc w:val="center"/>
              <w:rPr>
                <w:rFonts w:hint="eastAsia" w:ascii="宋体" w:hAnsi="宋体" w:eastAsia="宋体" w:cs="宋体"/>
                <w:b w:val="0"/>
                <w:bCs/>
                <w:sz w:val="21"/>
                <w:szCs w:val="21"/>
                <w:lang w:val="en-US" w:eastAsia="zh-CN"/>
              </w:rPr>
            </w:pPr>
            <w:r>
              <w:rPr>
                <w:rFonts w:hint="eastAsia" w:ascii="宋体" w:hAnsi="宋体" w:cs="宋体"/>
                <w:b w:val="0"/>
                <w:bCs/>
                <w:sz w:val="21"/>
                <w:szCs w:val="21"/>
                <w:lang w:val="en-US" w:eastAsia="zh-CN"/>
              </w:rPr>
              <w:t>批</w:t>
            </w:r>
          </w:p>
        </w:tc>
        <w:tc>
          <w:tcPr>
            <w:tcW w:w="1303"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eastAsia="宋体"/>
                <w:b w:val="0"/>
                <w:bCs/>
                <w:color w:val="auto"/>
                <w:sz w:val="21"/>
                <w:szCs w:val="24"/>
              </w:rPr>
              <w:t>125.2160</w:t>
            </w:r>
          </w:p>
        </w:tc>
        <w:tc>
          <w:tcPr>
            <w:tcW w:w="1585" w:type="dxa"/>
            <w:vAlign w:val="center"/>
          </w:tcPr>
          <w:p>
            <w:pPr>
              <w:tabs>
                <w:tab w:val="left" w:pos="8280"/>
              </w:tabs>
              <w:autoSpaceDE w:val="0"/>
              <w:autoSpaceDN w:val="0"/>
              <w:adjustRightInd w:val="0"/>
              <w:jc w:val="center"/>
              <w:rPr>
                <w:rFonts w:ascii="宋体" w:hAnsi="宋体" w:cs="宋体"/>
                <w:b w:val="0"/>
                <w:bCs/>
                <w:sz w:val="21"/>
                <w:szCs w:val="21"/>
              </w:rPr>
            </w:pPr>
            <w:r>
              <w:rPr>
                <w:rFonts w:hint="eastAsia" w:ascii="宋体" w:hAnsi="宋体" w:eastAsia="宋体"/>
                <w:b w:val="0"/>
                <w:bCs/>
                <w:color w:val="auto"/>
                <w:sz w:val="21"/>
                <w:szCs w:val="24"/>
              </w:rPr>
              <w:t>125.2160</w:t>
            </w:r>
          </w:p>
        </w:tc>
      </w:tr>
    </w:tbl>
    <w:p>
      <w:pPr>
        <w:pStyle w:val="4"/>
        <w:ind w:right="0" w:firstLine="482" w:firstLineChars="200"/>
        <w:rPr>
          <w:rFonts w:cs="宋体"/>
          <w:bCs/>
          <w:sz w:val="24"/>
          <w:szCs w:val="24"/>
        </w:rPr>
      </w:pPr>
      <w:bookmarkStart w:id="9" w:name="_Toc28359003"/>
      <w:bookmarkStart w:id="10" w:name="_Toc28359080"/>
      <w:bookmarkStart w:id="11" w:name="_Toc35393791"/>
      <w:bookmarkStart w:id="12" w:name="_Toc35393622"/>
      <w:r>
        <w:rPr>
          <w:rFonts w:hint="eastAsia" w:cs="宋体"/>
          <w:bCs/>
          <w:sz w:val="24"/>
          <w:szCs w:val="24"/>
        </w:rPr>
        <w:t>二、投标人的资格要求</w:t>
      </w:r>
      <w:bookmarkEnd w:id="9"/>
      <w:bookmarkEnd w:id="10"/>
      <w:bookmarkEnd w:id="11"/>
      <w:bookmarkEnd w:id="12"/>
    </w:p>
    <w:p>
      <w:pPr>
        <w:spacing w:line="360" w:lineRule="auto"/>
        <w:ind w:firstLine="480" w:firstLineChars="200"/>
        <w:rPr>
          <w:rFonts w:ascii="宋体" w:hAnsi="宋体" w:cs="宋体"/>
          <w:sz w:val="24"/>
        </w:rPr>
      </w:pPr>
      <w:r>
        <w:rPr>
          <w:rFonts w:hint="eastAsia" w:ascii="宋体" w:hAnsi="宋体" w:cs="宋体"/>
          <w:sz w:val="24"/>
        </w:rPr>
        <w:t>（一）满足《中华人民共和国政府采购法》第二十二条规定</w:t>
      </w:r>
      <w:bookmarkStart w:id="13" w:name="_Toc28359081"/>
      <w:bookmarkStart w:id="14" w:name="_Toc35393623"/>
      <w:bookmarkStart w:id="15" w:name="_Toc35393792"/>
      <w:bookmarkStart w:id="16" w:name="_Toc28359004"/>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二</w:t>
      </w:r>
      <w:r>
        <w:rPr>
          <w:rFonts w:hint="eastAsia" w:ascii="宋体" w:hAnsi="宋体" w:cs="宋体"/>
          <w:sz w:val="24"/>
        </w:rPr>
        <w:t>）信用记录：未被列入“信用中国”失信被执行人或重大税收违法案件当事人名单；未处于“中国政府采购网”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三</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ind w:right="0" w:firstLine="482" w:firstLineChars="200"/>
        <w:rPr>
          <w:rFonts w:cs="宋体"/>
          <w:bCs/>
          <w:sz w:val="24"/>
          <w:szCs w:val="24"/>
        </w:rPr>
      </w:pPr>
      <w:r>
        <w:rPr>
          <w:rFonts w:hint="eastAsia" w:cs="宋体"/>
          <w:bCs/>
          <w:sz w:val="24"/>
          <w:szCs w:val="24"/>
        </w:rPr>
        <w:t>三、获取招标文件</w:t>
      </w:r>
      <w:bookmarkEnd w:id="13"/>
      <w:bookmarkEnd w:id="14"/>
      <w:bookmarkEnd w:id="15"/>
      <w:bookmarkEnd w:id="16"/>
    </w:p>
    <w:p>
      <w:pPr>
        <w:spacing w:line="360" w:lineRule="auto"/>
        <w:ind w:firstLine="480" w:firstLineChars="200"/>
        <w:rPr>
          <w:rFonts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1</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6</w:t>
      </w:r>
      <w:r>
        <w:rPr>
          <w:rFonts w:hint="eastAsia" w:ascii="宋体" w:hAnsi="宋体" w:cs="宋体"/>
          <w:sz w:val="24"/>
          <w:u w:val="single"/>
        </w:rPr>
        <w:t>月</w:t>
      </w:r>
      <w:r>
        <w:rPr>
          <w:rFonts w:hint="eastAsia" w:ascii="宋体" w:hAnsi="宋体" w:cs="宋体"/>
          <w:sz w:val="24"/>
          <w:u w:val="single"/>
          <w:lang w:val="en-US" w:eastAsia="zh-CN"/>
        </w:rPr>
        <w:t>8</w:t>
      </w:r>
      <w:r>
        <w:rPr>
          <w:rFonts w:hint="eastAsia" w:ascii="宋体" w:hAnsi="宋体" w:cs="宋体"/>
          <w:sz w:val="24"/>
          <w:u w:val="single"/>
        </w:rPr>
        <w:t>日</w:t>
      </w:r>
    </w:p>
    <w:p>
      <w:pPr>
        <w:pStyle w:val="25"/>
        <w:spacing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（二）方式：浙江政府采购网</w:t>
      </w:r>
      <w:r>
        <w:rPr>
          <w:rFonts w:hint="eastAsia" w:ascii="宋体" w:hAnsi="宋体" w:eastAsia="宋体" w:cs="宋体"/>
          <w:kern w:val="2"/>
          <w:sz w:val="24"/>
          <w:szCs w:val="24"/>
        </w:rPr>
        <w:t>（https://zfcg.czt.zj.gov.cn）</w:t>
      </w:r>
      <w:r>
        <w:rPr>
          <w:rFonts w:hint="eastAsia" w:ascii="宋体" w:hAnsi="宋体" w:eastAsia="宋体" w:cs="宋体"/>
          <w:sz w:val="24"/>
          <w:szCs w:val="24"/>
        </w:rPr>
        <w:t>免费下载</w:t>
      </w:r>
    </w:p>
    <w:p>
      <w:pPr>
        <w:pStyle w:val="4"/>
        <w:ind w:right="0" w:firstLine="482" w:firstLineChars="200"/>
        <w:rPr>
          <w:rFonts w:cs="宋体"/>
          <w:bCs/>
          <w:sz w:val="24"/>
          <w:szCs w:val="24"/>
        </w:rPr>
      </w:pPr>
      <w:bookmarkStart w:id="17" w:name="_Toc28359005"/>
      <w:bookmarkStart w:id="18" w:name="_Toc35393793"/>
      <w:bookmarkStart w:id="19" w:name="_Toc28359082"/>
      <w:bookmarkStart w:id="20" w:name="_Toc35393624"/>
      <w:r>
        <w:rPr>
          <w:rFonts w:hint="eastAsia" w:cs="宋体"/>
          <w:bCs/>
          <w:sz w:val="24"/>
          <w:szCs w:val="24"/>
        </w:rPr>
        <w:t>四、提交投标文件</w:t>
      </w:r>
      <w:bookmarkEnd w:id="17"/>
      <w:bookmarkEnd w:id="18"/>
      <w:bookmarkEnd w:id="19"/>
      <w:bookmarkEnd w:id="20"/>
    </w:p>
    <w:p>
      <w:pPr>
        <w:spacing w:line="360" w:lineRule="auto"/>
        <w:ind w:firstLine="480" w:firstLineChars="200"/>
        <w:rPr>
          <w:rFonts w:ascii="宋体" w:hAnsi="宋体" w:cs="宋体"/>
          <w:iCs/>
          <w:sz w:val="24"/>
          <w:u w:val="single"/>
        </w:rPr>
      </w:pPr>
      <w:bookmarkStart w:id="21" w:name="_Toc35393794"/>
      <w:bookmarkStart w:id="22" w:name="_Toc35393625"/>
      <w:bookmarkStart w:id="23" w:name="_Toc28359084"/>
      <w:bookmarkStart w:id="24" w:name="_Toc28359007"/>
      <w:r>
        <w:rPr>
          <w:rFonts w:hint="eastAsia" w:ascii="宋体" w:hAnsi="宋体" w:cs="宋体"/>
          <w:sz w:val="24"/>
        </w:rPr>
        <w:t>（一）截止时间（开标时间）：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6</w:t>
      </w:r>
      <w:r>
        <w:rPr>
          <w:rFonts w:hint="eastAsia" w:ascii="宋体" w:hAnsi="宋体" w:cs="宋体"/>
          <w:bCs/>
          <w:sz w:val="24"/>
          <w:u w:val="single"/>
        </w:rPr>
        <w:t>月</w:t>
      </w:r>
      <w:r>
        <w:rPr>
          <w:rFonts w:hint="eastAsia" w:ascii="宋体" w:hAnsi="宋体" w:cs="宋体"/>
          <w:sz w:val="24"/>
          <w:u w:val="single"/>
          <w:lang w:val="en-US" w:eastAsia="zh-CN"/>
        </w:rPr>
        <w:t>21</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点整</w:t>
      </w:r>
      <w:r>
        <w:rPr>
          <w:rFonts w:hint="eastAsia" w:ascii="宋体" w:hAnsi="宋体" w:cs="宋体"/>
          <w:bCs/>
          <w:sz w:val="24"/>
        </w:rPr>
        <w:t>（北京时间）</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（二）投标网址：浙江政府采购云平台（http://www.zcygov.cn）</w:t>
      </w:r>
    </w:p>
    <w:bookmarkEnd w:id="21"/>
    <w:bookmarkEnd w:id="22"/>
    <w:bookmarkEnd w:id="23"/>
    <w:bookmarkEnd w:id="24"/>
    <w:p>
      <w:pPr>
        <w:pStyle w:val="18"/>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18"/>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18"/>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5" w:name="_Toc35393626"/>
      <w:bookmarkStart w:id="26" w:name="_Toc35393795"/>
      <w:r>
        <w:rPr>
          <w:rFonts w:hint="eastAsia" w:cs="宋体"/>
          <w:bCs/>
          <w:sz w:val="24"/>
          <w:szCs w:val="24"/>
        </w:rPr>
        <w:t>六、</w:t>
      </w:r>
      <w:bookmarkEnd w:id="25"/>
      <w:bookmarkEnd w:id="26"/>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7" w:name="_Toc28359085"/>
      <w:bookmarkStart w:id="28" w:name="_Toc28359008"/>
      <w:bookmarkStart w:id="29" w:name="_Toc35393796"/>
      <w:bookmarkStart w:id="30" w:name="_Toc35393627"/>
      <w:r>
        <w:rPr>
          <w:rFonts w:hint="eastAsia" w:cs="宋体"/>
          <w:bCs/>
          <w:sz w:val="24"/>
          <w:szCs w:val="24"/>
        </w:rPr>
        <w:t>七、联系</w:t>
      </w:r>
      <w:bookmarkEnd w:id="27"/>
      <w:bookmarkEnd w:id="28"/>
      <w:bookmarkEnd w:id="29"/>
      <w:bookmarkEnd w:id="30"/>
      <w:r>
        <w:rPr>
          <w:rFonts w:hint="eastAsia" w:cs="宋体"/>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none"/>
        </w:rPr>
        <w:t>：</w:t>
      </w:r>
      <w:r>
        <w:rPr>
          <w:rFonts w:hint="eastAsia" w:ascii="宋体" w:hAnsi="宋体" w:cs="宋体"/>
          <w:sz w:val="24"/>
          <w:u w:val="none"/>
          <w:lang w:val="en-US" w:eastAsia="zh-CN"/>
        </w:rPr>
        <w:t>台州市青少年活动中心（台州市希望工程与青少年事务中心）</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lang w:val="en-US" w:eastAsia="zh-CN"/>
        </w:rPr>
        <w:t>台州市椒江区祥云路108号</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lang w:val="en-US" w:eastAsia="zh-CN"/>
        </w:rPr>
        <w:t>王女士</w:t>
      </w:r>
      <w:bookmarkStart w:id="31" w:name="_Toc28359086"/>
      <w:bookmarkStart w:id="32" w:name="_Toc28359009"/>
    </w:p>
    <w:p>
      <w:pPr>
        <w:spacing w:line="360" w:lineRule="auto"/>
        <w:ind w:firstLine="480" w:firstLineChars="200"/>
        <w:jc w:val="left"/>
        <w:rPr>
          <w:rFonts w:ascii="宋体" w:hAnsi="宋体" w:cs="宋体"/>
          <w:sz w:val="24"/>
          <w:u w:val="single"/>
        </w:rPr>
      </w:pPr>
      <w:r>
        <w:rPr>
          <w:rFonts w:hint="eastAsia" w:ascii="宋体" w:hAnsi="宋体" w:cs="宋体"/>
          <w:sz w:val="24"/>
        </w:rPr>
        <w:t>联系电话：0576-88512802</w:t>
      </w:r>
    </w:p>
    <w:bookmarkEnd w:id="31"/>
    <w:bookmarkEnd w:id="32"/>
    <w:p>
      <w:pPr>
        <w:spacing w:line="360" w:lineRule="auto"/>
        <w:ind w:firstLine="480" w:firstLineChars="200"/>
        <w:jc w:val="left"/>
        <w:rPr>
          <w:rFonts w:ascii="宋体" w:hAnsi="宋体" w:cs="宋体"/>
          <w:sz w:val="24"/>
        </w:rPr>
      </w:pPr>
      <w:r>
        <w:rPr>
          <w:rFonts w:hint="eastAsia" w:ascii="宋体" w:hAnsi="宋体" w:cs="宋体"/>
          <w:sz w:val="24"/>
        </w:rPr>
        <w:t>（二）</w:t>
      </w:r>
      <w:r>
        <w:rPr>
          <w:rFonts w:hint="eastAsia" w:ascii="宋体" w:hAnsi="宋体" w:cs="宋体"/>
          <w:b/>
          <w:bCs/>
          <w:sz w:val="24"/>
        </w:rPr>
        <w:t>采购组织机构</w:t>
      </w:r>
    </w:p>
    <w:p>
      <w:pPr>
        <w:spacing w:line="360" w:lineRule="auto"/>
        <w:ind w:firstLine="480" w:firstLineChars="200"/>
        <w:jc w:val="left"/>
        <w:rPr>
          <w:rFonts w:hint="default" w:ascii="宋体" w:hAnsi="宋体" w:eastAsia="宋体" w:cs="宋体"/>
          <w:sz w:val="24"/>
          <w:u w:val="single"/>
          <w:lang w:val="en-US" w:eastAsia="zh-CN"/>
        </w:rPr>
      </w:pPr>
      <w:bookmarkStart w:id="33" w:name="_Toc28359010"/>
      <w:bookmarkStart w:id="34" w:name="_Toc28359087"/>
      <w:r>
        <w:rPr>
          <w:rFonts w:hint="eastAsia" w:ascii="宋体" w:hAnsi="宋体" w:cs="宋体"/>
          <w:sz w:val="24"/>
        </w:rPr>
        <w:t>名 称：</w:t>
      </w:r>
      <w:r>
        <w:rPr>
          <w:rFonts w:hint="eastAsia" w:ascii="宋体" w:hAnsi="宋体" w:cs="宋体"/>
          <w:sz w:val="24"/>
          <w:u w:val="none"/>
          <w:lang w:val="en-US" w:eastAsia="zh-CN"/>
        </w:rPr>
        <w:t>台州市政府采购中心</w:t>
      </w:r>
    </w:p>
    <w:p>
      <w:pPr>
        <w:spacing w:line="360" w:lineRule="auto"/>
        <w:ind w:firstLine="480" w:firstLineChars="200"/>
        <w:jc w:val="left"/>
        <w:rPr>
          <w:rFonts w:ascii="宋体" w:hAnsi="宋体" w:cs="宋体"/>
          <w:sz w:val="24"/>
          <w:u w:val="single"/>
        </w:rPr>
      </w:pPr>
      <w:r>
        <w:rPr>
          <w:rFonts w:hint="eastAsia" w:ascii="宋体" w:hAnsi="宋体" w:cs="宋体"/>
          <w:sz w:val="24"/>
        </w:rPr>
        <w:t>地　址：台州市市府大道777号</w:t>
      </w:r>
    </w:p>
    <w:p>
      <w:pPr>
        <w:spacing w:line="360" w:lineRule="auto"/>
        <w:ind w:firstLine="480" w:firstLineChars="200"/>
        <w:jc w:val="left"/>
        <w:rPr>
          <w:rFonts w:hint="default" w:ascii="宋体" w:hAnsi="宋体" w:eastAsia="宋体" w:cs="宋体"/>
          <w:sz w:val="24"/>
          <w:u w:val="none"/>
          <w:lang w:val="en-US" w:eastAsia="zh-CN"/>
        </w:rPr>
      </w:pPr>
      <w:r>
        <w:rPr>
          <w:rFonts w:hint="eastAsia" w:ascii="宋体" w:hAnsi="宋体" w:cs="宋体"/>
          <w:sz w:val="24"/>
        </w:rPr>
        <w:t>项目联系人：</w:t>
      </w:r>
      <w:r>
        <w:rPr>
          <w:rFonts w:hint="eastAsia" w:ascii="宋体" w:hAnsi="宋体" w:cs="宋体"/>
          <w:sz w:val="24"/>
          <w:u w:val="none"/>
          <w:lang w:val="en-US" w:eastAsia="zh-CN"/>
        </w:rPr>
        <w:t>陈先生</w:t>
      </w:r>
    </w:p>
    <w:p>
      <w:pPr>
        <w:spacing w:line="360" w:lineRule="auto"/>
        <w:ind w:firstLine="480" w:firstLineChars="200"/>
        <w:jc w:val="left"/>
        <w:rPr>
          <w:rFonts w:hint="default" w:ascii="宋体" w:hAnsi="宋体" w:eastAsia="宋体" w:cs="宋体"/>
          <w:sz w:val="24"/>
          <w:u w:val="none"/>
          <w:lang w:val="en-US" w:eastAsia="zh-CN"/>
        </w:rPr>
      </w:pPr>
      <w:r>
        <w:rPr>
          <w:rFonts w:hint="eastAsia" w:ascii="宋体" w:hAnsi="宋体" w:cs="宋体"/>
          <w:sz w:val="24"/>
        </w:rPr>
        <w:t>联系电话：</w:t>
      </w:r>
      <w:r>
        <w:rPr>
          <w:rFonts w:hint="eastAsia" w:ascii="宋体" w:hAnsi="宋体" w:cs="宋体"/>
          <w:sz w:val="24"/>
          <w:u w:val="none"/>
        </w:rPr>
        <w:t>0576-</w:t>
      </w:r>
      <w:r>
        <w:rPr>
          <w:rFonts w:hint="eastAsia" w:ascii="宋体" w:hAnsi="宋体" w:cs="宋体"/>
          <w:sz w:val="24"/>
          <w:u w:val="none"/>
          <w:lang w:val="en-US" w:eastAsia="zh-CN"/>
        </w:rPr>
        <w:t>88325289</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受理联系人：候女士</w:t>
      </w:r>
      <w:r>
        <w:rPr>
          <w:rFonts w:hint="eastAsia" w:ascii="宋体" w:hAnsi="宋体" w:cs="宋体"/>
          <w:sz w:val="24"/>
          <w:u w:val="none"/>
        </w:rPr>
        <w:t>（受理注册、中标结果相关质疑及答复）</w:t>
      </w:r>
    </w:p>
    <w:p>
      <w:pPr>
        <w:spacing w:line="360" w:lineRule="auto"/>
        <w:ind w:firstLine="480" w:firstLineChars="200"/>
        <w:jc w:val="left"/>
        <w:rPr>
          <w:rFonts w:ascii="宋体" w:hAnsi="宋体" w:cs="宋体"/>
          <w:sz w:val="24"/>
          <w:u w:val="none"/>
        </w:rPr>
      </w:pPr>
      <w:r>
        <w:rPr>
          <w:rFonts w:hint="eastAsia" w:ascii="宋体" w:hAnsi="宋体" w:cs="宋体"/>
          <w:sz w:val="24"/>
        </w:rPr>
        <w:t>联系电话：</w:t>
      </w:r>
      <w:r>
        <w:rPr>
          <w:rFonts w:hint="eastAsia" w:ascii="宋体" w:hAnsi="宋体" w:cs="宋体"/>
          <w:sz w:val="24"/>
          <w:u w:val="none"/>
        </w:rPr>
        <w:t>0576-88685121</w:t>
      </w:r>
    </w:p>
    <w:p>
      <w:pPr>
        <w:spacing w:line="360" w:lineRule="auto"/>
        <w:ind w:firstLine="482" w:firstLineChars="200"/>
        <w:jc w:val="left"/>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eastAsia" w:ascii="宋体" w:hAnsi="宋体" w:cs="宋体"/>
          <w:sz w:val="24"/>
        </w:rPr>
      </w:pPr>
      <w:r>
        <w:rPr>
          <w:rFonts w:hint="eastAsia" w:ascii="宋体" w:hAnsi="宋体" w:cs="宋体"/>
          <w:sz w:val="24"/>
        </w:rPr>
        <w:t>名 称：台州市采监处</w:t>
      </w:r>
    </w:p>
    <w:p>
      <w:pPr>
        <w:spacing w:line="360" w:lineRule="auto"/>
        <w:ind w:firstLine="480" w:firstLineChars="200"/>
        <w:jc w:val="left"/>
        <w:rPr>
          <w:rFonts w:hint="eastAsia" w:ascii="宋体" w:hAnsi="宋体" w:cs="宋体"/>
          <w:sz w:val="24"/>
        </w:rPr>
      </w:pPr>
      <w:r>
        <w:rPr>
          <w:rFonts w:hint="eastAsia" w:ascii="宋体" w:hAnsi="宋体" w:cs="宋体"/>
          <w:sz w:val="24"/>
        </w:rPr>
        <w:t>地 址：台州市财政局</w:t>
      </w:r>
    </w:p>
    <w:p>
      <w:pPr>
        <w:spacing w:line="360" w:lineRule="auto"/>
        <w:ind w:firstLine="480" w:firstLineChars="200"/>
        <w:jc w:val="left"/>
        <w:rPr>
          <w:rFonts w:ascii="宋体" w:hAnsi="宋体" w:cs="宋体"/>
          <w:sz w:val="24"/>
          <w:u w:val="single"/>
        </w:rPr>
      </w:pPr>
      <w:r>
        <w:rPr>
          <w:rFonts w:hint="eastAsia" w:ascii="宋体" w:hAnsi="宋体" w:cs="宋体"/>
          <w:sz w:val="24"/>
        </w:rPr>
        <w:t>联系人：</w:t>
      </w:r>
      <w:r>
        <w:rPr>
          <w:rFonts w:hint="eastAsia" w:ascii="宋体" w:hAnsi="宋体" w:cs="宋体"/>
          <w:sz w:val="24"/>
          <w:u w:val="none"/>
          <w:lang w:val="en-US" w:eastAsia="zh-CN"/>
        </w:rPr>
        <w:t>陈</w:t>
      </w:r>
      <w:r>
        <w:rPr>
          <w:rFonts w:hint="eastAsia" w:ascii="宋体" w:hAnsi="宋体" w:cs="宋体"/>
          <w:sz w:val="24"/>
          <w:u w:val="none"/>
        </w:rPr>
        <w:t>女士</w:t>
      </w:r>
    </w:p>
    <w:p>
      <w:pPr>
        <w:spacing w:line="360" w:lineRule="auto"/>
        <w:ind w:firstLine="480" w:firstLineChars="200"/>
        <w:jc w:val="left"/>
        <w:rPr>
          <w:rFonts w:hint="eastAsia"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none"/>
        </w:rPr>
        <w:t>0576-</w:t>
      </w:r>
      <w:r>
        <w:rPr>
          <w:rFonts w:hint="eastAsia" w:ascii="宋体" w:hAnsi="宋体" w:cs="宋体"/>
          <w:sz w:val="24"/>
          <w:u w:val="none"/>
          <w:lang w:val="en-US" w:eastAsia="zh-CN"/>
        </w:rPr>
        <w:t>88206705</w:t>
      </w:r>
    </w:p>
    <w:p>
      <w:pPr>
        <w:spacing w:line="360" w:lineRule="auto"/>
        <w:ind w:firstLine="482" w:firstLineChars="200"/>
        <w:jc w:val="left"/>
        <w:rPr>
          <w:rFonts w:hint="eastAsia" w:ascii="宋体" w:hAnsi="宋体" w:cs="宋体"/>
          <w:b/>
          <w:sz w:val="24"/>
        </w:rPr>
      </w:pPr>
      <w:r>
        <w:rPr>
          <w:rFonts w:hint="eastAsia" w:ascii="宋体" w:hAnsi="宋体" w:cs="宋体"/>
          <w:b/>
          <w:sz w:val="24"/>
        </w:rPr>
        <w:t>（四）政采云平台</w:t>
      </w:r>
    </w:p>
    <w:p>
      <w:pPr>
        <w:spacing w:line="360" w:lineRule="auto"/>
        <w:ind w:firstLine="480" w:firstLineChars="200"/>
        <w:jc w:val="left"/>
        <w:rPr>
          <w:rFonts w:hint="eastAsia" w:ascii="宋体" w:hAnsi="宋体" w:cs="宋体"/>
          <w:sz w:val="24"/>
          <w:u w:val="none"/>
        </w:rPr>
      </w:pPr>
      <w:r>
        <w:rPr>
          <w:rFonts w:hint="eastAsia" w:ascii="宋体" w:hAnsi="宋体" w:cs="宋体"/>
          <w:sz w:val="24"/>
        </w:rPr>
        <w:t>联系电话</w:t>
      </w:r>
      <w:r>
        <w:rPr>
          <w:rFonts w:hint="eastAsia" w:ascii="宋体" w:hAnsi="宋体" w:cs="宋体"/>
          <w:sz w:val="24"/>
          <w:u w:val="none"/>
        </w:rPr>
        <w:t>：4008817190</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hint="eastAsia" w:ascii="宋体" w:hAnsi="宋体" w:cs="宋体"/>
          <w:sz w:val="24"/>
          <w:shd w:val="clear" w:color="auto" w:fill="FFFFFF"/>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jc w:val="right"/>
        <w:rPr>
          <w:rFonts w:hint="eastAsia"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1</w:t>
      </w:r>
      <w:r>
        <w:rPr>
          <w:rFonts w:hint="eastAsia" w:asciiTheme="minorEastAsia" w:hAnsiTheme="minorEastAsia" w:eastAsiaTheme="minorEastAsia" w:cstheme="minorEastAsia"/>
          <w:kern w:val="0"/>
          <w:sz w:val="24"/>
        </w:rPr>
        <w:t>日</w:t>
      </w:r>
    </w:p>
    <w:p>
      <w:r>
        <w:br w:type="page"/>
      </w:r>
    </w:p>
    <w:bookmarkEnd w:id="33"/>
    <w:bookmarkEnd w:id="34"/>
    <w:p>
      <w:pPr>
        <w:numPr>
          <w:ilvl w:val="0"/>
          <w:numId w:val="4"/>
        </w:numPr>
        <w:spacing w:line="360" w:lineRule="auto"/>
        <w:jc w:val="center"/>
        <w:rPr>
          <w:rFonts w:asciiTheme="minorEastAsia" w:hAnsiTheme="minorEastAsia" w:eastAsiaTheme="minorEastAsia"/>
          <w:b/>
          <w:sz w:val="36"/>
          <w:szCs w:val="36"/>
        </w:rPr>
      </w:pPr>
      <w:bookmarkStart w:id="35" w:name="_Toc25017_WPSOffice_Level1"/>
      <w:r>
        <w:rPr>
          <w:rFonts w:hint="eastAsia" w:asciiTheme="minorEastAsia" w:hAnsiTheme="minorEastAsia" w:eastAsiaTheme="minorEastAsia"/>
          <w:b/>
          <w:sz w:val="36"/>
          <w:szCs w:val="36"/>
        </w:rPr>
        <w:t>投标人须知</w:t>
      </w:r>
      <w:bookmarkEnd w:id="35"/>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19"/>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序号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cs="宋体"/>
                <w:color w:val="auto"/>
                <w:lang w:eastAsia="zh-CN"/>
              </w:rPr>
              <w:t>□</w:t>
            </w:r>
            <w:r>
              <w:rPr>
                <w:rFonts w:hint="eastAsia" w:ascii="宋体" w:hAnsi="宋体" w:eastAsia="宋体" w:cs="宋体"/>
                <w:color w:val="auto"/>
              </w:rPr>
              <w:t>是 /</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□是（但主体部分不得分包，详见招标需求内容）/</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是否包含政府强制采购节能产品</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rPr>
            </w:pPr>
            <w:r>
              <w:rPr>
                <w:rFonts w:hint="eastAsia" w:ascii="宋体" w:hAnsi="宋体" w:eastAsia="宋体" w:cs="宋体"/>
                <w:color w:val="auto"/>
              </w:rPr>
              <w:t>□是（具体清单见招标需求）/</w:t>
            </w:r>
            <w:r>
              <w:rPr>
                <w:rFonts w:hint="eastAsia" w:ascii="宋体" w:hAnsi="宋体" w:cs="宋体"/>
                <w:color w:val="auto"/>
                <w:lang w:eastAsia="zh-CN"/>
              </w:rPr>
              <w:t>☑</w:t>
            </w:r>
            <w:r>
              <w:rPr>
                <w:rFonts w:hint="eastAsia" w:ascii="宋体" w:hAnsi="宋体" w:eastAsia="宋体" w:cs="宋体"/>
                <w:color w:val="auto"/>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投标文件的制作和投标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Cs w:val="21"/>
              </w:rPr>
            </w:pPr>
            <w:r>
              <w:rPr>
                <w:rFonts w:hint="eastAsia" w:ascii="宋体" w:hAnsi="宋体" w:eastAsia="宋体" w:cs="宋体"/>
              </w:rPr>
              <w:t>3.投标文件解密：投标人应在开标当天北京时间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00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30</w:t>
            </w:r>
            <w:r>
              <w:rPr>
                <w:rFonts w:hint="eastAsia" w:ascii="宋体" w:hAnsi="宋体" w:eastAsia="宋体" w:cs="宋体"/>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rPr>
              <w:t>备份投标文件的递交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eastAsia="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sz w:val="21"/>
                <w:szCs w:val="21"/>
                <w:u w:val="single"/>
                <w:lang w:val="en-US" w:eastAsia="zh-CN"/>
              </w:rPr>
              <w:t>09</w:t>
            </w:r>
            <w:r>
              <w:rPr>
                <w:rFonts w:hint="eastAsia" w:ascii="宋体" w:hAnsi="宋体" w:eastAsia="宋体" w:cs="宋体"/>
                <w:sz w:val="21"/>
                <w:szCs w:val="21"/>
                <w:u w:val="single"/>
              </w:rPr>
              <w:t>:</w:t>
            </w:r>
            <w:r>
              <w:rPr>
                <w:rFonts w:hint="eastAsia" w:ascii="宋体" w:hAnsi="宋体" w:cs="宋体"/>
                <w:sz w:val="21"/>
                <w:szCs w:val="21"/>
                <w:u w:val="single"/>
                <w:lang w:val="en-US" w:eastAsia="zh-CN"/>
              </w:rPr>
              <w:t>50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val="en-US" w:eastAsia="zh-CN"/>
              </w:rPr>
            </w:pP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7"/>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szCs w:val="21"/>
              </w:rPr>
            </w:pPr>
            <w:r>
              <w:rPr>
                <w:rFonts w:hint="eastAsia" w:ascii="宋体" w:hAnsi="宋体" w:eastAsia="宋体" w:cs="宋体"/>
                <w:szCs w:val="21"/>
              </w:rPr>
              <w:t>不见面开标</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6"/>
              <w:keepNext w:val="0"/>
              <w:keepLines w:val="0"/>
              <w:pageBreakBefore w:val="0"/>
              <w:kinsoku/>
              <w:wordWrap/>
              <w:overflowPunct/>
              <w:topLinePunct w:val="0"/>
              <w:bidi w:val="0"/>
              <w:adjustRightInd/>
              <w:snapToGrid/>
              <w:spacing w:before="0" w:beforeAutospacing="0" w:after="0" w:afterAutospacing="0"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eastAsia="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eastAsia="宋体" w:cs="宋体"/>
                <w:sz w:val="21"/>
                <w:szCs w:val="21"/>
                <w:lang w:eastAsia="zh-CN"/>
              </w:rPr>
              <w:t>投标</w:t>
            </w:r>
            <w:r>
              <w:rPr>
                <w:rFonts w:hint="eastAsia" w:ascii="宋体" w:hAnsi="宋体" w:eastAsia="宋体" w:cs="宋体"/>
                <w:sz w:val="21"/>
                <w:szCs w:val="21"/>
              </w:rPr>
              <w:t>文件，所有</w:t>
            </w:r>
            <w:r>
              <w:rPr>
                <w:rFonts w:hint="eastAsia" w:ascii="宋体" w:hAnsi="宋体" w:eastAsia="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eastAsia="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cs="宋体"/>
                <w:szCs w:val="21"/>
                <w:lang w:val="en-US" w:eastAsia="zh-CN"/>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kern w:val="0"/>
                <w:sz w:val="21"/>
                <w:szCs w:val="21"/>
              </w:rPr>
            </w:pPr>
            <w:r>
              <w:rPr>
                <w:rFonts w:hint="eastAsia" w:ascii="宋体" w:hAnsi="宋体" w:cs="宋体"/>
                <w:sz w:val="21"/>
                <w:szCs w:val="21"/>
                <w:lang w:val="en-US" w:eastAsia="zh-CN"/>
              </w:rPr>
              <w:t>5.</w:t>
            </w: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szCs w:val="21"/>
                <w:lang w:val="en-US" w:eastAsia="zh-CN"/>
              </w:rPr>
            </w:pPr>
            <w:r>
              <w:rPr>
                <w:rFonts w:hint="eastAsia" w:ascii="宋体" w:hAnsi="宋体" w:cs="宋体"/>
                <w:szCs w:val="21"/>
                <w:lang w:val="en-US" w:eastAsia="zh-CN"/>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lang w:eastAsia="zh-CN"/>
              </w:rPr>
            </w:pPr>
            <w:r>
              <w:rPr>
                <w:rFonts w:hint="eastAsia" w:ascii="宋体" w:hAnsi="宋体" w:eastAsia="宋体" w:cs="宋体"/>
                <w:szCs w:val="21"/>
              </w:rPr>
              <w:t>投标与开标注意事项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0"/>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bCs/>
                <w:szCs w:val="21"/>
              </w:rPr>
            </w:pPr>
            <w:r>
              <w:rPr>
                <w:rFonts w:hint="eastAsia" w:ascii="宋体" w:hAnsi="宋体" w:eastAsia="宋体" w:cs="宋体"/>
                <w:bCs/>
                <w:szCs w:val="21"/>
              </w:rPr>
              <w:t>1.本项目实行电子投标，投标人自行承担投标一切费用。</w:t>
            </w:r>
          </w:p>
          <w:p>
            <w:pPr>
              <w:pStyle w:val="10"/>
              <w:keepNext w:val="0"/>
              <w:keepLines w:val="0"/>
              <w:pageBreakBefore w:val="0"/>
              <w:kinsoku/>
              <w:wordWrap/>
              <w:overflowPunct/>
              <w:topLinePunct w:val="0"/>
              <w:bidi w:val="0"/>
              <w:adjustRightInd/>
              <w:snapToGrid/>
              <w:spacing w:line="300" w:lineRule="auto"/>
              <w:ind w:firstLine="420" w:firstLineChars="200"/>
              <w:textAlignment w:val="auto"/>
              <w:rPr>
                <w:rFonts w:hint="default"/>
                <w:lang w:val="en-US" w:eastAsia="zh-CN"/>
              </w:rPr>
            </w:pPr>
            <w:r>
              <w:rPr>
                <w:rFonts w:hint="eastAsia" w:ascii="宋体" w:hAnsi="宋体" w:eastAsia="宋体" w:cs="宋体"/>
                <w:bCs/>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cs="宋体"/>
                <w:szCs w:val="21"/>
                <w:lang w:val="en-US" w:eastAsia="zh-CN"/>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信用信息查询渠道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Cs w:val="21"/>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szCs w:val="21"/>
              </w:rPr>
              <w:t>http://www.creditchina.gov.cn</w:t>
            </w:r>
            <w:r>
              <w:rPr>
                <w:rFonts w:hint="eastAsia" w:ascii="宋体" w:hAnsi="宋体" w:eastAsia="宋体" w:cs="宋体"/>
                <w:szCs w:val="21"/>
              </w:rPr>
              <w:fldChar w:fldCharType="end"/>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中国政府采购网（网址：http://www.ccgp.gov.cn</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default" w:ascii="宋体" w:hAnsi="宋体" w:eastAsia="宋体" w:cs="宋体"/>
                <w:kern w:val="2"/>
                <w:sz w:val="21"/>
                <w:szCs w:val="21"/>
                <w:lang w:val="en-US" w:eastAsia="zh-CN" w:bidi="ar-SA"/>
              </w:rPr>
            </w:pPr>
            <w:r>
              <w:rPr>
                <w:rFonts w:hint="eastAsia" w:ascii="宋体" w:hAnsi="宋体" w:cs="宋体"/>
                <w:szCs w:val="21"/>
                <w:lang w:val="en-US" w:eastAsia="zh-CN"/>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auto"/>
                <w:szCs w:val="21"/>
              </w:rPr>
            </w:pPr>
            <w:r>
              <w:rPr>
                <w:rFonts w:hint="eastAsia" w:ascii="宋体" w:hAnsi="宋体" w:eastAsia="宋体" w:cs="宋体"/>
                <w:color w:val="auto"/>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auto"/>
                <w:szCs w:val="21"/>
                <w:lang w:eastAsia="zh-CN"/>
              </w:rPr>
            </w:pPr>
            <w:r>
              <w:rPr>
                <w:rFonts w:hint="eastAsia" w:ascii="宋体" w:hAnsi="宋体" w:eastAsia="宋体" w:cs="宋体"/>
                <w:color w:val="auto"/>
                <w:szCs w:val="21"/>
              </w:rPr>
              <w:t>根据《政府采购促进中小企业发展管理办法》</w:t>
            </w:r>
            <w:r>
              <w:rPr>
                <w:rFonts w:hint="eastAsia" w:ascii="宋体" w:hAnsi="宋体" w:cs="宋体"/>
                <w:color w:val="auto"/>
                <w:szCs w:val="21"/>
                <w:lang w:eastAsia="zh-CN"/>
              </w:rPr>
              <w:t>（</w:t>
            </w:r>
            <w:r>
              <w:rPr>
                <w:rFonts w:hint="eastAsia" w:ascii="宋体" w:hAnsi="宋体" w:eastAsia="宋体" w:cs="宋体"/>
                <w:color w:val="auto"/>
                <w:szCs w:val="21"/>
              </w:rPr>
              <w:t>财库〔2020〕46号</w:t>
            </w:r>
            <w:r>
              <w:rPr>
                <w:rFonts w:hint="eastAsia" w:ascii="宋体" w:hAnsi="宋体" w:cs="宋体"/>
                <w:color w:val="auto"/>
                <w:szCs w:val="21"/>
                <w:lang w:eastAsia="zh-CN"/>
              </w:rPr>
              <w:t>）</w:t>
            </w:r>
            <w:r>
              <w:rPr>
                <w:rFonts w:hint="eastAsia" w:ascii="宋体" w:hAnsi="宋体" w:eastAsia="宋体" w:cs="宋体"/>
                <w:color w:val="auto"/>
                <w:szCs w:val="21"/>
              </w:rPr>
              <w:t>文件的规定，本项目(□是 /</w:t>
            </w:r>
            <w:r>
              <w:rPr>
                <w:rFonts w:hint="eastAsia" w:ascii="宋体" w:hAnsi="宋体" w:cs="宋体"/>
                <w:color w:val="auto"/>
                <w:szCs w:val="21"/>
                <w:lang w:eastAsia="zh-CN"/>
              </w:rPr>
              <w:t>☑</w:t>
            </w:r>
            <w:r>
              <w:rPr>
                <w:rFonts w:hint="eastAsia" w:ascii="宋体" w:hAnsi="宋体" w:eastAsia="宋体" w:cs="宋体"/>
                <w:color w:val="auto"/>
                <w:szCs w:val="21"/>
              </w:rPr>
              <w:t xml:space="preserve"> 否</w:t>
            </w:r>
            <w:r>
              <w:rPr>
                <w:rFonts w:hint="eastAsia" w:ascii="宋体" w:hAnsi="宋体" w:eastAsia="宋体" w:cs="宋体"/>
                <w:color w:val="auto"/>
                <w:szCs w:val="21"/>
                <w:shd w:val="clear" w:color="auto" w:fill="FFFFFF"/>
              </w:rPr>
              <w:t>)</w:t>
            </w:r>
            <w:r>
              <w:rPr>
                <w:rFonts w:hint="eastAsia" w:ascii="宋体" w:hAnsi="宋体" w:eastAsia="宋体" w:cs="宋体"/>
                <w:color w:val="auto"/>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中小企业优惠措施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1.项目属性</w:t>
            </w:r>
            <w:r>
              <w:rPr>
                <w:rFonts w:hint="eastAsia" w:ascii="宋体" w:hAnsi="宋体" w:cs="宋体"/>
                <w:szCs w:val="21"/>
                <w:u w:val="none"/>
                <w:lang w:eastAsia="zh-CN"/>
              </w:rPr>
              <w:t>：</w:t>
            </w:r>
            <w:r>
              <w:rPr>
                <w:rFonts w:hint="eastAsia" w:ascii="宋体" w:hAnsi="宋体" w:eastAsia="宋体" w:cs="宋体"/>
                <w:szCs w:val="21"/>
                <w:u w:val="single"/>
              </w:rPr>
              <w:t>货物类</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lang w:eastAsia="zh-CN"/>
              </w:rPr>
            </w:pPr>
            <w:r>
              <w:rPr>
                <w:rFonts w:hint="eastAsia" w:ascii="宋体" w:hAnsi="宋体" w:eastAsia="宋体" w:cs="宋体"/>
                <w:szCs w:val="21"/>
              </w:rPr>
              <w:t>2.中小企业划分标准所属行业（具体根据《中小企业划型标准规定》执行）</w:t>
            </w:r>
            <w:r>
              <w:rPr>
                <w:rFonts w:hint="eastAsia" w:ascii="宋体" w:hAnsi="宋体" w:cs="宋体"/>
                <w:szCs w:val="21"/>
                <w:lang w:eastAsia="zh-CN"/>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采购标的：</w:t>
            </w:r>
            <w:r>
              <w:rPr>
                <w:rFonts w:hint="eastAsia" w:ascii="宋体" w:hAnsi="宋体" w:cs="宋体"/>
                <w:szCs w:val="21"/>
                <w:u w:val="single"/>
                <w:lang w:val="en-US" w:eastAsia="zh-CN"/>
              </w:rPr>
              <w:t>LED采购</w:t>
            </w:r>
            <w:r>
              <w:rPr>
                <w:rFonts w:hint="eastAsia" w:ascii="宋体" w:hAnsi="宋体" w:eastAsia="宋体" w:cs="宋体"/>
                <w:szCs w:val="21"/>
              </w:rPr>
              <w:t>，所属行业：</w:t>
            </w:r>
            <w:r>
              <w:rPr>
                <w:rFonts w:hint="eastAsia" w:ascii="宋体" w:hAnsi="宋体" w:cs="宋体"/>
                <w:szCs w:val="21"/>
                <w:u w:val="single"/>
                <w:lang w:val="en-US" w:eastAsia="zh-CN"/>
              </w:rPr>
              <w:t>制造业</w:t>
            </w:r>
            <w:r>
              <w:rPr>
                <w:rFonts w:hint="eastAsia" w:ascii="宋体" w:hAnsi="宋体" w:eastAsia="宋体" w:cs="宋体"/>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投标</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textAlignment w:val="auto"/>
              <w:rPr>
                <w:rFonts w:hint="eastAsia" w:ascii="宋体" w:hAnsi="宋体" w:eastAsia="宋体" w:cs="宋体"/>
                <w:color w:val="111F2C"/>
                <w:szCs w:val="21"/>
                <w:shd w:val="clear" w:color="auto" w:fill="FFFFFF"/>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kern w:val="0"/>
                <w:szCs w:val="21"/>
              </w:rPr>
            </w:pPr>
            <w:r>
              <w:rPr>
                <w:rFonts w:hint="eastAsia" w:ascii="宋体" w:hAnsi="宋体" w:eastAsia="宋体" w:cs="宋体"/>
                <w:szCs w:val="21"/>
                <w:lang w:val="zh-CN"/>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kern w:val="0"/>
                <w:szCs w:val="21"/>
                <w:lang w:val="zh-CN"/>
              </w:rPr>
              <w:t>带“</w:t>
            </w:r>
            <w:r>
              <w:rPr>
                <w:rFonts w:hint="eastAsia" w:ascii="宋体" w:hAnsi="宋体" w:eastAsia="宋体" w:cs="宋体"/>
                <w:bCs/>
                <w:szCs w:val="21"/>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带“★”的条款是</w:t>
            </w:r>
            <w:r>
              <w:rPr>
                <w:rFonts w:hint="eastAsia" w:ascii="宋体" w:hAnsi="宋体" w:eastAsia="宋体" w:cs="宋体"/>
              </w:rPr>
              <w:t>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Cs w:val="21"/>
              </w:rPr>
              <w:t>1</w:t>
            </w:r>
            <w:r>
              <w:rPr>
                <w:rFonts w:hint="eastAsia" w:ascii="宋体" w:hAnsi="宋体" w:cs="宋体"/>
                <w:szCs w:val="21"/>
                <w:lang w:val="en-US" w:eastAsia="zh-CN"/>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本招标文件解释权属于采购人和采购组织机构。</w:t>
            </w:r>
          </w:p>
        </w:tc>
      </w:tr>
    </w:tbl>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tabs>
          <w:tab w:val="left" w:pos="7980"/>
        </w:tabs>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sz w:val="24"/>
        </w:rPr>
        <w:t>人</w:t>
      </w:r>
      <w:r>
        <w:rPr>
          <w:rFonts w:asciiTheme="minorEastAsia" w:hAnsiTheme="minorEastAsia" w:eastAsiaTheme="minorEastAsia"/>
          <w:sz w:val="24"/>
        </w:rPr>
        <w:t>承担。</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9"/>
        <w:spacing w:line="360" w:lineRule="auto"/>
        <w:ind w:firstLine="480" w:firstLineChars="200"/>
      </w:pPr>
      <w: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pStyle w:val="18"/>
        <w:spacing w:after="0" w:line="360" w:lineRule="auto"/>
        <w:ind w:left="0" w:leftChars="0" w:firstLine="480" w:firstLineChars="200"/>
        <w:rPr>
          <w:rFonts w:hint="eastAsia" w:eastAsia="宋体"/>
          <w:lang w:eastAsia="zh-CN"/>
        </w:rPr>
      </w:pPr>
      <w:r>
        <w:rPr>
          <w:rFonts w:hint="eastAsia" w:ascii="宋体" w:hAnsi="宋体"/>
          <w:sz w:val="24"/>
        </w:rPr>
        <w:t>5.联合体：</w:t>
      </w:r>
      <w:r>
        <w:rPr>
          <w:rFonts w:hint="eastAsia"/>
          <w:sz w:val="24"/>
        </w:rPr>
        <w:t>两个或两个以上法人或者其他组织可以组成一个联合体，以一个投标人的身份共同投标</w:t>
      </w:r>
      <w:r>
        <w:rPr>
          <w:rFonts w:hint="eastAsia"/>
          <w:sz w:val="24"/>
          <w:lang w:eastAsia="zh-CN"/>
        </w:rPr>
        <w:t>。</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宋体" w:hAnsi="宋体" w:cs="宋体"/>
          <w:sz w:val="24"/>
        </w:rPr>
      </w:pPr>
      <w:r>
        <w:rPr>
          <w:rFonts w:hint="eastAsia" w:asciiTheme="minorEastAsia" w:hAnsiTheme="minorEastAsia" w:eastAsiaTheme="minorEastAsia"/>
          <w:sz w:val="24"/>
        </w:rPr>
        <w:t>4.联合体各方中至少应当有一方符合采购人规定的资格要求。由同一资质条件的投</w:t>
      </w:r>
      <w:r>
        <w:rPr>
          <w:rFonts w:hint="eastAsia" w:ascii="宋体" w:hAnsi="宋体" w:cs="宋体"/>
          <w:sz w:val="24"/>
        </w:rPr>
        <w:t>标人组成的联合体，应当按照资质等级较低的投标人确定联合体资质等级；</w:t>
      </w:r>
    </w:p>
    <w:p>
      <w:pPr>
        <w:snapToGrid w:val="0"/>
        <w:spacing w:line="360" w:lineRule="auto"/>
        <w:ind w:firstLine="480" w:firstLineChars="200"/>
        <w:rPr>
          <w:rFonts w:ascii="宋体" w:hAnsi="宋体" w:cs="宋体"/>
          <w:sz w:val="24"/>
        </w:rPr>
      </w:pPr>
      <w:r>
        <w:rPr>
          <w:rFonts w:hint="eastAsia" w:ascii="宋体" w:hAnsi="宋体" w:cs="宋体"/>
          <w:sz w:val="24"/>
        </w:rPr>
        <w:t>5.联合体各方不得再以自己名义单独在同一合同项中投标，也不得组成新的联合体参加同一项目投标；</w:t>
      </w:r>
    </w:p>
    <w:p>
      <w:pPr>
        <w:snapToGrid w:val="0"/>
        <w:spacing w:line="360" w:lineRule="auto"/>
        <w:ind w:firstLine="480" w:firstLineChars="200"/>
        <w:rPr>
          <w:rFonts w:ascii="宋体" w:hAnsi="宋体" w:cs="宋体"/>
          <w:sz w:val="24"/>
        </w:rPr>
      </w:pPr>
      <w:r>
        <w:rPr>
          <w:rFonts w:hint="eastAsia" w:ascii="宋体" w:hAnsi="宋体" w:cs="宋体"/>
          <w:sz w:val="24"/>
        </w:rPr>
        <w:t>6.联合体各方应当共同与采购人签订采购合同，就合同约定的事项对采购人承担连带责任；</w:t>
      </w:r>
    </w:p>
    <w:p>
      <w:pPr>
        <w:snapToGrid w:val="0"/>
        <w:spacing w:line="360" w:lineRule="auto"/>
        <w:ind w:firstLine="480" w:firstLineChars="200"/>
        <w:rPr>
          <w:rFonts w:ascii="宋体" w:hAnsi="宋体" w:cs="宋体"/>
          <w:sz w:val="24"/>
        </w:rPr>
      </w:pPr>
      <w:r>
        <w:rPr>
          <w:rFonts w:hint="eastAsia" w:ascii="宋体" w:hAnsi="宋体" w:cs="宋体"/>
          <w:sz w:val="24"/>
        </w:rPr>
        <w:t>7.投标时，应以联合体协议中确定的主体方名义投标，对联合体各方均具有约束力。</w:t>
      </w:r>
    </w:p>
    <w:p>
      <w:pPr>
        <w:snapToGrid w:val="0"/>
        <w:spacing w:line="360" w:lineRule="auto"/>
        <w:ind w:firstLine="482" w:firstLineChars="200"/>
        <w:rPr>
          <w:rFonts w:ascii="宋体" w:hAnsi="宋体" w:cs="宋体"/>
          <w:b/>
          <w:bCs/>
          <w:sz w:val="24"/>
        </w:rPr>
      </w:pPr>
      <w:r>
        <w:rPr>
          <w:rFonts w:hint="eastAsia" w:ascii="宋体" w:hAnsi="宋体" w:cs="宋体"/>
          <w:b/>
          <w:bCs/>
          <w:sz w:val="24"/>
        </w:rPr>
        <w:t>（五）语言文字以及度量衡单位</w:t>
      </w:r>
    </w:p>
    <w:p>
      <w:pPr>
        <w:snapToGrid w:val="0"/>
        <w:spacing w:line="360" w:lineRule="auto"/>
        <w:ind w:firstLine="480" w:firstLineChars="200"/>
        <w:rPr>
          <w:rFonts w:ascii="宋体" w:hAnsi="宋体" w:cs="宋体"/>
          <w:sz w:val="24"/>
        </w:rPr>
      </w:pPr>
      <w:r>
        <w:rPr>
          <w:rFonts w:hint="eastAsia" w:ascii="宋体" w:hAnsi="宋体" w:cs="宋体"/>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宋体" w:hAnsi="宋体" w:cs="宋体"/>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宋体" w:hAnsi="宋体" w:cs="宋体"/>
          <w:sz w:val="24"/>
        </w:rPr>
      </w:pPr>
      <w:r>
        <w:rPr>
          <w:rFonts w:hint="eastAsia" w:ascii="宋体" w:hAnsi="宋体" w:cs="宋体"/>
          <w:sz w:val="24"/>
        </w:rPr>
        <w:t>2.所有计量均采用中国法定的计量单位。</w:t>
      </w:r>
    </w:p>
    <w:p>
      <w:pPr>
        <w:snapToGrid w:val="0"/>
        <w:spacing w:line="360" w:lineRule="auto"/>
        <w:ind w:firstLine="480" w:firstLineChars="200"/>
        <w:rPr>
          <w:rFonts w:ascii="宋体" w:hAnsi="宋体" w:cs="宋体"/>
          <w:sz w:val="24"/>
        </w:rPr>
      </w:pPr>
      <w:r>
        <w:rPr>
          <w:rFonts w:hint="eastAsia" w:ascii="宋体" w:hAnsi="宋体" w:cs="宋体"/>
          <w:sz w:val="24"/>
        </w:rPr>
        <w:t>3.所有报价一律使用人民币，货币单位：元。</w:t>
      </w:r>
    </w:p>
    <w:p>
      <w:pPr>
        <w:pStyle w:val="26"/>
        <w:tabs>
          <w:tab w:val="left" w:pos="437"/>
        </w:tabs>
        <w:spacing w:line="360" w:lineRule="auto"/>
        <w:ind w:firstLine="482"/>
        <w:rPr>
          <w:rFonts w:ascii="宋体" w:hAnsi="宋体" w:cs="宋体"/>
          <w:b/>
          <w:bCs/>
          <w:sz w:val="24"/>
          <w:szCs w:val="24"/>
        </w:rPr>
      </w:pPr>
      <w:r>
        <w:rPr>
          <w:rFonts w:hint="eastAsia" w:ascii="宋体" w:hAnsi="宋体" w:cs="宋体"/>
          <w:b/>
          <w:bCs/>
          <w:sz w:val="24"/>
          <w:szCs w:val="24"/>
        </w:rPr>
        <w:t>（六）现场踏勘</w:t>
      </w:r>
    </w:p>
    <w:p>
      <w:pPr>
        <w:snapToGrid w:val="0"/>
        <w:spacing w:line="360" w:lineRule="auto"/>
        <w:ind w:firstLine="480" w:firstLineChars="200"/>
        <w:rPr>
          <w:rFonts w:ascii="宋体" w:hAnsi="宋体" w:cs="宋体"/>
          <w:sz w:val="24"/>
        </w:rPr>
      </w:pPr>
      <w:r>
        <w:rPr>
          <w:rFonts w:hint="eastAsia" w:ascii="宋体" w:hAnsi="宋体" w:cs="宋体"/>
          <w:sz w:val="24"/>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sz w:val="24"/>
        </w:rPr>
      </w:pPr>
      <w:r>
        <w:rPr>
          <w:rFonts w:hint="eastAsia" w:ascii="宋体" w:hAnsi="宋体" w:cs="宋体"/>
          <w:sz w:val="24"/>
        </w:rPr>
        <w:t>2.投标人自行承担踏勘现场发生的责任、风险和自身费用。</w:t>
      </w:r>
    </w:p>
    <w:p>
      <w:pPr>
        <w:snapToGrid w:val="0"/>
        <w:spacing w:line="360" w:lineRule="auto"/>
        <w:ind w:firstLine="480" w:firstLineChars="200"/>
        <w:rPr>
          <w:rFonts w:ascii="宋体" w:hAnsi="宋体" w:cs="宋体"/>
          <w:sz w:val="24"/>
        </w:rPr>
      </w:pPr>
      <w:r>
        <w:rPr>
          <w:rFonts w:hint="eastAsia" w:ascii="宋体" w:hAnsi="宋体" w:cs="宋体"/>
          <w:sz w:val="24"/>
        </w:rPr>
        <w:t>3.采购人在踏勘现场中介绍的资料和数据等，不构成对招标文件的修改或不作为投标人编制投标文件的依据。</w:t>
      </w:r>
    </w:p>
    <w:p>
      <w:pPr>
        <w:pStyle w:val="10"/>
        <w:snapToGrid w:val="0"/>
        <w:spacing w:line="360" w:lineRule="auto"/>
        <w:ind w:firstLine="482" w:firstLineChars="200"/>
        <w:rPr>
          <w:rFonts w:hAnsi="宋体" w:cs="宋体"/>
          <w:b/>
          <w:sz w:val="24"/>
        </w:rPr>
      </w:pPr>
      <w:r>
        <w:rPr>
          <w:rFonts w:hint="eastAsia" w:hAnsi="宋体" w:cs="宋体"/>
          <w:b/>
          <w:sz w:val="24"/>
        </w:rPr>
        <w:t>（七）特别说明</w:t>
      </w:r>
    </w:p>
    <w:p>
      <w:pPr>
        <w:pStyle w:val="10"/>
        <w:snapToGrid w:val="0"/>
        <w:spacing w:line="360" w:lineRule="auto"/>
        <w:ind w:firstLine="480" w:firstLineChars="200"/>
        <w:rPr>
          <w:rFonts w:hAnsi="宋体" w:cs="宋体"/>
          <w:sz w:val="24"/>
        </w:rPr>
      </w:pPr>
      <w:r>
        <w:rPr>
          <w:rFonts w:hint="eastAsia" w:hAnsi="宋体" w:cs="宋体"/>
          <w:sz w:val="24"/>
        </w:rPr>
        <w:t>1.投标人投标所使用的资格、信誉、荣誉、业绩与企业认证必须为本法人所拥有且所提供的资料都是真实有效的。投标人投标所使用的采购项目实施人员必须为本法人员工。</w:t>
      </w:r>
    </w:p>
    <w:p>
      <w:pPr>
        <w:pStyle w:val="26"/>
        <w:snapToGrid w:val="0"/>
        <w:spacing w:line="360" w:lineRule="auto"/>
        <w:ind w:firstLine="480"/>
        <w:rPr>
          <w:rFonts w:ascii="宋体" w:hAnsi="宋体" w:cs="宋体"/>
          <w:sz w:val="24"/>
          <w:szCs w:val="24"/>
        </w:rPr>
      </w:pPr>
      <w:r>
        <w:rPr>
          <w:rFonts w:hint="eastAsia" w:ascii="宋体" w:hAnsi="宋体" w:cs="宋体"/>
          <w:sz w:val="24"/>
          <w:szCs w:val="24"/>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而招标文件中未明确规定要求“提供官网截图或相应检测报告的证明材料”的，应提供其他具体有效的证明材料。</w:t>
      </w:r>
    </w:p>
    <w:p>
      <w:pPr>
        <w:pStyle w:val="26"/>
        <w:snapToGrid w:val="0"/>
        <w:spacing w:line="360" w:lineRule="auto"/>
        <w:ind w:firstLine="480"/>
        <w:rPr>
          <w:rFonts w:ascii="宋体" w:hAnsi="宋体" w:cs="宋体"/>
          <w:sz w:val="24"/>
          <w:szCs w:val="24"/>
        </w:rPr>
      </w:pPr>
      <w:r>
        <w:rPr>
          <w:rFonts w:hint="eastAsia" w:ascii="宋体" w:hAnsi="宋体" w:cs="宋体"/>
          <w:sz w:val="24"/>
          <w:szCs w:val="24"/>
        </w:rPr>
        <w:t>3.本招标文件中关于电子招投标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6"/>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7"/>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文件。【特别提示：如在投标时有要求提供资料原件的，将原件扫描放入投标文件】若参与多标项投标的，则按每个标项分别独立编制投标文件。</w:t>
      </w:r>
    </w:p>
    <w:p>
      <w:pPr>
        <w:snapToGrid w:val="0"/>
        <w:spacing w:line="360" w:lineRule="auto"/>
        <w:ind w:firstLine="482" w:firstLineChars="200"/>
        <w:rPr>
          <w:rFonts w:hint="eastAsia" w:ascii="宋体" w:hAnsi="宋体"/>
          <w:b/>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授权委托书（法定代表人亲自办理投标事宜的，则无需提交</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7"/>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（1）技术方案描述部分</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①投标人情况介绍（人员与技术力量、经营业绩等）；</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②项目需求的理解与分析</w:t>
      </w:r>
      <w:r>
        <w:rPr>
          <w:rFonts w:hint="eastAsia" w:ascii="宋体" w:hAnsi="宋体" w:cs="宋体"/>
          <w:sz w:val="24"/>
          <w:szCs w:val="24"/>
          <w:lang w:eastAsia="zh-CN"/>
        </w:rPr>
        <w:t>（</w:t>
      </w:r>
      <w:r>
        <w:rPr>
          <w:rFonts w:hint="eastAsia" w:ascii="宋体" w:hAnsi="宋体" w:cs="宋体"/>
          <w:sz w:val="24"/>
          <w:szCs w:val="24"/>
        </w:rPr>
        <w:t>投标人对项目现状及需求的理解</w:t>
      </w:r>
      <w:r>
        <w:rPr>
          <w:rFonts w:hint="eastAsia" w:ascii="宋体" w:hAnsi="宋体" w:cs="宋体"/>
          <w:sz w:val="24"/>
          <w:szCs w:val="24"/>
          <w:lang w:eastAsia="zh-CN"/>
        </w:rPr>
        <w:t>状况</w:t>
      </w:r>
      <w:r>
        <w:rPr>
          <w:rFonts w:hint="eastAsia" w:ascii="宋体" w:hAnsi="宋体" w:cs="宋体"/>
          <w:sz w:val="24"/>
          <w:szCs w:val="24"/>
        </w:rPr>
        <w:t>，对项目现状和需求描述的全面性、准确性、针对性，项目功能设计完备、对系统各组成部分等功能进行准确的分析，对项目重点、难点的把握，解决方案及合理化建议</w:t>
      </w:r>
      <w:r>
        <w:rPr>
          <w:rFonts w:hint="eastAsia" w:ascii="宋体" w:hAnsi="宋体" w:cs="宋体"/>
          <w:sz w:val="24"/>
          <w:szCs w:val="24"/>
          <w:lang w:eastAsia="zh-CN"/>
        </w:rPr>
        <w:t>）</w:t>
      </w:r>
      <w:r>
        <w:rPr>
          <w:rFonts w:hint="eastAsia" w:ascii="宋体" w:hAnsi="宋体" w:cs="宋体"/>
          <w:sz w:val="24"/>
          <w:szCs w:val="24"/>
        </w:rPr>
        <w:t>；</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③项目组织实施方案（包括项目工期、确保项目供货的措施或方案、项目实施进度安排、项目实施人员及项目负责人的资质、类似经验及社保证明等）；</w:t>
      </w:r>
    </w:p>
    <w:p>
      <w:pPr>
        <w:pStyle w:val="7"/>
        <w:widowControl/>
        <w:adjustRightInd w:val="0"/>
        <w:snapToGrid w:val="0"/>
        <w:spacing w:line="360" w:lineRule="auto"/>
        <w:ind w:firstLine="480" w:firstLineChars="200"/>
        <w:rPr>
          <w:rFonts w:ascii="宋体" w:hAnsi="宋体" w:cs="宋体" w:eastAsiaTheme="minorEastAsia"/>
          <w:sz w:val="24"/>
          <w:szCs w:val="24"/>
        </w:rPr>
      </w:pPr>
      <w:r>
        <w:rPr>
          <w:rFonts w:hint="eastAsia" w:asciiTheme="minorEastAsia" w:hAnsiTheme="minorEastAsia" w:eastAsiaTheme="minorEastAsia"/>
          <w:kern w:val="0"/>
          <w:sz w:val="24"/>
          <w:szCs w:val="24"/>
        </w:rPr>
        <w:t>④</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7"/>
        <w:widowControl/>
        <w:adjustRightInd w:val="0"/>
        <w:snapToGrid w:val="0"/>
        <w:spacing w:line="360" w:lineRule="auto"/>
        <w:ind w:firstLine="482" w:firstLineChars="200"/>
        <w:rPr>
          <w:rFonts w:hint="eastAsia" w:ascii="宋体" w:hAnsi="宋体" w:eastAsia="宋体" w:cs="宋体"/>
          <w:b/>
          <w:bCs/>
          <w:sz w:val="24"/>
          <w:szCs w:val="24"/>
          <w:lang w:eastAsia="zh-CN"/>
        </w:rPr>
      </w:pPr>
      <w:r>
        <w:rPr>
          <w:rFonts w:hint="eastAsia" w:ascii="宋体" w:hAnsi="宋体" w:cs="宋体"/>
          <w:b/>
          <w:bCs/>
          <w:sz w:val="24"/>
          <w:szCs w:val="24"/>
        </w:rPr>
        <w:t>（2）投标产品描述部分</w:t>
      </w:r>
    </w:p>
    <w:p>
      <w:pPr>
        <w:pStyle w:val="7"/>
        <w:widowControl/>
        <w:adjustRightInd w:val="0"/>
        <w:snapToGrid w:val="0"/>
        <w:spacing w:line="360" w:lineRule="auto"/>
        <w:ind w:firstLine="480" w:firstLineChars="200"/>
        <w:rPr>
          <w:rFonts w:ascii="宋体" w:hAnsi="宋体" w:cs="宋体"/>
          <w:sz w:val="24"/>
          <w:szCs w:val="24"/>
        </w:rPr>
      </w:pPr>
      <w:r>
        <w:rPr>
          <w:rFonts w:hint="eastAsia"/>
          <w:sz w:val="24"/>
        </w:rPr>
        <w:t>①投标产品描述及相关资料；</w:t>
      </w:r>
    </w:p>
    <w:p>
      <w:pPr>
        <w:pStyle w:val="7"/>
        <w:widowControl/>
        <w:adjustRightInd w:val="0"/>
        <w:snapToGrid w:val="0"/>
        <w:spacing w:line="360" w:lineRule="auto"/>
        <w:ind w:firstLine="480" w:firstLineChars="200"/>
        <w:rPr>
          <w:sz w:val="24"/>
        </w:rPr>
      </w:pPr>
      <w:r>
        <w:rPr>
          <w:rFonts w:hint="eastAsia"/>
          <w:sz w:val="24"/>
        </w:rPr>
        <w:t>②技术需求响应表；</w:t>
      </w:r>
    </w:p>
    <w:p>
      <w:pPr>
        <w:pStyle w:val="7"/>
        <w:widowControl/>
        <w:adjustRightInd w:val="0"/>
        <w:snapToGrid w:val="0"/>
        <w:spacing w:line="360" w:lineRule="auto"/>
        <w:ind w:firstLine="480" w:firstLineChars="200"/>
        <w:rPr>
          <w:rFonts w:ascii="宋体" w:hAnsi="宋体" w:cs="宋体"/>
          <w:sz w:val="24"/>
          <w:szCs w:val="24"/>
        </w:rPr>
      </w:pPr>
      <w:r>
        <w:rPr>
          <w:rFonts w:hint="eastAsia"/>
          <w:sz w:val="24"/>
        </w:rPr>
        <w:t>③投标人</w:t>
      </w:r>
      <w:r>
        <w:rPr>
          <w:sz w:val="24"/>
        </w:rPr>
        <w:t>需要说明的其他</w:t>
      </w:r>
      <w:r>
        <w:rPr>
          <w:rFonts w:hint="eastAsia"/>
          <w:sz w:val="24"/>
        </w:rPr>
        <w:t>内容（包括可能影响投标人技术性能评分项的各类证明材料）。</w:t>
      </w:r>
    </w:p>
    <w:p>
      <w:pPr>
        <w:autoSpaceDE w:val="0"/>
        <w:autoSpaceDN w:val="0"/>
        <w:adjustRightInd w:val="0"/>
        <w:spacing w:line="360" w:lineRule="auto"/>
        <w:ind w:firstLine="482" w:firstLineChars="200"/>
        <w:rPr>
          <w:rFonts w:hint="eastAsia" w:asciiTheme="minorEastAsia" w:hAnsiTheme="minorEastAsia" w:eastAsiaTheme="minorEastAsia"/>
          <w:b/>
          <w:bCs/>
          <w:kern w:val="0"/>
          <w:sz w:val="24"/>
          <w:lang w:eastAsia="zh-CN"/>
        </w:rPr>
      </w:pPr>
      <w:r>
        <w:rPr>
          <w:rFonts w:hint="eastAsia" w:asciiTheme="minorEastAsia" w:hAnsiTheme="minorEastAsia" w:eastAsiaTheme="minorEastAsia"/>
          <w:b/>
          <w:bCs/>
          <w:kern w:val="0"/>
          <w:sz w:val="24"/>
        </w:rPr>
        <w:t>（3）商务及其他部分</w:t>
      </w:r>
    </w:p>
    <w:p>
      <w:pPr>
        <w:autoSpaceDE w:val="0"/>
        <w:autoSpaceDN w:val="0"/>
        <w:adjustRightInd w:val="0"/>
        <w:spacing w:line="360" w:lineRule="auto"/>
        <w:ind w:firstLine="480" w:firstLineChars="200"/>
        <w:rPr>
          <w:rFonts w:ascii="宋体" w:hAnsi="宋体" w:cs="宋体"/>
          <w:sz w:val="24"/>
        </w:rPr>
      </w:pPr>
      <w:r>
        <w:rPr>
          <w:rFonts w:hint="eastAsia"/>
          <w:sz w:val="24"/>
        </w:rPr>
        <w:t>①证书一览表（</w:t>
      </w:r>
      <w:r>
        <w:rPr>
          <w:rFonts w:hint="eastAsia" w:asciiTheme="minorEastAsia" w:hAnsiTheme="minorEastAsia" w:eastAsiaTheme="minorEastAsia"/>
          <w:sz w:val="24"/>
        </w:rPr>
        <w:t>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7"/>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②近三年来类似项目的成功案例（投标人类似项目实施情况一览表、合同及其相应的发票、用户验收报告等）；</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③售后服务描述及承诺</w:t>
      </w:r>
    </w:p>
    <w:p>
      <w:pPr>
        <w:pStyle w:val="7"/>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7"/>
        <w:widowControl/>
        <w:adjustRightInd w:val="0"/>
        <w:snapToGrid w:val="0"/>
        <w:spacing w:line="360" w:lineRule="auto"/>
        <w:ind w:firstLine="480" w:firstLineChars="200"/>
        <w:rPr>
          <w:rFonts w:hint="eastAsia" w:ascii="宋体" w:hAnsi="宋体" w:eastAsia="宋体" w:cs="宋体"/>
          <w:sz w:val="24"/>
          <w:szCs w:val="24"/>
          <w:lang w:val="en-US" w:eastAsia="zh-CN"/>
        </w:rPr>
      </w:pPr>
      <w:r>
        <w:rPr>
          <w:rFonts w:hint="eastAsia" w:ascii="宋体" w:hAnsi="宋体" w:cs="宋体"/>
          <w:sz w:val="24"/>
          <w:szCs w:val="24"/>
        </w:rPr>
        <w:t>B.针对本项目的售后服务措施及承诺（售后技术服务方案、人员配备、故障响应时间、技术培训方案等）</w:t>
      </w:r>
      <w:r>
        <w:rPr>
          <w:rFonts w:hint="eastAsia" w:ascii="宋体" w:hAnsi="宋体" w:cs="宋体"/>
          <w:sz w:val="24"/>
          <w:szCs w:val="24"/>
          <w:lang w:eastAsia="zh-CN"/>
        </w:rPr>
        <w:t>；</w:t>
      </w:r>
    </w:p>
    <w:p>
      <w:pPr>
        <w:snapToGrid w:val="0"/>
        <w:spacing w:line="360" w:lineRule="auto"/>
        <w:ind w:firstLine="480" w:firstLineChars="200"/>
        <w:rPr>
          <w:rFonts w:ascii="宋体" w:hAnsi="宋体" w:cs="宋体"/>
          <w:sz w:val="24"/>
        </w:rPr>
      </w:pPr>
      <w:r>
        <w:rPr>
          <w:rFonts w:hint="eastAsia" w:ascii="宋体" w:hAnsi="宋体" w:cs="宋体"/>
          <w:sz w:val="24"/>
        </w:rPr>
        <w:t>④投标人认为需要提供的其他资料（包括可能影响投标人商务与技术文件评分的各类证明材料）。</w:t>
      </w:r>
    </w:p>
    <w:p>
      <w:pPr>
        <w:autoSpaceDE w:val="0"/>
        <w:autoSpaceDN w:val="0"/>
        <w:adjustRightInd w:val="0"/>
        <w:spacing w:line="360" w:lineRule="auto"/>
        <w:ind w:left="426" w:firstLine="65" w:firstLineChars="27"/>
        <w:rPr>
          <w:rFonts w:hint="eastAsia" w:asciiTheme="minorEastAsia" w:hAnsiTheme="minorEastAsia" w:eastAsiaTheme="minorEastAsia"/>
          <w:b/>
          <w:kern w:val="0"/>
          <w:sz w:val="24"/>
          <w:lang w:eastAsia="zh-CN"/>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（1）开标一览表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eastAsia="zh-CN"/>
        </w:rPr>
      </w:pPr>
      <w:r>
        <w:rPr>
          <w:rFonts w:hint="eastAsia" w:asciiTheme="minorEastAsia" w:hAnsiTheme="minorEastAsia" w:eastAsiaTheme="minorEastAsia"/>
          <w:kern w:val="0"/>
          <w:sz w:val="24"/>
        </w:rPr>
        <w:t>（2）报价明细表</w:t>
      </w:r>
      <w:r>
        <w:rPr>
          <w:rFonts w:hint="eastAsia" w:asciiTheme="minorEastAsia" w:hAnsiTheme="minorEastAsia" w:eastAsiaTheme="minorEastAsia"/>
          <w:kern w:val="0"/>
          <w:sz w:val="24"/>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kern w:val="0"/>
          <w:sz w:val="24"/>
          <w:lang w:val="en-GB" w:eastAsia="zh-CN"/>
        </w:rPr>
      </w:pPr>
      <w:r>
        <w:rPr>
          <w:rFonts w:hint="eastAsia" w:asciiTheme="minorEastAsia" w:hAnsiTheme="minorEastAsia" w:eastAsiaTheme="minorEastAsia"/>
          <w:kern w:val="0"/>
          <w:sz w:val="24"/>
        </w:rPr>
        <w:t>（3）</w:t>
      </w:r>
      <w:r>
        <w:rPr>
          <w:rFonts w:hint="eastAsia" w:asciiTheme="minorEastAsia" w:hAnsiTheme="minorEastAsia" w:eastAsiaTheme="minorEastAsia"/>
          <w:color w:val="000000" w:themeColor="text1"/>
          <w:kern w:val="0"/>
          <w:sz w:val="24"/>
          <w14:textFill>
            <w14:solidFill>
              <w14:schemeClr w14:val="tx1"/>
            </w14:solidFill>
          </w14:textFill>
        </w:rPr>
        <w:t>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kern w:val="0"/>
          <w:sz w:val="24"/>
          <w:lang w:val="en-GB" w:eastAsia="zh-CN"/>
        </w:rPr>
        <w:t>；</w:t>
      </w:r>
    </w:p>
    <w:p>
      <w:pPr>
        <w:autoSpaceDE w:val="0"/>
        <w:autoSpaceDN w:val="0"/>
        <w:adjustRightInd w:val="0"/>
        <w:spacing w:line="360" w:lineRule="auto"/>
        <w:ind w:firstLine="480" w:firstLineChars="200"/>
        <w:rPr>
          <w:rFonts w:hint="eastAsia" w:asciiTheme="minorEastAsia" w:hAnsiTheme="minorEastAsia" w:eastAsiaTheme="minorEastAsia"/>
          <w:b/>
          <w:kern w:val="0"/>
          <w:sz w:val="24"/>
          <w:lang w:eastAsia="zh-CN"/>
        </w:rPr>
      </w:pPr>
      <w:r>
        <w:rPr>
          <w:rFonts w:hint="eastAsia" w:asciiTheme="minorEastAsia" w:hAnsiTheme="minorEastAsia" w:eastAsiaTheme="minorEastAsia"/>
          <w:kern w:val="0"/>
          <w:sz w:val="24"/>
        </w:rPr>
        <w:t>（4）针对报价投标人认为其他需要说明的</w:t>
      </w:r>
      <w:r>
        <w:rPr>
          <w:rFonts w:hint="eastAsia" w:asciiTheme="minorEastAsia" w:hAnsiTheme="minorEastAsia" w:eastAsiaTheme="minorEastAsia"/>
          <w:kern w:val="0"/>
          <w:sz w:val="24"/>
          <w:lang w:eastAsia="zh-CN"/>
        </w:rPr>
        <w:t>。</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（二）投标报价</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7"/>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7"/>
        <w:spacing w:line="360" w:lineRule="auto"/>
        <w:ind w:firstLine="480" w:firstLineChars="200"/>
        <w:rPr>
          <w:rFonts w:ascii="宋体" w:hAnsi="宋体"/>
          <w:sz w:val="24"/>
          <w:lang w:val="en-GB"/>
        </w:rPr>
      </w:pPr>
      <w:r>
        <w:rPr>
          <w:rFonts w:hint="eastAsia" w:ascii="宋体" w:hAnsi="宋体"/>
          <w:sz w:val="24"/>
        </w:rPr>
        <w:t>1.投标文件有效期为</w:t>
      </w:r>
      <w:r>
        <w:rPr>
          <w:rFonts w:hint="eastAsia" w:ascii="宋体" w:hAnsi="宋体"/>
          <w:sz w:val="24"/>
          <w:lang w:val="en-GB"/>
        </w:rPr>
        <w:t>投标截止日起90天。</w:t>
      </w:r>
    </w:p>
    <w:p>
      <w:pPr>
        <w:pStyle w:val="7"/>
        <w:spacing w:line="360" w:lineRule="auto"/>
        <w:ind w:firstLine="480" w:firstLineChars="200"/>
        <w:rPr>
          <w:rFonts w:ascii="宋体" w:hAnsi="宋体"/>
          <w:sz w:val="24"/>
          <w:lang w:val="en-GB"/>
        </w:rPr>
      </w:pPr>
      <w:r>
        <w:rPr>
          <w:rFonts w:hint="eastAsia" w:ascii="宋体" w:hAnsi="宋体"/>
          <w:sz w:val="24"/>
        </w:rPr>
        <w:t>2.</w:t>
      </w:r>
      <w:r>
        <w:rPr>
          <w:rFonts w:hint="eastAsia" w:ascii="宋体" w:hAnsi="宋体"/>
          <w:sz w:val="24"/>
          <w:lang w:val="en-GB"/>
        </w:rPr>
        <w:t>在特殊情况下，采购人可与投标人协商延长投标文件的有效期。</w:t>
      </w:r>
    </w:p>
    <w:p>
      <w:pPr>
        <w:snapToGrid w:val="0"/>
        <w:spacing w:line="360" w:lineRule="auto"/>
        <w:ind w:firstLine="480" w:firstLineChars="200"/>
        <w:outlineLvl w:val="0"/>
        <w:rPr>
          <w:rFonts w:asciiTheme="minorEastAsia" w:hAnsiTheme="minorEastAsia" w:eastAsiaTheme="minorEastAsia"/>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投标文件</w:t>
      </w:r>
      <w:r>
        <w:rPr>
          <w:rFonts w:asciiTheme="minorEastAsia" w:hAnsiTheme="minorEastAsia" w:eastAsiaTheme="minorEastAsia"/>
          <w:sz w:val="24"/>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7"/>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hint="eastAsia" w:asciiTheme="minorEastAsia" w:hAnsiTheme="minorEastAsia" w:eastAsiaTheme="minorEastAsia"/>
          <w:b/>
          <w:sz w:val="24"/>
          <w:lang w:eastAsia="zh-CN"/>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7"/>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7"/>
        <w:spacing w:line="360" w:lineRule="auto"/>
        <w:ind w:firstLine="480" w:firstLineChars="200"/>
        <w:rPr>
          <w:sz w:val="24"/>
          <w:szCs w:val="22"/>
        </w:rPr>
      </w:pPr>
      <w:r>
        <w:rPr>
          <w:rFonts w:hint="eastAsia" w:cs="宋体" w:asciiTheme="minorEastAsia" w:hAnsiTheme="minorEastAsia" w:eastAsiaTheme="minorEastAsia"/>
          <w:sz w:val="24"/>
          <w:szCs w:val="24"/>
        </w:rPr>
        <w:t>4.采</w:t>
      </w:r>
      <w:r>
        <w:rPr>
          <w:rFonts w:hint="eastAsia"/>
          <w:sz w:val="24"/>
          <w:szCs w:val="22"/>
        </w:rPr>
        <w:t>购组织机构工作人员当众宣布投标人名称、投标价格和招标文件规定的需要宣布的其他内容（以开标一览表要求为准）；</w:t>
      </w:r>
    </w:p>
    <w:p>
      <w:pPr>
        <w:pStyle w:val="7"/>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7"/>
        <w:spacing w:line="360" w:lineRule="auto"/>
        <w:ind w:firstLine="482" w:firstLineChars="200"/>
        <w:rPr>
          <w:b/>
          <w:bCs/>
          <w:sz w:val="24"/>
          <w:szCs w:val="22"/>
        </w:rPr>
      </w:pPr>
      <w:r>
        <w:rPr>
          <w:rFonts w:hint="eastAsia"/>
          <w:b/>
          <w:bCs/>
          <w:sz w:val="24"/>
          <w:szCs w:val="22"/>
        </w:rPr>
        <w:t>（二）开标异议</w:t>
      </w:r>
    </w:p>
    <w:p>
      <w:pPr>
        <w:pStyle w:val="7"/>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7"/>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0"/>
        <w:snapToGrid w:val="0"/>
        <w:spacing w:line="360" w:lineRule="auto"/>
        <w:ind w:firstLine="482" w:firstLineChars="200"/>
        <w:outlineLvl w:val="1"/>
        <w:rPr>
          <w:rFonts w:asciiTheme="minorEastAsia" w:hAnsiTheme="minorEastAsia"/>
          <w:b/>
          <w:sz w:val="24"/>
        </w:rPr>
      </w:pPr>
      <w:r>
        <w:rPr>
          <w:rFonts w:hint="eastAsia" w:asciiTheme="minorEastAsia" w:hAnsiTheme="minorEastAsia" w:eastAsiaTheme="minorEastAsia"/>
          <w:b/>
          <w:sz w:val="24"/>
        </w:rPr>
        <w:t>六、评标（详见第四章）</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七、定标</w:t>
      </w:r>
    </w:p>
    <w:p>
      <w:pPr>
        <w:pStyle w:val="16"/>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numPr>
          <w:ilvl w:val="0"/>
          <w:numId w:val="5"/>
        </w:numPr>
        <w:spacing w:line="360" w:lineRule="auto"/>
        <w:ind w:firstLine="482" w:firstLineChars="200"/>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发布中标结果公告</w:t>
      </w:r>
    </w:p>
    <w:p>
      <w:pPr>
        <w:numPr>
          <w:ilvl w:val="0"/>
          <w:numId w:val="0"/>
        </w:num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w:t>
      </w:r>
      <w:r>
        <w:rPr>
          <w:rFonts w:hint="eastAsia" w:cs="Times New Roman" w:asciiTheme="minorEastAsia" w:hAnsiTheme="minorEastAsia" w:eastAsiaTheme="minorEastAsia"/>
          <w:kern w:val="0"/>
          <w:sz w:val="24"/>
          <w:szCs w:val="24"/>
          <w:lang w:val="en-US" w:eastAsia="zh-CN" w:bidi="ar-SA"/>
        </w:rPr>
        <w:t>期为1个工</w:t>
      </w:r>
      <w:r>
        <w:rPr>
          <w:sz w:val="24"/>
        </w:rPr>
        <w:t>作日</w:t>
      </w:r>
      <w:r>
        <w:rPr>
          <w:rFonts w:hint="eastAsia" w:ascii="宋体" w:hAnsi="宋体"/>
          <w:kern w:val="0"/>
          <w:sz w:val="24"/>
        </w:rPr>
        <w:t>。</w:t>
      </w:r>
    </w:p>
    <w:p>
      <w:pPr>
        <w:pStyle w:val="8"/>
        <w:numPr>
          <w:ilvl w:val="0"/>
          <w:numId w:val="5"/>
        </w:numPr>
        <w:spacing w:line="360" w:lineRule="auto"/>
        <w:ind w:left="0" w:leftChars="0" w:firstLine="482" w:firstLineChars="200"/>
        <w:jc w:val="both"/>
        <w:rPr>
          <w:rFonts w:hint="eastAsia" w:cs="Times New Roman" w:asciiTheme="minorEastAsia" w:hAnsiTheme="minorEastAsia" w:eastAsiaTheme="minorEastAsia"/>
          <w:b/>
          <w:bCs/>
          <w:kern w:val="0"/>
          <w:sz w:val="24"/>
          <w:szCs w:val="24"/>
          <w:lang w:val="en-US" w:eastAsia="zh-CN" w:bidi="ar-SA"/>
        </w:rPr>
      </w:pPr>
      <w:r>
        <w:rPr>
          <w:rFonts w:hint="eastAsia" w:cs="Times New Roman" w:asciiTheme="minorEastAsia" w:hAnsiTheme="minorEastAsia" w:eastAsiaTheme="minorEastAsia"/>
          <w:b/>
          <w:bCs/>
          <w:kern w:val="0"/>
          <w:sz w:val="24"/>
          <w:szCs w:val="24"/>
          <w:lang w:val="en-US" w:eastAsia="zh-CN" w:bidi="ar-SA"/>
        </w:rPr>
        <w:t>发放中标通知书</w:t>
      </w:r>
    </w:p>
    <w:p>
      <w:pPr>
        <w:pStyle w:val="8"/>
        <w:numPr>
          <w:ilvl w:val="0"/>
          <w:numId w:val="0"/>
        </w:numPr>
        <w:spacing w:line="360" w:lineRule="auto"/>
        <w:ind w:firstLine="480" w:firstLineChars="200"/>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w:t>
      </w:r>
      <w:r>
        <w:rPr>
          <w:rFonts w:hint="eastAsia"/>
          <w:sz w:val="24"/>
        </w:rPr>
        <w:t>发放中标通知书</w:t>
      </w:r>
      <w:r>
        <w:rPr>
          <w:rFonts w:hint="eastAsia" w:ascii="宋体" w:hAnsi="宋体"/>
          <w:kern w:val="0"/>
          <w:sz w:val="24"/>
        </w:rPr>
        <w:t>。</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6"/>
        <w:spacing w:before="0" w:beforeAutospacing="0" w:after="0" w:afterAutospacing="0" w:line="360" w:lineRule="auto"/>
        <w:ind w:firstLine="480" w:firstLineChars="200"/>
        <w:jc w:val="both"/>
        <w:rPr>
          <w:rFonts w:hint="default"/>
        </w:rPr>
      </w:pPr>
      <w: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6"/>
        <w:spacing w:before="0" w:beforeAutospacing="0" w:after="0" w:afterAutospacing="0" w:line="360" w:lineRule="auto"/>
        <w:ind w:firstLine="480" w:firstLineChars="200"/>
        <w:jc w:val="both"/>
        <w:rPr>
          <w:rFonts w:hint="default"/>
        </w:rPr>
      </w:pPr>
      <w:r>
        <w:t>2.采购人不得向中标人提出任何不合理的要求作为签订合同的条件。</w:t>
      </w:r>
    </w:p>
    <w:p>
      <w:pPr>
        <w:pStyle w:val="16"/>
        <w:spacing w:before="0" w:beforeAutospacing="0" w:after="0" w:afterAutospacing="0" w:line="360" w:lineRule="auto"/>
        <w:ind w:firstLine="480" w:firstLineChars="200"/>
        <w:jc w:val="both"/>
        <w:rPr>
          <w:rFonts w:hint="default"/>
        </w:rPr>
      </w:pPr>
      <w:r>
        <w:t>3.中标人无故拖延、拒签合同的</w:t>
      </w:r>
      <w:r>
        <w:rPr>
          <w:rFonts w:hint="eastAsia"/>
          <w:lang w:eastAsia="zh-CN"/>
        </w:rPr>
        <w:t>，</w:t>
      </w:r>
      <w:r>
        <w:t>将取消中标资格。</w:t>
      </w:r>
    </w:p>
    <w:p>
      <w:pPr>
        <w:pStyle w:val="16"/>
        <w:spacing w:before="0" w:beforeAutospacing="0" w:after="0" w:afterAutospacing="0" w:line="360" w:lineRule="auto"/>
        <w:ind w:firstLine="480" w:firstLineChars="200"/>
        <w:jc w:val="both"/>
        <w:rPr>
          <w:rFonts w:hint="default"/>
        </w:rPr>
      </w:pPr>
      <w: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6"/>
        <w:spacing w:before="0" w:beforeAutospacing="0" w:after="0" w:afterAutospacing="0" w:line="360" w:lineRule="auto"/>
        <w:ind w:firstLine="480" w:firstLineChars="200"/>
        <w:jc w:val="both"/>
        <w:rPr>
          <w:rFonts w:hint="default"/>
        </w:rPr>
      </w:pPr>
      <w:r>
        <w:t>5.询问或者质疑事项可能影响中标结果的，采购人应当暂停签订合同，已经签订合同的，应当中止履行合同。</w:t>
      </w:r>
    </w:p>
    <w:p>
      <w:pPr>
        <w:pStyle w:val="16"/>
        <w:spacing w:before="0" w:beforeAutospacing="0" w:after="0" w:afterAutospacing="0" w:line="360" w:lineRule="auto"/>
        <w:ind w:firstLine="482" w:firstLineChars="200"/>
        <w:jc w:val="both"/>
        <w:rPr>
          <w:rFonts w:hint="default" w:cs="仿宋_GB2312"/>
          <w:b/>
        </w:rPr>
      </w:pPr>
      <w:r>
        <w:rPr>
          <w:b/>
        </w:rPr>
        <w:t>（二）合同公告及备案</w:t>
      </w:r>
    </w:p>
    <w:p>
      <w:pPr>
        <w:pStyle w:val="2"/>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8"/>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8"/>
        <w:spacing w:line="360" w:lineRule="auto"/>
        <w:ind w:firstLine="482" w:firstLineChars="200"/>
        <w:jc w:val="both"/>
        <w:rPr>
          <w:rFonts w:ascii="宋体" w:hAnsi="宋体"/>
          <w:b/>
          <w:bCs/>
          <w:sz w:val="24"/>
        </w:rPr>
      </w:pPr>
      <w:r>
        <w:rPr>
          <w:rFonts w:hint="eastAsia" w:ascii="宋体" w:hAnsi="宋体"/>
          <w:b/>
          <w:bCs/>
          <w:sz w:val="24"/>
        </w:rPr>
        <w:t>九、询问、质疑与投诉</w:t>
      </w:r>
    </w:p>
    <w:p>
      <w:pPr>
        <w:pStyle w:val="8"/>
        <w:spacing w:line="360" w:lineRule="auto"/>
        <w:ind w:firstLine="482" w:firstLineChars="200"/>
        <w:jc w:val="both"/>
        <w:rPr>
          <w:rFonts w:ascii="宋体" w:hAnsi="宋体"/>
          <w:b/>
          <w:bCs/>
          <w:sz w:val="24"/>
        </w:rPr>
      </w:pPr>
      <w:r>
        <w:rPr>
          <w:rFonts w:hint="eastAsia" w:ascii="宋体" w:hAnsi="宋体"/>
          <w:b/>
          <w:bCs/>
          <w:sz w:val="24"/>
        </w:rPr>
        <w:t>（一）询问</w:t>
      </w:r>
    </w:p>
    <w:p>
      <w:pPr>
        <w:pStyle w:val="8"/>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sz w:val="24"/>
        </w:rPr>
        <w:t>第一章“</w:t>
      </w:r>
      <w:r>
        <w:rPr>
          <w:rFonts w:hint="eastAsia" w:ascii="宋体" w:hAnsi="宋体"/>
          <w:sz w:val="24"/>
        </w:rPr>
        <w:t>投标邀请</w:t>
      </w:r>
      <w:r>
        <w:rPr>
          <w:rFonts w:hint="eastAsia"/>
          <w:sz w:val="24"/>
        </w:rPr>
        <w:t>”</w:t>
      </w:r>
      <w:r>
        <w:rPr>
          <w:rFonts w:hint="eastAsia" w:ascii="宋体" w:hAnsi="宋体"/>
          <w:sz w:val="24"/>
        </w:rPr>
        <w:t>中“采购人、采购组织机构的名称、地址和联系方式”。</w:t>
      </w:r>
    </w:p>
    <w:p>
      <w:pPr>
        <w:pStyle w:val="8"/>
        <w:spacing w:line="360" w:lineRule="auto"/>
        <w:ind w:firstLine="482" w:firstLineChars="200"/>
        <w:jc w:val="both"/>
        <w:rPr>
          <w:rFonts w:ascii="宋体" w:hAnsi="宋体"/>
          <w:b/>
          <w:bCs/>
          <w:sz w:val="24"/>
        </w:rPr>
      </w:pPr>
      <w:r>
        <w:rPr>
          <w:rFonts w:hint="eastAsia" w:ascii="宋体" w:hAnsi="宋体"/>
          <w:b/>
          <w:bCs/>
          <w:sz w:val="24"/>
        </w:rPr>
        <w:t>（二）质疑</w:t>
      </w:r>
    </w:p>
    <w:p>
      <w:pPr>
        <w:pStyle w:val="8"/>
        <w:spacing w:line="360" w:lineRule="auto"/>
        <w:ind w:firstLine="480" w:firstLineChars="200"/>
        <w:jc w:val="both"/>
        <w:rPr>
          <w:rFonts w:ascii="宋体" w:hAnsi="宋体"/>
          <w:sz w:val="24"/>
        </w:rPr>
      </w:pPr>
      <w:r>
        <w:rPr>
          <w:rFonts w:hint="eastAsia" w:ascii="宋体" w:hAnsi="宋体"/>
          <w:sz w:val="24"/>
        </w:rPr>
        <w:t>1.报名本项目的投标人认为招标文件、采购过程和中标结果使自己的权益受到损害的，通过政采云平台的质疑系统一次性向采购人或采购组织机构提出质疑：</w:t>
      </w:r>
    </w:p>
    <w:p>
      <w:pPr>
        <w:pStyle w:val="8"/>
        <w:spacing w:line="360" w:lineRule="auto"/>
        <w:ind w:firstLine="480" w:firstLineChars="200"/>
        <w:jc w:val="both"/>
        <w:rPr>
          <w:rFonts w:ascii="宋体" w:hAnsi="宋体"/>
          <w:sz w:val="24"/>
        </w:rPr>
      </w:pPr>
      <w:r>
        <w:rPr>
          <w:rFonts w:hint="eastAsia" w:ascii="宋体" w:hAnsi="宋体"/>
          <w:sz w:val="24"/>
        </w:rPr>
        <w:t>（1）投标人认为招标文件的内容损害其权益的，应当自获取之日起（获取截止日之后收到招标文件的，以获取截止日为准）7个工作日内提出质疑；</w:t>
      </w:r>
    </w:p>
    <w:p>
      <w:pPr>
        <w:pStyle w:val="8"/>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8"/>
        <w:spacing w:line="360" w:lineRule="auto"/>
        <w:ind w:firstLine="480" w:firstLineChars="200"/>
        <w:jc w:val="both"/>
        <w:rPr>
          <w:rFonts w:hint="eastAsia" w:ascii="宋体" w:hAnsi="宋体" w:eastAsia="宋体"/>
          <w:sz w:val="24"/>
          <w:lang w:eastAsia="zh-CN"/>
        </w:rPr>
      </w:pPr>
      <w:r>
        <w:rPr>
          <w:rFonts w:hint="eastAsia" w:ascii="宋体" w:hAnsi="宋体"/>
          <w:sz w:val="24"/>
        </w:rPr>
        <w:t>（3）投标人对中标结果提出质疑的，应当在中标结果公告期限届满之日起7个工作日内提出质疑</w:t>
      </w:r>
      <w:r>
        <w:rPr>
          <w:rFonts w:hint="eastAsia" w:ascii="宋体" w:hAnsi="宋体"/>
          <w:sz w:val="24"/>
          <w:lang w:eastAsia="zh-CN"/>
        </w:rPr>
        <w:t>。</w:t>
      </w:r>
    </w:p>
    <w:p>
      <w:pPr>
        <w:pStyle w:val="8"/>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8"/>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8"/>
        <w:spacing w:line="360" w:lineRule="auto"/>
        <w:ind w:firstLine="482" w:firstLineChars="200"/>
        <w:jc w:val="both"/>
        <w:rPr>
          <w:rFonts w:ascii="宋体" w:hAnsi="宋体"/>
          <w:b/>
          <w:bCs/>
          <w:sz w:val="24"/>
        </w:rPr>
      </w:pPr>
      <w:r>
        <w:rPr>
          <w:rFonts w:hint="eastAsia" w:ascii="宋体" w:hAnsi="宋体"/>
          <w:b/>
          <w:bCs/>
          <w:sz w:val="24"/>
        </w:rPr>
        <w:t>（三）投诉</w:t>
      </w:r>
    </w:p>
    <w:p>
      <w:pPr>
        <w:pStyle w:val="8"/>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8"/>
        <w:spacing w:line="360" w:lineRule="auto"/>
        <w:ind w:firstLine="480" w:firstLineChars="200"/>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6" w:name="_Toc13072_WPSOffice_Level1"/>
      <w:r>
        <w:rPr>
          <w:rFonts w:hint="eastAsia" w:asciiTheme="minorEastAsia" w:hAnsiTheme="minorEastAsia" w:eastAsiaTheme="minorEastAsia"/>
          <w:b/>
          <w:sz w:val="36"/>
          <w:szCs w:val="36"/>
        </w:rPr>
        <w:t>招标需求</w:t>
      </w:r>
      <w:bookmarkEnd w:id="36"/>
    </w:p>
    <w:p>
      <w:pPr>
        <w:tabs>
          <w:tab w:val="left" w:pos="8280"/>
        </w:tabs>
        <w:autoSpaceDE w:val="0"/>
        <w:autoSpaceDN w:val="0"/>
        <w:adjustRightIn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19"/>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47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99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477" w:type="dxa"/>
            <w:vAlign w:val="center"/>
          </w:tcPr>
          <w:p>
            <w:pPr>
              <w:tabs>
                <w:tab w:val="left" w:pos="8280"/>
              </w:tabs>
              <w:autoSpaceDE w:val="0"/>
              <w:autoSpaceDN w:val="0"/>
              <w:adjustRightInd w:val="0"/>
              <w:jc w:val="center"/>
              <w:rPr>
                <w:rFonts w:hint="default" w:ascii="宋体" w:hAnsi="宋体" w:eastAsia="宋体" w:cs="宋体"/>
                <w:b/>
                <w:sz w:val="21"/>
                <w:szCs w:val="21"/>
                <w:lang w:val="en-US" w:eastAsia="zh-CN"/>
              </w:rPr>
            </w:pPr>
            <w:r>
              <w:rPr>
                <w:rFonts w:hint="eastAsia" w:ascii="宋体" w:hAnsi="宋体" w:cs="宋体"/>
                <w:b w:val="0"/>
                <w:bCs/>
                <w:sz w:val="21"/>
                <w:szCs w:val="21"/>
                <w:lang w:val="en-US" w:eastAsia="zh-CN"/>
              </w:rPr>
              <w:t>LED采购</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批</w:t>
            </w:r>
          </w:p>
        </w:tc>
        <w:tc>
          <w:tcPr>
            <w:tcW w:w="1142" w:type="dxa"/>
            <w:vAlign w:val="center"/>
          </w:tcPr>
          <w:p>
            <w:pPr>
              <w:tabs>
                <w:tab w:val="left" w:pos="8280"/>
              </w:tabs>
              <w:autoSpaceDE w:val="0"/>
              <w:autoSpaceDN w:val="0"/>
              <w:adjustRightInd w:val="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b w:val="0"/>
                <w:bCs/>
                <w:color w:val="auto"/>
                <w:sz w:val="21"/>
                <w:szCs w:val="24"/>
              </w:rPr>
              <w:t>125.2160</w:t>
            </w:r>
          </w:p>
        </w:tc>
        <w:tc>
          <w:tcPr>
            <w:tcW w:w="1203" w:type="dxa"/>
            <w:vAlign w:val="center"/>
          </w:tcPr>
          <w:p>
            <w:pPr>
              <w:tabs>
                <w:tab w:val="left" w:pos="8280"/>
              </w:tabs>
              <w:autoSpaceDE w:val="0"/>
              <w:autoSpaceDN w:val="0"/>
              <w:adjustRightInd w:val="0"/>
              <w:jc w:val="center"/>
              <w:rPr>
                <w:rFonts w:hint="eastAsia" w:ascii="宋体" w:hAnsi="宋体" w:eastAsia="宋体" w:cs="宋体"/>
                <w:b w:val="0"/>
                <w:bCs/>
                <w:color w:val="auto"/>
                <w:kern w:val="2"/>
                <w:sz w:val="21"/>
                <w:szCs w:val="21"/>
                <w:lang w:val="en-US" w:eastAsia="zh-CN" w:bidi="ar-SA"/>
              </w:rPr>
            </w:pPr>
            <w:r>
              <w:rPr>
                <w:rFonts w:hint="eastAsia" w:ascii="宋体" w:hAnsi="宋体" w:eastAsia="宋体"/>
                <w:b w:val="0"/>
                <w:bCs/>
                <w:color w:val="auto"/>
                <w:sz w:val="21"/>
                <w:szCs w:val="24"/>
              </w:rPr>
              <w:t>125.2160</w:t>
            </w:r>
          </w:p>
        </w:tc>
      </w:tr>
    </w:tbl>
    <w:p>
      <w:pPr>
        <w:tabs>
          <w:tab w:val="left" w:pos="8280"/>
        </w:tabs>
        <w:autoSpaceDE w:val="0"/>
        <w:autoSpaceDN w:val="0"/>
        <w:adjustRightIn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rPr>
        <w:t>二、技术需求</w:t>
      </w:r>
    </w:p>
    <w:p>
      <w:pPr>
        <w:pStyle w:val="18"/>
        <w:ind w:left="0" w:leftChars="0" w:firstLine="482" w:firstLineChars="200"/>
        <w:rPr>
          <w:rFonts w:hint="default" w:eastAsiaTheme="minorEastAsia"/>
          <w:lang w:val="en-US" w:eastAsia="zh-CN"/>
        </w:rPr>
      </w:pP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一</w:t>
      </w:r>
      <w:r>
        <w:rPr>
          <w:rFonts w:hint="eastAsia" w:asciiTheme="minorEastAsia" w:hAnsiTheme="minorEastAsia" w:eastAsiaTheme="minorEastAsia"/>
          <w:b/>
          <w:sz w:val="24"/>
          <w:lang w:eastAsia="zh-CN"/>
        </w:rPr>
        <w:t>）</w:t>
      </w:r>
      <w:r>
        <w:rPr>
          <w:rFonts w:hint="eastAsia" w:asciiTheme="minorEastAsia" w:hAnsiTheme="minorEastAsia" w:eastAsiaTheme="minorEastAsia"/>
          <w:b/>
          <w:sz w:val="24"/>
          <w:lang w:val="en-US" w:eastAsia="zh-CN"/>
        </w:rPr>
        <w:t>设备详细技术参数</w:t>
      </w:r>
    </w:p>
    <w:tbl>
      <w:tblPr>
        <w:tblStyle w:val="19"/>
        <w:tblW w:w="85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3"/>
        <w:gridCol w:w="6019"/>
        <w:gridCol w:w="917"/>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产品名称</w:t>
            </w:r>
          </w:p>
        </w:tc>
        <w:tc>
          <w:tcPr>
            <w:tcW w:w="6019"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技术参数</w:t>
            </w:r>
          </w:p>
        </w:tc>
        <w:tc>
          <w:tcPr>
            <w:tcW w:w="917"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数量</w:t>
            </w:r>
          </w:p>
        </w:tc>
        <w:tc>
          <w:tcPr>
            <w:tcW w:w="767" w:type="dxa"/>
            <w:tcBorders>
              <w:top w:val="single" w:color="000000" w:sz="4" w:space="0"/>
              <w:left w:val="single" w:color="000000" w:sz="4" w:space="0"/>
              <w:bottom w:val="single" w:color="000000" w:sz="4" w:space="0"/>
              <w:right w:val="single" w:color="000000" w:sz="4" w:space="0"/>
              <w:tl2br w:val="nil"/>
              <w:tr2bl w:val="nil"/>
            </w:tcBorders>
            <w:shd w:val="clear" w:color="auto" w:fill="CFCECE" w:themeFill="background2" w:themeFillShade="E5"/>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P1.25全彩LED屏</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bidi="ar"/>
              </w:rPr>
            </w:pPr>
            <w:r>
              <w:rPr>
                <w:rStyle w:val="49"/>
                <w:rFonts w:hint="eastAsia" w:ascii="宋体" w:hAnsi="宋体" w:eastAsia="宋体" w:cs="宋体"/>
                <w:color w:val="auto"/>
                <w:sz w:val="21"/>
                <w:szCs w:val="21"/>
                <w:lang w:bidi="ar"/>
              </w:rPr>
              <w:t>▲显示面积：一楼大厅5.12</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*2.88</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=14.75</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，一楼影音厅4</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16</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*1</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92</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=8</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，四楼报告厅7</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04</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*2.24</w:t>
            </w:r>
            <w:r>
              <w:rPr>
                <w:rStyle w:val="49"/>
                <w:rFonts w:hint="eastAsia" w:ascii="宋体" w:hAnsi="宋体" w:eastAsia="宋体" w:cs="宋体"/>
                <w:color w:val="auto"/>
                <w:sz w:val="21"/>
                <w:szCs w:val="21"/>
                <w:lang w:val="en-US" w:eastAsia="zh-CN" w:bidi="ar"/>
              </w:rPr>
              <w:t>m</w:t>
            </w:r>
            <w:r>
              <w:rPr>
                <w:rStyle w:val="49"/>
                <w:rFonts w:hint="eastAsia" w:ascii="宋体" w:hAnsi="宋体" w:eastAsia="宋体" w:cs="宋体"/>
                <w:color w:val="auto"/>
                <w:sz w:val="21"/>
                <w:szCs w:val="21"/>
                <w:lang w:bidi="ar"/>
              </w:rPr>
              <w:t>=15.8</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。合计38.55</w:t>
            </w:r>
            <w:r>
              <w:rPr>
                <w:rStyle w:val="49"/>
                <w:rFonts w:hint="eastAsia" w:ascii="宋体" w:hAnsi="宋体" w:eastAsia="宋体" w:cs="宋体"/>
                <w:color w:val="auto"/>
                <w:sz w:val="21"/>
                <w:szCs w:val="21"/>
                <w:lang w:val="en-US" w:eastAsia="zh-CN" w:bidi="ar"/>
              </w:rPr>
              <w:t>㎡</w:t>
            </w:r>
            <w:r>
              <w:rPr>
                <w:rStyle w:val="49"/>
                <w:rFonts w:hint="eastAsia" w:ascii="宋体" w:hAnsi="宋体" w:eastAsia="宋体" w:cs="宋体"/>
                <w:color w:val="auto"/>
                <w:sz w:val="21"/>
                <w:szCs w:val="21"/>
                <w:lang w:bidi="ar"/>
              </w:rPr>
              <w:t>，免费提供备板同批次6张单元板。</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▲LED屏单元板采用压铸铝材质箱体封装,底壳背后有产品型号字样,线路板上自带二维码，可扫描查询规格型号、批次、芯片等技术参数</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cs="宋体"/>
                <w:color w:val="auto"/>
                <w:sz w:val="21"/>
                <w:szCs w:val="21"/>
                <w:lang w:val="en-US" w:eastAsia="zh-CN" w:bidi="ar"/>
              </w:rPr>
            </w:pPr>
            <w:r>
              <w:rPr>
                <w:rStyle w:val="49"/>
                <w:rFonts w:hint="eastAsia" w:ascii="宋体" w:hAnsi="宋体" w:cs="宋体"/>
                <w:color w:val="auto"/>
                <w:sz w:val="21"/>
                <w:szCs w:val="21"/>
                <w:lang w:val="en-US" w:eastAsia="zh-CN" w:bidi="ar"/>
              </w:rPr>
              <w:t>性能参数：</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1.投标产品LED屏像素点间距≤1.25mm，刷新率≥3840Hz</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2.模组尺寸：≥320mm*160mm，每平方≥640000点</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3.单元板白平衡亮度≥450cd／m2，亮度均匀性≥98.7</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4.LED显示单元可视角度达到水平：≥170°，垂直：≥150°</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5.对比度≥5500:1</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6.★冷热冲击：高温60℃，低温-20℃，高温和低温各保持30Min，循环5次，常温恢复2H，受试验品外观结构和功能均正常</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7.★LED显示屏图像质量主观评价为优</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8.图像具有降噪、增强、运动补偿、色坐标变换处理、钝化处理、无几何失真和非线性失真现象、消鬼影拖尾、无毛毛虫，鬼影跟随</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9.所投产品具备故障自动报警、多点测温与电源温度实时监控功能，从而保证显示屏的正常运行</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10.★为保证整屏的平整度，模组需通过拉力及压力测试</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11.IPX6滑石粉密度：2KG/m3网孔径75um使用次数：小于20次，实验时间8H。试验后检查样品无进尘现象。屏幕防尘等级符合IP6X</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12.光生物安全测试：皮肤和眼睛的光化学紫外危害曝辐射值、眼睛的近紫外危害曝辐射值、宽波段的光源对视网膜危害，蓝光对皮肤表面及角膜和视网膜的曝辐射值、眼睛的红外辐射危害曝辐射值、皮肤热危害曝辐射值检测均无危害</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13.★盐雾等级达到10级，UV紫外线辐射达到5级</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14.处理距离R=1.0米 前方≤6.5dB后方≤7.7dB</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15.★模拟8级烈度地震测试，无异常，</w:t>
            </w:r>
            <w:r>
              <w:rPr>
                <w:rStyle w:val="49"/>
                <w:rFonts w:hint="eastAsia" w:ascii="宋体" w:hAnsi="宋体" w:eastAsia="宋体" w:cs="宋体"/>
                <w:color w:val="auto"/>
                <w:sz w:val="21"/>
                <w:szCs w:val="21"/>
                <w:lang w:val="en-US" w:eastAsia="zh-CN" w:bidi="ar"/>
              </w:rPr>
              <w:t>测</w:t>
            </w:r>
            <w:r>
              <w:rPr>
                <w:rStyle w:val="49"/>
                <w:rFonts w:hint="eastAsia" w:ascii="宋体" w:hAnsi="宋体" w:eastAsia="宋体" w:cs="宋体"/>
                <w:color w:val="auto"/>
                <w:sz w:val="21"/>
                <w:szCs w:val="21"/>
                <w:lang w:bidi="ar"/>
              </w:rPr>
              <w:t>试后正常工作</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FF0000"/>
                <w:sz w:val="21"/>
                <w:szCs w:val="21"/>
                <w:lang w:eastAsia="zh-CN" w:bidi="ar"/>
              </w:rPr>
            </w:pPr>
            <w:r>
              <w:rPr>
                <w:rStyle w:val="49"/>
                <w:rFonts w:hint="eastAsia" w:ascii="宋体" w:hAnsi="宋体" w:eastAsia="宋体" w:cs="宋体"/>
                <w:color w:val="auto"/>
                <w:sz w:val="21"/>
                <w:szCs w:val="21"/>
                <w:lang w:bidi="ar"/>
              </w:rPr>
              <w:t>16.通过高温高湿工作实验：将样品放在40℃，80%RH环境中，通电8h，在恢复到常温。试验中实验后受试样品外观结构和功能均正常</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w:t>
            </w:r>
            <w:r>
              <w:rPr>
                <w:rStyle w:val="49"/>
                <w:rFonts w:hint="eastAsia" w:ascii="宋体" w:hAnsi="宋体" w:cs="宋体"/>
                <w:color w:val="auto"/>
                <w:sz w:val="21"/>
                <w:szCs w:val="21"/>
                <w:lang w:val="en-US" w:eastAsia="zh-CN" w:bidi="ar"/>
              </w:rPr>
              <w:t>7</w:t>
            </w:r>
            <w:r>
              <w:rPr>
                <w:rStyle w:val="49"/>
                <w:rFonts w:hint="eastAsia" w:ascii="宋体" w:hAnsi="宋体" w:eastAsia="宋体" w:cs="宋体"/>
                <w:color w:val="auto"/>
                <w:sz w:val="21"/>
                <w:szCs w:val="21"/>
                <w:lang w:bidi="ar"/>
              </w:rPr>
              <w:t>.为了保证客户室内安全无火灾隐患，LED显示屏产品PCB阻燃等级达到V-0级</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1</w:t>
            </w:r>
            <w:r>
              <w:rPr>
                <w:rStyle w:val="49"/>
                <w:rFonts w:hint="eastAsia" w:ascii="宋体" w:hAnsi="宋体" w:cs="宋体"/>
                <w:color w:val="auto"/>
                <w:sz w:val="21"/>
                <w:szCs w:val="21"/>
                <w:lang w:val="en-US" w:eastAsia="zh-CN" w:bidi="ar"/>
              </w:rPr>
              <w:t>8</w:t>
            </w:r>
            <w:r>
              <w:rPr>
                <w:rStyle w:val="49"/>
                <w:rFonts w:hint="eastAsia" w:ascii="宋体" w:hAnsi="宋体" w:eastAsia="宋体" w:cs="宋体"/>
                <w:color w:val="auto"/>
                <w:sz w:val="21"/>
                <w:szCs w:val="21"/>
                <w:lang w:bidi="ar"/>
              </w:rPr>
              <w:t>.无故障时间：≥100000小时</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cs="宋体"/>
                <w:color w:val="auto"/>
                <w:sz w:val="21"/>
                <w:szCs w:val="21"/>
                <w:lang w:val="en-US" w:eastAsia="zh-CN" w:bidi="ar"/>
              </w:rPr>
              <w:t>19</w:t>
            </w:r>
            <w:r>
              <w:rPr>
                <w:rStyle w:val="49"/>
                <w:rFonts w:hint="eastAsia" w:ascii="宋体" w:hAnsi="宋体" w:eastAsia="宋体" w:cs="宋体"/>
                <w:color w:val="auto"/>
                <w:sz w:val="21"/>
                <w:szCs w:val="21"/>
                <w:lang w:bidi="ar"/>
              </w:rPr>
              <w:t>.平整度 ：≤0.1MM</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2</w:t>
            </w:r>
            <w:r>
              <w:rPr>
                <w:rStyle w:val="49"/>
                <w:rFonts w:hint="eastAsia" w:ascii="宋体" w:hAnsi="宋体" w:cs="宋体"/>
                <w:color w:val="auto"/>
                <w:sz w:val="21"/>
                <w:szCs w:val="21"/>
                <w:lang w:val="en-US" w:eastAsia="zh-CN" w:bidi="ar"/>
              </w:rPr>
              <w:t>0</w:t>
            </w:r>
            <w:r>
              <w:rPr>
                <w:rStyle w:val="49"/>
                <w:rFonts w:hint="eastAsia" w:ascii="宋体" w:hAnsi="宋体" w:eastAsia="宋体" w:cs="宋体"/>
                <w:color w:val="auto"/>
                <w:sz w:val="21"/>
                <w:szCs w:val="21"/>
                <w:lang w:bidi="ar"/>
              </w:rPr>
              <w:t>.抗电强度：因LED显示屏是电子产品，在U=1500VAC</w:t>
            </w:r>
            <w:r>
              <w:rPr>
                <w:rStyle w:val="49"/>
                <w:rFonts w:hint="eastAsia" w:ascii="宋体" w:hAnsi="宋体" w:eastAsia="宋体" w:cs="宋体"/>
                <w:color w:val="auto"/>
                <w:sz w:val="21"/>
                <w:szCs w:val="21"/>
                <w:lang w:eastAsia="zh-CN" w:bidi="ar"/>
              </w:rPr>
              <w:t>、</w:t>
            </w:r>
            <w:r>
              <w:rPr>
                <w:rStyle w:val="49"/>
                <w:rFonts w:hint="eastAsia" w:ascii="宋体" w:hAnsi="宋体" w:eastAsia="宋体" w:cs="宋体"/>
                <w:color w:val="auto"/>
                <w:sz w:val="21"/>
                <w:szCs w:val="21"/>
                <w:lang w:bidi="ar"/>
              </w:rPr>
              <w:t>T=60S的条件下未击穿</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eastAsia="zh-CN" w:bidi="ar"/>
              </w:rPr>
            </w:pPr>
            <w:r>
              <w:rPr>
                <w:rStyle w:val="49"/>
                <w:rFonts w:hint="eastAsia" w:ascii="宋体" w:hAnsi="宋体" w:eastAsia="宋体" w:cs="宋体"/>
                <w:color w:val="auto"/>
                <w:sz w:val="21"/>
                <w:szCs w:val="21"/>
                <w:lang w:bidi="ar"/>
              </w:rPr>
              <w:t>2</w:t>
            </w:r>
            <w:r>
              <w:rPr>
                <w:rStyle w:val="49"/>
                <w:rFonts w:hint="eastAsia" w:ascii="宋体" w:hAnsi="宋体" w:cs="宋体"/>
                <w:color w:val="auto"/>
                <w:sz w:val="21"/>
                <w:szCs w:val="21"/>
                <w:lang w:val="en-US" w:eastAsia="zh-CN" w:bidi="ar"/>
              </w:rPr>
              <w:t>1</w:t>
            </w:r>
            <w:r>
              <w:rPr>
                <w:rStyle w:val="49"/>
                <w:rFonts w:hint="eastAsia" w:ascii="宋体" w:hAnsi="宋体" w:eastAsia="宋体" w:cs="宋体"/>
                <w:color w:val="auto"/>
                <w:sz w:val="21"/>
                <w:szCs w:val="21"/>
                <w:lang w:bidi="ar"/>
              </w:rPr>
              <w:t>.★显示屏长时间未使用，开机后进行智能除湿，无需人工手动维护</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Style w:val="49"/>
                <w:rFonts w:hint="eastAsia" w:ascii="宋体" w:hAnsi="宋体" w:eastAsia="宋体" w:cs="宋体"/>
                <w:color w:val="auto"/>
                <w:sz w:val="21"/>
                <w:szCs w:val="21"/>
                <w:lang w:val="en-US" w:eastAsia="zh-CN" w:bidi="ar"/>
              </w:rPr>
            </w:pPr>
            <w:r>
              <w:rPr>
                <w:rStyle w:val="49"/>
                <w:rFonts w:hint="eastAsia" w:ascii="宋体" w:hAnsi="宋体" w:eastAsia="宋体" w:cs="宋体"/>
                <w:color w:val="auto"/>
                <w:sz w:val="21"/>
                <w:szCs w:val="21"/>
                <w:lang w:val="en-US" w:eastAsia="zh-CN" w:bidi="ar"/>
              </w:rPr>
              <w:t>【注：</w:t>
            </w:r>
            <w:r>
              <w:rPr>
                <w:rStyle w:val="49"/>
                <w:rFonts w:hint="eastAsia" w:ascii="宋体" w:hAnsi="宋体" w:eastAsia="宋体" w:cs="宋体"/>
                <w:color w:val="auto"/>
                <w:sz w:val="21"/>
                <w:szCs w:val="21"/>
                <w:lang w:bidi="ar"/>
              </w:rPr>
              <w:t>以上</w:t>
            </w:r>
            <w:r>
              <w:rPr>
                <w:rStyle w:val="49"/>
                <w:rFonts w:hint="eastAsia" w:ascii="宋体" w:hAnsi="宋体" w:cs="宋体"/>
                <w:color w:val="auto"/>
                <w:sz w:val="21"/>
                <w:szCs w:val="21"/>
                <w:lang w:val="en-US" w:eastAsia="zh-CN" w:bidi="ar"/>
              </w:rPr>
              <w:t>1-21条</w:t>
            </w:r>
            <w:r>
              <w:rPr>
                <w:rStyle w:val="49"/>
                <w:rFonts w:hint="eastAsia" w:ascii="宋体" w:hAnsi="宋体" w:eastAsia="宋体" w:cs="宋体"/>
                <w:color w:val="auto"/>
                <w:sz w:val="21"/>
                <w:szCs w:val="21"/>
                <w:lang w:bidi="ar"/>
              </w:rPr>
              <w:t>参数投标时需提供具有CNAS认可的检测报告，不提供视为负偏</w:t>
            </w:r>
            <w:r>
              <w:rPr>
                <w:rStyle w:val="49"/>
                <w:rFonts w:hint="eastAsia" w:ascii="宋体" w:hAnsi="宋体" w:eastAsia="宋体" w:cs="宋体"/>
                <w:color w:val="auto"/>
                <w:sz w:val="21"/>
                <w:szCs w:val="21"/>
                <w:lang w:val="en-US" w:eastAsia="zh-CN" w:bidi="ar"/>
              </w:rPr>
              <w:t>离。】</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Fonts w:hint="eastAsia"/>
                <w:lang w:val="en-US" w:eastAsia="zh-CN"/>
              </w:rPr>
            </w:pPr>
            <w:r>
              <w:rPr>
                <w:rStyle w:val="49"/>
                <w:rFonts w:hint="eastAsia" w:ascii="宋体" w:hAnsi="宋体" w:eastAsia="宋体" w:cs="宋体"/>
                <w:color w:val="auto"/>
                <w:sz w:val="21"/>
                <w:szCs w:val="21"/>
                <w:lang w:bidi="ar"/>
              </w:rPr>
              <w:t>2</w:t>
            </w:r>
            <w:r>
              <w:rPr>
                <w:rStyle w:val="49"/>
                <w:rFonts w:hint="eastAsia" w:ascii="宋体" w:hAnsi="宋体" w:cs="宋体"/>
                <w:color w:val="auto"/>
                <w:sz w:val="21"/>
                <w:szCs w:val="21"/>
                <w:lang w:val="en-US" w:eastAsia="zh-CN" w:bidi="ar"/>
              </w:rPr>
              <w:t>2</w:t>
            </w:r>
            <w:r>
              <w:rPr>
                <w:rStyle w:val="49"/>
                <w:rFonts w:hint="eastAsia" w:ascii="宋体" w:hAnsi="宋体" w:eastAsia="宋体" w:cs="宋体"/>
                <w:color w:val="auto"/>
                <w:sz w:val="21"/>
                <w:szCs w:val="21"/>
                <w:lang w:bidi="ar"/>
              </w:rPr>
              <w:t>.屏体非OEM品牌（以3C证书为准，要求3C证书中委托人名称、生产制造商名称、生产企业名称必须一致或者是同一集团下属不同子公司）</w:t>
            </w:r>
            <w:r>
              <w:rPr>
                <w:rStyle w:val="49"/>
                <w:rFonts w:hint="eastAsia" w:ascii="宋体" w:hAnsi="宋体" w:eastAsia="宋体" w:cs="宋体"/>
                <w:color w:val="auto"/>
                <w:sz w:val="21"/>
                <w:szCs w:val="21"/>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Style w:val="49"/>
                <w:rFonts w:hint="eastAsia" w:ascii="宋体" w:hAnsi="宋体" w:eastAsia="宋体" w:cs="宋体"/>
                <w:color w:val="auto"/>
                <w:sz w:val="21"/>
                <w:szCs w:val="21"/>
                <w:lang w:val="en-US" w:eastAsia="zh-CN" w:bidi="ar"/>
              </w:rPr>
              <w:t>【注：</w:t>
            </w:r>
            <w:r>
              <w:rPr>
                <w:rStyle w:val="49"/>
                <w:rFonts w:hint="eastAsia" w:ascii="宋体" w:hAnsi="宋体" w:eastAsia="宋体" w:cs="宋体"/>
                <w:color w:val="auto"/>
                <w:sz w:val="21"/>
                <w:szCs w:val="21"/>
                <w:lang w:bidi="ar"/>
              </w:rPr>
              <w:t>为保证产品质量、供货渠道的合法性</w:t>
            </w:r>
            <w:r>
              <w:rPr>
                <w:rStyle w:val="49"/>
                <w:rFonts w:hint="eastAsia" w:ascii="宋体" w:hAnsi="宋体" w:eastAsia="宋体" w:cs="宋体"/>
                <w:color w:val="auto"/>
                <w:sz w:val="21"/>
                <w:szCs w:val="21"/>
                <w:lang w:eastAsia="zh-CN" w:bidi="ar"/>
              </w:rPr>
              <w:t>，</w:t>
            </w:r>
            <w:r>
              <w:rPr>
                <w:rStyle w:val="49"/>
                <w:rFonts w:hint="eastAsia" w:ascii="宋体" w:hAnsi="宋体" w:eastAsia="宋体" w:cs="宋体"/>
                <w:color w:val="auto"/>
                <w:sz w:val="21"/>
                <w:szCs w:val="21"/>
                <w:lang w:bidi="ar"/>
              </w:rPr>
              <w:t>提供制造相应证明文件。中标后</w:t>
            </w:r>
            <w:r>
              <w:rPr>
                <w:rStyle w:val="49"/>
                <w:rFonts w:hint="eastAsia" w:ascii="宋体" w:hAnsi="宋体" w:eastAsia="宋体" w:cs="宋体"/>
                <w:color w:val="auto"/>
                <w:sz w:val="21"/>
                <w:szCs w:val="21"/>
                <w:lang w:val="en-US" w:eastAsia="zh-CN" w:bidi="ar"/>
              </w:rPr>
              <w:t>需</w:t>
            </w:r>
            <w:r>
              <w:rPr>
                <w:rStyle w:val="49"/>
                <w:rFonts w:hint="eastAsia" w:ascii="宋体" w:hAnsi="宋体" w:eastAsia="宋体" w:cs="宋体"/>
                <w:color w:val="auto"/>
                <w:sz w:val="21"/>
                <w:szCs w:val="21"/>
                <w:lang w:bidi="ar"/>
              </w:rPr>
              <w:t>提供原厂针对本项目的授权文件及原厂质保函。</w:t>
            </w:r>
            <w:r>
              <w:rPr>
                <w:rStyle w:val="49"/>
                <w:rFonts w:hint="eastAsia" w:ascii="宋体" w:hAnsi="宋体" w:eastAsia="宋体" w:cs="宋体"/>
                <w:color w:val="auto"/>
                <w:sz w:val="21"/>
                <w:szCs w:val="21"/>
                <w:lang w:eastAsia="zh-CN" w:bidi="ar"/>
              </w:rPr>
              <w:t>】</w:t>
            </w:r>
            <w:r>
              <w:rPr>
                <w:rStyle w:val="50"/>
                <w:rFonts w:hint="eastAsia" w:ascii="宋体" w:hAnsi="宋体" w:eastAsia="宋体" w:cs="宋体"/>
                <w:color w:val="auto"/>
                <w:sz w:val="21"/>
                <w:szCs w:val="21"/>
                <w:lang w:bidi="ar"/>
              </w:rPr>
              <w:t xml:space="preserve">   </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38.55</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bidi="ar"/>
              </w:rPr>
              <w:t>平方</w:t>
            </w:r>
            <w:r>
              <w:rPr>
                <w:rFonts w:hint="eastAsia" w:ascii="宋体" w:hAnsi="宋体" w:eastAsia="宋体" w:cs="宋体"/>
                <w:color w:val="auto"/>
                <w:kern w:val="0"/>
                <w:sz w:val="21"/>
                <w:szCs w:val="21"/>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开关电源</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bidi="ar"/>
              </w:rPr>
              <w:t>输入电压/输入频率 176~264VAC/47~63HZ</w:t>
            </w:r>
            <w:r>
              <w:rPr>
                <w:rFonts w:hint="eastAsia" w:ascii="宋体" w:hAnsi="宋体" w:eastAsia="宋体" w:cs="宋体"/>
                <w:color w:val="auto"/>
                <w:kern w:val="0"/>
                <w:sz w:val="21"/>
                <w:szCs w:val="21"/>
                <w:lang w:val="en-US" w:eastAsia="zh-CN" w:bidi="ar"/>
              </w:rPr>
              <w:t>；</w:t>
            </w:r>
            <w:r>
              <w:rPr>
                <w:rFonts w:hint="eastAsia" w:ascii="宋体" w:hAnsi="宋体" w:eastAsia="宋体" w:cs="宋体"/>
                <w:color w:val="auto"/>
                <w:kern w:val="0"/>
                <w:sz w:val="21"/>
                <w:szCs w:val="21"/>
                <w:lang w:bidi="ar"/>
              </w:rPr>
              <w:t>输出电压/电流 4.5V~40A</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浪涌电流</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冷启动，40A/230VAC</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效率 ≥80%，线性调整率 ≤0.5%，稳压精度 ±1%，纹波噪音 100mV</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 xml:space="preserve">3. </w:t>
            </w:r>
            <w:r>
              <w:rPr>
                <w:rFonts w:hint="eastAsia" w:ascii="宋体" w:hAnsi="宋体" w:eastAsia="宋体" w:cs="宋体"/>
                <w:color w:val="auto"/>
                <w:kern w:val="0"/>
                <w:sz w:val="21"/>
                <w:szCs w:val="21"/>
                <w:lang w:bidi="ar"/>
              </w:rPr>
              <w:t>输出过载保护</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110%-150%切断输出，输入重启后上升，保持时间 50ms，20ms额定满载，保护功能：过载/短路保护</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绝缘强度 I/P-O/P：3KVAC, I/P-FG：1.5KVAC, O/P-FG:0.5KVAC,1min</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148</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jc w:val="center"/>
        </w:trPr>
        <w:tc>
          <w:tcPr>
            <w:tcW w:w="843"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发送系统</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1.广播型总线数据传输方式，无帧存，实时传输，延时小；采用创新型架构，实现智能连接，屏体模块即插即显示，无需任何设置；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2.★单卡带载216万像素，采用标准的HDMI2.0数据线，4Gbps超大带宽，标准高清1080P只需一根数据线即可载完，相比传统网线模式提高4倍带载，减少数据线，增加稳定性；</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3.路标准HDMI视频接口输入，最大输入分辨率为2080×1040，可自定义EDID；</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4.★1xUSB、2xRS485、蓝牙，多方式和PC通信，设置参数、调节亮度、色温、对比度等，并能在PC端实时查看控制卡的连接和工作状态；</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5.通过485连接配电柜，判断HDMI输入信号有或无，自动控制配电柜开或关，智能给屏幕上电和关电，无需人员操作，实现智能节电模式；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6.▲2路HDMI信号输出，两路信号不分主、副，可做备份使用，任意一路即可正常工作；</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7.支持多个解析卡进行级联拼接，可通过PC端软件进行统一控制；</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8.开机logo可自定义，可以将指定图片设置为显示屏的开机、或无视频信号输入时的画面；支持逐点亮色度校正技术，模组、箱体边缘亮线校正技术，校正过程快速高效，支持直接现场校正并且保存本地；</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9.根据显示屏所用LED的不同特性，实现白平衡校准及色域匹配，确保色彩真实还原；</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10.★多个1080P高清屏幕组成的超大屏幕，在连接数据线时无需分区，可以把所有的数据线都连接，系统会自动检测边界，从而智能地构造组合屏幕，极大的降低了现场施工难度。</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【注：为保证产品稳定性，以上参数需要提供第三方检测机构出具的CNAS、 CMA、ilac-MRA的检测报告，不提供视为负偏离。】</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12</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7" w:hRule="atLeast"/>
          <w:jc w:val="center"/>
        </w:trPr>
        <w:tc>
          <w:tcPr>
            <w:tcW w:w="843"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eastAsia="zh-CN" w:bidi="ar"/>
              </w:rPr>
              <w:t>接收系统</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1.无需转接板，单卡自带16个HUB75单卡带载像素512*512， 16 P接口，更加稳定（75P）；</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2.支持各种PWM芯片、双锁存芯片、通用芯片；支持静态屏、1/2～1/64扫之间的任意扫描类型；</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3.支持逐点亮色度校正，可以对每个灯点的亮度和色度进行校正，有效消除色差，使整屏的亮度和色度达到高度均匀一致，提高显示屏的画质；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4.支持亮暗线调节在调试软件上进行快速亮暗线调节，快速解决因箱体及模组拼接造成的显示屏亮暗线，调节过程中即时生效，简单易用；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5.★网格式结构，支持多路备份，每个控制卡的四个方向各有一个数据接口，与相邻的控制卡相连，一个主输入，一个备份输入，一个主输出，一个备份输出，形成网格状结构；</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6.★具有错误自我修复能力，正常工作中有数据链路出现异常或断掉，系统自动检测，将无缝切换到另外的稳定的链路，保证正常运行，只要有一条数据链路正常通信，系统即可稳定的工作；</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7.每个控制卡能自动识别自身坐标，自动定位，大屏拼接，无需设置数据链路的连线方式，上电即可使用，随意更换位置，真正免调试，傻瓜式即插即用；</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8.▲标准化接口设计，控制卡采用标准HDMI2.0线缆连接，数据线缆采用高可靠的带屏蔽数据线，接头金属包围式，不采用RJ45弹片式接触数据线；</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9.支持程序备份，控制卡出厂时保存了两份应用程序，以防程序丢失或不匹配导致的控制 卡不能正常工作等问题；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10.RGB独立Gamma调节技术增加调节维度，通过对“红 Gamma”、“绿 Gamma”、“蓝 Gamma”分别进行调节，有效控制显示屏低灰不均匀、白平衡漂移等问题，使画面更加真实，提高色彩调节的灵活性；</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11.具有亮度矫正、孟赛尔明度系统矫正、孟赛尔颜色矫正、色温矫正功能，屏幕经过专业系统的校正，发光模式更符合人眼视觉特性；</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12.LED屏幕刷新频率需达到：3840Hz+，同时灰度处理能力（灰阶）需达到16bit以上；</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13.系统可以监测每块控制卡的工作状态，实时动态图表显示，包括输入、输出的连接状态，通讯质量，记录错误包数，直观显示错误通信连路，帮助排除隐患。支持软件回读控制卡配置参数并保存到本地。</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ind w:leftChar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【注：为保证产品稳定性，以上参数需要提供第三方检测机构出具的CNAS、 CMA、ilac-MRA的检测报告，不提供视为负偏离。】</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122</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843" w:type="dxa"/>
            <w:tcBorders>
              <w:top w:val="single" w:color="000000" w:sz="4" w:space="0"/>
              <w:left w:val="single" w:color="000000" w:sz="4" w:space="0"/>
              <w:bottom w:val="nil"/>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视频拼接处理器</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Style w:val="50"/>
                <w:rFonts w:hint="eastAsia" w:ascii="宋体" w:hAnsi="宋体" w:eastAsia="宋体" w:cs="宋体"/>
                <w:color w:val="auto"/>
                <w:kern w:val="2"/>
                <w:sz w:val="21"/>
                <w:szCs w:val="21"/>
                <w:lang w:val="en-US" w:eastAsia="zh-CN" w:bidi="ar"/>
              </w:rPr>
            </w:pPr>
            <w:r>
              <w:rPr>
                <w:rStyle w:val="51"/>
                <w:rFonts w:hint="eastAsia" w:ascii="宋体" w:hAnsi="宋体" w:eastAsia="宋体" w:cs="宋体"/>
                <w:color w:val="auto"/>
                <w:sz w:val="21"/>
                <w:szCs w:val="21"/>
                <w:lang w:bidi="ar"/>
              </w:rPr>
              <w:t>1.</w:t>
            </w:r>
            <w:r>
              <w:rPr>
                <w:rStyle w:val="50"/>
                <w:rFonts w:hint="eastAsia" w:ascii="宋体" w:hAnsi="宋体" w:eastAsia="宋体" w:cs="宋体"/>
                <w:color w:val="auto"/>
                <w:kern w:val="2"/>
                <w:sz w:val="21"/>
                <w:szCs w:val="21"/>
                <w:lang w:val="en-US" w:eastAsia="zh-CN" w:bidi="ar"/>
              </w:rPr>
              <w:t>单台设备最大规模支持32路高清输入，32路高清输出，本次配置4路输入，4路输出；设备可实现任意一路画面的任意比例缩放、漫游、跨屏、叠加、开窗；</w:t>
            </w:r>
            <w:r>
              <w:rPr>
                <w:rStyle w:val="50"/>
                <w:rFonts w:hint="eastAsia" w:ascii="宋体" w:hAnsi="宋体" w:eastAsia="宋体" w:cs="宋体"/>
                <w:color w:val="auto"/>
                <w:kern w:val="2"/>
                <w:sz w:val="21"/>
                <w:szCs w:val="21"/>
                <w:lang w:val="en-US" w:eastAsia="zh-CN" w:bidi="ar"/>
              </w:rPr>
              <w:br w:type="textWrapping"/>
            </w:r>
            <w:r>
              <w:rPr>
                <w:rStyle w:val="50"/>
                <w:rFonts w:hint="eastAsia" w:ascii="宋体" w:hAnsi="宋体" w:eastAsia="宋体" w:cs="宋体"/>
                <w:color w:val="auto"/>
                <w:kern w:val="2"/>
                <w:sz w:val="21"/>
                <w:szCs w:val="21"/>
                <w:lang w:val="en-US" w:eastAsia="zh-CN" w:bidi="ar"/>
              </w:rPr>
              <w:t>2. 开机时间≤11s，启动电源至输出最总画面的时间间隔。输入输出板卡可热插拔，输入板卡热插拔恢复时间＜8s，输出板卡热插拔恢复时间＜8s；</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3.对各个输入通道采用纯硬件处理技术，采用独享带宽方式为每个输入通道分配带宽，切换过程中对其他信号无影响，实现了对输入通道的实时处理功能；</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4.</w:t>
            </w:r>
            <w:r>
              <w:rPr>
                <w:rStyle w:val="49"/>
                <w:rFonts w:hint="eastAsia" w:ascii="宋体" w:hAnsi="宋体" w:eastAsia="宋体" w:cs="宋体"/>
                <w:color w:val="auto"/>
                <w:sz w:val="21"/>
                <w:szCs w:val="21"/>
                <w:lang w:bidi="ar"/>
              </w:rPr>
              <w:t>★</w:t>
            </w:r>
            <w:r>
              <w:rPr>
                <w:rStyle w:val="50"/>
                <w:rFonts w:hint="eastAsia" w:ascii="宋体" w:hAnsi="宋体" w:eastAsia="宋体" w:cs="宋体"/>
                <w:color w:val="auto"/>
                <w:kern w:val="2"/>
                <w:sz w:val="21"/>
                <w:szCs w:val="21"/>
                <w:lang w:val="en-US" w:eastAsia="zh-CN" w:bidi="ar"/>
              </w:rPr>
              <w:t>最大单机背板信号处理带宽≥720Gbps；</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Style w:val="50"/>
                <w:rFonts w:hint="eastAsia" w:ascii="宋体" w:hAnsi="宋体" w:eastAsia="宋体" w:cs="宋体"/>
                <w:color w:val="auto"/>
                <w:kern w:val="2"/>
                <w:sz w:val="21"/>
                <w:szCs w:val="21"/>
                <w:lang w:val="en-US" w:eastAsia="zh-CN" w:bidi="ar"/>
              </w:rPr>
            </w:pPr>
            <w:r>
              <w:rPr>
                <w:rStyle w:val="50"/>
                <w:rFonts w:hint="eastAsia" w:ascii="宋体" w:hAnsi="宋体" w:eastAsia="宋体" w:cs="宋体"/>
                <w:color w:val="auto"/>
                <w:kern w:val="2"/>
                <w:sz w:val="21"/>
                <w:szCs w:val="21"/>
                <w:lang w:val="en-US" w:eastAsia="zh-CN" w:bidi="ar"/>
              </w:rPr>
              <w:t>5.信号显示帧率不受开窗大小及输入路数的限制，保证信号显示的流畅性；</w:t>
            </w:r>
            <w:r>
              <w:rPr>
                <w:rStyle w:val="50"/>
                <w:rFonts w:hint="eastAsia" w:ascii="宋体" w:hAnsi="宋体" w:eastAsia="宋体" w:cs="宋体"/>
                <w:color w:val="auto"/>
                <w:kern w:val="2"/>
                <w:sz w:val="21"/>
                <w:szCs w:val="21"/>
                <w:lang w:val="en-US" w:eastAsia="zh-CN" w:bidi="ar"/>
              </w:rPr>
              <w:br w:type="textWrapping"/>
            </w:r>
            <w:r>
              <w:rPr>
                <w:rStyle w:val="50"/>
                <w:rFonts w:hint="eastAsia" w:ascii="宋体" w:hAnsi="宋体" w:eastAsia="宋体" w:cs="宋体"/>
                <w:color w:val="auto"/>
                <w:kern w:val="2"/>
                <w:sz w:val="21"/>
                <w:szCs w:val="21"/>
                <w:lang w:val="en-US" w:eastAsia="zh-CN" w:bidi="ar"/>
              </w:rPr>
              <w:t>6.设备支持图像无缝实时切换功能，无缝切换时间＜15ms；图像开窗响应速度＜15ms，场景调取响应速度＜15ms；设备可实现任意一路画面的任意比例缩放、漫游、跨屏、叠加、开窗；</w:t>
            </w:r>
            <w:r>
              <w:rPr>
                <w:rStyle w:val="50"/>
                <w:rFonts w:hint="eastAsia" w:ascii="宋体" w:hAnsi="宋体" w:eastAsia="宋体" w:cs="宋体"/>
                <w:color w:val="auto"/>
                <w:kern w:val="2"/>
                <w:sz w:val="21"/>
                <w:szCs w:val="21"/>
                <w:lang w:val="en-US" w:eastAsia="zh-CN" w:bidi="ar"/>
              </w:rPr>
              <w:br w:type="textWrapping"/>
            </w:r>
            <w:r>
              <w:rPr>
                <w:rStyle w:val="50"/>
                <w:rFonts w:hint="eastAsia" w:ascii="宋体" w:hAnsi="宋体" w:eastAsia="宋体" w:cs="宋体"/>
                <w:color w:val="auto"/>
                <w:kern w:val="2"/>
                <w:sz w:val="21"/>
                <w:szCs w:val="21"/>
                <w:lang w:val="en-US" w:eastAsia="zh-CN" w:bidi="ar"/>
              </w:rPr>
              <w:t>7.设备在不增加外部信号源的情况下，可以对输出通道进行测试，可以输出7种测试颜色及网格图像来检验输出通道是否可以正常输出信号；</w:t>
            </w:r>
            <w:r>
              <w:rPr>
                <w:rStyle w:val="50"/>
                <w:rFonts w:hint="eastAsia" w:ascii="宋体" w:hAnsi="宋体" w:eastAsia="宋体" w:cs="宋体"/>
                <w:color w:val="auto"/>
                <w:kern w:val="2"/>
                <w:sz w:val="21"/>
                <w:szCs w:val="21"/>
                <w:lang w:val="en-US" w:eastAsia="zh-CN" w:bidi="ar"/>
              </w:rPr>
              <w:br w:type="textWrapping"/>
            </w:r>
            <w:r>
              <w:rPr>
                <w:rStyle w:val="50"/>
                <w:rFonts w:hint="eastAsia" w:ascii="宋体" w:hAnsi="宋体" w:eastAsia="宋体" w:cs="宋体"/>
                <w:color w:val="auto"/>
                <w:kern w:val="2"/>
                <w:sz w:val="21"/>
                <w:szCs w:val="21"/>
                <w:lang w:val="en-US" w:eastAsia="zh-CN" w:bidi="ar"/>
              </w:rPr>
              <w:t>8.支持业务智能恢复，输入输出卡更换后无需配置，可自动恢复至原来的工作状态。</w:t>
            </w:r>
            <w:r>
              <w:rPr>
                <w:rStyle w:val="50"/>
                <w:rFonts w:hint="eastAsia" w:ascii="宋体" w:hAnsi="宋体" w:eastAsia="宋体" w:cs="宋体"/>
                <w:color w:val="auto"/>
                <w:kern w:val="2"/>
                <w:sz w:val="21"/>
                <w:szCs w:val="21"/>
                <w:lang w:val="en-US" w:eastAsia="zh-CN" w:bidi="ar"/>
              </w:rPr>
              <w:br w:type="textWrapping"/>
            </w:r>
            <w:r>
              <w:rPr>
                <w:rStyle w:val="50"/>
                <w:rFonts w:hint="eastAsia" w:ascii="宋体" w:hAnsi="宋体" w:eastAsia="宋体" w:cs="宋体"/>
                <w:color w:val="auto"/>
                <w:kern w:val="2"/>
                <w:sz w:val="21"/>
                <w:szCs w:val="21"/>
                <w:lang w:val="en-US" w:eastAsia="zh-CN" w:bidi="ar"/>
              </w:rPr>
              <w:t>【注：为保证产品稳定性，以上参数需要提供第三方检测机构出具的CNAS、 CMA、ilac-MRA的检测报告，不提供视为负偏离。】</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主通信线</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长距离传输，100米以内，HDMI2.0光纤，集成芯片</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9</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屏幕内数据线</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HDMI2.0数据线 75cm</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default" w:ascii="宋体" w:hAnsi="宋体" w:eastAsia="宋体" w:cs="宋体"/>
                <w:color w:val="auto"/>
                <w:kern w:val="0"/>
                <w:sz w:val="21"/>
                <w:szCs w:val="21"/>
                <w:lang w:val="en-US" w:eastAsia="zh-CN" w:bidi="ar"/>
              </w:rPr>
            </w:pPr>
            <w:r>
              <w:rPr>
                <w:rFonts w:hint="eastAsia" w:ascii="宋体" w:hAnsi="宋体" w:cs="宋体"/>
                <w:color w:val="auto"/>
                <w:kern w:val="0"/>
                <w:sz w:val="21"/>
                <w:szCs w:val="21"/>
                <w:lang w:val="en-US" w:eastAsia="zh-CN" w:bidi="ar"/>
              </w:rPr>
              <w:t>120</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kern w:val="0"/>
                <w:sz w:val="21"/>
                <w:szCs w:val="21"/>
                <w:lang w:eastAsia="zh-CN" w:bidi="ar"/>
              </w:rPr>
            </w:pPr>
            <w:r>
              <w:rPr>
                <w:rFonts w:hint="eastAsia" w:ascii="宋体" w:hAnsi="宋体" w:cs="宋体"/>
                <w:color w:val="auto"/>
                <w:kern w:val="0"/>
                <w:sz w:val="21"/>
                <w:szCs w:val="21"/>
                <w:lang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钢结构</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壁挂式安装支架，采用≥30*50*1.5mm方管、角铁等材料现场定制，含拆除原设备及结构</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不锈钢包边</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包边5CM订制,表面材料采用亚光黑钛金304不锈钢。</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附件及安装调试</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大屏强电到机房线缆、PVC管子、排线、电源跳线、接插头等附件及安装调试</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音柱扬声器</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6"/>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 x 3.3英寸低音+1 x 3英寸高音，100° x 100°，60W/120W/240W（连续/节目/峰值），峰值最大声压级110dB（2PI）</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频率范围：优于或等于100Hz-18kHz</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 xml:space="preserve">灵敏度：≥83dB（语言模式），最大声压级：Speech模式: ≥110 dB </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覆盖角（H*V）：≥100°*100°</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br w:type="textWrapping"/>
            </w: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全天候性能：IP-55防水、防尘等级，含原厂配套安装支架</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2</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音频处理器</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类型:专业数字音频处理器                                                                                                                                                                                         主要技术参数：</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1.</w:t>
            </w:r>
            <w:r>
              <w:rPr>
                <w:rFonts w:hint="eastAsia" w:ascii="宋体" w:hAnsi="宋体" w:eastAsia="宋体" w:cs="宋体"/>
                <w:color w:val="auto"/>
                <w:kern w:val="0"/>
                <w:sz w:val="21"/>
                <w:szCs w:val="21"/>
                <w:lang w:bidi="ar"/>
              </w:rPr>
              <w:t>输入阻抗：平衡20KΩ</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输出阻抗：平衡100Ω</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 xml:space="preserve">                                                                                                                                                                                                                                                                                                                                                                      </w:t>
            </w:r>
            <w:r>
              <w:rPr>
                <w:rFonts w:hint="eastAsia" w:ascii="宋体" w:hAnsi="宋体" w:eastAsia="宋体" w:cs="宋体"/>
                <w:color w:val="auto"/>
                <w:kern w:val="0"/>
                <w:sz w:val="21"/>
                <w:szCs w:val="21"/>
                <w:lang w:val="en-US" w:eastAsia="zh-CN" w:bidi="ar"/>
              </w:rPr>
              <w:t>2.</w:t>
            </w:r>
            <w:r>
              <w:rPr>
                <w:rFonts w:hint="eastAsia" w:ascii="宋体" w:hAnsi="宋体" w:eastAsia="宋体" w:cs="宋体"/>
                <w:color w:val="auto"/>
                <w:kern w:val="0"/>
                <w:sz w:val="21"/>
                <w:szCs w:val="21"/>
                <w:lang w:bidi="ar"/>
              </w:rPr>
              <w:t>输入共模拟制比：≥70dB(1KHz)</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输出范围：≤25dBu</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 xml:space="preserve">                                                                                                                                                                                                                                                                                                                                                                                   </w:t>
            </w:r>
            <w:r>
              <w:rPr>
                <w:rFonts w:hint="eastAsia" w:ascii="宋体" w:hAnsi="宋体" w:eastAsia="宋体" w:cs="宋体"/>
                <w:color w:val="auto"/>
                <w:kern w:val="0"/>
                <w:sz w:val="21"/>
                <w:szCs w:val="21"/>
                <w:lang w:val="en-US" w:eastAsia="zh-CN" w:bidi="ar"/>
              </w:rPr>
              <w:t>3.</w:t>
            </w:r>
            <w:r>
              <w:rPr>
                <w:rFonts w:hint="eastAsia" w:ascii="宋体" w:hAnsi="宋体" w:eastAsia="宋体" w:cs="宋体"/>
                <w:color w:val="auto"/>
                <w:kern w:val="0"/>
                <w:sz w:val="21"/>
                <w:szCs w:val="21"/>
                <w:lang w:bidi="ar"/>
              </w:rPr>
              <w:t>频率相应：20Hz-20KHz(±0.5dB)</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 xml:space="preserve">                                                                                                                                                                        </w:t>
            </w:r>
            <w:r>
              <w:rPr>
                <w:rFonts w:hint="eastAsia" w:ascii="宋体" w:hAnsi="宋体" w:eastAsia="宋体" w:cs="宋体"/>
                <w:color w:val="auto"/>
                <w:kern w:val="0"/>
                <w:sz w:val="21"/>
                <w:szCs w:val="21"/>
                <w:lang w:val="en-US" w:eastAsia="zh-CN" w:bidi="ar"/>
              </w:rPr>
              <w:t>4.</w:t>
            </w:r>
            <w:r>
              <w:rPr>
                <w:rFonts w:hint="eastAsia" w:ascii="宋体" w:hAnsi="宋体" w:eastAsia="宋体" w:cs="宋体"/>
                <w:color w:val="auto"/>
                <w:kern w:val="0"/>
                <w:sz w:val="21"/>
                <w:szCs w:val="21"/>
                <w:lang w:bidi="ar"/>
              </w:rPr>
              <w:t>信噪比：&gt;110dB@1KHz 0dBu</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失真度：﹤0.01%</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OUTPUT=0dBu/1KHz</w:t>
            </w:r>
            <w:r>
              <w:rPr>
                <w:rFonts w:hint="eastAsia" w:ascii="宋体" w:hAnsi="宋体" w:eastAsia="宋体" w:cs="宋体"/>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eastAsia="zh-CN" w:bidi="ar"/>
              </w:rPr>
            </w:pPr>
            <w:r>
              <w:rPr>
                <w:rFonts w:hint="eastAsia" w:ascii="宋体" w:hAnsi="宋体" w:eastAsia="宋体" w:cs="宋体"/>
                <w:color w:val="auto"/>
                <w:kern w:val="0"/>
                <w:sz w:val="21"/>
                <w:szCs w:val="21"/>
                <w:lang w:val="en-US" w:eastAsia="zh-CN" w:bidi="ar"/>
              </w:rPr>
              <w:t>5.</w:t>
            </w:r>
            <w:r>
              <w:rPr>
                <w:rFonts w:hint="eastAsia" w:ascii="宋体" w:hAnsi="宋体" w:eastAsia="宋体" w:cs="宋体"/>
                <w:color w:val="auto"/>
                <w:kern w:val="0"/>
                <w:sz w:val="21"/>
                <w:szCs w:val="21"/>
                <w:lang w:bidi="ar"/>
              </w:rPr>
              <w:t>信道分离度：&gt;80dB（1KHz）</w:t>
            </w:r>
            <w:r>
              <w:rPr>
                <w:rFonts w:hint="eastAsia" w:ascii="宋体" w:hAnsi="宋体" w:eastAsia="宋体" w:cs="宋体"/>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bidi="ar"/>
              </w:rPr>
              <w:t>6.</w:t>
            </w:r>
            <w:r>
              <w:rPr>
                <w:rFonts w:hint="eastAsia" w:ascii="宋体" w:hAnsi="宋体" w:eastAsia="宋体" w:cs="宋体"/>
                <w:color w:val="auto"/>
                <w:kern w:val="0"/>
                <w:sz w:val="21"/>
                <w:szCs w:val="21"/>
                <w:lang w:bidi="ar"/>
              </w:rPr>
              <w:t>功耗：≤13W</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功放</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kern w:val="0"/>
                <w:sz w:val="21"/>
                <w:szCs w:val="21"/>
                <w:lang w:bidi="ar"/>
              </w:rPr>
            </w:pPr>
            <w:r>
              <w:rPr>
                <w:rFonts w:hint="eastAsia" w:ascii="宋体" w:hAnsi="宋体" w:eastAsia="宋体" w:cs="宋体"/>
                <w:color w:val="auto"/>
                <w:kern w:val="0"/>
                <w:sz w:val="21"/>
                <w:szCs w:val="21"/>
                <w:lang w:bidi="ar"/>
              </w:rPr>
              <w:t>采用大功率、效率高的D类数字放大技术</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立体声：2 x 340W</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频率响应：20Hz~20kHz, ±0.5dB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阻尼系数：&gt;200</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信噪比：&gt;100dB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通道分离度（串音）@1kHz：&gt;60dB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输入灵敏度：0.775V/1.4V</w:t>
            </w:r>
            <w:r>
              <w:rPr>
                <w:rFonts w:hint="eastAsia" w:ascii="宋体" w:hAnsi="宋体" w:eastAsia="宋体" w:cs="宋体"/>
                <w:color w:val="auto"/>
                <w:kern w:val="0"/>
                <w:sz w:val="21"/>
                <w:szCs w:val="21"/>
                <w:lang w:eastAsia="zh-CN" w:bidi="ar"/>
              </w:rPr>
              <w:t>；</w:t>
            </w:r>
            <w:r>
              <w:rPr>
                <w:rFonts w:hint="eastAsia" w:ascii="宋体" w:hAnsi="宋体" w:eastAsia="宋体" w:cs="宋体"/>
                <w:color w:val="auto"/>
                <w:kern w:val="0"/>
                <w:sz w:val="21"/>
                <w:szCs w:val="21"/>
                <w:lang w:bidi="ar"/>
              </w:rPr>
              <w:t>输入共模抑制比@1kHz：&gt;70dB</w:t>
            </w:r>
            <w:r>
              <w:rPr>
                <w:rFonts w:hint="eastAsia" w:ascii="宋体" w:hAnsi="宋体" w:eastAsia="宋体" w:cs="宋体"/>
                <w:color w:val="auto"/>
                <w:kern w:val="0"/>
                <w:sz w:val="21"/>
                <w:szCs w:val="21"/>
                <w:lang w:eastAsia="zh-CN" w:bidi="ar"/>
              </w:rPr>
              <w:t>；</w:t>
            </w:r>
          </w:p>
          <w:p>
            <w:pPr>
              <w:keepNext w:val="0"/>
              <w:keepLines w:val="0"/>
              <w:pageBreakBefore w:val="0"/>
              <w:widowControl/>
              <w:numPr>
                <w:ilvl w:val="0"/>
                <w:numId w:val="7"/>
              </w:numPr>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5秒软启动、全自动智能动态压限、短路、过载、低阻、直流、过热、VHF</w:t>
            </w:r>
            <w:r>
              <w:rPr>
                <w:rFonts w:hint="eastAsia" w:ascii="宋体" w:hAnsi="宋体" w:eastAsia="宋体" w:cs="宋体"/>
                <w:color w:val="auto"/>
                <w:kern w:val="0"/>
                <w:sz w:val="21"/>
                <w:szCs w:val="21"/>
                <w:lang w:eastAsia="zh-CN" w:bidi="ar"/>
              </w:rPr>
              <w:t>。</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843"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机柜</w:t>
            </w:r>
          </w:p>
        </w:tc>
        <w:tc>
          <w:tcPr>
            <w:tcW w:w="6019"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left"/>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32U</w:t>
            </w:r>
          </w:p>
        </w:tc>
        <w:tc>
          <w:tcPr>
            <w:tcW w:w="91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1</w:t>
            </w:r>
          </w:p>
        </w:tc>
        <w:tc>
          <w:tcPr>
            <w:tcW w:w="767" w:type="dxa"/>
            <w:tcBorders>
              <w:top w:val="single" w:color="000000" w:sz="4" w:space="0"/>
              <w:left w:val="single" w:color="000000" w:sz="4" w:space="0"/>
              <w:bottom w:val="single" w:color="000000" w:sz="4" w:space="0"/>
              <w:right w:val="single" w:color="000000" w:sz="4" w:space="0"/>
              <w:tl2br w:val="nil"/>
              <w:tr2bl w:val="nil"/>
            </w:tcBorders>
            <w:noWrap/>
            <w:vAlign w:val="center"/>
          </w:tcPr>
          <w:p>
            <w:pPr>
              <w:keepNext w:val="0"/>
              <w:keepLines w:val="0"/>
              <w:pageBreakBefore w:val="0"/>
              <w:widowControl/>
              <w:kinsoku/>
              <w:wordWrap/>
              <w:overflowPunct/>
              <w:topLinePunct w:val="0"/>
              <w:autoSpaceDE/>
              <w:autoSpaceDN/>
              <w:bidi w:val="0"/>
              <w:adjustRightInd/>
              <w:snapToGrid/>
              <w:spacing w:beforeLines="0" w:afterLines="0"/>
              <w:jc w:val="center"/>
              <w:textAlignment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bidi="ar"/>
              </w:rPr>
              <w:t>只</w:t>
            </w:r>
          </w:p>
        </w:tc>
      </w:tr>
    </w:tbl>
    <w:p>
      <w:pPr>
        <w:pStyle w:val="18"/>
      </w:pPr>
    </w:p>
    <w:p>
      <w:pPr>
        <w:spacing w:line="360" w:lineRule="auto"/>
        <w:ind w:firstLine="482" w:firstLineChars="200"/>
        <w:rPr>
          <w:rFonts w:hint="default" w:asciiTheme="minorEastAsia" w:hAnsiTheme="minorEastAsia" w:eastAsia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二</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验收要求：</w:t>
      </w:r>
      <w:r>
        <w:rPr>
          <w:rFonts w:hint="eastAsia" w:ascii="宋体" w:hAnsi="宋体" w:cs="宋体"/>
          <w:b w:val="0"/>
          <w:bCs w:val="0"/>
          <w:color w:val="000000" w:themeColor="text1"/>
          <w:sz w:val="24"/>
          <w:szCs w:val="24"/>
          <w:lang w:val="en-US" w:eastAsia="zh-CN"/>
          <w14:textFill>
            <w14:solidFill>
              <w14:schemeClr w14:val="tx1"/>
            </w14:solidFill>
          </w14:textFill>
        </w:rPr>
        <w:t>验收合格的条件必须满足以下三个要求：</w:t>
      </w:r>
    </w:p>
    <w:p>
      <w:pPr>
        <w:spacing w:line="360" w:lineRule="auto"/>
        <w:ind w:firstLine="480" w:firstLineChars="200"/>
        <w:rPr>
          <w:rFonts w:hint="eastAsia"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1.中标人交付的产品应是最新生产且未被使用过的全新产品；</w:t>
      </w:r>
    </w:p>
    <w:p>
      <w:pPr>
        <w:spacing w:line="360" w:lineRule="auto"/>
        <w:ind w:firstLine="480" w:firstLineChars="200"/>
        <w:rPr>
          <w:rFonts w:hint="eastAsia"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2.须提供设备的详细操作手册和维修手册；</w:t>
      </w:r>
    </w:p>
    <w:p>
      <w:pPr>
        <w:spacing w:line="360" w:lineRule="auto"/>
        <w:ind w:firstLine="480" w:firstLineChars="200"/>
        <w:rPr>
          <w:rFonts w:hint="default" w:asciiTheme="minorEastAsia" w:hAnsiTheme="minorEastAsia" w:eastAsiaTheme="minorEastAsia"/>
          <w:b w:val="0"/>
          <w:bCs/>
          <w:color w:val="000000" w:themeColor="text1"/>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lang w:val="en-US" w:eastAsia="zh-CN"/>
          <w14:textFill>
            <w14:solidFill>
              <w14:schemeClr w14:val="tx1"/>
            </w14:solidFill>
          </w14:textFill>
        </w:rPr>
        <w:t>3.中标人交货前应对产品作出全面检查及对验收文件进行整理，并列出清单作为采购人收货验收和使用的技术条件依据，检验的结果应随货物交采购人。</w:t>
      </w:r>
    </w:p>
    <w:p>
      <w:pPr>
        <w:spacing w:line="360" w:lineRule="auto"/>
        <w:ind w:firstLine="482" w:firstLineChars="200"/>
        <w:rPr>
          <w:rFonts w:hint="eastAsia" w:asciiTheme="minorEastAsia" w:hAnsiTheme="minorEastAsia" w:eastAsiaTheme="minorEastAsia"/>
          <w:b/>
          <w:color w:val="000000" w:themeColor="text1"/>
          <w:sz w:val="24"/>
          <w:lang w:val="en-US" w:eastAsia="zh-CN"/>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三</w:t>
      </w:r>
      <w:r>
        <w:rPr>
          <w:rFonts w:hint="eastAsia" w:asciiTheme="minorEastAsia" w:hAnsiTheme="minorEastAsia" w:eastAsiaTheme="minorEastAsia"/>
          <w:b/>
          <w:color w:val="000000" w:themeColor="text1"/>
          <w:sz w:val="24"/>
          <w:lang w:eastAsia="zh-CN"/>
          <w14:textFill>
            <w14:solidFill>
              <w14:schemeClr w14:val="tx1"/>
            </w14:solidFill>
          </w14:textFill>
        </w:rPr>
        <w:t>）</w:t>
      </w:r>
      <w:r>
        <w:rPr>
          <w:rFonts w:hint="eastAsia" w:asciiTheme="minorEastAsia" w:hAnsiTheme="minorEastAsia" w:eastAsiaTheme="minorEastAsia"/>
          <w:b/>
          <w:color w:val="000000" w:themeColor="text1"/>
          <w:sz w:val="24"/>
          <w:lang w:val="en-US" w:eastAsia="zh-CN"/>
          <w14:textFill>
            <w14:solidFill>
              <w14:schemeClr w14:val="tx1"/>
            </w14:solidFill>
          </w14:textFill>
        </w:rPr>
        <w:t>售后服务要求：</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中标人对采购人提出的售后服务要求</w:t>
      </w:r>
      <w:r>
        <w:rPr>
          <w:rFonts w:hint="eastAsia" w:asciiTheme="minorEastAsia" w:hAnsiTheme="minorEastAsia" w:eastAsiaTheme="minorEastAsia"/>
          <w:b w:val="0"/>
          <w:bCs/>
          <w:color w:val="000000" w:themeColor="text1"/>
          <w:sz w:val="24"/>
          <w14:textFill>
            <w14:solidFill>
              <w14:schemeClr w14:val="tx1"/>
            </w14:solidFill>
          </w14:textFill>
        </w:rPr>
        <w:t>保障及时响应，24小时</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内</w:t>
      </w:r>
      <w:r>
        <w:rPr>
          <w:rFonts w:hint="eastAsia" w:asciiTheme="minorEastAsia" w:hAnsiTheme="minorEastAsia" w:eastAsiaTheme="minorEastAsia"/>
          <w:b w:val="0"/>
          <w:bCs/>
          <w:color w:val="000000" w:themeColor="text1"/>
          <w:sz w:val="24"/>
          <w14:textFill>
            <w14:solidFill>
              <w14:schemeClr w14:val="tx1"/>
            </w14:solidFill>
          </w14:textFill>
        </w:rPr>
        <w:t>到达现场，12小时以内完成维修</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0"/>
        <w:snapToGrid w:val="0"/>
        <w:spacing w:line="360" w:lineRule="auto"/>
        <w:ind w:firstLine="482" w:firstLineChars="200"/>
        <w:rPr>
          <w:rFonts w:hint="eastAsia" w:asciiTheme="minorEastAsia" w:hAnsiTheme="minorEastAsia" w:eastAsiaTheme="minorEastAsia"/>
          <w:b w:val="0"/>
          <w:bCs/>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（一）质保期：</w:t>
      </w:r>
      <w:r>
        <w:rPr>
          <w:rFonts w:hint="eastAsia" w:asciiTheme="minorEastAsia" w:hAnsiTheme="minorEastAsia" w:eastAsiaTheme="minorEastAsia"/>
          <w:b w:val="0"/>
          <w:bCs/>
          <w:color w:val="000000" w:themeColor="text1"/>
          <w:sz w:val="24"/>
          <w14:textFill>
            <w14:solidFill>
              <w14:schemeClr w14:val="tx1"/>
            </w14:solidFill>
          </w14:textFill>
        </w:rPr>
        <w:t>投标产品的质量保证期为</w:t>
      </w:r>
      <w:r>
        <w:rPr>
          <w:rFonts w:hint="eastAsia" w:asciiTheme="minorEastAsia" w:hAnsiTheme="minorEastAsia" w:eastAsiaTheme="minorEastAsia"/>
          <w:b w:val="0"/>
          <w:bCs/>
          <w:color w:val="000000" w:themeColor="text1"/>
          <w:sz w:val="24"/>
          <w:lang w:val="en-US" w:eastAsia="zh-CN"/>
          <w14:textFill>
            <w14:solidFill>
              <w14:schemeClr w14:val="tx1"/>
            </w14:solidFill>
          </w14:textFill>
        </w:rPr>
        <w:t>终</w:t>
      </w:r>
      <w:r>
        <w:rPr>
          <w:rFonts w:hint="eastAsia" w:asciiTheme="minorEastAsia" w:hAnsiTheme="minorEastAsia" w:eastAsiaTheme="minorEastAsia"/>
          <w:b w:val="0"/>
          <w:bCs/>
          <w:color w:val="000000" w:themeColor="text1"/>
          <w:sz w:val="24"/>
          <w14:textFill>
            <w14:solidFill>
              <w14:schemeClr w14:val="tx1"/>
            </w14:solidFill>
          </w14:textFill>
        </w:rPr>
        <w:t>验合格交付使用后</w:t>
      </w:r>
      <w:r>
        <w:rPr>
          <w:rFonts w:hint="eastAsia" w:asciiTheme="minorEastAsia" w:hAnsiTheme="minorEastAsia" w:eastAsiaTheme="minorEastAsia"/>
          <w:b w:val="0"/>
          <w:bCs/>
          <w:color w:val="000000" w:themeColor="text1"/>
          <w:sz w:val="24"/>
          <w:u w:val="none"/>
          <w:lang w:val="en-US" w:eastAsia="zh-CN"/>
          <w14:textFill>
            <w14:solidFill>
              <w14:schemeClr w14:val="tx1"/>
            </w14:solidFill>
          </w14:textFill>
        </w:rPr>
        <w:t>2</w:t>
      </w:r>
      <w:r>
        <w:rPr>
          <w:rFonts w:hint="eastAsia" w:asciiTheme="minorEastAsia" w:hAnsiTheme="minorEastAsia" w:eastAsiaTheme="minorEastAsia"/>
          <w:b w:val="0"/>
          <w:bCs/>
          <w:color w:val="000000" w:themeColor="text1"/>
          <w:sz w:val="24"/>
          <w14:textFill>
            <w14:solidFill>
              <w14:schemeClr w14:val="tx1"/>
            </w14:solidFill>
          </w14:textFill>
        </w:rPr>
        <w:t>年；</w:t>
      </w:r>
    </w:p>
    <w:p>
      <w:pPr>
        <w:pStyle w:val="10"/>
        <w:snapToGrid w:val="0"/>
        <w:spacing w:line="360" w:lineRule="auto"/>
        <w:ind w:firstLine="480" w:firstLineChars="200"/>
        <w:rPr>
          <w:rFonts w:hint="eastAsia" w:asciiTheme="minorEastAsia" w:hAnsiTheme="minorEastAsia" w:eastAsiaTheme="minorEastAsia"/>
          <w:b w:val="0"/>
          <w:bCs/>
          <w:color w:val="000000" w:themeColor="text1"/>
          <w:sz w:val="24"/>
          <w:lang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质保期内，中标人对其提供的产品需无偿保修(包括因设备质量问题需要元器件的无偿更换）</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pStyle w:val="10"/>
        <w:snapToGrid w:val="0"/>
        <w:spacing w:line="360" w:lineRule="auto"/>
        <w:ind w:firstLine="480" w:firstLineChars="200"/>
        <w:rPr>
          <w:rFonts w:hint="eastAsia" w:asciiTheme="minorEastAsia" w:hAnsiTheme="minorEastAsia" w:eastAsiaTheme="minorEastAsia"/>
          <w:b w:val="0"/>
          <w:bCs/>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val="0"/>
          <w:bCs/>
          <w:color w:val="000000" w:themeColor="text1"/>
          <w:sz w:val="24"/>
          <w14:textFill>
            <w14:solidFill>
              <w14:schemeClr w14:val="tx1"/>
            </w14:solidFill>
          </w14:textFill>
        </w:rPr>
        <w:t>质保期后，维修时只收取材料成本费，不得收取其他费用（包括但不限于修理费、人工费、差旅费等除材料成本费外的一切费用)</w:t>
      </w:r>
      <w:r>
        <w:rPr>
          <w:rFonts w:hint="eastAsia" w:asciiTheme="minorEastAsia" w:hAnsiTheme="minorEastAsia" w:eastAsiaTheme="minorEastAsia"/>
          <w:b w:val="0"/>
          <w:bCs/>
          <w:color w:val="000000" w:themeColor="text1"/>
          <w:sz w:val="24"/>
          <w:lang w:eastAsia="zh-CN"/>
          <w14:textFill>
            <w14:solidFill>
              <w14:schemeClr w14:val="tx1"/>
            </w14:solidFill>
          </w14:textFill>
        </w:rPr>
        <w:t>。</w:t>
      </w:r>
    </w:p>
    <w:p>
      <w:pPr>
        <w:pStyle w:val="10"/>
        <w:snapToGrid w:val="0"/>
        <w:spacing w:line="360" w:lineRule="auto"/>
        <w:ind w:firstLine="482" w:firstLineChars="200"/>
        <w:rPr>
          <w:rFonts w:hint="default" w:asciiTheme="minorEastAsia" w:hAnsiTheme="minorEastAsia" w:eastAsiaTheme="minorEastAsia"/>
          <w:color w:val="000000" w:themeColor="text1"/>
          <w:kern w:val="0"/>
          <w:sz w:val="24"/>
          <w:lang w:val="en-US"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（二）交货时间及地点：</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自签订合同之日起15个工作日内，交付到采购人指定地点并安装完毕。</w:t>
      </w:r>
    </w:p>
    <w:p>
      <w:pPr>
        <w:pStyle w:val="10"/>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Theme="minorEastAsia" w:hAnsiTheme="minorEastAsia" w:eastAsiaTheme="minorEastAsia"/>
          <w:bCs/>
          <w:sz w:val="24"/>
        </w:rPr>
        <w:t>合同生效</w:t>
      </w:r>
      <w:r>
        <w:rPr>
          <w:rFonts w:hint="eastAsia" w:asciiTheme="minorEastAsia" w:hAnsiTheme="minorEastAsia" w:eastAsiaTheme="minorEastAsia"/>
          <w:bCs/>
          <w:sz w:val="24"/>
          <w:lang w:val="en-US" w:eastAsia="zh-CN"/>
        </w:rPr>
        <w:t>且</w:t>
      </w:r>
      <w:r>
        <w:rPr>
          <w:rFonts w:hint="eastAsia" w:asciiTheme="minorEastAsia" w:hAnsiTheme="minorEastAsia" w:eastAsiaTheme="minorEastAsia"/>
          <w:bCs/>
          <w:sz w:val="24"/>
        </w:rPr>
        <w:t>具备实施条件后</w:t>
      </w:r>
      <w:r>
        <w:rPr>
          <w:rFonts w:hint="eastAsia" w:asciiTheme="minorEastAsia" w:hAnsiTheme="minorEastAsia" w:eastAsiaTheme="minorEastAsia"/>
          <w:kern w:val="0"/>
          <w:sz w:val="24"/>
        </w:rPr>
        <w:t>15</w:t>
      </w:r>
      <w:r>
        <w:rPr>
          <w:rFonts w:hint="eastAsia" w:asciiTheme="minorEastAsia" w:hAnsiTheme="minorEastAsia" w:eastAsiaTheme="minorEastAsia"/>
          <w:kern w:val="0"/>
          <w:sz w:val="24"/>
          <w:lang w:val="en-US" w:eastAsia="zh-CN"/>
        </w:rPr>
        <w:t>个工作日</w:t>
      </w:r>
      <w:r>
        <w:rPr>
          <w:rFonts w:hint="eastAsia" w:asciiTheme="minorEastAsia" w:hAnsiTheme="minorEastAsia" w:eastAsiaTheme="minorEastAsia"/>
          <w:kern w:val="0"/>
          <w:sz w:val="24"/>
        </w:rPr>
        <w:t>内预付合同款项的</w:t>
      </w: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0%，完成供货、安装、调试初验合格后1</w:t>
      </w:r>
      <w:r>
        <w:rPr>
          <w:rFonts w:hint="eastAsia" w:asciiTheme="minorEastAsia" w:hAnsiTheme="minorEastAsia" w:eastAsiaTheme="minorEastAsia"/>
          <w:kern w:val="0"/>
          <w:sz w:val="24"/>
          <w:lang w:val="en-US" w:eastAsia="zh-CN"/>
        </w:rPr>
        <w:t>0个工作日</w:t>
      </w:r>
      <w:r>
        <w:rPr>
          <w:rFonts w:hint="eastAsia" w:asciiTheme="minorEastAsia" w:hAnsiTheme="minorEastAsia" w:eastAsiaTheme="minorEastAsia"/>
          <w:kern w:val="0"/>
          <w:sz w:val="24"/>
        </w:rPr>
        <w:t>内支付合同款项的</w:t>
      </w: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0%，试运行3个月并完成终验后</w:t>
      </w:r>
      <w:r>
        <w:rPr>
          <w:rFonts w:hint="eastAsia" w:asciiTheme="minorEastAsia" w:hAnsiTheme="minorEastAsia" w:eastAsiaTheme="minorEastAsia"/>
          <w:kern w:val="0"/>
          <w:sz w:val="24"/>
          <w:lang w:val="en-US" w:eastAsia="zh-CN"/>
        </w:rPr>
        <w:t>10个工作日内</w:t>
      </w:r>
      <w:r>
        <w:rPr>
          <w:rFonts w:hint="eastAsia" w:asciiTheme="minorEastAsia" w:hAnsiTheme="minorEastAsia" w:eastAsiaTheme="minorEastAsia"/>
          <w:kern w:val="0"/>
          <w:sz w:val="24"/>
        </w:rPr>
        <w:t>支付合同款项的</w:t>
      </w:r>
      <w:r>
        <w:rPr>
          <w:rFonts w:hint="eastAsia" w:asciiTheme="minorEastAsia" w:hAnsiTheme="minorEastAsia" w:eastAsiaTheme="minorEastAsia"/>
          <w:kern w:val="0"/>
          <w:sz w:val="24"/>
          <w:lang w:val="en-US" w:eastAsia="zh-CN"/>
        </w:rPr>
        <w:t>4</w:t>
      </w:r>
      <w:r>
        <w:rPr>
          <w:rFonts w:hint="eastAsia" w:asciiTheme="minorEastAsia" w:hAnsiTheme="minorEastAsia" w:eastAsiaTheme="minorEastAsia"/>
          <w:kern w:val="0"/>
          <w:sz w:val="24"/>
        </w:rPr>
        <w:t>0%。</w:t>
      </w:r>
    </w:p>
    <w:p>
      <w:pPr>
        <w:rPr>
          <w:rFonts w:hint="eastAsia" w:cs="Times New Roman" w:asciiTheme="minorEastAsia" w:hAnsiTheme="minorEastAsia" w:eastAsiaTheme="minorEastAsia"/>
          <w:b/>
          <w:sz w:val="36"/>
          <w:szCs w:val="36"/>
        </w:rPr>
      </w:pPr>
      <w:bookmarkStart w:id="37" w:name="_Toc31173_WPSOffice_Level1"/>
      <w:r>
        <w:rPr>
          <w:rFonts w:hint="eastAsia" w:cs="Times New Roman" w:asciiTheme="minorEastAsia" w:hAnsiTheme="minorEastAsia" w:eastAsiaTheme="minorEastAsia"/>
          <w:b/>
          <w:sz w:val="36"/>
          <w:szCs w:val="36"/>
        </w:rPr>
        <w:br w:type="page"/>
      </w:r>
    </w:p>
    <w:p>
      <w:pPr>
        <w:pStyle w:val="10"/>
        <w:tabs>
          <w:tab w:val="left" w:pos="630"/>
        </w:tabs>
        <w:snapToGrid w:val="0"/>
        <w:spacing w:line="360" w:lineRule="auto"/>
        <w:jc w:val="center"/>
        <w:rPr>
          <w:rFonts w:asciiTheme="minorEastAsia" w:hAnsiTheme="minorEastAsia" w:eastAsiaTheme="minorEastAsia"/>
          <w:b/>
          <w:sz w:val="32"/>
          <w:szCs w:val="32"/>
        </w:rPr>
      </w:pPr>
      <w:r>
        <w:rPr>
          <w:rFonts w:hint="eastAsia" w:cs="Times New Roman" w:asciiTheme="minorEastAsia" w:hAnsiTheme="minorEastAsia" w:eastAsiaTheme="minorEastAsia"/>
          <w:b/>
          <w:sz w:val="36"/>
          <w:szCs w:val="36"/>
        </w:rPr>
        <w:t>第四章  评标</w:t>
      </w:r>
      <w:bookmarkEnd w:id="37"/>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18"/>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（三）评标委员会负责具体评标事务，并独立履行下列职责：</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7"/>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7"/>
        <w:spacing w:line="360" w:lineRule="auto"/>
        <w:ind w:firstLine="480" w:firstLineChars="200"/>
        <w:rPr>
          <w:rFonts w:asciiTheme="minorEastAsia" w:hAnsiTheme="minorEastAsia" w:eastAsiaTheme="minorEastAsia"/>
          <w:szCs w:val="21"/>
        </w:rPr>
      </w:pPr>
      <w:r>
        <w:rPr>
          <w:rFonts w:hint="eastAsia" w:asciiTheme="minorEastAsia" w:hAnsiTheme="minorEastAsia" w:eastAsiaTheme="minorEastAsia"/>
          <w:sz w:val="24"/>
        </w:rPr>
        <w:t>6.法律法规规定的其他职责。</w:t>
      </w:r>
    </w:p>
    <w:p>
      <w:pPr>
        <w:pStyle w:val="16"/>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（一）在资格证明文件或商务与技术文件中出现投标报价的，或者报价文件中报价的货物跟商务与技术文件中的投标货物出现重大偏差的；</w:t>
      </w:r>
    </w:p>
    <w:p>
      <w:pPr>
        <w:pStyle w:val="16"/>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8"/>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6"/>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8"/>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color w:val="FF0000"/>
          <w:kern w:val="0"/>
          <w:sz w:val="24"/>
        </w:rPr>
        <w:t xml:space="preserve"> </w:t>
      </w:r>
      <w:r>
        <w:rPr>
          <w:rFonts w:hint="eastAsia" w:asciiTheme="minorEastAsia" w:hAnsiTheme="minorEastAsia" w:eastAsiaTheme="minorEastAsia"/>
          <w:color w:val="auto"/>
          <w:kern w:val="0"/>
          <w:sz w:val="24"/>
          <w:lang w:val="en-US" w:eastAsia="zh-CN"/>
        </w:rPr>
        <w:t>10</w:t>
      </w:r>
      <w:r>
        <w:rPr>
          <w:rFonts w:hint="eastAsia" w:asciiTheme="minorEastAsia" w:hAnsiTheme="minorEastAsia" w:eastAsiaTheme="minorEastAsia"/>
          <w:color w:val="FF0000"/>
          <w:kern w:val="0"/>
          <w:sz w:val="24"/>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6"/>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6"/>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7"/>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rPr>
        <w:t>（十一）商务</w:t>
      </w:r>
      <w:r>
        <w:rPr>
          <w:rFonts w:hint="eastAsia" w:ascii="宋体" w:hAnsi="宋体" w:cs="宋体"/>
          <w:sz w:val="24"/>
          <w:szCs w:val="24"/>
        </w:rPr>
        <w:t>条款不响应的；</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（十二）投标文件有效期不足的；</w:t>
      </w:r>
    </w:p>
    <w:p>
      <w:pPr>
        <w:pStyle w:val="7"/>
        <w:spacing w:line="360" w:lineRule="auto"/>
        <w:ind w:firstLine="480" w:firstLineChars="200"/>
        <w:rPr>
          <w:rFonts w:ascii="宋体" w:hAnsi="宋体" w:cs="宋体"/>
          <w:sz w:val="24"/>
          <w:szCs w:val="24"/>
        </w:rPr>
      </w:pPr>
      <w:r>
        <w:rPr>
          <w:rFonts w:hint="eastAsia" w:ascii="宋体" w:hAnsi="宋体" w:cs="宋体"/>
          <w:sz w:val="24"/>
          <w:szCs w:val="24"/>
        </w:rPr>
        <w:t>（十三）逾期或未按要求提交投标文件的；</w:t>
      </w:r>
    </w:p>
    <w:p>
      <w:pPr>
        <w:pStyle w:val="7"/>
        <w:spacing w:line="360" w:lineRule="auto"/>
        <w:ind w:firstLine="480" w:firstLineChars="200"/>
        <w:rPr>
          <w:rFonts w:asciiTheme="minorEastAsia" w:hAnsiTheme="minorEastAsia"/>
          <w:kern w:val="0"/>
          <w:sz w:val="24"/>
        </w:rPr>
      </w:pPr>
      <w:r>
        <w:rPr>
          <w:rFonts w:hint="eastAsia" w:asciiTheme="minorEastAsia" w:hAnsiTheme="minorEastAsia" w:eastAsiaTheme="minorEastAsia"/>
          <w:kern w:val="0"/>
          <w:sz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6"/>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6"/>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0"/>
        <w:snapToGrid w:val="0"/>
        <w:spacing w:line="360" w:lineRule="auto"/>
        <w:ind w:firstLine="482" w:firstLineChars="200"/>
        <w:rPr>
          <w:rFonts w:hAnsi="宋体" w:cs="宋体"/>
          <w:b/>
          <w:sz w:val="24"/>
        </w:rPr>
      </w:pPr>
      <w:r>
        <w:rPr>
          <w:rFonts w:hint="eastAsia" w:hAnsi="宋体" w:cs="宋体"/>
          <w:b/>
          <w:sz w:val="24"/>
        </w:rPr>
        <w:t>六、评标过程的监控</w:t>
      </w:r>
    </w:p>
    <w:p>
      <w:pPr>
        <w:pStyle w:val="16"/>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0"/>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pStyle w:val="8"/>
        <w:spacing w:line="360" w:lineRule="auto"/>
        <w:ind w:firstLine="480" w:firstLineChars="200"/>
        <w:jc w:val="both"/>
        <w:rPr>
          <w:rFonts w:hint="eastAsia" w:ascii="宋体" w:hAnsi="宋体" w:eastAsia="宋体" w:cs="宋体"/>
          <w:sz w:val="24"/>
          <w:lang w:eastAsia="zh-CN"/>
        </w:rPr>
      </w:pPr>
      <w:r>
        <w:rPr>
          <w:rFonts w:hint="eastAsia" w:ascii="宋体"/>
          <w:sz w:val="24"/>
        </w:rPr>
        <w:t>4.</w:t>
      </w:r>
      <w:r>
        <w:rPr>
          <w:rFonts w:hint="eastAsia" w:ascii="宋体" w:hAnsi="宋体" w:cs="宋体"/>
          <w:sz w:val="24"/>
        </w:rPr>
        <w:t>投标产品中有符合最新一期行政主管部门公布的“节能产品政府采购品目清单”、“环境标志产品政府采购品目清单”标准的节能环保产品，应提供所投产品由国家确定的认证机关出具的节能产品、环保产品有效认证证书</w:t>
      </w:r>
      <w:r>
        <w:rPr>
          <w:rFonts w:hint="eastAsia" w:ascii="宋体" w:hAnsi="宋体" w:cs="宋体"/>
          <w:sz w:val="24"/>
          <w:lang w:eastAsia="zh-CN"/>
        </w:rPr>
        <w:t>。</w:t>
      </w:r>
      <w:r>
        <w:rPr>
          <w:rFonts w:hint="eastAsia" w:ascii="宋体" w:hAnsi="宋体" w:cs="宋体"/>
          <w:sz w:val="24"/>
        </w:rPr>
        <w:t>【特别提示：节能和环境标志产品最新一期政府采购品目清单，可在“中国政府采购网”中查看】</w:t>
      </w:r>
    </w:p>
    <w:p>
      <w:pPr>
        <w:pStyle w:val="8"/>
        <w:spacing w:line="360" w:lineRule="auto"/>
        <w:ind w:firstLine="480" w:firstLineChars="200"/>
        <w:jc w:val="both"/>
        <w:rPr>
          <w:rFonts w:ascii="宋体" w:hAnsi="宋体" w:cs="宋体"/>
          <w:sz w:val="24"/>
        </w:rPr>
      </w:pPr>
      <w:r>
        <w:rPr>
          <w:rFonts w:hint="eastAsia" w:ascii="宋体" w:hAnsi="宋体" w:cs="宋体"/>
          <w:sz w:val="24"/>
        </w:rPr>
        <w:t>5.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经主管预算单位统筹后未预留份额专门面向中小企业采购的采购项目，以及预留份额项目中的非预留部分：</w:t>
      </w:r>
      <w:r>
        <w:rPr>
          <w:rFonts w:hint="eastAsia" w:ascii="宋体"/>
          <w:color w:val="000000"/>
          <w:sz w:val="24"/>
        </w:rPr>
        <w:t>对</w:t>
      </w:r>
      <w:r>
        <w:rPr>
          <w:rFonts w:hint="eastAsia" w:ascii="宋体"/>
          <w:color w:val="000000"/>
          <w:sz w:val="24"/>
          <w:lang w:val="zh-CN"/>
        </w:rPr>
        <w:t>小微企业</w:t>
      </w:r>
      <w:r>
        <w:rPr>
          <w:rFonts w:hint="eastAsia" w:ascii="宋体"/>
          <w:color w:val="000000"/>
          <w:sz w:val="24"/>
        </w:rPr>
        <w:t>报价</w:t>
      </w:r>
      <w:r>
        <w:rPr>
          <w:rFonts w:hint="eastAsia" w:ascii="宋体"/>
          <w:color w:val="000000"/>
          <w:sz w:val="24"/>
          <w:lang w:val="zh-CN"/>
        </w:rPr>
        <w:t>给予6%-10%的扣除，用扣除后的价格计算评标基准价和投标报价。联合体各方均为小微企业的，联合体视同为小微企业，</w:t>
      </w:r>
      <w:r>
        <w:rPr>
          <w:rFonts w:hint="eastAsia" w:ascii="宋体"/>
          <w:color w:val="000000"/>
          <w:sz w:val="24"/>
        </w:rPr>
        <w:t>对报价</w:t>
      </w:r>
      <w:r>
        <w:rPr>
          <w:rFonts w:hint="eastAsia" w:ascii="宋体"/>
          <w:color w:val="000000"/>
          <w:sz w:val="24"/>
          <w:lang w:val="zh-CN"/>
        </w:rPr>
        <w:t>给予6%-10%的扣除；联合协议或者分包意向协议约定小微企业的合同份额占到合同总金额30%以上的，</w:t>
      </w:r>
      <w:r>
        <w:rPr>
          <w:rFonts w:hint="eastAsia" w:ascii="宋体"/>
          <w:color w:val="000000"/>
          <w:sz w:val="24"/>
        </w:rPr>
        <w:t>对报价</w:t>
      </w:r>
      <w:r>
        <w:rPr>
          <w:rFonts w:hint="eastAsia" w:ascii="宋体"/>
          <w:color w:val="000000"/>
          <w:sz w:val="24"/>
          <w:lang w:val="zh-CN"/>
        </w:rPr>
        <w:t>给予2%</w:t>
      </w:r>
      <w:r>
        <w:rPr>
          <w:rFonts w:hint="eastAsia" w:ascii="宋体"/>
          <w:color w:val="000000"/>
          <w:sz w:val="24"/>
        </w:rPr>
        <w:t>-3%</w:t>
      </w:r>
      <w:r>
        <w:rPr>
          <w:rFonts w:hint="eastAsia" w:ascii="宋体"/>
          <w:color w:val="000000"/>
          <w:sz w:val="24"/>
          <w:lang w:val="zh-CN"/>
        </w:rPr>
        <w:t>的价格扣除，用扣除后的价格计算评标基准价和响应报价</w:t>
      </w:r>
      <w:r>
        <w:rPr>
          <w:rFonts w:hint="eastAsia" w:ascii="宋体"/>
          <w:sz w:val="24"/>
          <w:lang w:val="zh-CN"/>
        </w:rPr>
        <w:t>。同一投标人（包括联合体），小微企业、监狱企业、残疾人福利性单位价格扣除优惠只享受一次，不得重复享受。</w:t>
      </w:r>
    </w:p>
    <w:p>
      <w:pPr>
        <w:pStyle w:val="10"/>
        <w:snapToGrid w:val="0"/>
        <w:spacing w:line="360" w:lineRule="auto"/>
        <w:ind w:firstLine="482" w:firstLineChars="200"/>
        <w:rPr>
          <w:rFonts w:hAnsi="宋体" w:cs="宋体"/>
          <w:b/>
          <w:bCs/>
          <w:sz w:val="24"/>
        </w:rPr>
      </w:pPr>
      <w:r>
        <w:rPr>
          <w:rFonts w:hint="eastAsia" w:hAnsi="宋体" w:cs="宋体"/>
          <w:b/>
          <w:bCs/>
          <w:sz w:val="24"/>
        </w:rPr>
        <w:t>八、评标程序</w:t>
      </w:r>
    </w:p>
    <w:p>
      <w:pPr>
        <w:snapToGrid w:val="0"/>
        <w:spacing w:line="360" w:lineRule="auto"/>
        <w:ind w:firstLine="482" w:firstLineChars="200"/>
        <w:rPr>
          <w:rFonts w:ascii="宋体" w:hAnsi="宋体" w:cs="宋体"/>
          <w:b/>
          <w:bCs/>
          <w:sz w:val="24"/>
        </w:rPr>
      </w:pPr>
      <w:r>
        <w:rPr>
          <w:rFonts w:hint="eastAsia" w:ascii="宋体" w:hAnsi="宋体" w:cs="宋体"/>
          <w:b/>
          <w:bCs/>
          <w:sz w:val="24"/>
        </w:rPr>
        <w:t>（一）资格性审查</w:t>
      </w:r>
    </w:p>
    <w:p>
      <w:pPr>
        <w:pStyle w:val="8"/>
        <w:spacing w:line="360" w:lineRule="auto"/>
        <w:ind w:firstLine="480" w:firstLineChars="200"/>
        <w:jc w:val="both"/>
        <w:rPr>
          <w:rFonts w:hint="eastAsia" w:ascii="宋体" w:hAnsi="宋体" w:cs="宋体"/>
          <w:sz w:val="24"/>
        </w:rPr>
      </w:pPr>
      <w:r>
        <w:rPr>
          <w:rFonts w:hint="eastAsia" w:ascii="宋体" w:hAnsi="宋体" w:cs="宋体"/>
          <w:sz w:val="24"/>
        </w:rPr>
        <w:t>投标文件解密后，采购人或采购组织机构依法对投标人的资格进行审查，对审查发现无效的进行必要的询问，在政采云平台公布无效投标的投标人名单、投标无效的原因。</w:t>
      </w:r>
    </w:p>
    <w:tbl>
      <w:tblPr>
        <w:tblStyle w:val="19"/>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提供上一年度财务状况报告或基本开户行出具的资信证明（以联合体形式投标时，联合体各方均须满足该条款）。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若</w:t>
            </w:r>
            <w:r>
              <w:rPr>
                <w:rFonts w:hint="eastAsia" w:ascii="宋体" w:hAnsi="宋体" w:eastAsia="宋体" w:cs="宋体"/>
                <w:color w:val="000000" w:themeColor="text1"/>
                <w:sz w:val="21"/>
                <w:szCs w:val="21"/>
                <w14:textFill>
                  <w14:solidFill>
                    <w14:schemeClr w14:val="tx1"/>
                  </w14:solidFill>
                </w14:textFill>
              </w:rPr>
              <w:t>以联合体形式投标时，</w:t>
            </w:r>
            <w:r>
              <w:rPr>
                <w:rFonts w:hint="eastAsia" w:ascii="宋体" w:hAnsi="宋体" w:eastAsia="宋体" w:cs="宋体"/>
                <w:color w:val="000000" w:themeColor="text1"/>
                <w:sz w:val="21"/>
                <w:szCs w:val="21"/>
                <w:lang w:eastAsia="zh-CN"/>
                <w14:textFill>
                  <w14:solidFill>
                    <w14:schemeClr w14:val="tx1"/>
                  </w14:solidFill>
                </w14:textFill>
              </w:rPr>
              <w:t>需将</w:t>
            </w:r>
            <w:r>
              <w:rPr>
                <w:rFonts w:hint="eastAsia" w:ascii="宋体" w:hAnsi="宋体" w:eastAsia="宋体" w:cs="宋体"/>
                <w:color w:val="000000" w:themeColor="text1"/>
                <w:sz w:val="21"/>
                <w:szCs w:val="21"/>
                <w14:textFill>
                  <w14:solidFill>
                    <w14:schemeClr w14:val="tx1"/>
                  </w14:solidFill>
                </w14:textFill>
              </w:rPr>
              <w:t>《联合体共同投标协议书》</w:t>
            </w:r>
            <w:r>
              <w:rPr>
                <w:rFonts w:hint="eastAsia" w:ascii="宋体" w:hAnsi="宋体" w:eastAsia="宋体" w:cs="宋体"/>
                <w:color w:val="000000" w:themeColor="text1"/>
                <w:sz w:val="21"/>
                <w:szCs w:val="21"/>
                <w:lang w:eastAsia="zh-CN"/>
                <w14:textFill>
                  <w14:solidFill>
                    <w14:schemeClr w14:val="tx1"/>
                  </w14:solidFill>
                </w14:textFill>
              </w:rPr>
              <w:t>作入标书</w:t>
            </w:r>
            <w:r>
              <w:rPr>
                <w:rFonts w:hint="eastAsia" w:ascii="宋体" w:hAnsi="宋体" w:eastAsia="宋体" w:cs="宋体"/>
                <w:color w:val="000000" w:themeColor="text1"/>
                <w:sz w:val="21"/>
                <w:szCs w:val="21"/>
                <w14:textFill>
                  <w14:solidFill>
                    <w14:schemeClr w14:val="tx1"/>
                  </w14:solidFill>
                </w14:textFill>
              </w:rPr>
              <w:t>。</w:t>
            </w:r>
          </w:p>
        </w:tc>
      </w:tr>
    </w:tbl>
    <w:p>
      <w:pPr>
        <w:pStyle w:val="8"/>
        <w:spacing w:line="360" w:lineRule="auto"/>
        <w:ind w:firstLine="482" w:firstLineChars="200"/>
        <w:jc w:val="both"/>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8"/>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评标委员会应当对符合资格的投标人的投标文件进行符合性审查，以确定其是否满足招标文件的实质性要求，对审查发现无效的进行必要的询</w:t>
      </w:r>
      <w:r>
        <w:rPr>
          <w:rFonts w:hint="eastAsia" w:asciiTheme="minorEastAsia" w:hAnsiTheme="minorEastAsia" w:eastAsiaTheme="minorEastAsia"/>
          <w:sz w:val="24"/>
        </w:rPr>
        <w:t>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p>
    <w:tbl>
      <w:tblPr>
        <w:tblStyle w:val="19"/>
        <w:tblpPr w:leftFromText="181" w:rightFromText="181" w:bottomFromText="170" w:vertAnchor="text" w:tblpXSpec="center" w:tblpY="1"/>
        <w:tblOverlap w:val="never"/>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“▲”实质性条款</w:t>
            </w:r>
          </w:p>
        </w:tc>
        <w:tc>
          <w:tcPr>
            <w:tcW w:w="747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串通投标</w:t>
            </w:r>
          </w:p>
        </w:tc>
        <w:tc>
          <w:tcPr>
            <w:tcW w:w="747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line="300" w:lineRule="auto"/>
              <w:ind w:right="146"/>
              <w:jc w:val="center"/>
              <w:textAlignment w:val="auto"/>
              <w:rPr>
                <w:sz w:val="21"/>
                <w:szCs w:val="21"/>
              </w:rPr>
            </w:pPr>
            <w:r>
              <w:rPr>
                <w:rFonts w:hint="eastAsia"/>
                <w:sz w:val="21"/>
                <w:szCs w:val="21"/>
              </w:rPr>
              <w:t>附加条件</w:t>
            </w:r>
          </w:p>
        </w:tc>
        <w:tc>
          <w:tcPr>
            <w:tcW w:w="7476" w:type="dxa"/>
            <w:shd w:val="clear" w:color="auto" w:fill="auto"/>
            <w:tcMar>
              <w:top w:w="57" w:type="dxa"/>
              <w:left w:w="108" w:type="dxa"/>
              <w:bottom w:w="0" w:type="dxa"/>
              <w:right w:w="108" w:type="dxa"/>
            </w:tcMar>
            <w:vAlign w:val="center"/>
          </w:tcPr>
          <w:p>
            <w:pPr>
              <w:pStyle w:val="45"/>
              <w:keepNext w:val="0"/>
              <w:keepLines w:val="0"/>
              <w:pageBreakBefore w:val="0"/>
              <w:widowControl w:val="0"/>
              <w:kinsoku/>
              <w:wordWrap/>
              <w:overflowPunct/>
              <w:topLinePunct w:val="0"/>
              <w:autoSpaceDE/>
              <w:autoSpaceDN/>
              <w:bidi w:val="0"/>
              <w:adjustRightInd/>
              <w:snapToGrid/>
              <w:spacing w:before="48" w:line="300" w:lineRule="auto"/>
              <w:ind w:firstLine="420" w:firstLineChars="200"/>
              <w:textAlignment w:val="auto"/>
              <w:rPr>
                <w:sz w:val="21"/>
                <w:szCs w:val="21"/>
              </w:rPr>
            </w:pPr>
            <w:r>
              <w:rPr>
                <w:rFonts w:hint="eastAsia"/>
                <w:sz w:val="21"/>
                <w:szCs w:val="21"/>
              </w:rPr>
              <w:t>投标文件未含有采购人不可接受的附加条件。</w:t>
            </w:r>
          </w:p>
        </w:tc>
      </w:tr>
    </w:tbl>
    <w:p>
      <w:pPr>
        <w:pStyle w:val="8"/>
        <w:spacing w:line="360" w:lineRule="auto"/>
        <w:ind w:firstLine="482" w:firstLineChars="200"/>
        <w:jc w:val="both"/>
        <w:rPr>
          <w:rFonts w:hint="default" w:asciiTheme="minorEastAsia" w:hAnsiTheme="minorEastAsia" w:eastAsiaTheme="minorEastAsia"/>
          <w:b/>
          <w:bCs/>
          <w:sz w:val="24"/>
        </w:rPr>
      </w:pPr>
      <w:r>
        <w:rPr>
          <w:rFonts w:hint="eastAsia" w:asciiTheme="minorEastAsia" w:hAnsiTheme="minorEastAsia" w:eastAsiaTheme="minorEastAsia"/>
          <w:b/>
          <w:bCs/>
          <w:sz w:val="24"/>
        </w:rPr>
        <w:t>（三）商务技术及价格评审</w:t>
      </w:r>
    </w:p>
    <w:p>
      <w:pPr>
        <w:autoSpaceDE w:val="0"/>
        <w:autoSpaceDN w:val="0"/>
        <w:adjustRightInd w:val="0"/>
        <w:spacing w:line="360" w:lineRule="auto"/>
        <w:ind w:firstLine="482" w:firstLineChars="200"/>
        <w:rPr>
          <w:rFonts w:hint="eastAsia" w:ascii="宋体"/>
          <w:b/>
          <w:bCs/>
          <w:sz w:val="24"/>
        </w:rPr>
      </w:pPr>
      <w:r>
        <w:rPr>
          <w:rFonts w:hint="eastAsia" w:ascii="宋体"/>
          <w:b/>
          <w:bCs/>
          <w:sz w:val="24"/>
        </w:rPr>
        <w:t>1.评分标准</w:t>
      </w:r>
    </w:p>
    <w:p>
      <w:pPr>
        <w:autoSpaceDE w:val="0"/>
        <w:autoSpaceDN w:val="0"/>
        <w:adjustRightInd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lang w:val="en-US" w:eastAsia="zh-CN"/>
        </w:rPr>
        <w:t xml:space="preserve"> 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标项项目评标方法为综合评分法，总计100分，评标按以下标准及要求进行：</w:t>
      </w:r>
    </w:p>
    <w:tbl>
      <w:tblPr>
        <w:tblStyle w:val="19"/>
        <w:tblpPr w:leftFromText="181" w:rightFromText="181" w:bottomFromText="170" w:vertAnchor="text" w:tblpXSpec="center" w:tblpY="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074"/>
        <w:gridCol w:w="5994"/>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286"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评分项目</w:t>
            </w:r>
          </w:p>
        </w:tc>
        <w:tc>
          <w:tcPr>
            <w:tcW w:w="7068" w:type="dxa"/>
            <w:gridSpan w:val="2"/>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评分细则</w:t>
            </w:r>
          </w:p>
        </w:tc>
        <w:tc>
          <w:tcPr>
            <w:tcW w:w="664" w:type="dxa"/>
            <w:shd w:val="clear" w:color="auto" w:fill="BEBEBE" w:themeFill="background1" w:themeFillShade="BF"/>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restart"/>
            <w:tcMar>
              <w:top w:w="57" w:type="dxa"/>
              <w:left w:w="108" w:type="dxa"/>
              <w:bottom w:w="0" w:type="dxa"/>
              <w:right w:w="108" w:type="dxa"/>
            </w:tcMar>
            <w:vAlign w:val="center"/>
          </w:tcPr>
          <w:p>
            <w:pPr>
              <w:pStyle w:val="7"/>
              <w:ind w:firstLine="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技术性能</w:t>
            </w:r>
          </w:p>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54</w:t>
            </w:r>
            <w:r>
              <w:rPr>
                <w:rFonts w:hint="eastAsia" w:ascii="宋体" w:hAnsi="宋体" w:eastAsia="宋体" w:cs="宋体"/>
                <w:b/>
                <w:bCs/>
                <w:sz w:val="21"/>
                <w:szCs w:val="21"/>
              </w:rPr>
              <w:t>分</w:t>
            </w:r>
          </w:p>
        </w:tc>
        <w:tc>
          <w:tcPr>
            <w:tcW w:w="1074" w:type="dxa"/>
            <w:tcMar>
              <w:top w:w="57" w:type="dxa"/>
              <w:left w:w="108" w:type="dxa"/>
              <w:bottom w:w="0" w:type="dxa"/>
              <w:right w:w="108" w:type="dxa"/>
            </w:tcMar>
            <w:vAlign w:val="center"/>
          </w:tcPr>
          <w:p>
            <w:pPr>
              <w:pStyle w:val="8"/>
              <w:spacing w:line="240" w:lineRule="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综合性能</w:t>
            </w:r>
          </w:p>
        </w:tc>
        <w:tc>
          <w:tcPr>
            <w:tcW w:w="5994" w:type="dxa"/>
            <w:tcMar>
              <w:top w:w="57" w:type="dxa"/>
              <w:left w:w="108" w:type="dxa"/>
              <w:bottom w:w="0" w:type="dxa"/>
              <w:right w:w="108" w:type="dxa"/>
            </w:tcMar>
            <w:vAlign w:val="center"/>
          </w:tcPr>
          <w:p>
            <w:pPr>
              <w:pStyle w:val="8"/>
              <w:spacing w:line="240" w:lineRule="auto"/>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kern w:val="0"/>
                <w:szCs w:val="21"/>
                <w:lang w:eastAsia="zh-CN"/>
                <w14:textFill>
                  <w14:solidFill>
                    <w14:schemeClr w14:val="tx1"/>
                  </w14:solidFill>
                </w14:textFill>
              </w:rPr>
              <w:t>根据</w:t>
            </w:r>
            <w:r>
              <w:rPr>
                <w:rFonts w:hint="eastAsia" w:ascii="宋体" w:hAnsi="宋体" w:eastAsia="宋体" w:cs="宋体"/>
                <w:color w:val="000000" w:themeColor="text1"/>
                <w:kern w:val="0"/>
                <w:szCs w:val="21"/>
                <w14:textFill>
                  <w14:solidFill>
                    <w14:schemeClr w14:val="tx1"/>
                  </w14:solidFill>
                </w14:textFill>
              </w:rPr>
              <w:t>所投产品的整体性能</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kern w:val="0"/>
                <w:szCs w:val="21"/>
                <w14:textFill>
                  <w14:solidFill>
                    <w14:schemeClr w14:val="tx1"/>
                  </w14:solidFill>
                </w14:textFill>
              </w:rPr>
              <w:t>设计方案（含封装工艺、排线布线）</w:t>
            </w:r>
            <w:r>
              <w:rPr>
                <w:rFonts w:hint="eastAsia" w:ascii="宋体" w:hAnsi="宋体" w:eastAsia="宋体" w:cs="宋体"/>
                <w:color w:val="000000" w:themeColor="text1"/>
                <w:kern w:val="0"/>
                <w:szCs w:val="21"/>
                <w:lang w:eastAsia="zh-CN"/>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稳定性及</w:t>
            </w:r>
            <w:r>
              <w:rPr>
                <w:rFonts w:hint="eastAsia" w:ascii="宋体" w:hAnsi="宋体" w:eastAsia="宋体" w:cs="宋体"/>
                <w:color w:val="000000" w:themeColor="text1"/>
                <w14:textFill>
                  <w14:solidFill>
                    <w14:schemeClr w14:val="tx1"/>
                  </w14:solidFill>
                </w14:textFill>
              </w:rPr>
              <w:t>可靠</w:t>
            </w:r>
            <w:r>
              <w:rPr>
                <w:rFonts w:hint="eastAsia" w:ascii="宋体" w:hAnsi="宋体" w:eastAsia="宋体" w:cs="宋体"/>
                <w:color w:val="000000" w:themeColor="text1"/>
                <w:lang w:eastAsia="zh-CN"/>
                <w14:textFill>
                  <w14:solidFill>
                    <w14:schemeClr w14:val="tx1"/>
                  </w14:solidFill>
                </w14:textFill>
              </w:rPr>
              <w:t>性等进行</w:t>
            </w:r>
            <w:r>
              <w:rPr>
                <w:rFonts w:hint="eastAsia" w:ascii="宋体" w:hAnsi="宋体" w:eastAsia="宋体" w:cs="宋体"/>
                <w:color w:val="000000" w:themeColor="text1"/>
                <w:lang w:val="en-US" w:eastAsia="zh-CN"/>
                <w14:textFill>
                  <w14:solidFill>
                    <w14:schemeClr w14:val="tx1"/>
                  </w14:solidFill>
                </w14:textFill>
              </w:rPr>
              <w:t>综合</w:t>
            </w:r>
            <w:r>
              <w:rPr>
                <w:rFonts w:hint="eastAsia" w:ascii="宋体" w:hAnsi="宋体" w:eastAsia="宋体" w:cs="宋体"/>
                <w:color w:val="000000" w:themeColor="text1"/>
                <w:lang w:eastAsia="zh-CN"/>
                <w14:textFill>
                  <w14:solidFill>
                    <w14:schemeClr w14:val="tx1"/>
                  </w14:solidFill>
                </w14:textFill>
              </w:rPr>
              <w:t>评分：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1.所投产品整体性能优秀，设计方案优异，稳定性及可靠性强的，得4-3分；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2.所投产品整体性能良好，设计方案合理，稳定性及可靠性良好的，得2.9-2分；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3.所投产品整体性能、设计方案、稳定性及可靠性均一般的，得1.9-0.5分；</w:t>
            </w:r>
          </w:p>
          <w:p>
            <w:pPr>
              <w:pStyle w:val="8"/>
              <w:spacing w:line="240" w:lineRule="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4.所投产品整体性能、设计方案、稳定性及可靠性差的，得0.4-0分。</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rPr>
            </w:pPr>
          </w:p>
        </w:tc>
        <w:tc>
          <w:tcPr>
            <w:tcW w:w="1074" w:type="dxa"/>
            <w:vMerge w:val="restart"/>
            <w:tcMar>
              <w:top w:w="57" w:type="dxa"/>
              <w:left w:w="108" w:type="dxa"/>
              <w:bottom w:w="0" w:type="dxa"/>
              <w:right w:w="108" w:type="dxa"/>
            </w:tcMar>
            <w:vAlign w:val="center"/>
          </w:tcPr>
          <w:p>
            <w:pPr>
              <w:pStyle w:val="8"/>
              <w:spacing w:line="240" w:lineRule="auto"/>
              <w:rPr>
                <w:rFonts w:hint="eastAsia" w:ascii="宋体" w:hAnsi="宋体" w:eastAsia="宋体" w:cs="宋体"/>
                <w:b/>
                <w:bCs/>
                <w:lang w:val="en-US" w:eastAsia="zh-CN"/>
              </w:rPr>
            </w:pPr>
            <w:r>
              <w:rPr>
                <w:rFonts w:hint="eastAsia" w:ascii="宋体" w:hAnsi="宋体" w:eastAsia="宋体" w:cs="宋体"/>
                <w:b/>
                <w:bCs/>
                <w:lang w:val="en-US" w:eastAsia="zh-CN"/>
              </w:rPr>
              <w:t>参数响应</w:t>
            </w: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szCs w:val="21"/>
              </w:rPr>
            </w:pPr>
            <w:r>
              <w:rPr>
                <w:rFonts w:hint="eastAsia" w:ascii="宋体" w:hAnsi="宋体" w:eastAsia="宋体" w:cs="宋体"/>
                <w:szCs w:val="21"/>
              </w:rPr>
              <w:t>根据</w:t>
            </w:r>
            <w:r>
              <w:rPr>
                <w:rFonts w:hint="eastAsia" w:ascii="宋体" w:hAnsi="宋体" w:eastAsia="宋体" w:cs="宋体"/>
                <w:szCs w:val="21"/>
                <w:lang w:val="en-US" w:eastAsia="zh-CN"/>
              </w:rPr>
              <w:t>LED屏的</w:t>
            </w:r>
            <w:r>
              <w:rPr>
                <w:rFonts w:hint="eastAsia" w:ascii="宋体" w:hAnsi="宋体" w:eastAsia="宋体" w:cs="宋体"/>
                <w:szCs w:val="21"/>
              </w:rPr>
              <w:t>技术参数和配置的偏离情况进行打分：</w:t>
            </w:r>
          </w:p>
          <w:p>
            <w:pPr>
              <w:spacing w:line="240" w:lineRule="auto"/>
              <w:jc w:val="left"/>
              <w:rPr>
                <w:rFonts w:hint="eastAsia" w:ascii="宋体" w:hAnsi="宋体" w:eastAsia="宋体" w:cs="宋体"/>
                <w:color w:val="auto"/>
                <w:szCs w:val="21"/>
              </w:rPr>
            </w:pPr>
            <w:r>
              <w:rPr>
                <w:rFonts w:hint="eastAsia" w:ascii="宋体" w:hAnsi="宋体" w:eastAsia="宋体" w:cs="宋体"/>
                <w:szCs w:val="21"/>
              </w:rPr>
              <w:t>1.完全满足或高于招标文件要求的，得</w:t>
            </w:r>
            <w:r>
              <w:rPr>
                <w:rFonts w:hint="eastAsia" w:ascii="宋体" w:hAnsi="宋体" w:eastAsia="宋体" w:cs="宋体"/>
                <w:szCs w:val="21"/>
                <w:lang w:val="en-US" w:eastAsia="zh-CN"/>
              </w:rPr>
              <w:t>35</w:t>
            </w:r>
            <w:r>
              <w:rPr>
                <w:rFonts w:hint="eastAsia" w:ascii="宋体" w:hAnsi="宋体" w:eastAsia="宋体" w:cs="宋体"/>
                <w:color w:val="auto"/>
                <w:szCs w:val="21"/>
              </w:rPr>
              <w:t>分；</w:t>
            </w:r>
          </w:p>
          <w:p>
            <w:pPr>
              <w:pStyle w:val="8"/>
              <w:spacing w:line="240" w:lineRule="auto"/>
              <w:rPr>
                <w:rFonts w:hint="eastAsia" w:ascii="宋体" w:hAnsi="宋体" w:eastAsia="宋体" w:cs="宋体"/>
                <w:sz w:val="21"/>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重要性能指标（★）中，每有一项负偏离的扣</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w:t>
            </w:r>
            <w:r>
              <w:rPr>
                <w:rFonts w:hint="eastAsia" w:ascii="宋体" w:hAnsi="宋体" w:cs="宋体"/>
                <w:color w:val="auto"/>
                <w:szCs w:val="21"/>
                <w:lang w:val="en-US" w:eastAsia="zh-CN"/>
              </w:rPr>
              <w:t>所有产品</w:t>
            </w:r>
            <w:r>
              <w:rPr>
                <w:rFonts w:hint="eastAsia" w:ascii="宋体" w:hAnsi="宋体" w:eastAsia="宋体" w:cs="宋体"/>
                <w:color w:val="auto"/>
                <w:szCs w:val="21"/>
              </w:rPr>
              <w:t>重要性能指标（★）负偏离10项（含）以上的为无效标），其他性能指标中，每有一项负偏离或未响应的扣</w:t>
            </w:r>
            <w:r>
              <w:rPr>
                <w:rFonts w:hint="eastAsia" w:ascii="宋体" w:hAnsi="宋体" w:eastAsia="宋体" w:cs="宋体"/>
                <w:color w:val="auto"/>
                <w:szCs w:val="21"/>
                <w:lang w:val="en-US" w:eastAsia="zh-CN"/>
              </w:rPr>
              <w:t>1.5</w:t>
            </w:r>
            <w:r>
              <w:rPr>
                <w:rFonts w:hint="eastAsia" w:ascii="宋体" w:hAnsi="宋体" w:eastAsia="宋体" w:cs="宋体"/>
                <w:color w:val="auto"/>
                <w:szCs w:val="21"/>
              </w:rPr>
              <w:t>分，扣完为止。</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sz w:val="21"/>
                <w:szCs w:val="21"/>
              </w:rPr>
            </w:pPr>
          </w:p>
        </w:tc>
        <w:tc>
          <w:tcPr>
            <w:tcW w:w="1074" w:type="dxa"/>
            <w:vMerge w:val="continue"/>
            <w:tcMar>
              <w:top w:w="57" w:type="dxa"/>
              <w:left w:w="108" w:type="dxa"/>
              <w:bottom w:w="0" w:type="dxa"/>
              <w:right w:w="108" w:type="dxa"/>
            </w:tcMar>
            <w:vAlign w:val="center"/>
          </w:tcPr>
          <w:p>
            <w:pPr>
              <w:pStyle w:val="8"/>
              <w:spacing w:line="240" w:lineRule="auto"/>
              <w:rPr>
                <w:rFonts w:hint="eastAsia" w:ascii="宋体" w:hAnsi="宋体" w:eastAsia="宋体" w:cs="宋体"/>
                <w:b/>
                <w:bCs/>
                <w:sz w:val="21"/>
                <w:szCs w:val="21"/>
              </w:rPr>
            </w:pP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szCs w:val="21"/>
              </w:rPr>
            </w:pPr>
            <w:r>
              <w:rPr>
                <w:rFonts w:hint="eastAsia" w:ascii="宋体" w:hAnsi="宋体" w:eastAsia="宋体" w:cs="宋体"/>
                <w:szCs w:val="21"/>
              </w:rPr>
              <w:t>根据</w:t>
            </w:r>
            <w:r>
              <w:rPr>
                <w:rFonts w:hint="eastAsia" w:ascii="宋体" w:hAnsi="宋体" w:eastAsia="宋体" w:cs="宋体"/>
                <w:szCs w:val="21"/>
                <w:lang w:val="en-US" w:eastAsia="zh-CN"/>
              </w:rPr>
              <w:t>除LED屏以外的其他产品的</w:t>
            </w:r>
            <w:r>
              <w:rPr>
                <w:rFonts w:hint="eastAsia" w:ascii="宋体" w:hAnsi="宋体" w:eastAsia="宋体" w:cs="宋体"/>
                <w:szCs w:val="21"/>
              </w:rPr>
              <w:t>技术参数和配置的偏离情况进行打分：</w:t>
            </w:r>
          </w:p>
          <w:p>
            <w:pPr>
              <w:spacing w:line="240" w:lineRule="auto"/>
              <w:jc w:val="left"/>
              <w:rPr>
                <w:rFonts w:hint="eastAsia" w:ascii="宋体" w:hAnsi="宋体" w:eastAsia="宋体" w:cs="宋体"/>
                <w:color w:val="auto"/>
                <w:szCs w:val="21"/>
              </w:rPr>
            </w:pPr>
            <w:r>
              <w:rPr>
                <w:rFonts w:hint="eastAsia" w:ascii="宋体" w:hAnsi="宋体" w:eastAsia="宋体" w:cs="宋体"/>
                <w:szCs w:val="21"/>
              </w:rPr>
              <w:t>1.完全满足或高于招标文件要求的，得</w:t>
            </w:r>
            <w:r>
              <w:rPr>
                <w:rFonts w:hint="eastAsia" w:ascii="宋体" w:hAnsi="宋体" w:eastAsia="宋体" w:cs="宋体"/>
                <w:szCs w:val="21"/>
                <w:lang w:val="en-US" w:eastAsia="zh-CN"/>
              </w:rPr>
              <w:t>10</w:t>
            </w:r>
            <w:r>
              <w:rPr>
                <w:rFonts w:hint="eastAsia" w:ascii="宋体" w:hAnsi="宋体" w:eastAsia="宋体" w:cs="宋体"/>
                <w:color w:val="auto"/>
                <w:szCs w:val="21"/>
              </w:rPr>
              <w:t>分；</w:t>
            </w:r>
          </w:p>
          <w:p>
            <w:pPr>
              <w:pStyle w:val="8"/>
              <w:spacing w:line="240" w:lineRule="auto"/>
              <w:rPr>
                <w:rFonts w:hint="eastAsia" w:ascii="宋体" w:hAnsi="宋体" w:eastAsia="宋体" w:cs="宋体"/>
                <w:sz w:val="21"/>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重要性能指标（★）中，每有一项负偏离的扣</w:t>
            </w:r>
            <w:r>
              <w:rPr>
                <w:rFonts w:hint="eastAsia" w:ascii="宋体" w:hAnsi="宋体" w:eastAsia="宋体" w:cs="宋体"/>
                <w:color w:val="auto"/>
                <w:szCs w:val="21"/>
                <w:lang w:val="en-US" w:eastAsia="zh-CN"/>
              </w:rPr>
              <w:t>0.5</w:t>
            </w:r>
            <w:r>
              <w:rPr>
                <w:rFonts w:hint="eastAsia" w:ascii="宋体" w:hAnsi="宋体" w:eastAsia="宋体" w:cs="宋体"/>
                <w:color w:val="auto"/>
                <w:szCs w:val="21"/>
              </w:rPr>
              <w:t>分（</w:t>
            </w:r>
            <w:r>
              <w:rPr>
                <w:rFonts w:hint="eastAsia" w:ascii="宋体" w:hAnsi="宋体" w:cs="宋体"/>
                <w:color w:val="auto"/>
                <w:szCs w:val="21"/>
                <w:lang w:val="en-US" w:eastAsia="zh-CN"/>
              </w:rPr>
              <w:t>所有产品</w:t>
            </w:r>
            <w:r>
              <w:rPr>
                <w:rFonts w:hint="eastAsia" w:ascii="宋体" w:hAnsi="宋体" w:eastAsia="宋体" w:cs="宋体"/>
                <w:color w:val="auto"/>
                <w:szCs w:val="21"/>
              </w:rPr>
              <w:t>重要性能指标（★）负偏离10项（含）以上的为无效标），其他性能指标中，每有一项负偏离或未响应的扣</w:t>
            </w:r>
            <w:r>
              <w:rPr>
                <w:rFonts w:hint="eastAsia" w:ascii="宋体" w:hAnsi="宋体" w:eastAsia="宋体" w:cs="宋体"/>
                <w:color w:val="auto"/>
                <w:szCs w:val="21"/>
                <w:lang w:val="en-US" w:eastAsia="zh-CN"/>
              </w:rPr>
              <w:t>0.25</w:t>
            </w:r>
            <w:r>
              <w:rPr>
                <w:rFonts w:hint="eastAsia" w:ascii="宋体" w:hAnsi="宋体" w:eastAsia="宋体" w:cs="宋体"/>
                <w:color w:val="auto"/>
                <w:szCs w:val="21"/>
              </w:rPr>
              <w:t>分，扣完为止。</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sz w:val="21"/>
                <w:szCs w:val="21"/>
              </w:rPr>
            </w:pPr>
          </w:p>
        </w:tc>
        <w:tc>
          <w:tcPr>
            <w:tcW w:w="1074" w:type="dxa"/>
            <w:tcMar>
              <w:top w:w="57"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技术方案</w:t>
            </w: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根据投标人对招标方案需求的理解、提供的项目实现思路、效果图等进行综合打分：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1.项目现状认识深刻、重点难点分析非常准确透彻、有图纸、图纸详细明确的得2-1.3分；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2.项目现状认识一般、重点难点分析基本准确、有图纸、图纸简单的得1.2-0.6分；</w:t>
            </w:r>
          </w:p>
          <w:p>
            <w:pPr>
              <w:pStyle w:val="7"/>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szCs w:val="21"/>
                <w:lang w:val="en-US" w:eastAsia="zh-CN"/>
              </w:rPr>
              <w:t>3.项目现状认识偏弱、重点难点分析不准确、无图纸的得0.5-0分。</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86" w:type="dxa"/>
            <w:vMerge w:val="continue"/>
            <w:tcMar>
              <w:top w:w="57" w:type="dxa"/>
              <w:left w:w="108" w:type="dxa"/>
              <w:bottom w:w="0" w:type="dxa"/>
              <w:right w:w="108" w:type="dxa"/>
            </w:tcMar>
            <w:vAlign w:val="center"/>
          </w:tcPr>
          <w:p>
            <w:pPr>
              <w:pStyle w:val="8"/>
              <w:rPr>
                <w:rFonts w:hint="eastAsia" w:ascii="宋体" w:hAnsi="宋体" w:eastAsia="宋体" w:cs="宋体"/>
                <w:sz w:val="21"/>
                <w:szCs w:val="21"/>
              </w:rPr>
            </w:pPr>
          </w:p>
        </w:tc>
        <w:tc>
          <w:tcPr>
            <w:tcW w:w="1074" w:type="dxa"/>
            <w:tcMar>
              <w:top w:w="57" w:type="dxa"/>
              <w:left w:w="108" w:type="dxa"/>
              <w:bottom w:w="0" w:type="dxa"/>
              <w:right w:w="108" w:type="dxa"/>
            </w:tcMar>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eastAsia" w:ascii="宋体" w:hAnsi="宋体" w:eastAsia="宋体" w:cs="宋体"/>
                <w:b/>
                <w:bCs/>
                <w:color w:val="000000" w:themeColor="text1"/>
                <w:kern w:val="0"/>
                <w:sz w:val="21"/>
                <w:szCs w:val="21"/>
                <w:lang w:val="en-US" w:eastAsia="zh-CN" w:bidi="ar-SA"/>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实施方案</w:t>
            </w:r>
          </w:p>
        </w:tc>
        <w:tc>
          <w:tcPr>
            <w:tcW w:w="5994" w:type="dxa"/>
            <w:tcMar>
              <w:top w:w="57" w:type="dxa"/>
              <w:left w:w="108" w:type="dxa"/>
              <w:bottom w:w="0" w:type="dxa"/>
              <w:right w:w="108" w:type="dxa"/>
            </w:tcMar>
            <w:vAlign w:val="center"/>
          </w:tcPr>
          <w:p>
            <w:pPr>
              <w:pStyle w:val="7"/>
              <w:keepNext w:val="0"/>
              <w:keepLines w:val="0"/>
              <w:pageBreakBefore w:val="0"/>
              <w:kinsoku/>
              <w:wordWrap/>
              <w:overflowPunct/>
              <w:topLinePunct w:val="0"/>
              <w:autoSpaceDE/>
              <w:autoSpaceDN/>
              <w:bidi w:val="0"/>
              <w:spacing w:line="240" w:lineRule="auto"/>
              <w:ind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根据本项目特点制定的实施组织方案，包括项目实施组织安排、工期计划、质量保证等进行综合打分：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1.方案详实、</w:t>
            </w:r>
            <w:r>
              <w:rPr>
                <w:rFonts w:hint="eastAsia" w:ascii="宋体" w:hAnsi="宋体" w:eastAsia="宋体" w:cs="宋体"/>
                <w:color w:val="000000" w:themeColor="text1"/>
                <w:kern w:val="0"/>
                <w:szCs w:val="21"/>
                <w:lang w:eastAsia="zh-CN"/>
                <w14:textFill>
                  <w14:solidFill>
                    <w14:schemeClr w14:val="tx1"/>
                  </w14:solidFill>
                </w14:textFill>
              </w:rPr>
              <w:t>内容完整、操作性强</w:t>
            </w:r>
            <w:r>
              <w:rPr>
                <w:rFonts w:hint="eastAsia" w:ascii="宋体" w:hAnsi="宋体" w:eastAsia="宋体" w:cs="宋体"/>
                <w:szCs w:val="21"/>
                <w:lang w:val="en-US" w:eastAsia="zh-CN"/>
              </w:rPr>
              <w:t>的得3-2.1分；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2.方案合理、</w:t>
            </w:r>
            <w:r>
              <w:rPr>
                <w:rFonts w:hint="eastAsia" w:ascii="宋体" w:hAnsi="宋体" w:eastAsia="宋体" w:cs="宋体"/>
                <w:color w:val="000000" w:themeColor="text1"/>
                <w:kern w:val="0"/>
                <w:szCs w:val="21"/>
                <w:lang w:eastAsia="zh-CN"/>
                <w14:textFill>
                  <w14:solidFill>
                    <w14:schemeClr w14:val="tx1"/>
                  </w14:solidFill>
                </w14:textFill>
              </w:rPr>
              <w:t>内容常规、操作性一般</w:t>
            </w:r>
            <w:r>
              <w:rPr>
                <w:rFonts w:hint="eastAsia" w:ascii="宋体" w:hAnsi="宋体" w:eastAsia="宋体" w:cs="宋体"/>
                <w:szCs w:val="21"/>
                <w:lang w:val="en-US" w:eastAsia="zh-CN"/>
              </w:rPr>
              <w:t>的得2-1.1分；</w:t>
            </w:r>
          </w:p>
          <w:p>
            <w:pPr>
              <w:spacing w:line="240" w:lineRule="auto"/>
              <w:rPr>
                <w:rFonts w:hint="eastAsia" w:ascii="宋体" w:hAnsi="宋体" w:eastAsia="宋体" w:cs="宋体"/>
                <w:lang w:val="en-US" w:eastAsia="zh-CN"/>
              </w:rPr>
            </w:pPr>
            <w:r>
              <w:rPr>
                <w:rFonts w:hint="eastAsia" w:ascii="宋体" w:hAnsi="宋体" w:eastAsia="宋体" w:cs="宋体"/>
                <w:szCs w:val="21"/>
                <w:lang w:val="en-US" w:eastAsia="zh-CN"/>
              </w:rPr>
              <w:t>3.方案粗糙、</w:t>
            </w:r>
            <w:r>
              <w:rPr>
                <w:rFonts w:hint="eastAsia" w:ascii="宋体" w:hAnsi="宋体" w:eastAsia="宋体" w:cs="宋体"/>
                <w:color w:val="000000" w:themeColor="text1"/>
                <w:kern w:val="0"/>
                <w:szCs w:val="21"/>
                <w:lang w:eastAsia="zh-CN"/>
                <w14:textFill>
                  <w14:solidFill>
                    <w14:schemeClr w14:val="tx1"/>
                  </w14:solidFill>
                </w14:textFill>
              </w:rPr>
              <w:t>内容缺漏、操作性差</w:t>
            </w:r>
            <w:r>
              <w:rPr>
                <w:rFonts w:hint="eastAsia" w:ascii="宋体" w:hAnsi="宋体" w:eastAsia="宋体" w:cs="宋体"/>
                <w:szCs w:val="21"/>
                <w:lang w:val="en-US" w:eastAsia="zh-CN"/>
              </w:rPr>
              <w:t>的得1-0分。</w:t>
            </w:r>
          </w:p>
        </w:tc>
        <w:tc>
          <w:tcPr>
            <w:tcW w:w="664" w:type="dxa"/>
            <w:tcMar>
              <w:top w:w="57" w:type="dxa"/>
              <w:left w:w="108" w:type="dxa"/>
              <w:bottom w:w="0" w:type="dxa"/>
              <w:right w:w="108" w:type="dxa"/>
            </w:tcMar>
            <w:vAlign w:val="center"/>
          </w:tcPr>
          <w:p>
            <w:pPr>
              <w:pStyle w:val="8"/>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86" w:type="dxa"/>
            <w:vMerge w:val="restart"/>
            <w:tcMar>
              <w:top w:w="57" w:type="dxa"/>
              <w:left w:w="108" w:type="dxa"/>
              <w:bottom w:w="0" w:type="dxa"/>
              <w:right w:w="108" w:type="dxa"/>
            </w:tcMar>
            <w:vAlign w:val="center"/>
          </w:tcPr>
          <w:p>
            <w:pPr>
              <w:pStyle w:val="7"/>
              <w:ind w:firstLine="0"/>
              <w:jc w:val="center"/>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实力信誉及业绩</w:t>
            </w:r>
          </w:p>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分</w:t>
            </w:r>
          </w:p>
        </w:tc>
        <w:tc>
          <w:tcPr>
            <w:tcW w:w="107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投标人</w:t>
            </w:r>
            <w:r>
              <w:rPr>
                <w:rFonts w:hint="eastAsia" w:ascii="宋体" w:hAnsi="宋体" w:eastAsia="宋体" w:cs="宋体"/>
                <w:b/>
                <w:bCs/>
                <w:color w:val="000000" w:themeColor="text1"/>
                <w:lang w:val="en-US" w:eastAsia="zh-CN"/>
                <w14:textFill>
                  <w14:solidFill>
                    <w14:schemeClr w14:val="tx1"/>
                  </w14:solidFill>
                </w14:textFill>
              </w:rPr>
              <w:t>资质</w:t>
            </w:r>
          </w:p>
        </w:tc>
        <w:tc>
          <w:tcPr>
            <w:tcW w:w="5994" w:type="dxa"/>
            <w:tcMar>
              <w:top w:w="57" w:type="dxa"/>
              <w:left w:w="108" w:type="dxa"/>
              <w:bottom w:w="0" w:type="dxa"/>
              <w:right w:w="108" w:type="dxa"/>
            </w:tcMar>
            <w:vAlign w:val="center"/>
          </w:tcPr>
          <w:p>
            <w:pPr>
              <w:pStyle w:val="27"/>
              <w:keepNext w:val="0"/>
              <w:keepLines w:val="0"/>
              <w:pageBreakBefore w:val="0"/>
              <w:widowControl w:val="0"/>
              <w:kinsoku/>
              <w:wordWrap/>
              <w:overflowPunct/>
              <w:topLinePunct w:val="0"/>
              <w:autoSpaceDE/>
              <w:autoSpaceDN/>
              <w:bidi w:val="0"/>
              <w:spacing w:line="240" w:lineRule="auto"/>
              <w:jc w:val="both"/>
              <w:textAlignment w:val="auto"/>
              <w:rPr>
                <w:rFonts w:hint="eastAsia" w:ascii="宋体" w:hAnsi="宋体" w:eastAsia="宋体" w:cs="宋体"/>
                <w:b w:val="0"/>
                <w:bCs w:val="0"/>
                <w:color w:val="000000" w:themeColor="text1"/>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sz w:val="21"/>
                <w:szCs w:val="21"/>
                <w14:textFill>
                  <w14:solidFill>
                    <w14:schemeClr w14:val="tx1"/>
                  </w14:solidFill>
                </w14:textFill>
              </w:rPr>
              <w:t>投标人具有质量管理体系、环境管理体系、职业健康安全管理体系、信息技术服务管理体系、信息安全管理体系认证证书</w:t>
            </w:r>
            <w:r>
              <w:rPr>
                <w:rFonts w:hint="eastAsia" w:ascii="宋体" w:hAnsi="宋体" w:eastAsia="宋体" w:cs="宋体"/>
                <w:b w:val="0"/>
                <w:bCs w:val="0"/>
                <w:color w:val="000000" w:themeColor="text1"/>
                <w:sz w:val="21"/>
                <w:szCs w:val="21"/>
                <w:lang w:val="en-US" w:eastAsia="zh-CN"/>
                <w14:textFill>
                  <w14:solidFill>
                    <w14:schemeClr w14:val="tx1"/>
                  </w14:solidFill>
                </w14:textFill>
              </w:rPr>
              <w:t>的</w:t>
            </w:r>
            <w:r>
              <w:rPr>
                <w:rFonts w:hint="eastAsia" w:ascii="宋体" w:hAnsi="宋体" w:eastAsia="宋体" w:cs="宋体"/>
                <w:b w:val="0"/>
                <w:bCs w:val="0"/>
                <w:color w:val="000000" w:themeColor="text1"/>
                <w:sz w:val="21"/>
                <w:szCs w:val="21"/>
                <w14:textFill>
                  <w14:solidFill>
                    <w14:schemeClr w14:val="tx1"/>
                  </w14:solidFill>
                </w14:textFill>
              </w:rPr>
              <w:t>，每个得1分，</w:t>
            </w:r>
            <w:r>
              <w:rPr>
                <w:rFonts w:hint="eastAsia" w:ascii="宋体" w:hAnsi="宋体" w:eastAsia="宋体" w:cs="宋体"/>
                <w:b w:val="0"/>
                <w:bCs w:val="0"/>
                <w:color w:val="000000" w:themeColor="text1"/>
                <w:sz w:val="21"/>
                <w:szCs w:val="21"/>
                <w:lang w:val="en-US" w:eastAsia="zh-CN"/>
                <w14:textFill>
                  <w14:solidFill>
                    <w14:schemeClr w14:val="tx1"/>
                  </w14:solidFill>
                </w14:textFill>
              </w:rPr>
              <w:t>最高得</w:t>
            </w:r>
            <w:r>
              <w:rPr>
                <w:rFonts w:hint="eastAsia" w:ascii="宋体" w:hAnsi="宋体" w:eastAsia="宋体" w:cs="宋体"/>
                <w:b w:val="0"/>
                <w:bCs w:val="0"/>
                <w:color w:val="000000" w:themeColor="text1"/>
                <w:sz w:val="21"/>
                <w:szCs w:val="21"/>
                <w14:textFill>
                  <w14:solidFill>
                    <w14:schemeClr w14:val="tx1"/>
                  </w14:solidFill>
                </w14:textFill>
              </w:rPr>
              <w:t>5分</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14:textFill>
                  <w14:solidFill>
                    <w14:schemeClr w14:val="tx1"/>
                  </w14:solidFill>
                </w14:textFill>
              </w:rPr>
              <w:t>需提供</w:t>
            </w:r>
            <w:r>
              <w:rPr>
                <w:rFonts w:hint="eastAsia" w:ascii="宋体" w:hAnsi="宋体" w:eastAsia="宋体" w:cs="宋体"/>
                <w:b w:val="0"/>
                <w:bCs w:val="0"/>
                <w:color w:val="000000" w:themeColor="text1"/>
                <w:sz w:val="21"/>
                <w:szCs w:val="21"/>
                <w:lang w:val="en-US" w:eastAsia="zh-CN"/>
                <w14:textFill>
                  <w14:solidFill>
                    <w14:schemeClr w14:val="tx1"/>
                  </w14:solidFill>
                </w14:textFill>
              </w:rPr>
              <w:t>相关</w:t>
            </w:r>
            <w:r>
              <w:rPr>
                <w:rFonts w:hint="eastAsia" w:ascii="宋体" w:hAnsi="宋体" w:eastAsia="宋体" w:cs="宋体"/>
                <w:b w:val="0"/>
                <w:bCs w:val="0"/>
                <w:color w:val="000000" w:themeColor="text1"/>
                <w:sz w:val="21"/>
                <w:szCs w:val="21"/>
                <w:lang w:eastAsia="zh-CN"/>
                <w14:textFill>
                  <w14:solidFill>
                    <w14:schemeClr w14:val="tx1"/>
                  </w14:solidFill>
                </w14:textFill>
              </w:rPr>
              <w:t>证明材料。</w:t>
            </w:r>
          </w:p>
        </w:tc>
        <w:tc>
          <w:tcPr>
            <w:tcW w:w="664" w:type="dxa"/>
            <w:tcMar>
              <w:top w:w="57" w:type="dxa"/>
              <w:left w:w="108" w:type="dxa"/>
              <w:bottom w:w="0" w:type="dxa"/>
              <w:right w:w="108" w:type="dxa"/>
            </w:tcMar>
            <w:vAlign w:val="center"/>
          </w:tcPr>
          <w:p>
            <w:pPr>
              <w:spacing w:line="2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286" w:type="dxa"/>
            <w:vMerge w:val="continue"/>
            <w:tcMar>
              <w:top w:w="57" w:type="dxa"/>
              <w:left w:w="108" w:type="dxa"/>
              <w:bottom w:w="0" w:type="dxa"/>
              <w:right w:w="108" w:type="dxa"/>
            </w:tcMar>
            <w:vAlign w:val="center"/>
          </w:tcPr>
          <w:p>
            <w:pPr>
              <w:jc w:val="left"/>
              <w:rPr>
                <w:rFonts w:hint="eastAsia" w:ascii="宋体" w:hAnsi="宋体" w:eastAsia="宋体" w:cs="宋体"/>
              </w:rPr>
            </w:pPr>
          </w:p>
        </w:tc>
        <w:tc>
          <w:tcPr>
            <w:tcW w:w="1074" w:type="dxa"/>
            <w:tcMar>
              <w:top w:w="57" w:type="dxa"/>
              <w:left w:w="108" w:type="dxa"/>
              <w:bottom w:w="0" w:type="dxa"/>
              <w:right w:w="108" w:type="dxa"/>
            </w:tcMar>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szCs w:val="21"/>
                <w:lang w:val="en-US" w:eastAsia="zh-CN"/>
              </w:rPr>
              <w:t>项目业绩</w:t>
            </w:r>
          </w:p>
        </w:tc>
        <w:tc>
          <w:tcPr>
            <w:tcW w:w="5994" w:type="dxa"/>
            <w:tcMar>
              <w:top w:w="57" w:type="dxa"/>
              <w:left w:w="108" w:type="dxa"/>
              <w:bottom w:w="0" w:type="dxa"/>
              <w:right w:w="108" w:type="dxa"/>
            </w:tcMar>
            <w:vAlign w:val="center"/>
          </w:tcPr>
          <w:p>
            <w:pPr>
              <w:spacing w:line="240" w:lineRule="auto"/>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b w:val="0"/>
                <w:bCs w:val="0"/>
                <w:color w:val="000000" w:themeColor="text1"/>
                <w:szCs w:val="21"/>
                <w:highlight w:val="none"/>
                <w14:textFill>
                  <w14:solidFill>
                    <w14:schemeClr w14:val="tx1"/>
                  </w14:solidFill>
                </w14:textFill>
              </w:rPr>
              <w:t>自</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2019</w:t>
            </w:r>
            <w:r>
              <w:rPr>
                <w:rFonts w:hint="eastAsia" w:ascii="宋体" w:hAnsi="宋体" w:eastAsia="宋体" w:cs="宋体"/>
                <w:b w:val="0"/>
                <w:bCs w:val="0"/>
                <w:color w:val="000000" w:themeColor="text1"/>
                <w:szCs w:val="21"/>
                <w:highlight w:val="none"/>
                <w14:textFill>
                  <w14:solidFill>
                    <w14:schemeClr w14:val="tx1"/>
                  </w14:solidFill>
                </w14:textFill>
              </w:rPr>
              <w:t>年</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5</w:t>
            </w:r>
            <w:r>
              <w:rPr>
                <w:rFonts w:hint="eastAsia" w:ascii="宋体" w:hAnsi="宋体" w:eastAsia="宋体" w:cs="宋体"/>
                <w:b w:val="0"/>
                <w:bCs w:val="0"/>
                <w:color w:val="000000" w:themeColor="text1"/>
                <w:szCs w:val="21"/>
                <w:highlight w:val="none"/>
                <w14:textFill>
                  <w14:solidFill>
                    <w14:schemeClr w14:val="tx1"/>
                  </w14:solidFill>
                </w14:textFill>
              </w:rPr>
              <w:t>月至投标截止前一天（以合同签订时间为准）</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，投标人承担类似项目实施的经验情况的，</w:t>
            </w:r>
            <w:r>
              <w:rPr>
                <w:rFonts w:hint="eastAsia" w:ascii="宋体" w:hAnsi="宋体" w:eastAsia="宋体" w:cs="宋体"/>
                <w:b w:val="0"/>
                <w:bCs w:val="0"/>
                <w:color w:val="auto"/>
                <w:szCs w:val="21"/>
                <w:highlight w:val="none"/>
                <w:lang w:val="en-US" w:eastAsia="zh-CN"/>
              </w:rPr>
              <w:t>依照投标人提供的合同</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，每个得</w:t>
            </w:r>
            <w:r>
              <w:rPr>
                <w:rFonts w:hint="eastAsia" w:ascii="宋体" w:hAnsi="宋体" w:eastAsia="宋体" w:cs="宋体"/>
                <w:b w:val="0"/>
                <w:bCs w:val="0"/>
                <w:color w:val="000000" w:themeColor="text1"/>
                <w:spacing w:val="-2"/>
                <w:sz w:val="21"/>
                <w:szCs w:val="21"/>
                <w:highlight w:val="none"/>
                <w:lang w:val="en-US" w:eastAsia="zh-CN"/>
                <w14:textFill>
                  <w14:solidFill>
                    <w14:schemeClr w14:val="tx1"/>
                  </w14:solidFill>
                </w14:textFill>
              </w:rPr>
              <w:t>1</w:t>
            </w:r>
            <w:r>
              <w:rPr>
                <w:rFonts w:hint="eastAsia" w:ascii="宋体" w:hAnsi="宋体" w:eastAsia="宋体" w:cs="宋体"/>
                <w:b w:val="0"/>
                <w:bCs w:val="0"/>
                <w:color w:val="000000" w:themeColor="text1"/>
                <w:szCs w:val="21"/>
                <w:highlight w:val="none"/>
                <w:lang w:val="en-US" w:eastAsia="zh-CN"/>
                <w14:textFill>
                  <w14:solidFill>
                    <w14:schemeClr w14:val="tx1"/>
                  </w14:solidFill>
                </w14:textFill>
              </w:rPr>
              <w:t>分，最高得3分。</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286" w:type="dxa"/>
            <w:vMerge w:val="restart"/>
            <w:tcMar>
              <w:top w:w="57" w:type="dxa"/>
              <w:left w:w="108" w:type="dxa"/>
              <w:bottom w:w="0" w:type="dxa"/>
              <w:right w:w="108" w:type="dxa"/>
            </w:tcMar>
            <w:vAlign w:val="center"/>
          </w:tcPr>
          <w:p>
            <w:pPr>
              <w:pStyle w:val="7"/>
              <w:ind w:firstLine="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售后服务承诺</w:t>
            </w:r>
          </w:p>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分</w:t>
            </w:r>
          </w:p>
        </w:tc>
        <w:tc>
          <w:tcPr>
            <w:tcW w:w="1074" w:type="dxa"/>
            <w:vMerge w:val="restart"/>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服务方案</w:t>
            </w:r>
          </w:p>
        </w:tc>
        <w:tc>
          <w:tcPr>
            <w:tcW w:w="599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val="0"/>
                <w:bCs w:val="0"/>
                <w:color w:val="000000" w:themeColor="text1"/>
                <w:kern w:val="0"/>
                <w:sz w:val="21"/>
                <w:szCs w:val="21"/>
                <w14:textFill>
                  <w14:solidFill>
                    <w14:schemeClr w14:val="tx1"/>
                  </w14:solidFill>
                </w14:textFill>
              </w:rPr>
              <w:t>在满足</w:t>
            </w:r>
            <w:r>
              <w:rPr>
                <w:rFonts w:hint="eastAsia" w:ascii="宋体" w:hAnsi="宋体" w:eastAsia="宋体" w:cs="宋体"/>
                <w:b w:val="0"/>
                <w:bCs w:val="0"/>
                <w:color w:val="000000" w:themeColor="text1"/>
                <w:kern w:val="0"/>
                <w:sz w:val="21"/>
                <w:szCs w:val="21"/>
                <w:lang w:eastAsia="zh-CN"/>
                <w14:textFill>
                  <w14:solidFill>
                    <w14:schemeClr w14:val="tx1"/>
                  </w14:solidFill>
                </w14:textFill>
              </w:rPr>
              <w:t>采购文件</w:t>
            </w:r>
            <w:r>
              <w:rPr>
                <w:rFonts w:hint="eastAsia" w:ascii="宋体" w:hAnsi="宋体" w:eastAsia="宋体" w:cs="宋体"/>
                <w:b w:val="0"/>
                <w:bCs w:val="0"/>
                <w:color w:val="000000" w:themeColor="text1"/>
                <w:kern w:val="0"/>
                <w:sz w:val="21"/>
                <w:szCs w:val="21"/>
                <w14:textFill>
                  <w14:solidFill>
                    <w14:schemeClr w14:val="tx1"/>
                  </w14:solidFill>
                </w14:textFill>
              </w:rPr>
              <w:t>要求的</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质保</w:t>
            </w:r>
            <w:r>
              <w:rPr>
                <w:rFonts w:hint="eastAsia" w:ascii="宋体" w:hAnsi="宋体" w:eastAsia="宋体" w:cs="宋体"/>
                <w:b w:val="0"/>
                <w:bCs w:val="0"/>
                <w:color w:val="000000" w:themeColor="text1"/>
                <w:kern w:val="0"/>
                <w:sz w:val="21"/>
                <w:szCs w:val="21"/>
                <w14:textFill>
                  <w14:solidFill>
                    <w14:schemeClr w14:val="tx1"/>
                  </w14:solidFill>
                </w14:textFill>
              </w:rPr>
              <w:t>期满后，承诺</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每</w:t>
            </w:r>
            <w:r>
              <w:rPr>
                <w:rFonts w:hint="eastAsia" w:ascii="宋体" w:hAnsi="宋体" w:eastAsia="宋体" w:cs="宋体"/>
                <w:b w:val="0"/>
                <w:bCs w:val="0"/>
                <w:color w:val="000000" w:themeColor="text1"/>
                <w:kern w:val="0"/>
                <w:sz w:val="21"/>
                <w:szCs w:val="21"/>
                <w14:textFill>
                  <w14:solidFill>
                    <w14:schemeClr w14:val="tx1"/>
                  </w14:solidFill>
                </w14:textFill>
              </w:rPr>
              <w:t>免费增加</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年，得</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0"/>
                <w:sz w:val="21"/>
                <w:szCs w:val="21"/>
                <w14:textFill>
                  <w14:solidFill>
                    <w14:schemeClr w14:val="tx1"/>
                  </w14:solidFill>
                </w14:textFill>
              </w:rPr>
              <w:t>分，</w:t>
            </w:r>
            <w:r>
              <w:rPr>
                <w:rFonts w:hint="eastAsia" w:ascii="宋体" w:hAnsi="宋体" w:eastAsia="宋体" w:cs="宋体"/>
                <w:b w:val="0"/>
                <w:bCs w:val="0"/>
                <w:color w:val="000000" w:themeColor="text1"/>
                <w:kern w:val="2"/>
                <w:sz w:val="21"/>
                <w:szCs w:val="21"/>
                <w:lang w:val="zh-CN" w:eastAsia="zh-CN" w:bidi="ar-SA"/>
                <w14:textFill>
                  <w14:solidFill>
                    <w14:schemeClr w14:val="tx1"/>
                  </w14:solidFill>
                </w14:textFill>
              </w:rPr>
              <w:t>最高得</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3</w:t>
            </w:r>
            <w:r>
              <w:rPr>
                <w:rFonts w:hint="eastAsia" w:ascii="宋体" w:hAnsi="宋体" w:eastAsia="宋体" w:cs="宋体"/>
                <w:b w:val="0"/>
                <w:bCs w:val="0"/>
                <w:color w:val="000000" w:themeColor="text1"/>
                <w:kern w:val="2"/>
                <w:sz w:val="21"/>
                <w:szCs w:val="21"/>
                <w:lang w:val="zh-CN" w:eastAsia="zh-CN" w:bidi="ar-SA"/>
                <w14:textFill>
                  <w14:solidFill>
                    <w14:schemeClr w14:val="tx1"/>
                  </w14:solidFill>
                </w14:textFill>
              </w:rPr>
              <w:t>分</w:t>
            </w:r>
            <w:r>
              <w:rPr>
                <w:rFonts w:hint="eastAsia" w:ascii="宋体" w:hAnsi="宋体" w:eastAsia="宋体" w:cs="宋体"/>
                <w:b w:val="0"/>
                <w:bCs w:val="0"/>
                <w:color w:val="000000" w:themeColor="text1"/>
                <w:kern w:val="0"/>
                <w:sz w:val="21"/>
                <w:szCs w:val="21"/>
                <w14:textFill>
                  <w14:solidFill>
                    <w14:schemeClr w14:val="tx1"/>
                  </w14:solidFill>
                </w14:textFill>
              </w:rPr>
              <w:t>。</w:t>
            </w:r>
          </w:p>
        </w:tc>
        <w:tc>
          <w:tcPr>
            <w:tcW w:w="664" w:type="dxa"/>
            <w:tcMar>
              <w:top w:w="57" w:type="dxa"/>
              <w:left w:w="108" w:type="dxa"/>
              <w:bottom w:w="0" w:type="dxa"/>
              <w:right w:w="108" w:type="dxa"/>
            </w:tcMar>
            <w:vAlign w:val="center"/>
          </w:tcPr>
          <w:p>
            <w:pPr>
              <w:spacing w:line="2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continue"/>
            <w:tcMar>
              <w:top w:w="57" w:type="dxa"/>
              <w:left w:w="108" w:type="dxa"/>
              <w:bottom w:w="0" w:type="dxa"/>
              <w:right w:w="108" w:type="dxa"/>
            </w:tcMar>
            <w:vAlign w:val="center"/>
          </w:tcPr>
          <w:p>
            <w:pPr>
              <w:jc w:val="left"/>
              <w:rPr>
                <w:rFonts w:hint="eastAsia" w:ascii="宋体" w:hAnsi="宋体" w:eastAsia="宋体" w:cs="宋体"/>
              </w:rPr>
            </w:pPr>
          </w:p>
        </w:tc>
        <w:tc>
          <w:tcPr>
            <w:tcW w:w="1074" w:type="dxa"/>
            <w:vMerge w:val="continue"/>
            <w:tcMar>
              <w:top w:w="57" w:type="dxa"/>
              <w:left w:w="108" w:type="dxa"/>
              <w:bottom w:w="0" w:type="dxa"/>
              <w:right w:w="108" w:type="dxa"/>
            </w:tcMar>
            <w:vAlign w:val="center"/>
          </w:tcPr>
          <w:p>
            <w:pPr>
              <w:spacing w:line="240" w:lineRule="auto"/>
              <w:jc w:val="left"/>
              <w:rPr>
                <w:rFonts w:hint="eastAsia" w:ascii="宋体" w:hAnsi="宋体" w:eastAsia="宋体" w:cs="宋体"/>
              </w:rPr>
            </w:pPr>
          </w:p>
        </w:tc>
        <w:tc>
          <w:tcPr>
            <w:tcW w:w="5994" w:type="dxa"/>
            <w:tcMar>
              <w:top w:w="57" w:type="dxa"/>
              <w:left w:w="108" w:type="dxa"/>
              <w:bottom w:w="0" w:type="dxa"/>
              <w:right w:w="108" w:type="dxa"/>
            </w:tcMar>
            <w:vAlign w:val="center"/>
          </w:tcPr>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售后响应服务方案：</w:t>
            </w:r>
          </w:p>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①能提供7×24小时的电话响应售后服务；</w:t>
            </w:r>
          </w:p>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②提供每年365天的专业技术支持服务，随时解答解决采购人问题；</w:t>
            </w:r>
          </w:p>
          <w:p>
            <w:pPr>
              <w:keepNext w:val="0"/>
              <w:keepLines w:val="0"/>
              <w:pageBreakBefore w:val="0"/>
              <w:tabs>
                <w:tab w:val="left" w:pos="807"/>
              </w:tabs>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③出现一般性故障，接到维修通知后，在半小时内电话响应，在</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12</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小时内到达现场，在</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6</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小时内修复。</w:t>
            </w:r>
          </w:p>
          <w:p>
            <w:pPr>
              <w:spacing w:line="240" w:lineRule="auto"/>
              <w:jc w:val="left"/>
              <w:rPr>
                <w:rFonts w:hint="eastAsia" w:ascii="宋体" w:hAnsi="宋体" w:eastAsia="宋体" w:cs="宋体"/>
                <w:sz w:val="21"/>
                <w:szCs w:val="21"/>
              </w:rPr>
            </w:pP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方案合理且能符合</w:t>
            </w:r>
            <w:r>
              <w:rPr>
                <w:rFonts w:hint="eastAsia" w:ascii="宋体" w:hAnsi="宋体" w:eastAsia="宋体" w:cs="宋体"/>
                <w:b w:val="0"/>
                <w:bCs w:val="0"/>
                <w:color w:val="000000" w:themeColor="text1"/>
                <w:kern w:val="2"/>
                <w:sz w:val="21"/>
                <w:szCs w:val="21"/>
                <w:lang w:val="zh-CN" w:eastAsia="zh-CN" w:bidi="ar-SA"/>
                <w14:textFill>
                  <w14:solidFill>
                    <w14:schemeClr w14:val="tx1"/>
                  </w14:solidFill>
                </w14:textFill>
              </w:rPr>
              <w:t>采购文件要求的视为满足，</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每满足一项得</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1</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分，不满足不得分</w:t>
            </w:r>
            <w:r>
              <w:rPr>
                <w:rFonts w:hint="eastAsia" w:ascii="宋体" w:hAnsi="宋体" w:eastAsia="宋体" w:cs="宋体"/>
                <w:b w:val="0"/>
                <w:bCs w:val="0"/>
                <w:color w:val="000000" w:themeColor="text1"/>
                <w:sz w:val="21"/>
                <w:szCs w:val="21"/>
                <w:lang w:val="en-US" w:eastAsia="zh-CN"/>
                <w14:textFill>
                  <w14:solidFill>
                    <w14:schemeClr w14:val="tx1"/>
                  </w14:solidFill>
                </w14:textFill>
              </w:rPr>
              <w:t>，最高得</w:t>
            </w:r>
            <w:r>
              <w:rPr>
                <w:rFonts w:hint="eastAsia" w:ascii="宋体" w:hAnsi="宋体" w:eastAsia="宋体" w:cs="宋体"/>
                <w:b w:val="0"/>
                <w:bCs w:val="0"/>
                <w:color w:val="000000" w:themeColor="text1"/>
                <w:spacing w:val="-2"/>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lang w:val="en-US" w:eastAsia="zh-CN"/>
                <w14:textFill>
                  <w14:solidFill>
                    <w14:schemeClr w14:val="tx1"/>
                  </w14:solidFill>
                </w14:textFill>
              </w:rPr>
              <w:t>分</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286" w:type="dxa"/>
            <w:vMerge w:val="continue"/>
            <w:tcMar>
              <w:top w:w="57" w:type="dxa"/>
              <w:left w:w="108" w:type="dxa"/>
              <w:bottom w:w="0" w:type="dxa"/>
              <w:right w:w="108" w:type="dxa"/>
            </w:tcMar>
            <w:vAlign w:val="center"/>
          </w:tcPr>
          <w:p>
            <w:pPr>
              <w:jc w:val="left"/>
              <w:rPr>
                <w:rFonts w:hint="eastAsia" w:ascii="宋体" w:hAnsi="宋体" w:eastAsia="宋体" w:cs="宋体"/>
                <w:sz w:val="21"/>
                <w:szCs w:val="21"/>
              </w:rPr>
            </w:pPr>
          </w:p>
        </w:tc>
        <w:tc>
          <w:tcPr>
            <w:tcW w:w="107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应急方案</w:t>
            </w:r>
          </w:p>
        </w:tc>
        <w:tc>
          <w:tcPr>
            <w:tcW w:w="5994" w:type="dxa"/>
            <w:tcMar>
              <w:top w:w="57" w:type="dxa"/>
              <w:left w:w="108" w:type="dxa"/>
              <w:bottom w:w="0" w:type="dxa"/>
              <w:right w:w="108" w:type="dxa"/>
            </w:tcMar>
            <w:vAlign w:val="center"/>
          </w:tcPr>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b w:val="0"/>
                <w:bCs w:val="0"/>
                <w:color w:val="000000" w:themeColor="text1"/>
                <w:kern w:val="0"/>
                <w:sz w:val="21"/>
                <w:szCs w:val="21"/>
                <w:lang w:eastAsia="zh-CN"/>
                <w14:textFill>
                  <w14:solidFill>
                    <w14:schemeClr w14:val="tx1"/>
                  </w14:solidFill>
                </w14:textFill>
              </w:rPr>
            </w:pP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根据投标人提供的</w:t>
            </w:r>
            <w:r>
              <w:rPr>
                <w:rFonts w:hint="eastAsia" w:ascii="宋体" w:hAnsi="宋体" w:eastAsia="宋体" w:cs="宋体"/>
                <w:b w:val="0"/>
                <w:bCs w:val="0"/>
                <w:color w:val="000000" w:themeColor="text1"/>
                <w:kern w:val="0"/>
                <w:sz w:val="21"/>
                <w:szCs w:val="21"/>
                <w:lang w:eastAsia="zh-CN"/>
                <w14:textFill>
                  <w14:solidFill>
                    <w14:schemeClr w14:val="tx1"/>
                  </w14:solidFill>
                </w14:textFill>
              </w:rPr>
              <w:t>应急方案（</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包括</w:t>
            </w:r>
            <w:r>
              <w:rPr>
                <w:rFonts w:hint="eastAsia" w:ascii="宋体" w:hAnsi="宋体" w:eastAsia="宋体" w:cs="宋体"/>
                <w:b w:val="0"/>
                <w:bCs w:val="0"/>
                <w:color w:val="000000" w:themeColor="text1"/>
                <w:kern w:val="0"/>
                <w:sz w:val="21"/>
                <w:szCs w:val="21"/>
                <w:lang w:val="zh-CN" w:eastAsia="zh-CN"/>
                <w14:textFill>
                  <w14:solidFill>
                    <w14:schemeClr w14:val="tx1"/>
                  </w14:solidFill>
                </w14:textFill>
              </w:rPr>
              <w:t>服务保障应急预案、对可能遇到的问题及其应对措施的考虑、故障处理的组织和联系机制</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r>
              <w:rPr>
                <w:rFonts w:hint="eastAsia" w:ascii="宋体" w:hAnsi="宋体" w:eastAsia="宋体" w:cs="宋体"/>
                <w:b w:val="0"/>
                <w:bCs w:val="0"/>
                <w:color w:val="000000" w:themeColor="text1"/>
                <w:kern w:val="0"/>
                <w:sz w:val="21"/>
                <w:szCs w:val="21"/>
                <w:lang w:val="en-US" w:eastAsia="zh-CN"/>
                <w14:textFill>
                  <w14:solidFill>
                    <w14:schemeClr w14:val="tx1"/>
                  </w14:solidFill>
                </w14:textFill>
              </w:rPr>
              <w:t>进行综合打分</w:t>
            </w:r>
            <w:r>
              <w:rPr>
                <w:rFonts w:hint="eastAsia" w:ascii="宋体" w:hAnsi="宋体" w:eastAsia="宋体" w:cs="宋体"/>
                <w:b w:val="0"/>
                <w:bCs w:val="0"/>
                <w:color w:val="000000" w:themeColor="text1"/>
                <w:kern w:val="0"/>
                <w:sz w:val="21"/>
                <w:szCs w:val="21"/>
                <w:lang w:eastAsia="zh-CN"/>
                <w14:textFill>
                  <w14:solidFill>
                    <w14:schemeClr w14:val="tx1"/>
                  </w14:solidFill>
                </w14:textFill>
              </w:rPr>
              <w:t>：</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1.方案详实、</w:t>
            </w:r>
            <w:r>
              <w:rPr>
                <w:rFonts w:hint="eastAsia" w:ascii="宋体" w:hAnsi="宋体" w:eastAsia="宋体" w:cs="宋体"/>
                <w:color w:val="000000" w:themeColor="text1"/>
                <w:kern w:val="0"/>
                <w:szCs w:val="21"/>
                <w:lang w:eastAsia="zh-CN"/>
                <w14:textFill>
                  <w14:solidFill>
                    <w14:schemeClr w14:val="tx1"/>
                  </w14:solidFill>
                </w14:textFill>
              </w:rPr>
              <w:t>内容完整、操作性强</w:t>
            </w:r>
            <w:r>
              <w:rPr>
                <w:rFonts w:hint="eastAsia" w:ascii="宋体" w:hAnsi="宋体" w:eastAsia="宋体" w:cs="宋体"/>
                <w:szCs w:val="21"/>
                <w:lang w:val="en-US" w:eastAsia="zh-CN"/>
              </w:rPr>
              <w:t>的得2-1.3分；</w:t>
            </w:r>
          </w:p>
          <w:p>
            <w:pPr>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2.方案合理、</w:t>
            </w:r>
            <w:r>
              <w:rPr>
                <w:rFonts w:hint="eastAsia" w:ascii="宋体" w:hAnsi="宋体" w:eastAsia="宋体" w:cs="宋体"/>
                <w:color w:val="000000" w:themeColor="text1"/>
                <w:kern w:val="0"/>
                <w:szCs w:val="21"/>
                <w:lang w:eastAsia="zh-CN"/>
                <w14:textFill>
                  <w14:solidFill>
                    <w14:schemeClr w14:val="tx1"/>
                  </w14:solidFill>
                </w14:textFill>
              </w:rPr>
              <w:t>内容常规、操作性一般</w:t>
            </w:r>
            <w:r>
              <w:rPr>
                <w:rFonts w:hint="eastAsia" w:ascii="宋体" w:hAnsi="宋体" w:eastAsia="宋体" w:cs="宋体"/>
                <w:szCs w:val="21"/>
                <w:lang w:val="en-US" w:eastAsia="zh-CN"/>
              </w:rPr>
              <w:t>的得1.2-0.6分；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color w:val="000000" w:themeColor="text1"/>
                <w:kern w:val="2"/>
                <w:sz w:val="18"/>
                <w:szCs w:val="18"/>
                <w:lang w:val="en-US" w:eastAsia="zh-CN" w:bidi="ar-SA"/>
                <w14:textFill>
                  <w14:solidFill>
                    <w14:schemeClr w14:val="tx1"/>
                  </w14:solidFill>
                </w14:textFill>
              </w:rPr>
            </w:pPr>
            <w:r>
              <w:rPr>
                <w:rFonts w:hint="eastAsia" w:ascii="宋体" w:hAnsi="宋体" w:eastAsia="宋体" w:cs="宋体"/>
                <w:szCs w:val="21"/>
                <w:lang w:val="en-US" w:eastAsia="zh-CN"/>
              </w:rPr>
              <w:t>3.方案粗糙、</w:t>
            </w:r>
            <w:r>
              <w:rPr>
                <w:rFonts w:hint="eastAsia" w:ascii="宋体" w:hAnsi="宋体" w:eastAsia="宋体" w:cs="宋体"/>
                <w:color w:val="000000" w:themeColor="text1"/>
                <w:kern w:val="0"/>
                <w:szCs w:val="21"/>
                <w:lang w:eastAsia="zh-CN"/>
                <w14:textFill>
                  <w14:solidFill>
                    <w14:schemeClr w14:val="tx1"/>
                  </w14:solidFill>
                </w14:textFill>
              </w:rPr>
              <w:t>内容缺漏、操作性差</w:t>
            </w:r>
            <w:r>
              <w:rPr>
                <w:rFonts w:hint="eastAsia" w:ascii="宋体" w:hAnsi="宋体" w:eastAsia="宋体" w:cs="宋体"/>
                <w:szCs w:val="21"/>
                <w:lang w:val="en-US" w:eastAsia="zh-CN"/>
              </w:rPr>
              <w:t>的得0.5-0分。</w:t>
            </w:r>
          </w:p>
        </w:tc>
        <w:tc>
          <w:tcPr>
            <w:tcW w:w="664" w:type="dxa"/>
            <w:tcMar>
              <w:top w:w="57" w:type="dxa"/>
              <w:left w:w="108" w:type="dxa"/>
              <w:bottom w:w="0" w:type="dxa"/>
              <w:right w:w="108" w:type="dxa"/>
            </w:tcMar>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286" w:type="dxa"/>
            <w:tcMar>
              <w:top w:w="57" w:type="dxa"/>
              <w:left w:w="108" w:type="dxa"/>
              <w:bottom w:w="0" w:type="dxa"/>
              <w:right w:w="108" w:type="dxa"/>
            </w:tcMar>
            <w:vAlign w:val="center"/>
          </w:tcPr>
          <w:p>
            <w:pPr>
              <w:widowControl/>
              <w:jc w:val="center"/>
              <w:rPr>
                <w:rFonts w:hint="eastAsia" w:ascii="宋体" w:hAnsi="宋体" w:eastAsia="宋体" w:cs="宋体"/>
                <w:b/>
                <w:bCs/>
                <w:sz w:val="21"/>
                <w:szCs w:val="21"/>
              </w:rPr>
            </w:pPr>
            <w:r>
              <w:rPr>
                <w:rFonts w:hint="eastAsia" w:ascii="宋体" w:hAnsi="宋体" w:eastAsia="宋体" w:cs="宋体"/>
                <w:b/>
                <w:bCs/>
                <w:color w:val="000000" w:themeColor="text1"/>
                <w:sz w:val="21"/>
                <w:szCs w:val="21"/>
                <w14:textFill>
                  <w14:solidFill>
                    <w14:schemeClr w14:val="tx1"/>
                  </w14:solidFill>
                </w14:textFill>
              </w:rPr>
              <w:t>价格</w:t>
            </w:r>
            <w:r>
              <w:rPr>
                <w:rFonts w:hint="eastAsia" w:ascii="宋体" w:hAnsi="宋体" w:eastAsia="宋体" w:cs="宋体"/>
                <w:b/>
                <w:sz w:val="21"/>
                <w:szCs w:val="21"/>
                <w:lang w:val="en-US" w:eastAsia="zh-CN"/>
              </w:rPr>
              <w:t>30</w:t>
            </w:r>
            <w:r>
              <w:rPr>
                <w:rFonts w:hint="eastAsia" w:ascii="宋体" w:hAnsi="宋体" w:eastAsia="宋体" w:cs="宋体"/>
                <w:b/>
                <w:sz w:val="21"/>
                <w:szCs w:val="21"/>
              </w:rPr>
              <w:t>分</w:t>
            </w:r>
          </w:p>
        </w:tc>
        <w:tc>
          <w:tcPr>
            <w:tcW w:w="7068" w:type="dxa"/>
            <w:gridSpan w:val="2"/>
            <w:tcMar>
              <w:top w:w="57" w:type="dxa"/>
              <w:left w:w="108" w:type="dxa"/>
              <w:bottom w:w="0" w:type="dxa"/>
              <w:right w:w="108" w:type="dxa"/>
            </w:tcMar>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以合格投标人有效投标总报价中的最低价为基准价，基准价为</w:t>
            </w:r>
            <w:r>
              <w:rPr>
                <w:rFonts w:hint="eastAsia" w:ascii="宋体" w:hAnsi="宋体" w:eastAsia="宋体" w:cs="宋体"/>
                <w:sz w:val="21"/>
                <w:szCs w:val="21"/>
                <w:lang w:val="en-US" w:eastAsia="zh-CN"/>
              </w:rPr>
              <w:t>30</w:t>
            </w:r>
            <w:r>
              <w:rPr>
                <w:rFonts w:hint="eastAsia" w:ascii="宋体" w:hAnsi="宋体" w:eastAsia="宋体" w:cs="宋体"/>
                <w:sz w:val="21"/>
                <w:szCs w:val="21"/>
              </w:rPr>
              <w:t>分。投标报价得分＝（评标基准价/投标报价）×</w:t>
            </w:r>
            <w:r>
              <w:rPr>
                <w:rFonts w:hint="eastAsia" w:ascii="宋体" w:hAnsi="宋体" w:eastAsia="宋体" w:cs="宋体"/>
                <w:kern w:val="0"/>
                <w:sz w:val="21"/>
                <w:szCs w:val="21"/>
                <w:lang w:val="en-US" w:eastAsia="zh-CN"/>
              </w:rPr>
              <w:t>30</w:t>
            </w:r>
            <w:r>
              <w:rPr>
                <w:rFonts w:hint="eastAsia" w:ascii="宋体" w:hAnsi="宋体" w:eastAsia="宋体" w:cs="宋体"/>
                <w:kern w:val="0"/>
                <w:sz w:val="21"/>
                <w:szCs w:val="21"/>
              </w:rPr>
              <w:t>%</w:t>
            </w:r>
            <w:r>
              <w:rPr>
                <w:rFonts w:hint="eastAsia" w:ascii="宋体" w:hAnsi="宋体" w:eastAsia="宋体" w:cs="宋体"/>
                <w:sz w:val="21"/>
                <w:szCs w:val="21"/>
              </w:rPr>
              <w:t>×</w:t>
            </w:r>
            <w:r>
              <w:rPr>
                <w:rFonts w:hint="eastAsia" w:ascii="宋体" w:hAnsi="宋体" w:eastAsia="宋体" w:cs="宋体"/>
                <w:kern w:val="0"/>
                <w:sz w:val="21"/>
                <w:szCs w:val="21"/>
              </w:rPr>
              <w:t>100</w:t>
            </w:r>
            <w:r>
              <w:rPr>
                <w:rFonts w:hint="eastAsia" w:ascii="宋体" w:hAnsi="宋体" w:eastAsia="宋体" w:cs="宋体"/>
                <w:sz w:val="21"/>
                <w:szCs w:val="21"/>
              </w:rPr>
              <w:t>（小数点后保留2位小数）。</w:t>
            </w:r>
            <w:r>
              <w:rPr>
                <w:rFonts w:hint="eastAsia" w:ascii="宋体" w:hAnsi="宋体" w:eastAsia="宋体" w:cs="宋体"/>
                <w:color w:val="000000" w:themeColor="text1"/>
                <w:sz w:val="21"/>
                <w:szCs w:val="21"/>
                <w14:textFill>
                  <w14:solidFill>
                    <w14:schemeClr w14:val="tx1"/>
                  </w14:solidFill>
                </w14:textFill>
              </w:rPr>
              <w:t>注：</w:t>
            </w:r>
            <w:r>
              <w:rPr>
                <w:rFonts w:hint="eastAsia" w:ascii="宋体" w:hAnsi="宋体" w:eastAsia="宋体" w:cs="宋体"/>
                <w:sz w:val="21"/>
                <w:szCs w:val="21"/>
              </w:rPr>
              <w:t>符合本章第八点政府采购政策的，对报价给予</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10%</w:t>
            </w:r>
            <w:r>
              <w:rPr>
                <w:rFonts w:hint="eastAsia" w:ascii="宋体" w:hAnsi="宋体" w:eastAsia="宋体" w:cs="宋体"/>
                <w:sz w:val="21"/>
                <w:szCs w:val="21"/>
                <w:u w:val="single"/>
              </w:rPr>
              <w:t xml:space="preserve"> </w:t>
            </w:r>
            <w:r>
              <w:rPr>
                <w:rFonts w:hint="eastAsia" w:ascii="宋体" w:hAnsi="宋体" w:eastAsia="宋体" w:cs="宋体"/>
                <w:sz w:val="21"/>
                <w:szCs w:val="21"/>
              </w:rPr>
              <w:t>的价格扣除，用扣除后的价格参与评审。</w:t>
            </w:r>
          </w:p>
        </w:tc>
        <w:tc>
          <w:tcPr>
            <w:tcW w:w="664" w:type="dxa"/>
            <w:tcMar>
              <w:top w:w="57" w:type="dxa"/>
              <w:left w:w="108" w:type="dxa"/>
              <w:bottom w:w="0" w:type="dxa"/>
              <w:right w:w="108" w:type="dxa"/>
            </w:tcMar>
            <w:vAlign w:val="center"/>
          </w:tcPr>
          <w:p>
            <w:pPr>
              <w:autoSpaceDE w:val="0"/>
              <w:autoSpaceDN w:val="0"/>
              <w:adjustRightIn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r>
    </w:tbl>
    <w:p>
      <w:pPr>
        <w:spacing w:line="360" w:lineRule="auto"/>
      </w:pPr>
      <w:r>
        <w:rPr>
          <w:rFonts w:hint="eastAsia"/>
        </w:rPr>
        <w:t>注：①请扫描上传合同、证书、报告及其他相关证明材料的原件至投标文件，并加盖公章。</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rPr>
        <w:t>1）评标委员会应当按照招标文件中规定的评标方法和标准，对符合性审查合格的投标文件的商务部分和技术部分进行综合比较与评价，其中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eastAsia="zh-CN"/>
        </w:rPr>
        <w:t>“</w:t>
      </w:r>
      <w:r>
        <w:rPr>
          <w:rFonts w:hint="eastAsia" w:ascii="宋体" w:hAnsi="宋体" w:cs="宋体"/>
          <w:sz w:val="24"/>
        </w:rPr>
        <w:t>政采云平台</w:t>
      </w:r>
      <w:r>
        <w:rPr>
          <w:rFonts w:hint="eastAsia" w:ascii="宋体" w:hAnsi="宋体" w:cs="宋体"/>
          <w:sz w:val="24"/>
          <w:lang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评标委员会各成员应当独立对每个投标人的投标文件进行评价，并汇总每个投标人的得分。</w:t>
      </w:r>
    </w:p>
    <w:p>
      <w:pPr>
        <w:spacing w:line="360" w:lineRule="auto"/>
        <w:ind w:firstLine="480" w:firstLineChars="200"/>
        <w:rPr>
          <w:rFonts w:ascii="宋体" w:hAnsi="宋体" w:cs="宋体"/>
          <w:sz w:val="24"/>
          <w:lang w:val="zh-CN"/>
        </w:rPr>
      </w:pPr>
      <w:r>
        <w:rPr>
          <w:rFonts w:hint="eastAsia" w:ascii="宋体" w:hAnsi="宋体" w:cs="宋体"/>
          <w:sz w:val="24"/>
        </w:rPr>
        <w:t>1.评标结果按评审后综合得分由高到低顺序排列。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提供相同品牌产品的，</w:t>
      </w:r>
      <w:r>
        <w:rPr>
          <w:rFonts w:hint="eastAsia" w:ascii="宋体" w:hAnsi="宋体" w:cs="宋体"/>
          <w:sz w:val="24"/>
        </w:rPr>
        <w:t>参照《政府采购货物和服务招标投标管理办法》（第87号令）第三十一条有关规定执行</w:t>
      </w:r>
      <w:r>
        <w:rPr>
          <w:rFonts w:hint="eastAsia" w:ascii="宋体" w:hAnsi="宋体" w:cs="宋体"/>
          <w:sz w:val="24"/>
          <w:lang w:val="zh-CN"/>
        </w:rPr>
        <w:t>。</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hint="eastAsia" w:ascii="宋体" w:hAnsi="宋体" w:cs="宋体"/>
          <w:sz w:val="24"/>
        </w:rPr>
      </w:pPr>
      <w:r>
        <w:rPr>
          <w:rFonts w:hint="eastAsia" w:ascii="宋体" w:hAnsi="宋体" w:cs="宋体"/>
          <w:sz w:val="24"/>
        </w:rPr>
        <w:t>评标委员会根据全体评标成员签字的原始评标记录和评标结果编写评标报告。</w:t>
      </w:r>
      <w:bookmarkStart w:id="38" w:name="_Toc27944_WPSOffice_Level1"/>
    </w:p>
    <w:p>
      <w:pPr>
        <w:pStyle w:val="2"/>
        <w:rPr>
          <w:rFonts w:hint="eastAsia"/>
        </w:rPr>
      </w:pPr>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38"/>
      <w:r>
        <w:rPr>
          <w:rFonts w:hint="eastAsia" w:asciiTheme="minorEastAsia" w:hAnsiTheme="minorEastAsia" w:eastAsiaTheme="minorEastAsia"/>
          <w:b/>
          <w:sz w:val="36"/>
          <w:szCs w:val="36"/>
        </w:rPr>
        <w:t>拟签订的合同文本</w:t>
      </w:r>
    </w:p>
    <w:p>
      <w:pPr>
        <w:widowControl/>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以下为成交后签</w:t>
      </w:r>
      <w:r>
        <w:rPr>
          <w:rFonts w:hint="eastAsia" w:asciiTheme="minorEastAsia" w:hAnsiTheme="minorEastAsia" w:eastAsiaTheme="minorEastAsia"/>
          <w:sz w:val="24"/>
        </w:rPr>
        <w:t>订</w:t>
      </w:r>
      <w:r>
        <w:rPr>
          <w:rFonts w:asciiTheme="minorEastAsia" w:hAnsiTheme="minorEastAsia" w:eastAsiaTheme="minorEastAsia"/>
          <w:sz w:val="24"/>
        </w:rPr>
        <w:t>本项目合同的通用条款，</w:t>
      </w:r>
      <w:r>
        <w:rPr>
          <w:rFonts w:hint="eastAsia" w:asciiTheme="minorEastAsia" w:hAnsiTheme="minorEastAsia" w:eastAsiaTheme="minorEastAsia"/>
          <w:sz w:val="24"/>
        </w:rPr>
        <w:t>中标人</w:t>
      </w:r>
      <w:r>
        <w:rPr>
          <w:rFonts w:asciiTheme="minorEastAsia" w:hAnsiTheme="minorEastAsia" w:eastAsiaTheme="minorEastAsia"/>
          <w:sz w:val="24"/>
        </w:rPr>
        <w:t>不得提出实质性的修改，关于专用条款将由采购人与</w:t>
      </w:r>
      <w:r>
        <w:rPr>
          <w:rFonts w:hint="eastAsia" w:asciiTheme="minorEastAsia" w:hAnsiTheme="minorEastAsia" w:eastAsiaTheme="minorEastAsia"/>
          <w:sz w:val="24"/>
        </w:rPr>
        <w:t>中标人</w:t>
      </w:r>
      <w:r>
        <w:rPr>
          <w:rFonts w:asciiTheme="minorEastAsia" w:hAnsiTheme="minorEastAsia" w:eastAsiaTheme="minorEastAsia"/>
          <w:sz w:val="24"/>
        </w:rPr>
        <w:t>结合本项目具体情况协商后签订。</w:t>
      </w:r>
    </w:p>
    <w:p>
      <w:pPr>
        <w:pStyle w:val="10"/>
        <w:snapToGrid w:val="0"/>
        <w:spacing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0"/>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0"/>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pStyle w:val="10"/>
        <w:snapToGrid w:val="0"/>
        <w:spacing w:line="360" w:lineRule="auto"/>
        <w:ind w:firstLine="480" w:firstLineChars="200"/>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sz w:val="24"/>
        </w:rPr>
        <w:t>××</w:t>
      </w:r>
      <w:r>
        <w:rPr>
          <w:rFonts w:asciiTheme="minorEastAsia" w:hAnsiTheme="minorEastAsia" w:eastAsiaTheme="minorEastAsia"/>
          <w:sz w:val="24"/>
        </w:rPr>
        <w:t>单位</w:t>
      </w:r>
      <w:r>
        <w:rPr>
          <w:rFonts w:hint="eastAsia" w:cs="Arial" w:asciiTheme="minorEastAsia" w:hAnsiTheme="minorEastAsia" w:eastAsiaTheme="minorEastAsia"/>
          <w:sz w:val="24"/>
        </w:rPr>
        <w:t>××</w:t>
      </w:r>
      <w:r>
        <w:rPr>
          <w:rFonts w:asciiTheme="minorEastAsia" w:hAnsiTheme="minorEastAsia" w:eastAsiaTheme="minorEastAsia"/>
          <w:sz w:val="24"/>
        </w:rPr>
        <w:t>项目公开招标的结果，签署本合同。</w:t>
      </w:r>
    </w:p>
    <w:p>
      <w:pPr>
        <w:spacing w:line="360" w:lineRule="auto"/>
        <w:ind w:firstLine="482" w:firstLineChars="200"/>
        <w:rPr>
          <w:rFonts w:ascii="宋体"/>
          <w:b/>
          <w:bCs/>
          <w:sz w:val="24"/>
          <w:lang w:val="zh-CN"/>
        </w:rPr>
      </w:pPr>
      <w:r>
        <w:rPr>
          <w:rFonts w:hint="eastAsia" w:ascii="宋体"/>
          <w:b/>
          <w:bCs/>
          <w:sz w:val="24"/>
          <w:lang w:val="zh-CN"/>
        </w:rPr>
        <w:t>一、合同文件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0"/>
        <w:snapToGrid w:val="0"/>
        <w:spacing w:line="360" w:lineRule="auto"/>
        <w:ind w:firstLine="480" w:firstLineChars="200"/>
        <w:rPr>
          <w:rFonts w:hAnsi="Times New Roman"/>
          <w:sz w:val="24"/>
          <w:lang w:val="zh-CN"/>
        </w:rPr>
      </w:pPr>
      <w:r>
        <w:rPr>
          <w:rFonts w:hint="eastAsia"/>
          <w:sz w:val="24"/>
          <w:lang w:val="zh-CN"/>
        </w:rPr>
        <w:t>上述所指合同文件应认为是互相补充和解释的，但是有模棱两可或互相矛盾之处，以其所列内容顺序为准。</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货物名称：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型号规格：</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技术参数：</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数量（单位）：</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本合同金额为（大写）：____________________元（￥__________元）人民币。</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乙方应按招标文件规定的时间向甲方提供使用货物的有关技术资料。</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乙方应保证所提供的货物或其任何一部分均不会侵犯任何第三方的知识产权。</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（二）若侵犯</w:t>
      </w:r>
      <w:r>
        <w:rPr>
          <w:rFonts w:hint="eastAsia" w:asciiTheme="minorEastAsia" w:hAnsiTheme="minorEastAsia" w:eastAsiaTheme="minorEastAsia"/>
          <w:sz w:val="24"/>
          <w:lang w:eastAsia="zh-CN"/>
        </w:rPr>
        <w:t>，</w:t>
      </w:r>
      <w:r>
        <w:rPr>
          <w:rFonts w:hint="eastAsia" w:asciiTheme="minorEastAsia" w:hAnsiTheme="minorEastAsia" w:eastAsiaTheme="minorEastAsia"/>
          <w:sz w:val="24"/>
        </w:rPr>
        <w:t>由乙方赔偿甲方因此遭受的损失（包括但不限于应对及追偿过程中所支付的律师费、差旅费、诉讼费、保全费、鉴定费、评估费等）。</w:t>
      </w:r>
    </w:p>
    <w:p>
      <w:pPr>
        <w:pStyle w:val="10"/>
        <w:snapToGrid w:val="0"/>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0"/>
        <w:snapToGrid w:val="0"/>
        <w:spacing w:line="360" w:lineRule="auto"/>
        <w:ind w:firstLine="480" w:firstLineChars="200"/>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rPr>
        <w:t>质保期满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0"/>
        <w:snapToGrid w:val="0"/>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质保期</w:t>
      </w:r>
      <w:r>
        <w:rPr>
          <w:rFonts w:hAnsi="宋体" w:cs="Times New Roman"/>
          <w:sz w:val="24"/>
        </w:rPr>
        <w:t>___</w:t>
      </w:r>
      <w:r>
        <w:rPr>
          <w:rFonts w:asciiTheme="minorEastAsia" w:hAnsiTheme="minorEastAsia" w:eastAsiaTheme="minorEastAsia"/>
          <w:sz w:val="24"/>
        </w:rPr>
        <w:t>年。（自交货验收合格之日起计）</w:t>
      </w:r>
    </w:p>
    <w:p>
      <w:pPr>
        <w:pStyle w:val="1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交货期：</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（二）</w:t>
      </w:r>
      <w:r>
        <w:rPr>
          <w:rFonts w:asciiTheme="minorEastAsia" w:hAnsiTheme="minorEastAsia" w:eastAsiaTheme="minorEastAsia"/>
          <w:bCs/>
          <w:sz w:val="24"/>
        </w:rPr>
        <w:t>交货方式：</w:t>
      </w:r>
    </w:p>
    <w:p>
      <w:pPr>
        <w:pStyle w:val="10"/>
        <w:snapToGrid w:val="0"/>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bCs/>
          <w:sz w:val="24"/>
        </w:rPr>
        <w:t>（三）</w:t>
      </w:r>
      <w:r>
        <w:rPr>
          <w:rFonts w:asciiTheme="minorEastAsia" w:hAnsiTheme="minorEastAsia" w:eastAsiaTheme="minorEastAsia"/>
          <w:bCs/>
          <w:sz w:val="24"/>
        </w:rPr>
        <w:t>交货地点：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一</w:t>
      </w:r>
      <w:r>
        <w:rPr>
          <w:rFonts w:asciiTheme="minorEastAsia" w:hAnsiTheme="minorEastAsia" w:eastAsiaTheme="minorEastAsia"/>
          <w:b/>
          <w:sz w:val="24"/>
        </w:rPr>
        <w:t>、货款支付</w:t>
      </w:r>
    </w:p>
    <w:p>
      <w:pPr>
        <w:pStyle w:val="10"/>
        <w:snapToGri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（一）</w:t>
      </w:r>
      <w:r>
        <w:rPr>
          <w:rFonts w:asciiTheme="minorEastAsia" w:hAnsiTheme="minorEastAsia" w:eastAsiaTheme="minorEastAsia"/>
          <w:bCs/>
          <w:sz w:val="24"/>
        </w:rPr>
        <w:t>付款方式：</w:t>
      </w:r>
    </w:p>
    <w:p>
      <w:pPr>
        <w:pStyle w:val="10"/>
        <w:snapToGrid w:val="0"/>
        <w:spacing w:line="360" w:lineRule="auto"/>
        <w:ind w:firstLine="480" w:firstLineChars="200"/>
        <w:rPr>
          <w:rFonts w:asciiTheme="minorEastAsia" w:hAnsiTheme="minorEastAsia" w:eastAsiaTheme="minorEastAsia"/>
          <w:bCs/>
          <w:sz w:val="24"/>
        </w:rPr>
      </w:pPr>
      <w:r>
        <w:rPr>
          <w:rFonts w:hint="eastAsia" w:hAnsi="Times New Roman"/>
          <w:sz w:val="24"/>
          <w:lang w:val="zh-CN"/>
        </w:rPr>
        <w:t>（</w:t>
      </w:r>
      <w:r>
        <w:rPr>
          <w:rFonts w:hint="eastAsia" w:hAnsi="Times New Roman"/>
          <w:sz w:val="24"/>
        </w:rPr>
        <w:t>二</w:t>
      </w:r>
      <w:r>
        <w:rPr>
          <w:rFonts w:hint="eastAsia" w:hAnsi="Times New Roman"/>
          <w:sz w:val="24"/>
          <w:lang w:val="zh-CN"/>
        </w:rPr>
        <w:t>）当采购数量与实际使用数量不一致时，由采购单位向同级财政部门申请并经批准后，可以由乙方根据实际使用量供货，合同的最终结算金额按实际使用量乘以成交单价进行计算。</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0"/>
        <w:snapToGrid w:val="0"/>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乙方应按招标文件规定的货物性能、技术要求、质量标准向甲方提供未经使用的全新产品。</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更换：由乙方承担所发生的全部费用。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贬值处理：由甲乙双方合议定价。</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退货处理：乙方应退还甲方支付的合同款，同时应承担该货物的直接费用（运输、保险、检验、货款利息及银行手续费等）。</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如在使用过程中发生质量问题，乙方在接到甲方通知后在</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小时内到达甲方现场。</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在质保期内，乙方应对货物出现的质量及安全问题负责处理解决并承担一切费用。</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上述的货物免费保修期为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年，因人为因素出现的故障不在免费保修范围内。超过保修期的机器设备，终生维修，维修时只收部件成本费。</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asciiTheme="minorEastAsia" w:hAnsiTheme="minorEastAsia" w:eastAsiaTheme="minorEastAsia"/>
          <w:color w:val="000000" w:themeColor="text1"/>
          <w:sz w:val="24"/>
          <w:u w:val="single"/>
          <w14:textFill>
            <w14:solidFill>
              <w14:schemeClr w14:val="tx1"/>
            </w14:solidFill>
          </w14:textFill>
        </w:rPr>
        <w:t xml:space="preserve">    </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乙方交货前应对产品作出全面检查和对验收文件进行整理，并列出清单，作为甲方收货验收和使用的技术条件依据，检验的结果应随货物交甲方。</w:t>
      </w:r>
    </w:p>
    <w:p>
      <w:pPr>
        <w:pStyle w:val="10"/>
        <w:snapToGrid w:val="0"/>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（三）</w:t>
      </w:r>
      <w:r>
        <w:rPr>
          <w:rFonts w:asciiTheme="minorEastAsia" w:hAnsiTheme="minorEastAsia" w:eastAsiaTheme="minorEastAsia"/>
          <w:sz w:val="24"/>
        </w:rPr>
        <w:t>甲方对乙方提供的货物在使用前进行调试时，乙方需负责安装并培训甲方的使用操作人员，并协助甲方一起调试，直到符合技术要求，甲方才做最终验收。</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对技术复杂的货物，甲方应请国家认可的专业检测机构参与初步验收及最终验收，并由其出具质量检测报告。</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方负责。</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乙方应在货物发运前对其进行满足运输距离、防潮、防震、防锈和防破损装卸等要求包装，以保证货物安全运达甲方指定地点。</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使用说明书、质量检验证明书、随配附件和工具以及清单一并附于货物内。</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乙方在货物发运手续办理完毕后</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小时内或货到甲方</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小时前通知甲方，以准备接货。</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货物在交付甲方前发生的风险均由乙方负责。</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w:t>
      </w:r>
      <w:r>
        <w:rPr>
          <w:rFonts w:asciiTheme="minorEastAsia" w:hAnsiTheme="minorEastAsia" w:eastAsiaTheme="minorEastAsia"/>
          <w:sz w:val="24"/>
        </w:rPr>
        <w:t>货物在规定的交付期限内由乙方送达甲方指定的地点视为交付，乙方同时需通知甲方货物已送达。</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（六）乙方运送的货物涉及商品包装和快递包装的，参考《商品包装政府采购需求标准（试行）》、《快递包装政府采购需求标准（试行）》（财办库［2020］123号）。</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甲方无正当理由拒收货物的，甲方向乙方偿付拒收货款总值的</w:t>
      </w:r>
      <w:r>
        <w:rPr>
          <w:rFonts w:asciiTheme="minorEastAsia" w:hAnsiTheme="minorEastAsia" w:eastAsiaTheme="minorEastAsia"/>
          <w:sz w:val="24"/>
          <w:u w:val="single"/>
        </w:rPr>
        <w:t>百分之五</w:t>
      </w:r>
      <w:r>
        <w:rPr>
          <w:rFonts w:asciiTheme="minorEastAsia" w:hAnsiTheme="minorEastAsia" w:eastAsiaTheme="minorEastAsia"/>
          <w:sz w:val="24"/>
        </w:rPr>
        <w:t>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甲方无故逾期验收和办理货款支付手续的</w:t>
      </w:r>
      <w:r>
        <w:rPr>
          <w:rFonts w:hint="eastAsia" w:asciiTheme="minorEastAsia" w:hAnsiTheme="minorEastAsia" w:eastAsiaTheme="minorEastAsia"/>
          <w:sz w:val="24"/>
          <w:lang w:eastAsia="zh-CN"/>
        </w:rPr>
        <w:t>，</w:t>
      </w:r>
      <w:r>
        <w:rPr>
          <w:rFonts w:asciiTheme="minorEastAsia" w:hAnsiTheme="minorEastAsia" w:eastAsiaTheme="minorEastAsia"/>
          <w:sz w:val="24"/>
        </w:rPr>
        <w:t>甲方应按逾期付款总额每日</w:t>
      </w:r>
      <w:r>
        <w:rPr>
          <w:rFonts w:asciiTheme="minorEastAsia" w:hAnsiTheme="minorEastAsia" w:eastAsiaTheme="minorEastAsia"/>
          <w:sz w:val="24"/>
          <w:u w:val="single"/>
        </w:rPr>
        <w:t>万分之五</w:t>
      </w:r>
      <w:r>
        <w:rPr>
          <w:rFonts w:asciiTheme="minorEastAsia" w:hAnsiTheme="minorEastAsia" w:eastAsiaTheme="minorEastAsia"/>
          <w:sz w:val="24"/>
        </w:rPr>
        <w:t>向乙方支付违约金。</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乙方逾期交付货物的，乙方应按逾期交货总额每日</w:t>
      </w:r>
      <w:r>
        <w:rPr>
          <w:rFonts w:asciiTheme="minorEastAsia" w:hAnsiTheme="minorEastAsia" w:eastAsiaTheme="minorEastAsia"/>
          <w:sz w:val="24"/>
          <w:u w:val="single"/>
        </w:rPr>
        <w:t>千分之六</w:t>
      </w:r>
      <w:r>
        <w:rPr>
          <w:rFonts w:asciiTheme="minorEastAsia" w:hAnsiTheme="minorEastAsia" w:eastAsiaTheme="minorEastAsia"/>
          <w:sz w:val="24"/>
        </w:rPr>
        <w:t>向甲方支付违约金，由甲方从待付货款中扣除。逾期超过约定日期</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w:t>
      </w:r>
      <w:r>
        <w:rPr>
          <w:rFonts w:asciiTheme="minorEastAsia" w:hAnsiTheme="minorEastAsia" w:eastAsiaTheme="minorEastAsia"/>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（五）若发生纠纷，由违约方赔偿守约方因纠纷所支付的费用（包括但不限于律师费、差旅费、诉讼费、保全费、鉴定费、评估费等）。</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w:t>
      </w:r>
      <w:r>
        <w:rPr>
          <w:rFonts w:asciiTheme="minorEastAsia" w:hAnsiTheme="minorEastAsia" w:eastAsiaTheme="minorEastAsia"/>
          <w:sz w:val="24"/>
        </w:rPr>
        <w:t>在合同有效期内，任何一方因不可抗力事件导致不能履行合同，则合同履行期可延长，其延长期与不可抗力影响期相同。</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w:t>
      </w:r>
      <w:r>
        <w:rPr>
          <w:rFonts w:asciiTheme="minorEastAsia" w:hAnsiTheme="minorEastAsia" w:eastAsiaTheme="minorEastAsia"/>
          <w:sz w:val="24"/>
        </w:rPr>
        <w:t>不可抗力事件发生后，应立即通知对方，并寄送有关权威机构出具的证明。</w:t>
      </w:r>
    </w:p>
    <w:p>
      <w:pPr>
        <w:pStyle w:val="1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asciiTheme="minorEastAsia" w:hAnsiTheme="minorEastAsia" w:eastAsiaTheme="minorEastAsia"/>
          <w:sz w:val="24"/>
        </w:rPr>
        <w:t>不可抗力事件延续120天以上，双方应通过友好协商，确定是否继续履行合同。</w:t>
      </w:r>
    </w:p>
    <w:p>
      <w:pPr>
        <w:pStyle w:val="10"/>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pStyle w:val="1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0"/>
        <w:tabs>
          <w:tab w:val="left" w:pos="5790"/>
        </w:tabs>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9"/>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（一）</w:t>
      </w:r>
      <w:r>
        <w:rPr>
          <w:rFonts w:asciiTheme="minorEastAsia" w:hAnsiTheme="minorEastAsia" w:eastAsiaTheme="minorEastAsia"/>
        </w:rPr>
        <w:t>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9"/>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（二）</w:t>
      </w:r>
      <w:r>
        <w:rPr>
          <w:rFonts w:asciiTheme="minorEastAsia" w:hAnsiTheme="minorEastAsia" w:eastAsiaTheme="minorEastAsia"/>
        </w:rPr>
        <w:t>本合同未尽事宜，遵照</w:t>
      </w:r>
      <w:r>
        <w:rPr>
          <w:rFonts w:hint="eastAsia" w:ascii="宋体" w:hAnsi="宋体" w:eastAsia="宋体" w:cs="宋体"/>
        </w:rPr>
        <w:t>《</w:t>
      </w:r>
      <w:r>
        <w:rPr>
          <w:rFonts w:hint="eastAsia" w:ascii="宋体" w:hAnsi="宋体" w:eastAsia="宋体" w:cs="宋体"/>
          <w:color w:val="111F2C"/>
          <w:szCs w:val="21"/>
          <w:shd w:val="clear" w:color="auto" w:fill="FFFFFF"/>
        </w:rPr>
        <w:t>中华人民共和国民法典</w:t>
      </w:r>
      <w:r>
        <w:rPr>
          <w:rFonts w:hint="eastAsia" w:ascii="宋体" w:hAnsi="宋体" w:eastAsia="宋体" w:cs="宋体"/>
        </w:rPr>
        <w:t>》有关</w:t>
      </w:r>
      <w:r>
        <w:rPr>
          <w:rFonts w:asciiTheme="minorEastAsia" w:hAnsiTheme="minorEastAsia" w:eastAsiaTheme="minorEastAsia"/>
        </w:rPr>
        <w:t>条文执行。</w:t>
      </w:r>
    </w:p>
    <w:p>
      <w:pPr>
        <w:pStyle w:val="9"/>
        <w:widowControl/>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（三）本合同一式两份，甲、乙双方各执一份。本项目未尽事宜以招标文件、投标文件及澄清文件等为准。</w:t>
      </w:r>
    </w:p>
    <w:p>
      <w:pPr>
        <w:widowControl/>
        <w:spacing w:line="360" w:lineRule="auto"/>
        <w:ind w:firstLine="482" w:firstLineChars="200"/>
        <w:rPr>
          <w:rFonts w:asciiTheme="minorEastAsia" w:hAnsiTheme="minorEastAsia" w:eastAsiaTheme="minorEastAsia"/>
          <w:b/>
          <w:sz w:val="24"/>
        </w:rPr>
      </w:pPr>
    </w:p>
    <w:p>
      <w:pPr>
        <w:widowControl/>
        <w:spacing w:line="360" w:lineRule="auto"/>
        <w:ind w:firstLine="482" w:firstLineChars="200"/>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甲方（盖章）                                     乙方（盖章）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账号：                                           账号：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ind w:firstLine="480" w:firstLineChars="200"/>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ind w:firstLine="560" w:firstLineChars="200"/>
        <w:rPr>
          <w:rFonts w:hint="eastAsia" w:asciiTheme="minorEastAsia" w:hAnsiTheme="minorEastAsia" w:eastAsiaTheme="minorEastAsia"/>
          <w:b/>
          <w:sz w:val="36"/>
          <w:szCs w:val="36"/>
          <w:lang w:val="en-US" w:eastAsia="zh-CN"/>
        </w:rPr>
      </w:pP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bookmarkStart w:id="39" w:name="_Toc5481_WPSOffice_Level1"/>
    </w:p>
    <w:p>
      <w:pPr>
        <w:rPr>
          <w:rFonts w:hint="eastAsia"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第六章 投标文件格式</w:t>
      </w:r>
      <w:bookmarkEnd w:id="39"/>
    </w:p>
    <w:p>
      <w:pPr>
        <w:rPr>
          <w:rFonts w:hint="eastAsia" w:ascii="宋体" w:hAnsi="宋体"/>
          <w:b/>
          <w:kern w:val="0"/>
          <w:sz w:val="28"/>
          <w:szCs w:val="28"/>
          <w:lang w:val="en-US" w:eastAsia="zh-CN"/>
        </w:rPr>
      </w:pPr>
      <w:r>
        <w:rPr>
          <w:rFonts w:hint="eastAsia" w:ascii="宋体" w:hAnsi="宋体"/>
          <w:b/>
          <w:kern w:val="0"/>
          <w:sz w:val="28"/>
          <w:szCs w:val="28"/>
          <w:lang w:val="en-US" w:eastAsia="zh-CN"/>
        </w:rPr>
        <w:t xml:space="preserve"> </w:t>
      </w: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0" w:name="_Toc4956_WPSOffice_Level1"/>
      <w:bookmarkStart w:id="41" w:name="_Toc32372_WPSOffice_Level1"/>
      <w:bookmarkStart w:id="42" w:name="_Toc19093_WPSOffice_Level1"/>
      <w:r>
        <w:rPr>
          <w:rFonts w:hint="eastAsia"/>
          <w:sz w:val="52"/>
          <w:szCs w:val="52"/>
        </w:rPr>
        <w:t>项目名称</w:t>
      </w:r>
      <w:bookmarkEnd w:id="40"/>
      <w:bookmarkEnd w:id="41"/>
      <w:bookmarkEnd w:id="42"/>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18"/>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rFonts w:hint="eastAsia"/>
          <w:b/>
          <w:bCs/>
          <w:sz w:val="36"/>
          <w:szCs w:val="36"/>
        </w:rPr>
      </w:pPr>
      <w:r>
        <w:rPr>
          <w:rFonts w:hint="eastAsia"/>
          <w:b/>
          <w:bCs/>
          <w:sz w:val="36"/>
          <w:szCs w:val="36"/>
        </w:rPr>
        <w:t>资格证明文件目录</w:t>
      </w:r>
    </w:p>
    <w:p>
      <w:pPr>
        <w:pStyle w:val="7"/>
      </w:pPr>
    </w:p>
    <w:p/>
    <w:p>
      <w:pPr>
        <w:numPr>
          <w:ilvl w:val="0"/>
          <w:numId w:val="8"/>
        </w:numPr>
        <w:spacing w:line="360" w:lineRule="auto"/>
        <w:ind w:hanging="5"/>
        <w:rPr>
          <w:rFonts w:hint="eastAsia"/>
          <w:sz w:val="28"/>
          <w:szCs w:val="36"/>
        </w:rPr>
      </w:pPr>
      <w:bookmarkStart w:id="43" w:name="_Toc27049_WPSOffice_Level1"/>
      <w:bookmarkStart w:id="44" w:name="_Toc12587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3"/>
      <w:bookmarkEnd w:id="44"/>
    </w:p>
    <w:p>
      <w:pPr>
        <w:numPr>
          <w:ilvl w:val="0"/>
          <w:numId w:val="8"/>
        </w:numPr>
        <w:spacing w:line="360" w:lineRule="auto"/>
        <w:ind w:hanging="5"/>
        <w:rPr>
          <w:rFonts w:hint="eastAsia"/>
          <w:sz w:val="28"/>
          <w:szCs w:val="36"/>
        </w:rPr>
      </w:pPr>
      <w:bookmarkStart w:id="45" w:name="_Toc25574_WPSOffice_Level1"/>
      <w:bookmarkStart w:id="46" w:name="_Toc28306_WPSOffice_Level1"/>
      <w:r>
        <w:rPr>
          <w:rFonts w:hint="eastAsia"/>
          <w:sz w:val="28"/>
          <w:szCs w:val="36"/>
        </w:rPr>
        <w:t>授权委托书（法定代表人办理投标事宜的，则无需提交）（附件</w:t>
      </w:r>
      <w:r>
        <w:rPr>
          <w:rFonts w:hint="eastAsia"/>
          <w:sz w:val="28"/>
          <w:szCs w:val="36"/>
          <w:lang w:val="en-US" w:eastAsia="zh-CN"/>
        </w:rPr>
        <w:t>2</w:t>
      </w:r>
      <w:r>
        <w:rPr>
          <w:rFonts w:hint="eastAsia"/>
          <w:sz w:val="28"/>
          <w:szCs w:val="36"/>
        </w:rPr>
        <w:t>）</w:t>
      </w:r>
      <w:bookmarkEnd w:id="45"/>
      <w:bookmarkEnd w:id="46"/>
    </w:p>
    <w:p>
      <w:pPr>
        <w:numPr>
          <w:ilvl w:val="0"/>
          <w:numId w:val="8"/>
        </w:numPr>
        <w:spacing w:line="360" w:lineRule="auto"/>
        <w:ind w:hanging="5"/>
        <w:rPr>
          <w:rFonts w:hint="eastAsia"/>
          <w:sz w:val="28"/>
          <w:szCs w:val="36"/>
        </w:rPr>
      </w:pPr>
      <w:bookmarkStart w:id="47" w:name="_Toc32100_WPSOffice_Level1"/>
      <w:bookmarkStart w:id="48" w:name="_Toc29616_WPSOffice_Level1"/>
      <w:r>
        <w:rPr>
          <w:rFonts w:hint="eastAsia"/>
          <w:sz w:val="28"/>
          <w:szCs w:val="36"/>
        </w:rPr>
        <w:t>法人或者其他组织的营业执照等证明文件、自然人的身份证明</w:t>
      </w:r>
      <w:bookmarkEnd w:id="47"/>
      <w:bookmarkEnd w:id="48"/>
    </w:p>
    <w:p>
      <w:pPr>
        <w:numPr>
          <w:ilvl w:val="0"/>
          <w:numId w:val="8"/>
        </w:numPr>
        <w:spacing w:line="360" w:lineRule="auto"/>
        <w:ind w:hanging="5"/>
        <w:rPr>
          <w:rFonts w:hint="eastAsia"/>
          <w:sz w:val="28"/>
          <w:szCs w:val="36"/>
        </w:rPr>
      </w:pPr>
      <w:bookmarkStart w:id="49" w:name="_Toc2696_WPSOffice_Level1"/>
      <w:bookmarkStart w:id="50" w:name="_Toc30751_WPSOffice_Level1"/>
      <w:r>
        <w:rPr>
          <w:rFonts w:hint="eastAsia"/>
          <w:sz w:val="28"/>
          <w:szCs w:val="36"/>
        </w:rPr>
        <w:t>符合参与政府采购活动的资格条件并且没有税收缴纳、社会保障等方面的失信记录的承诺函</w:t>
      </w:r>
    </w:p>
    <w:p>
      <w:pPr>
        <w:numPr>
          <w:ilvl w:val="0"/>
          <w:numId w:val="8"/>
        </w:numPr>
        <w:spacing w:line="360" w:lineRule="auto"/>
        <w:ind w:hanging="5"/>
        <w:rPr>
          <w:rFonts w:hint="eastAsia"/>
          <w:sz w:val="28"/>
          <w:szCs w:val="36"/>
        </w:rPr>
      </w:pPr>
      <w:r>
        <w:rPr>
          <w:rFonts w:hint="eastAsia"/>
          <w:sz w:val="28"/>
          <w:szCs w:val="36"/>
        </w:rPr>
        <w:t>具备履行合同所必需的设备和专业技术能力的证明材料</w:t>
      </w:r>
      <w:bookmarkEnd w:id="49"/>
      <w:bookmarkEnd w:id="50"/>
    </w:p>
    <w:p>
      <w:pPr>
        <w:numPr>
          <w:ilvl w:val="0"/>
          <w:numId w:val="8"/>
        </w:numPr>
        <w:spacing w:line="360" w:lineRule="auto"/>
        <w:ind w:hanging="5"/>
        <w:rPr>
          <w:rFonts w:hint="eastAsia"/>
          <w:sz w:val="28"/>
          <w:szCs w:val="36"/>
        </w:rPr>
      </w:pPr>
      <w:bookmarkStart w:id="51" w:name="_Toc14150_WPSOffice_Level1"/>
      <w:bookmarkStart w:id="52" w:name="_Toc4587_WPSOffice_Level1"/>
      <w:r>
        <w:rPr>
          <w:rFonts w:hint="eastAsia"/>
          <w:sz w:val="28"/>
          <w:szCs w:val="36"/>
        </w:rPr>
        <w:t>本项目要求的特定资质证书</w:t>
      </w:r>
      <w:bookmarkEnd w:id="51"/>
      <w:bookmarkEnd w:id="52"/>
    </w:p>
    <w:p>
      <w:pPr>
        <w:spacing w:line="360" w:lineRule="auto"/>
        <w:ind w:firstLine="482" w:firstLineChars="200"/>
        <w:rPr>
          <w:rFonts w:ascii="宋体" w:hAnsi="宋体"/>
          <w:b/>
          <w:sz w:val="24"/>
        </w:rPr>
      </w:pPr>
    </w:p>
    <w:p>
      <w:pPr>
        <w:spacing w:line="360" w:lineRule="auto"/>
        <w:ind w:left="420"/>
        <w:rPr>
          <w:rFonts w:ascii="宋体" w:hAnsi="宋体"/>
          <w:b/>
          <w:sz w:val="28"/>
        </w:rPr>
      </w:pPr>
    </w:p>
    <w:p>
      <w:pPr>
        <w:pStyle w:val="25"/>
        <w:rPr>
          <w:rFonts w:ascii="宋体" w:hAnsi="宋体"/>
          <w:b/>
          <w:sz w:val="28"/>
        </w:rPr>
      </w:pPr>
    </w:p>
    <w:p>
      <w:pPr>
        <w:pStyle w:val="25"/>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rPr>
          <w:rFonts w:ascii="宋体" w:hAnsi="宋体"/>
          <w:b/>
          <w:sz w:val="28"/>
        </w:rPr>
      </w:pPr>
      <w:r>
        <w:rPr>
          <w:rFonts w:ascii="宋体" w:hAnsi="宋体"/>
          <w:b/>
          <w:sz w:val="28"/>
        </w:rPr>
        <w:br w:type="page"/>
      </w: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3" w:name="_Toc31708_WPSOffice_Level1"/>
      <w:bookmarkStart w:id="54" w:name="_Toc30723_WPSOffice_Level1"/>
      <w:r>
        <w:rPr>
          <w:rFonts w:hint="eastAsia" w:ascii="宋体" w:hAnsi="宋体"/>
          <w:b/>
          <w:kern w:val="0"/>
          <w:sz w:val="32"/>
          <w:szCs w:val="32"/>
          <w:lang w:val="zh-CN"/>
        </w:rPr>
        <w:t>投标声明书</w:t>
      </w:r>
      <w:bookmarkEnd w:id="53"/>
      <w:bookmarkEnd w:id="54"/>
    </w:p>
    <w:p>
      <w:pPr>
        <w:snapToGrid w:val="0"/>
        <w:spacing w:beforeLines="50" w:after="50" w:line="312"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w:t>
      </w:r>
      <w:r>
        <w:rPr>
          <w:rFonts w:hint="eastAsia" w:asciiTheme="minorEastAsia" w:hAnsiTheme="minorEastAsia" w:eastAsiaTheme="minorEastAsia"/>
          <w:sz w:val="24"/>
        </w:rPr>
        <w:t>采购组织机构名称</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9"/>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9"/>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9"/>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9"/>
        </w:numPr>
        <w:snapToGrid w:val="0"/>
        <w:spacing w:line="360" w:lineRule="auto"/>
        <w:ind w:left="5" w:firstLine="415"/>
        <w:rPr>
          <w:rFonts w:ascii="仿宋_GB2312" w:hAnsi="仿宋_GB2312" w:eastAsia="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9"/>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法定代表人或授权委托人签字：</w:t>
      </w:r>
    </w:p>
    <w:p>
      <w:pPr>
        <w:adjustRightInd w:val="0"/>
        <w:snapToGrid w:val="0"/>
        <w:spacing w:line="360" w:lineRule="auto"/>
        <w:ind w:right="480"/>
        <w:jc w:val="center"/>
        <w:rPr>
          <w:rFonts w:ascii="宋体" w:hAnsi="宋体" w:cs="仿宋_GB2312"/>
          <w:kern w:val="0"/>
          <w:sz w:val="24"/>
          <w:lang w:val="zh-CN"/>
        </w:rPr>
      </w:pPr>
      <w:r>
        <w:rPr>
          <w:rFonts w:hint="eastAsia" w:ascii="宋体" w:hAnsi="宋体" w:cs="仿宋_GB2312"/>
          <w:kern w:val="0"/>
          <w:sz w:val="24"/>
          <w:lang w:val="zh-CN"/>
        </w:rPr>
        <w:t xml:space="preserve">                                 </w:t>
      </w:r>
      <w:r>
        <w:rPr>
          <w:rFonts w:hint="eastAsia" w:ascii="宋体" w:hAnsi="宋体" w:cs="仿宋_GB2312"/>
          <w:kern w:val="0"/>
          <w:sz w:val="24"/>
          <w:lang w:val="en-US" w:eastAsia="zh-CN"/>
        </w:rPr>
        <w:t xml:space="preserve">  </w:t>
      </w:r>
      <w:r>
        <w:rPr>
          <w:rFonts w:hint="eastAsia" w:ascii="宋体" w:hAnsi="宋体" w:cs="仿宋_GB2312"/>
          <w:kern w:val="0"/>
          <w:sz w:val="24"/>
          <w:lang w:val="zh-CN"/>
        </w:rPr>
        <w:t xml:space="preserve"> 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rPr>
          <w:rFonts w:ascii="宋体" w:hAnsi="宋体" w:cs="仿宋_GB2312"/>
          <w:kern w:val="0"/>
          <w:sz w:val="24"/>
          <w:lang w:val="zh-CN"/>
        </w:rPr>
      </w:pPr>
      <w:r>
        <w:rPr>
          <w:rFonts w:hint="eastAsia" w:ascii="宋体" w:hAnsi="宋体" w:cs="仿宋_GB2312"/>
          <w:kern w:val="0"/>
          <w:sz w:val="24"/>
          <w:lang w:val="zh-CN"/>
        </w:rPr>
        <w:br w:type="page"/>
      </w: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5" w:name="_Toc6870_WPSOffice_Level1"/>
      <w:bookmarkStart w:id="56" w:name="_Toc24373_WPSOffice_Level1"/>
      <w:r>
        <w:rPr>
          <w:b/>
          <w:sz w:val="32"/>
          <w:szCs w:val="32"/>
        </w:rPr>
        <w:t>授权</w:t>
      </w:r>
      <w:r>
        <w:rPr>
          <w:rFonts w:hint="eastAsia"/>
          <w:b/>
          <w:sz w:val="32"/>
          <w:szCs w:val="32"/>
        </w:rPr>
        <w:t>委托</w:t>
      </w:r>
      <w:r>
        <w:rPr>
          <w:b/>
          <w:sz w:val="32"/>
          <w:szCs w:val="32"/>
        </w:rPr>
        <w:t>书</w:t>
      </w:r>
      <w:bookmarkEnd w:id="55"/>
      <w:bookmarkEnd w:id="56"/>
    </w:p>
    <w:p>
      <w:pPr>
        <w:snapToGrid w:val="0"/>
        <w:spacing w:beforeLines="50" w:after="50" w:line="360" w:lineRule="auto"/>
        <w:rPr>
          <w:rFonts w:ascii="宋体" w:hAnsi="宋体" w:cs="宋体"/>
          <w:kern w:val="0"/>
          <w:sz w:val="24"/>
        </w:rPr>
      </w:pPr>
      <w:r>
        <w:rPr>
          <w:rFonts w:hint="eastAsia" w:ascii="宋体" w:hAnsi="宋体" w:cstheme="minorBidi"/>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p>
    <w:p>
      <w:pPr>
        <w:pStyle w:val="10"/>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0"/>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0"/>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center"/>
        <w:rPr>
          <w:rFonts w:hint="eastAsia"/>
          <w:sz w:val="52"/>
          <w:szCs w:val="52"/>
        </w:rPr>
      </w:pPr>
      <w:bookmarkStart w:id="57" w:name="_Toc12331_WPSOffice_Level1"/>
      <w:bookmarkStart w:id="58" w:name="_Toc26389_WPSOffice_Level1"/>
      <w:bookmarkStart w:id="59" w:name="_Toc16825_WPSOffice_Level1"/>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7"/>
      <w:bookmarkEnd w:id="58"/>
      <w:bookmarkEnd w:id="59"/>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8"/>
          <w:szCs w:val="28"/>
          <w:lang w:val="zh-CN"/>
        </w:rPr>
        <w:t>商务与技术文件</w:t>
      </w:r>
      <w:r>
        <w:rPr>
          <w:rFonts w:hint="eastAsia" w:ascii="宋体" w:hAnsi="宋体"/>
          <w:b/>
          <w:sz w:val="28"/>
          <w:szCs w:val="28"/>
        </w:rPr>
        <w:t>）</w:t>
      </w:r>
    </w:p>
    <w:p>
      <w:pPr>
        <w:pStyle w:val="18"/>
      </w:pPr>
    </w:p>
    <w:p>
      <w:pPr>
        <w:pStyle w:val="18"/>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rPr>
          <w:rFonts w:ascii="仿宋_GB2312" w:hAnsi="宋体" w:eastAsia="仿宋_GB2312"/>
          <w:b/>
          <w:sz w:val="36"/>
          <w:szCs w:val="36"/>
        </w:rPr>
      </w:pPr>
      <w:r>
        <w:rPr>
          <w:rFonts w:ascii="仿宋_GB2312" w:hAnsi="宋体" w:eastAsia="仿宋_GB2312"/>
          <w:b/>
          <w:sz w:val="36"/>
          <w:szCs w:val="36"/>
        </w:rPr>
        <w:br w:type="page"/>
      </w:r>
    </w:p>
    <w:p>
      <w:pPr>
        <w:pStyle w:val="18"/>
      </w:pPr>
    </w:p>
    <w:p>
      <w:pPr>
        <w:spacing w:line="360" w:lineRule="auto"/>
        <w:jc w:val="center"/>
        <w:rPr>
          <w:sz w:val="28"/>
          <w:szCs w:val="28"/>
        </w:rPr>
      </w:pPr>
      <w:bookmarkStart w:id="60" w:name="_Toc11308_WPSOffice_Level1"/>
      <w:bookmarkStart w:id="61" w:name="_Toc5889_WPSOffice_Level1"/>
      <w:r>
        <w:rPr>
          <w:rFonts w:hint="eastAsia"/>
          <w:b/>
          <w:bCs/>
          <w:sz w:val="36"/>
          <w:szCs w:val="36"/>
          <w:lang w:val="zh-CN"/>
        </w:rPr>
        <w:t>商务与技术文件目录</w:t>
      </w:r>
      <w:bookmarkEnd w:id="60"/>
      <w:bookmarkEnd w:id="61"/>
    </w:p>
    <w:p>
      <w:pPr>
        <w:spacing w:line="360" w:lineRule="auto"/>
        <w:ind w:firstLine="562" w:firstLineChars="200"/>
        <w:rPr>
          <w:rFonts w:hint="eastAsia"/>
          <w:b/>
          <w:bCs/>
          <w:sz w:val="28"/>
          <w:szCs w:val="28"/>
        </w:rPr>
      </w:pPr>
      <w:bookmarkStart w:id="62" w:name="_Toc21250_WPSOffice_Level1"/>
      <w:bookmarkStart w:id="63" w:name="_Toc20529_WPSOffice_Level1"/>
      <w:r>
        <w:rPr>
          <w:rFonts w:hint="eastAsia"/>
          <w:b/>
          <w:bCs/>
          <w:sz w:val="28"/>
          <w:szCs w:val="28"/>
        </w:rPr>
        <w:t>第一部分  技术方案描述部分</w:t>
      </w:r>
      <w:bookmarkEnd w:id="62"/>
      <w:bookmarkEnd w:id="63"/>
    </w:p>
    <w:p>
      <w:pPr>
        <w:numPr>
          <w:ilvl w:val="0"/>
          <w:numId w:val="10"/>
        </w:numPr>
        <w:spacing w:line="360" w:lineRule="auto"/>
        <w:ind w:left="405" w:leftChars="0" w:firstLine="15" w:firstLineChars="0"/>
        <w:rPr>
          <w:rFonts w:hint="eastAsia"/>
          <w:sz w:val="28"/>
          <w:szCs w:val="28"/>
        </w:rPr>
      </w:pPr>
      <w:r>
        <w:rPr>
          <w:rFonts w:hint="eastAsia"/>
          <w:sz w:val="28"/>
          <w:szCs w:val="28"/>
        </w:rPr>
        <w:t>投标人情况介绍（附件</w:t>
      </w:r>
      <w:r>
        <w:rPr>
          <w:rFonts w:hint="eastAsia"/>
          <w:sz w:val="28"/>
          <w:szCs w:val="28"/>
          <w:lang w:val="en-US" w:eastAsia="zh-CN"/>
        </w:rPr>
        <w:t>3</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项目需求的理解与分析</w:t>
      </w:r>
    </w:p>
    <w:p>
      <w:pPr>
        <w:numPr>
          <w:ilvl w:val="0"/>
          <w:numId w:val="10"/>
        </w:numPr>
        <w:spacing w:line="360" w:lineRule="auto"/>
        <w:ind w:left="405" w:leftChars="0" w:firstLine="15" w:firstLineChars="0"/>
        <w:rPr>
          <w:rFonts w:hint="eastAsia"/>
          <w:sz w:val="28"/>
          <w:szCs w:val="28"/>
        </w:rPr>
      </w:pPr>
      <w:r>
        <w:rPr>
          <w:rFonts w:hint="eastAsia"/>
          <w:sz w:val="28"/>
          <w:szCs w:val="28"/>
        </w:rPr>
        <w:t>项目组织实施方案（可视情选用附件</w:t>
      </w:r>
      <w:r>
        <w:rPr>
          <w:rFonts w:hint="eastAsia"/>
          <w:sz w:val="28"/>
          <w:szCs w:val="28"/>
          <w:lang w:val="en-US" w:eastAsia="zh-CN"/>
        </w:rPr>
        <w:t>4</w:t>
      </w:r>
      <w:r>
        <w:rPr>
          <w:rFonts w:hint="eastAsia"/>
          <w:sz w:val="28"/>
          <w:szCs w:val="28"/>
        </w:rPr>
        <w:t>、附件</w:t>
      </w:r>
      <w:r>
        <w:rPr>
          <w:rFonts w:hint="eastAsia"/>
          <w:sz w:val="28"/>
          <w:szCs w:val="28"/>
          <w:lang w:val="en-US" w:eastAsia="zh-CN"/>
        </w:rPr>
        <w:t>5</w:t>
      </w:r>
      <w:r>
        <w:rPr>
          <w:rFonts w:hint="eastAsia"/>
          <w:sz w:val="28"/>
          <w:szCs w:val="28"/>
        </w:rPr>
        <w:t>）</w:t>
      </w:r>
    </w:p>
    <w:p>
      <w:pPr>
        <w:numPr>
          <w:ilvl w:val="0"/>
          <w:numId w:val="10"/>
        </w:numPr>
        <w:spacing w:line="360" w:lineRule="auto"/>
        <w:ind w:left="405" w:leftChars="0" w:firstLine="15" w:firstLineChars="0"/>
        <w:rPr>
          <w:rFonts w:hint="eastAsia"/>
          <w:sz w:val="28"/>
          <w:szCs w:val="28"/>
        </w:rPr>
      </w:pPr>
      <w:r>
        <w:rPr>
          <w:rFonts w:hint="eastAsia"/>
          <w:sz w:val="28"/>
          <w:szCs w:val="28"/>
        </w:rPr>
        <w:t>安装、调试及验收方案</w:t>
      </w:r>
    </w:p>
    <w:p>
      <w:pPr>
        <w:spacing w:line="360" w:lineRule="auto"/>
        <w:ind w:firstLine="562" w:firstLineChars="200"/>
        <w:rPr>
          <w:rFonts w:hint="eastAsia"/>
          <w:b/>
          <w:bCs/>
          <w:sz w:val="28"/>
          <w:szCs w:val="28"/>
        </w:rPr>
      </w:pPr>
      <w:bookmarkStart w:id="64" w:name="_Toc12004_WPSOffice_Level1"/>
      <w:bookmarkStart w:id="65" w:name="_Toc6008_WPSOffice_Level1"/>
      <w:r>
        <w:rPr>
          <w:rFonts w:hint="eastAsia"/>
          <w:b/>
          <w:bCs/>
          <w:sz w:val="28"/>
          <w:szCs w:val="28"/>
        </w:rPr>
        <w:t>第二部分  投标产品描述部分</w:t>
      </w:r>
      <w:bookmarkEnd w:id="64"/>
      <w:bookmarkEnd w:id="65"/>
    </w:p>
    <w:p>
      <w:pPr>
        <w:numPr>
          <w:ilvl w:val="0"/>
          <w:numId w:val="11"/>
        </w:numPr>
        <w:spacing w:line="360" w:lineRule="auto"/>
        <w:ind w:left="425" w:leftChars="0" w:hanging="5" w:firstLineChars="0"/>
        <w:rPr>
          <w:rFonts w:hint="eastAsia"/>
          <w:sz w:val="28"/>
          <w:szCs w:val="28"/>
        </w:rPr>
      </w:pPr>
      <w:r>
        <w:rPr>
          <w:rFonts w:hint="eastAsia"/>
          <w:sz w:val="28"/>
          <w:szCs w:val="28"/>
        </w:rPr>
        <w:t>投标产品描述及相关资料（可视情选用附件</w:t>
      </w:r>
      <w:r>
        <w:rPr>
          <w:rFonts w:hint="eastAsia"/>
          <w:sz w:val="28"/>
          <w:szCs w:val="28"/>
          <w:lang w:val="en-US" w:eastAsia="zh-CN"/>
        </w:rPr>
        <w:t>6</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技术需求响应表（附件</w:t>
      </w:r>
      <w:r>
        <w:rPr>
          <w:rFonts w:hint="eastAsia"/>
          <w:sz w:val="28"/>
          <w:szCs w:val="28"/>
          <w:lang w:val="en-US" w:eastAsia="zh-CN"/>
        </w:rPr>
        <w:t>7</w:t>
      </w:r>
      <w:r>
        <w:rPr>
          <w:rFonts w:hint="eastAsia"/>
          <w:sz w:val="28"/>
          <w:szCs w:val="28"/>
        </w:rPr>
        <w:t>）</w:t>
      </w:r>
    </w:p>
    <w:p>
      <w:pPr>
        <w:numPr>
          <w:ilvl w:val="0"/>
          <w:numId w:val="11"/>
        </w:numPr>
        <w:spacing w:line="360" w:lineRule="auto"/>
        <w:ind w:left="425" w:leftChars="0" w:hanging="5" w:firstLineChars="0"/>
        <w:rPr>
          <w:rFonts w:hint="eastAsia"/>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rFonts w:hint="eastAsia"/>
          <w:b/>
          <w:bCs/>
          <w:sz w:val="28"/>
          <w:szCs w:val="28"/>
        </w:rPr>
      </w:pPr>
      <w:bookmarkStart w:id="66" w:name="_Toc20986_WPSOffice_Level1"/>
      <w:bookmarkStart w:id="67" w:name="_Toc30029_WPSOffice_Level1"/>
      <w:r>
        <w:rPr>
          <w:rFonts w:hint="eastAsia"/>
          <w:b/>
          <w:bCs/>
          <w:sz w:val="28"/>
          <w:szCs w:val="28"/>
        </w:rPr>
        <w:t>第三部分  商务及其他部分</w:t>
      </w:r>
      <w:bookmarkEnd w:id="66"/>
      <w:bookmarkEnd w:id="67"/>
    </w:p>
    <w:p>
      <w:pPr>
        <w:numPr>
          <w:ilvl w:val="0"/>
          <w:numId w:val="12"/>
        </w:numPr>
        <w:spacing w:line="360" w:lineRule="auto"/>
        <w:ind w:left="425" w:leftChars="0" w:hanging="5" w:firstLineChars="0"/>
        <w:rPr>
          <w:rFonts w:hint="eastAsia"/>
          <w:sz w:val="28"/>
          <w:szCs w:val="28"/>
        </w:rPr>
      </w:pPr>
      <w:r>
        <w:rPr>
          <w:rFonts w:hint="eastAsia"/>
          <w:sz w:val="28"/>
          <w:szCs w:val="28"/>
        </w:rPr>
        <w:t>证书一览表（附件</w:t>
      </w:r>
      <w:r>
        <w:rPr>
          <w:rFonts w:hint="eastAsia"/>
          <w:sz w:val="28"/>
          <w:szCs w:val="28"/>
          <w:lang w:val="en-US" w:eastAsia="zh-CN"/>
        </w:rPr>
        <w:t>8</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近三年来类似项目的成功案例（附件</w:t>
      </w:r>
      <w:r>
        <w:rPr>
          <w:rFonts w:hint="eastAsia"/>
          <w:sz w:val="28"/>
          <w:szCs w:val="28"/>
          <w:lang w:val="en-US" w:eastAsia="zh-CN"/>
        </w:rPr>
        <w:t>9</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售后服务描述及承诺（可视情选用附件1</w:t>
      </w:r>
      <w:r>
        <w:rPr>
          <w:rFonts w:hint="eastAsia"/>
          <w:sz w:val="28"/>
          <w:szCs w:val="28"/>
          <w:lang w:val="en-US" w:eastAsia="zh-CN"/>
        </w:rPr>
        <w:t>0</w:t>
      </w:r>
      <w:r>
        <w:rPr>
          <w:rFonts w:hint="eastAsia"/>
          <w:sz w:val="28"/>
          <w:szCs w:val="28"/>
        </w:rPr>
        <w:t>，附件1</w:t>
      </w:r>
      <w:r>
        <w:rPr>
          <w:rFonts w:hint="eastAsia"/>
          <w:sz w:val="28"/>
          <w:szCs w:val="28"/>
          <w:lang w:val="en-US" w:eastAsia="zh-CN"/>
        </w:rPr>
        <w:t>1</w:t>
      </w:r>
      <w:r>
        <w:rPr>
          <w:rFonts w:hint="eastAsia"/>
          <w:sz w:val="28"/>
          <w:szCs w:val="28"/>
        </w:rPr>
        <w:t>）</w:t>
      </w:r>
    </w:p>
    <w:p>
      <w:pPr>
        <w:numPr>
          <w:ilvl w:val="0"/>
          <w:numId w:val="12"/>
        </w:numPr>
        <w:spacing w:line="360" w:lineRule="auto"/>
        <w:ind w:left="425" w:leftChars="0" w:hanging="5" w:firstLineChars="0"/>
        <w:rPr>
          <w:rFonts w:hint="eastAsia"/>
          <w:sz w:val="28"/>
          <w:szCs w:val="28"/>
        </w:rPr>
      </w:pPr>
      <w:r>
        <w:rPr>
          <w:rFonts w:hint="eastAsia"/>
          <w:sz w:val="28"/>
          <w:szCs w:val="28"/>
        </w:rPr>
        <w:t>投标人需要说明的其他内容（包括可能影响投标人企业实力及信誉评分项以及售后服务评分项的各类证明材料）</w:t>
      </w:r>
    </w:p>
    <w:p>
      <w:pPr>
        <w:pStyle w:val="29"/>
        <w:spacing w:before="0" w:beforeAutospacing="0" w:after="0" w:afterAutospacing="0" w:line="360" w:lineRule="auto"/>
        <w:jc w:val="both"/>
        <w:rPr>
          <w:b/>
        </w:rPr>
      </w:pPr>
    </w:p>
    <w:p>
      <w:pPr>
        <w:pStyle w:val="29"/>
        <w:spacing w:before="0" w:beforeAutospacing="0" w:after="0" w:afterAutospacing="0" w:line="360" w:lineRule="auto"/>
        <w:rPr>
          <w:b/>
          <w:sz w:val="28"/>
        </w:rPr>
      </w:pPr>
    </w:p>
    <w:p>
      <w:pPr>
        <w:rPr>
          <w:b/>
          <w:sz w:val="28"/>
        </w:rPr>
      </w:pPr>
      <w:r>
        <w:rPr>
          <w:b/>
          <w:sz w:val="28"/>
        </w:rPr>
        <w:br w:type="page"/>
      </w:r>
    </w:p>
    <w:p>
      <w:pPr>
        <w:pStyle w:val="29"/>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3</w:t>
      </w:r>
    </w:p>
    <w:p>
      <w:pPr>
        <w:pStyle w:val="29"/>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8" w:name="_Toc13307_WPSOffice_Level1"/>
      <w:bookmarkStart w:id="69" w:name="_Toc14261_WPSOffice_Level1"/>
      <w:r>
        <w:rPr>
          <w:rFonts w:hint="eastAsia"/>
          <w:b/>
          <w:sz w:val="32"/>
          <w:szCs w:val="32"/>
        </w:rPr>
        <w:t>投标</w:t>
      </w:r>
      <w:r>
        <w:rPr>
          <w:rFonts w:hint="eastAsia"/>
          <w:b/>
          <w:bCs/>
          <w:sz w:val="32"/>
          <w:szCs w:val="32"/>
        </w:rPr>
        <w:t>人基本情况表</w:t>
      </w:r>
      <w:bookmarkEnd w:id="68"/>
      <w:bookmarkEnd w:id="69"/>
    </w:p>
    <w:tbl>
      <w:tblPr>
        <w:tblStyle w:val="19"/>
        <w:tblpPr w:leftFromText="181" w:rightFromText="181" w:bottomFromText="170" w:vertAnchor="text" w:tblpXSpec="center" w:tblpY="1"/>
        <w:tblOverlap w:val="never"/>
        <w:tblW w:w="8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700"/>
        <w:gridCol w:w="852"/>
        <w:gridCol w:w="58"/>
        <w:gridCol w:w="1196"/>
        <w:gridCol w:w="112"/>
        <w:gridCol w:w="1093"/>
        <w:gridCol w:w="325"/>
        <w:gridCol w:w="1276"/>
        <w:gridCol w:w="400"/>
        <w:gridCol w:w="122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822"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企业名称</w:t>
            </w:r>
          </w:p>
        </w:tc>
        <w:tc>
          <w:tcPr>
            <w:tcW w:w="4011" w:type="dxa"/>
            <w:gridSpan w:val="6"/>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法人代表</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22"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地址</w:t>
            </w:r>
          </w:p>
        </w:tc>
        <w:tc>
          <w:tcPr>
            <w:tcW w:w="4011" w:type="dxa"/>
            <w:gridSpan w:val="6"/>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企业性质</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22" w:type="dxa"/>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股东姓名</w:t>
            </w:r>
          </w:p>
        </w:tc>
        <w:tc>
          <w:tcPr>
            <w:tcW w:w="700" w:type="dxa"/>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股权结构（%）</w:t>
            </w:r>
          </w:p>
        </w:tc>
        <w:tc>
          <w:tcPr>
            <w:tcW w:w="2401" w:type="dxa"/>
            <w:gridSpan w:val="3"/>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股东关系</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联系人姓名</w:t>
            </w:r>
          </w:p>
        </w:tc>
        <w:tc>
          <w:tcPr>
            <w:tcW w:w="700" w:type="dxa"/>
            <w:vMerge w:val="restart"/>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固定电话</w:t>
            </w:r>
          </w:p>
        </w:tc>
        <w:tc>
          <w:tcPr>
            <w:tcW w:w="2401" w:type="dxa"/>
            <w:gridSpan w:val="3"/>
            <w:tcBorders>
              <w:top w:val="nil"/>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传真</w:t>
            </w:r>
          </w:p>
        </w:tc>
        <w:tc>
          <w:tcPr>
            <w:tcW w:w="2153" w:type="dxa"/>
            <w:gridSpan w:val="2"/>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22" w:type="dxa"/>
            <w:vMerge w:val="continue"/>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vMerge w:val="continue"/>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手机</w:t>
            </w:r>
          </w:p>
        </w:tc>
        <w:tc>
          <w:tcPr>
            <w:tcW w:w="2401" w:type="dxa"/>
            <w:gridSpan w:val="3"/>
            <w:tcBorders>
              <w:bottom w:val="single" w:color="auto" w:sz="4" w:space="0"/>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153" w:type="dxa"/>
            <w:gridSpan w:val="2"/>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概</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况</w:t>
            </w:r>
          </w:p>
        </w:tc>
        <w:tc>
          <w:tcPr>
            <w:tcW w:w="700" w:type="dxa"/>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具备大专以上学历人数</w:t>
            </w:r>
          </w:p>
        </w:tc>
        <w:tc>
          <w:tcPr>
            <w:tcW w:w="1205" w:type="dxa"/>
            <w:gridSpan w:val="2"/>
            <w:tcBorders>
              <w:top w:val="nil"/>
            </w:tcBorders>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国家授予技术职称人数</w:t>
            </w:r>
          </w:p>
        </w:tc>
        <w:tc>
          <w:tcPr>
            <w:tcW w:w="2153" w:type="dxa"/>
            <w:gridSpan w:val="2"/>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占地面积</w:t>
            </w:r>
          </w:p>
        </w:tc>
        <w:tc>
          <w:tcPr>
            <w:tcW w:w="91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建筑</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面积</w:t>
            </w:r>
          </w:p>
        </w:tc>
        <w:tc>
          <w:tcPr>
            <w:tcW w:w="1205" w:type="dxa"/>
            <w:gridSpan w:val="2"/>
            <w:tcMar>
              <w:top w:w="57" w:type="dxa"/>
              <w:left w:w="108" w:type="dxa"/>
              <w:bottom w:w="0" w:type="dxa"/>
              <w:right w:w="108" w:type="dxa"/>
            </w:tcMar>
            <w:vAlign w:val="center"/>
          </w:tcPr>
          <w:p>
            <w:pPr>
              <w:pStyle w:val="29"/>
              <w:spacing w:before="0" w:beforeAutospacing="0" w:after="0" w:afterAutospacing="0"/>
              <w:jc w:val="right"/>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□自有</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□租赁</w:t>
            </w:r>
          </w:p>
        </w:tc>
        <w:tc>
          <w:tcPr>
            <w:tcW w:w="2001"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生产经营场所及场所的设施与设备</w:t>
            </w:r>
          </w:p>
        </w:tc>
        <w:tc>
          <w:tcPr>
            <w:tcW w:w="2153"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注册资金</w:t>
            </w:r>
          </w:p>
        </w:tc>
        <w:tc>
          <w:tcPr>
            <w:tcW w:w="91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19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注册发证机关</w:t>
            </w:r>
          </w:p>
        </w:tc>
        <w:tc>
          <w:tcPr>
            <w:tcW w:w="3206" w:type="dxa"/>
            <w:gridSpan w:val="5"/>
            <w:tcMar>
              <w:top w:w="57" w:type="dxa"/>
              <w:left w:w="108" w:type="dxa"/>
              <w:bottom w:w="0" w:type="dxa"/>
              <w:right w:w="108" w:type="dxa"/>
            </w:tcMar>
            <w:vAlign w:val="center"/>
          </w:tcPr>
          <w:p>
            <w:pPr>
              <w:widowControl/>
              <w:jc w:val="center"/>
              <w:rPr>
                <w:rFonts w:hint="eastAsia" w:asciiTheme="minorEastAsia" w:hAnsiTheme="minorEastAsia" w:eastAsiaTheme="minorEastAsia" w:cstheme="minorEastAsia"/>
                <w:bCs/>
                <w:kern w:val="0"/>
                <w:sz w:val="21"/>
                <w:szCs w:val="21"/>
              </w:rPr>
            </w:pPr>
          </w:p>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22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公司成立时间</w:t>
            </w: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700"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65" w:type="dxa"/>
            <w:gridSpan w:val="10"/>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8165" w:type="dxa"/>
            <w:gridSpan w:val="11"/>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22" w:type="dxa"/>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企业有关资质获证情况</w:t>
            </w:r>
          </w:p>
        </w:tc>
        <w:tc>
          <w:tcPr>
            <w:tcW w:w="1552" w:type="dxa"/>
            <w:gridSpan w:val="2"/>
            <w:vMerge w:val="restart"/>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产品生产许可证情况（对需获得生产许可证的产品要填写此栏）</w:t>
            </w:r>
          </w:p>
        </w:tc>
        <w:tc>
          <w:tcPr>
            <w:tcW w:w="1366"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产品名称</w:t>
            </w:r>
          </w:p>
        </w:tc>
        <w:tc>
          <w:tcPr>
            <w:tcW w:w="1418"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发证机关</w:t>
            </w:r>
          </w:p>
        </w:tc>
        <w:tc>
          <w:tcPr>
            <w:tcW w:w="127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编号</w:t>
            </w:r>
          </w:p>
        </w:tc>
        <w:tc>
          <w:tcPr>
            <w:tcW w:w="162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发证时间</w:t>
            </w: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366" w:type="dxa"/>
            <w:gridSpan w:val="3"/>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620"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企业通过质量体系、环保体系、计量等认证情况</w:t>
            </w:r>
          </w:p>
        </w:tc>
        <w:tc>
          <w:tcPr>
            <w:tcW w:w="6613" w:type="dxa"/>
            <w:gridSpan w:val="9"/>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2" w:type="dxa"/>
            <w:vMerge w:val="continue"/>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c>
          <w:tcPr>
            <w:tcW w:w="1552" w:type="dxa"/>
            <w:gridSpan w:val="2"/>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企业获得专利情况</w:t>
            </w:r>
          </w:p>
        </w:tc>
        <w:tc>
          <w:tcPr>
            <w:tcW w:w="6613" w:type="dxa"/>
            <w:gridSpan w:val="9"/>
            <w:tcMar>
              <w:top w:w="57" w:type="dxa"/>
              <w:left w:w="108" w:type="dxa"/>
              <w:bottom w:w="0" w:type="dxa"/>
              <w:right w:w="108" w:type="dxa"/>
            </w:tcMar>
            <w:vAlign w:val="center"/>
          </w:tcPr>
          <w:p>
            <w:pPr>
              <w:pStyle w:val="29"/>
              <w:spacing w:before="0" w:beforeAutospacing="0" w:after="0" w:afterAutospacing="0"/>
              <w:jc w:val="center"/>
              <w:rPr>
                <w:rFonts w:hint="eastAsia" w:asciiTheme="minorEastAsia" w:hAnsiTheme="minorEastAsia" w:eastAsiaTheme="minorEastAsia" w:cstheme="minorEastAsia"/>
                <w:bCs/>
                <w:sz w:val="21"/>
                <w:szCs w:val="21"/>
              </w:rPr>
            </w:pPr>
          </w:p>
        </w:tc>
      </w:tr>
    </w:tbl>
    <w:p>
      <w:pPr>
        <w:pStyle w:val="29"/>
        <w:spacing w:before="0" w:beforeAutospacing="0" w:after="0" w:afterAutospacing="0" w:line="360" w:lineRule="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要求：</w:t>
      </w:r>
    </w:p>
    <w:p>
      <w:pPr>
        <w:pStyle w:val="29"/>
        <w:spacing w:before="0" w:beforeAutospacing="0" w:after="0" w:afterAutospacing="0" w:line="360" w:lineRule="auto"/>
        <w:ind w:firstLine="424" w:firstLineChars="202"/>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pacing w:before="0" w:beforeAutospacing="0" w:after="0" w:afterAutospacing="0" w:line="360" w:lineRule="auto"/>
        <w:ind w:firstLine="424" w:firstLineChars="177"/>
        <w:rPr>
          <w:b/>
          <w:bCs/>
        </w:rPr>
      </w:pPr>
      <w:r>
        <w:rPr>
          <w:rFonts w:hint="eastAsia"/>
        </w:rPr>
        <w:t>日        期：：</w:t>
      </w:r>
    </w:p>
    <w:p>
      <w:pPr>
        <w:rPr>
          <w:rFonts w:ascii="宋体" w:hAnsi="宋体"/>
          <w:b/>
          <w:sz w:val="24"/>
        </w:rPr>
      </w:pPr>
      <w:r>
        <w:rPr>
          <w:rFonts w:ascii="宋体" w:hAnsi="宋体"/>
          <w:b/>
          <w:sz w:val="24"/>
        </w:rPr>
        <w:br w:type="page"/>
      </w: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4</w:t>
      </w:r>
    </w:p>
    <w:p>
      <w:pPr>
        <w:snapToGrid w:val="0"/>
        <w:spacing w:beforeLines="50" w:after="50" w:line="360" w:lineRule="auto"/>
        <w:jc w:val="center"/>
        <w:rPr>
          <w:rFonts w:ascii="宋体" w:hAnsi="宋体"/>
          <w:b/>
          <w:sz w:val="36"/>
          <w:szCs w:val="36"/>
        </w:rPr>
      </w:pPr>
      <w:bookmarkStart w:id="70" w:name="_Toc20569_WPSOffice_Level1"/>
      <w:bookmarkStart w:id="71" w:name="_Toc23671_WPSOffice_Level1"/>
      <w:r>
        <w:rPr>
          <w:rFonts w:hint="eastAsia" w:ascii="宋体" w:hAnsi="宋体"/>
          <w:b/>
          <w:sz w:val="32"/>
          <w:szCs w:val="32"/>
        </w:rPr>
        <w:t>项目实施人员一览表</w:t>
      </w:r>
      <w:bookmarkEnd w:id="70"/>
      <w:bookmarkEnd w:id="71"/>
    </w:p>
    <w:p>
      <w:pPr>
        <w:snapToGrid w:val="0"/>
        <w:spacing w:beforeLines="50" w:after="50" w:line="360" w:lineRule="auto"/>
        <w:ind w:left="0" w:leftChars="0" w:firstLine="0" w:firstLineChars="0"/>
        <w:jc w:val="center"/>
        <w:rPr>
          <w:rFonts w:ascii="宋体" w:hAnsi="宋体"/>
          <w:sz w:val="24"/>
        </w:rPr>
      </w:pPr>
      <w:r>
        <w:rPr>
          <w:rFonts w:hint="eastAsia" w:ascii="宋体" w:hAnsi="宋体"/>
          <w:sz w:val="24"/>
        </w:rPr>
        <w:t>（主要从业人员及其技术资格）</w:t>
      </w:r>
    </w:p>
    <w:tbl>
      <w:tblPr>
        <w:tblStyle w:val="19"/>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1"/>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eastAsia="宋体" w:cs="Times New Roman"/>
          <w:kern w:val="2"/>
          <w:sz w:val="21"/>
          <w:szCs w:val="21"/>
          <w:lang w:val="en-US" w:eastAsia="zh-CN" w:bidi="ar-SA"/>
        </w:rPr>
        <w:t>1.</w:t>
      </w:r>
      <w:r>
        <w:rPr>
          <w:rFonts w:hint="eastAsia" w:ascii="宋体" w:hAnsi="宋体"/>
          <w:szCs w:val="21"/>
        </w:rPr>
        <w:t>在填写时，如本表格不适合投标单位的实际情况，可根据本表格式自行划表填写。</w:t>
      </w:r>
    </w:p>
    <w:p>
      <w:pPr>
        <w:pStyle w:val="30"/>
        <w:spacing w:line="360" w:lineRule="auto"/>
        <w:ind w:left="424" w:leftChars="202"/>
        <w:rPr>
          <w:rFonts w:ascii="宋体" w:hAnsi="宋体"/>
          <w:szCs w:val="21"/>
        </w:rPr>
      </w:pPr>
      <w:r>
        <w:rPr>
          <w:rFonts w:hint="eastAsia" w:ascii="宋体" w:hAnsi="宋体"/>
          <w:szCs w:val="21"/>
        </w:rPr>
        <w:t>2.附人员证书。</w:t>
      </w:r>
    </w:p>
    <w:p>
      <w:pPr>
        <w:pStyle w:val="30"/>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宋体" w:hAnsi="宋体"/>
          <w:sz w:val="24"/>
        </w:rPr>
      </w:pPr>
      <w:r>
        <w:rPr>
          <w:rFonts w:hint="eastAsia" w:ascii="宋体" w:hAnsi="宋体"/>
          <w:sz w:val="24"/>
        </w:rPr>
        <w:br w:type="page"/>
      </w: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5</w:t>
      </w:r>
    </w:p>
    <w:p>
      <w:pPr>
        <w:spacing w:beforeLines="50" w:afterLines="50" w:line="360" w:lineRule="auto"/>
        <w:ind w:right="-10"/>
        <w:jc w:val="center"/>
        <w:rPr>
          <w:rFonts w:ascii="宋体" w:hAnsi="宋体"/>
          <w:b/>
          <w:bCs/>
          <w:sz w:val="32"/>
          <w:szCs w:val="32"/>
        </w:rPr>
      </w:pPr>
      <w:bookmarkStart w:id="72" w:name="_Toc12710_WPSOffice_Level1"/>
      <w:bookmarkStart w:id="73" w:name="_Toc23055_WPSOffice_Level1"/>
      <w:r>
        <w:rPr>
          <w:rFonts w:hint="eastAsia" w:ascii="宋体" w:hAnsi="宋体"/>
          <w:b/>
          <w:bCs/>
          <w:sz w:val="32"/>
          <w:szCs w:val="32"/>
        </w:rPr>
        <w:t>项目负责人资格情况表</w:t>
      </w:r>
      <w:bookmarkEnd w:id="72"/>
      <w:bookmarkEnd w:id="73"/>
    </w:p>
    <w:tbl>
      <w:tblPr>
        <w:tblStyle w:val="19"/>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6</w:t>
      </w:r>
    </w:p>
    <w:p>
      <w:pPr>
        <w:spacing w:line="360" w:lineRule="auto"/>
        <w:ind w:left="-2" w:leftChars="0" w:firstLine="0" w:firstLineChars="0"/>
        <w:jc w:val="center"/>
        <w:rPr>
          <w:rFonts w:ascii="宋体" w:hAnsi="宋体"/>
          <w:sz w:val="24"/>
        </w:rPr>
      </w:pPr>
      <w:bookmarkStart w:id="74" w:name="_Toc3591_WPSOffice_Level1"/>
      <w:bookmarkStart w:id="75" w:name="_Toc32718_WPSOffice_Level1"/>
      <w:r>
        <w:rPr>
          <w:rFonts w:hint="eastAsia" w:ascii="宋体" w:hAnsi="宋体"/>
          <w:b/>
          <w:sz w:val="32"/>
          <w:szCs w:val="32"/>
        </w:rPr>
        <w:t>供货</w:t>
      </w:r>
      <w:r>
        <w:rPr>
          <w:rFonts w:ascii="宋体" w:hAnsi="宋体"/>
          <w:b/>
          <w:sz w:val="32"/>
          <w:szCs w:val="32"/>
        </w:rPr>
        <w:t>清单</w:t>
      </w:r>
      <w:bookmarkEnd w:id="74"/>
      <w:bookmarkEnd w:id="75"/>
    </w:p>
    <w:tbl>
      <w:tblPr>
        <w:tblStyle w:val="19"/>
        <w:tblpPr w:leftFromText="181" w:rightFromText="181" w:bottomFromText="170" w:vertAnchor="text" w:tblpXSpec="center" w:tblpY="1"/>
        <w:tblOverlap w:val="never"/>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381"/>
        <w:gridCol w:w="1134"/>
        <w:gridCol w:w="219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0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2381"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134"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品牌</w:t>
            </w:r>
          </w:p>
        </w:tc>
        <w:tc>
          <w:tcPr>
            <w:tcW w:w="2195" w:type="dxa"/>
            <w:tcMar>
              <w:top w:w="57" w:type="dxa"/>
              <w:left w:w="108" w:type="dxa"/>
              <w:bottom w:w="0" w:type="dxa"/>
              <w:right w:w="108" w:type="dxa"/>
            </w:tcMar>
            <w:vAlign w:val="center"/>
          </w:tcPr>
          <w:p>
            <w:pPr>
              <w:tabs>
                <w:tab w:val="left" w:pos="8280"/>
              </w:tabs>
              <w:autoSpaceDE w:val="0"/>
              <w:autoSpaceDN w:val="0"/>
              <w:adjustRightInd w:val="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99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产地</w:t>
            </w:r>
          </w:p>
        </w:tc>
        <w:tc>
          <w:tcPr>
            <w:tcW w:w="155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0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38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1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9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9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5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spacing w:line="360" w:lineRule="auto"/>
        <w:ind w:firstLine="422" w:firstLineChars="200"/>
        <w:rPr>
          <w:rFonts w:ascii="宋体" w:hAnsi="宋体"/>
          <w:b/>
          <w:szCs w:val="21"/>
        </w:rPr>
      </w:pPr>
      <w:r>
        <w:rPr>
          <w:rFonts w:hint="eastAsia" w:ascii="宋体" w:hAnsi="宋体"/>
          <w:b/>
          <w:szCs w:val="21"/>
        </w:rPr>
        <w:t>要求：</w:t>
      </w:r>
    </w:p>
    <w:p>
      <w:pPr>
        <w:numPr>
          <w:ilvl w:val="0"/>
          <w:numId w:val="13"/>
        </w:numPr>
        <w:spacing w:line="360" w:lineRule="auto"/>
        <w:ind w:left="435" w:firstLine="556" w:firstLineChars="265"/>
        <w:rPr>
          <w:rFonts w:ascii="宋体" w:hAnsi="宋体"/>
          <w:szCs w:val="21"/>
        </w:rPr>
      </w:pPr>
      <w:r>
        <w:rPr>
          <w:rFonts w:hint="eastAsia" w:ascii="宋体" w:hAnsi="宋体"/>
          <w:szCs w:val="21"/>
        </w:rPr>
        <w:t>本表中的名称、数量应与报价明细表中相对应的报价名称、数量一致。</w:t>
      </w:r>
    </w:p>
    <w:p>
      <w:pPr>
        <w:numPr>
          <w:ilvl w:val="0"/>
          <w:numId w:val="13"/>
        </w:numPr>
        <w:spacing w:line="360" w:lineRule="auto"/>
        <w:ind w:left="435" w:firstLine="556" w:firstLineChars="265"/>
        <w:rPr>
          <w:rFonts w:ascii="宋体" w:hAnsi="宋体"/>
          <w:szCs w:val="21"/>
        </w:rPr>
      </w:pPr>
      <w:r>
        <w:rPr>
          <w:rFonts w:hint="eastAsia" w:ascii="宋体" w:hAnsi="宋体"/>
          <w:szCs w:val="21"/>
        </w:rPr>
        <w:t>不含报价。</w:t>
      </w:r>
    </w:p>
    <w:p>
      <w:pPr>
        <w:spacing w:line="360" w:lineRule="auto"/>
        <w:rPr>
          <w:rFonts w:ascii="宋体" w:hAnsi="宋体"/>
          <w:sz w:val="24"/>
        </w:rPr>
      </w:pPr>
    </w:p>
    <w:p>
      <w:pPr>
        <w:spacing w:line="360" w:lineRule="auto"/>
        <w:ind w:left="420"/>
        <w:rPr>
          <w:rFonts w:ascii="宋体" w:hAnsi="宋体"/>
          <w:sz w:val="24"/>
        </w:rPr>
      </w:pPr>
    </w:p>
    <w:p>
      <w:pPr>
        <w:spacing w:line="360" w:lineRule="auto"/>
        <w:ind w:left="420" w:firstLine="571" w:firstLineChars="238"/>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993"/>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993"/>
        <w:rPr>
          <w:rFonts w:ascii="宋体" w:hAnsi="宋体"/>
          <w:sz w:val="24"/>
        </w:rPr>
      </w:pPr>
      <w:r>
        <w:rPr>
          <w:rFonts w:hint="eastAsia" w:ascii="宋体" w:hAnsi="宋体"/>
          <w:sz w:val="24"/>
        </w:rPr>
        <w:t>日        期：</w:t>
      </w:r>
    </w:p>
    <w:p>
      <w:pPr>
        <w:rPr>
          <w:rFonts w:ascii="宋体" w:hAnsi="宋体"/>
          <w:b/>
          <w:sz w:val="28"/>
        </w:rPr>
      </w:pPr>
      <w:r>
        <w:rPr>
          <w:rFonts w:ascii="宋体" w:hAnsi="宋体"/>
          <w:b/>
          <w:sz w:val="28"/>
        </w:rPr>
        <w:br w:type="page"/>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480"/>
        <w:jc w:val="center"/>
        <w:rPr>
          <w:rFonts w:ascii="宋体" w:hAnsi="宋体"/>
          <w:b/>
          <w:sz w:val="32"/>
          <w:szCs w:val="32"/>
        </w:rPr>
      </w:pPr>
      <w:bookmarkStart w:id="76" w:name="_Toc26601_WPSOffice_Level1"/>
      <w:bookmarkStart w:id="77"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76"/>
      <w:bookmarkEnd w:id="77"/>
    </w:p>
    <w:tbl>
      <w:tblPr>
        <w:tblStyle w:val="19"/>
        <w:tblpPr w:leftFromText="181" w:rightFromText="181" w:bottomFromText="170" w:vertAnchor="text" w:tblpXSpec="center" w:tblpY="1"/>
        <w:tblOverlap w:val="never"/>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1"/>
        <w:gridCol w:w="1449"/>
        <w:gridCol w:w="1560"/>
        <w:gridCol w:w="1401"/>
        <w:gridCol w:w="1365"/>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64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449"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规格型号</w:t>
            </w: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03"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64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49"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90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bl>
    <w:p>
      <w:pPr>
        <w:pStyle w:val="31"/>
        <w:tabs>
          <w:tab w:val="left" w:pos="360"/>
        </w:tabs>
        <w:spacing w:line="360" w:lineRule="auto"/>
        <w:jc w:val="both"/>
        <w:rPr>
          <w:rFonts w:ascii="宋体"/>
          <w:b/>
          <w:szCs w:val="21"/>
        </w:rPr>
      </w:pPr>
      <w:r>
        <w:rPr>
          <w:rFonts w:hint="eastAsia" w:ascii="宋体"/>
          <w:b/>
          <w:szCs w:val="21"/>
        </w:rPr>
        <w:t>要求：</w:t>
      </w:r>
    </w:p>
    <w:p>
      <w:pPr>
        <w:pStyle w:val="31"/>
        <w:tabs>
          <w:tab w:val="left" w:pos="360"/>
        </w:tabs>
        <w:spacing w:line="360" w:lineRule="auto"/>
        <w:ind w:firstLine="420" w:firstLineChars="200"/>
        <w:jc w:val="both"/>
        <w:rPr>
          <w:rFonts w:ascii="宋体"/>
          <w:szCs w:val="21"/>
        </w:rPr>
      </w:pPr>
      <w:r>
        <w:rPr>
          <w:rFonts w:hint="eastAsia" w:ascii="宋体"/>
          <w:szCs w:val="21"/>
        </w:rPr>
        <w:t>1.本表的名称须与《报价明细表》一致。</w:t>
      </w:r>
    </w:p>
    <w:p>
      <w:pPr>
        <w:pStyle w:val="31"/>
        <w:spacing w:line="360" w:lineRule="auto"/>
        <w:ind w:firstLine="420" w:firstLineChars="200"/>
        <w:jc w:val="both"/>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1"/>
        <w:spacing w:line="360" w:lineRule="auto"/>
        <w:ind w:firstLine="420" w:firstLineChars="200"/>
        <w:jc w:val="both"/>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pStyle w:val="32"/>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pStyle w:val="33"/>
        <w:spacing w:line="360" w:lineRule="auto"/>
        <w:jc w:val="center"/>
        <w:rPr>
          <w:rFonts w:ascii="宋体" w:hAnsi="宋体"/>
          <w:b/>
          <w:sz w:val="32"/>
          <w:szCs w:val="32"/>
        </w:rPr>
      </w:pPr>
      <w:bookmarkStart w:id="78" w:name="_Toc17604_WPSOffice_Level1"/>
      <w:bookmarkStart w:id="79" w:name="_Toc11030_WPSOffice_Level1"/>
      <w:r>
        <w:rPr>
          <w:rFonts w:hint="eastAsia" w:ascii="宋体" w:hAnsi="宋体"/>
          <w:b/>
          <w:sz w:val="32"/>
          <w:szCs w:val="32"/>
        </w:rPr>
        <w:t>证书一览表</w:t>
      </w:r>
      <w:bookmarkEnd w:id="78"/>
      <w:bookmarkEnd w:id="79"/>
    </w:p>
    <w:tbl>
      <w:tblPr>
        <w:tblStyle w:val="19"/>
        <w:tblpPr w:leftFromText="181" w:rightFromText="181" w:bottomFromText="170" w:vertAnchor="text" w:tblpXSpec="center" w:tblpY="1"/>
        <w:tblOverlap w:val="never"/>
        <w:tblW w:w="896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2258"/>
        <w:gridCol w:w="2260"/>
        <w:gridCol w:w="23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证书等级</w:t>
            </w:r>
          </w:p>
        </w:tc>
        <w:tc>
          <w:tcPr>
            <w:tcW w:w="2359" w:type="dxa"/>
            <w:tcBorders>
              <w:top w:val="single" w:color="auto" w:sz="4" w:space="0"/>
              <w:bottom w:val="single" w:color="auto" w:sz="4" w:space="0"/>
              <w:right w:val="single" w:color="auto" w:sz="4"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top w:val="single" w:color="auto" w:sz="4" w:space="0"/>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Borders>
              <w:top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Borders>
              <w:top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top w:val="single" w:color="auto" w:sz="4" w:space="0"/>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6" w:type="dxa"/>
            <w:tcBorders>
              <w:left w:val="single" w:color="auto" w:sz="4" w:space="0"/>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58" w:type="dxa"/>
            <w:tcBorders>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260" w:type="dxa"/>
            <w:tcBorders>
              <w:bottom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c>
          <w:tcPr>
            <w:tcW w:w="2359" w:type="dxa"/>
            <w:tcBorders>
              <w:bottom w:val="single" w:color="auto" w:sz="4" w:space="0"/>
              <w:right w:val="single" w:color="auto" w:sz="4" w:space="0"/>
            </w:tcBorders>
            <w:tcMar>
              <w:top w:w="57" w:type="dxa"/>
              <w:left w:w="108" w:type="dxa"/>
              <w:bottom w:w="0" w:type="dxa"/>
              <w:right w:w="108" w:type="dxa"/>
            </w:tcMar>
            <w:vAlign w:val="center"/>
          </w:tcPr>
          <w:p>
            <w:pPr>
              <w:pStyle w:val="33"/>
              <w:spacing w:line="360" w:lineRule="auto"/>
              <w:jc w:val="center"/>
              <w:rPr>
                <w:rFonts w:hint="eastAsia" w:asciiTheme="minorEastAsia" w:hAnsiTheme="minorEastAsia" w:eastAsiaTheme="minorEastAsia" w:cstheme="minorEastAsia"/>
                <w:sz w:val="21"/>
                <w:szCs w:val="21"/>
              </w:rPr>
            </w:pPr>
          </w:p>
        </w:tc>
      </w:tr>
    </w:tbl>
    <w:p>
      <w:pPr>
        <w:pStyle w:val="33"/>
        <w:tabs>
          <w:tab w:val="left" w:pos="1050"/>
        </w:tabs>
        <w:spacing w:line="360" w:lineRule="auto"/>
        <w:rPr>
          <w:rFonts w:ascii="宋体" w:hAnsi="宋体"/>
          <w:szCs w:val="21"/>
        </w:rPr>
      </w:pPr>
      <w:r>
        <w:rPr>
          <w:rFonts w:hint="eastAsia" w:ascii="宋体" w:hAnsi="宋体"/>
          <w:b/>
          <w:szCs w:val="21"/>
        </w:rPr>
        <w:t>要求：</w:t>
      </w:r>
    </w:p>
    <w:p>
      <w:pPr>
        <w:pStyle w:val="33"/>
        <w:tabs>
          <w:tab w:val="left" w:pos="1050"/>
        </w:tabs>
        <w:spacing w:line="360" w:lineRule="auto"/>
        <w:ind w:firstLine="420" w:firstLineChars="200"/>
        <w:rPr>
          <w:rFonts w:ascii="宋体" w:hAnsi="宋体"/>
          <w:szCs w:val="21"/>
        </w:rPr>
      </w:pPr>
      <w:r>
        <w:rPr>
          <w:rFonts w:hint="eastAsia" w:ascii="宋体" w:hAnsi="宋体"/>
          <w:szCs w:val="21"/>
        </w:rPr>
        <w:t>1.填写投标人获得资质、认证或企业信誉证书。</w:t>
      </w:r>
    </w:p>
    <w:p>
      <w:pPr>
        <w:pStyle w:val="33"/>
        <w:tabs>
          <w:tab w:val="left" w:pos="1050"/>
        </w:tabs>
        <w:spacing w:line="360" w:lineRule="auto"/>
        <w:ind w:firstLine="420" w:firstLineChars="200"/>
        <w:rPr>
          <w:rFonts w:ascii="宋体" w:hAnsi="宋体"/>
          <w:szCs w:val="21"/>
        </w:rPr>
      </w:pPr>
      <w:r>
        <w:rPr>
          <w:rFonts w:hint="eastAsia" w:ascii="宋体" w:hAnsi="宋体"/>
          <w:szCs w:val="21"/>
        </w:rPr>
        <w:t>2.附所列证书或其他证明材料。</w:t>
      </w:r>
    </w:p>
    <w:p>
      <w:pPr>
        <w:pStyle w:val="33"/>
        <w:tabs>
          <w:tab w:val="left" w:pos="1050"/>
        </w:tabs>
        <w:spacing w:line="360" w:lineRule="auto"/>
        <w:rPr>
          <w:rFonts w:ascii="仿宋_GB2312" w:hAnsi="宋体" w:eastAsia="仿宋_GB2312"/>
          <w:sz w:val="24"/>
        </w:rPr>
      </w:pPr>
    </w:p>
    <w:p>
      <w:pPr>
        <w:pStyle w:val="33"/>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9"/>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2"/>
        <w:spacing w:line="360" w:lineRule="auto"/>
        <w:jc w:val="center"/>
        <w:rPr>
          <w:rFonts w:ascii="仿宋_GB2312" w:eastAsia="仿宋_GB2312"/>
          <w:b/>
          <w:sz w:val="28"/>
          <w:szCs w:val="28"/>
        </w:rPr>
      </w:pPr>
      <w:bookmarkStart w:id="80" w:name="_Toc19231_WPSOffice_Level1"/>
      <w:bookmarkStart w:id="81" w:name="_Toc7134_WPSOffice_Level1"/>
      <w:r>
        <w:rPr>
          <w:rFonts w:hint="eastAsia" w:ascii="宋体" w:hAnsi="宋体"/>
          <w:b/>
          <w:sz w:val="32"/>
          <w:szCs w:val="32"/>
        </w:rPr>
        <w:t>投标人类似项目实施情况一览表</w:t>
      </w:r>
      <w:bookmarkEnd w:id="80"/>
      <w:bookmarkEnd w:id="81"/>
    </w:p>
    <w:tbl>
      <w:tblPr>
        <w:tblStyle w:val="19"/>
        <w:tblpPr w:leftFromText="181" w:rightFromText="181" w:bottomFromText="170" w:vertAnchor="text" w:tblpXSpec="center" w:tblpY="1"/>
        <w:tblOverlap w:val="never"/>
        <w:tblW w:w="9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322"/>
        <w:gridCol w:w="1260"/>
        <w:gridCol w:w="127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2"/>
              <w:spacing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2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272"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138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c>
          <w:tcPr>
            <w:tcW w:w="2037"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2"/>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rPr>
          <w:rFonts w:ascii="仿宋" w:hAnsi="仿宋" w:eastAsia="仿宋"/>
          <w:snapToGrid w:val="0"/>
          <w:kern w:val="0"/>
          <w:sz w:val="24"/>
        </w:rPr>
      </w:pPr>
      <w:r>
        <w:rPr>
          <w:rFonts w:ascii="仿宋" w:hAnsi="仿宋" w:eastAsia="仿宋"/>
          <w:snapToGrid w:val="0"/>
          <w:kern w:val="0"/>
          <w:sz w:val="24"/>
        </w:rPr>
        <w:br w:type="page"/>
      </w:r>
    </w:p>
    <w:p>
      <w:pPr>
        <w:pStyle w:val="33"/>
        <w:tabs>
          <w:tab w:val="left" w:pos="1050"/>
        </w:tabs>
        <w:spacing w:line="360" w:lineRule="auto"/>
        <w:rPr>
          <w:rFonts w:hint="eastAsia" w:ascii="仿宋_GB2312" w:hAnsi="宋体" w:eastAsia="宋体"/>
          <w:sz w:val="24"/>
          <w:lang w:val="en-US" w:eastAsia="zh-CN"/>
        </w:rPr>
      </w:pPr>
      <w:r>
        <w:rPr>
          <w:rFonts w:hint="eastAsia" w:ascii="宋体" w:hAnsi="宋体"/>
          <w:b/>
          <w:sz w:val="28"/>
        </w:rPr>
        <w:t>附件1</w:t>
      </w:r>
      <w:r>
        <w:rPr>
          <w:rFonts w:hint="eastAsia" w:ascii="宋体" w:hAnsi="宋体"/>
          <w:b/>
          <w:sz w:val="28"/>
          <w:lang w:val="en-US" w:eastAsia="zh-CN"/>
        </w:rPr>
        <w:t>0</w:t>
      </w:r>
    </w:p>
    <w:p>
      <w:pPr>
        <w:spacing w:line="360" w:lineRule="auto"/>
        <w:ind w:left="0" w:leftChars="0" w:hanging="9" w:firstLineChars="0"/>
        <w:jc w:val="center"/>
        <w:rPr>
          <w:rFonts w:ascii="宋体" w:hAnsi="宋体"/>
          <w:b/>
          <w:sz w:val="18"/>
          <w:szCs w:val="18"/>
        </w:rPr>
      </w:pPr>
      <w:bookmarkStart w:id="82" w:name="_Toc3068_WPSOffice_Level1"/>
      <w:bookmarkStart w:id="83" w:name="_Toc21582_WPSOffice_Level1"/>
      <w:r>
        <w:rPr>
          <w:rFonts w:hint="eastAsia" w:ascii="宋体" w:hAnsi="宋体"/>
          <w:b/>
          <w:sz w:val="32"/>
          <w:szCs w:val="32"/>
        </w:rPr>
        <w:t>商务需求响应表</w:t>
      </w:r>
      <w:bookmarkEnd w:id="82"/>
      <w:bookmarkEnd w:id="83"/>
    </w:p>
    <w:tbl>
      <w:tblPr>
        <w:tblStyle w:val="19"/>
        <w:tblpPr w:leftFromText="181" w:rightFromText="181" w:bottomFromText="170" w:vertAnchor="text" w:tblpXSpec="center" w:tblpY="1"/>
        <w:tblOverlap w:val="never"/>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87"/>
        <w:gridCol w:w="1785"/>
        <w:gridCol w:w="1365"/>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序号</w:t>
            </w:r>
          </w:p>
        </w:tc>
        <w:tc>
          <w:tcPr>
            <w:tcW w:w="2587" w:type="dxa"/>
            <w:tcMar>
              <w:top w:w="57" w:type="dxa"/>
              <w:left w:w="108" w:type="dxa"/>
              <w:bottom w:w="0" w:type="dxa"/>
              <w:right w:w="108" w:type="dxa"/>
            </w:tcMar>
            <w:vAlign w:val="center"/>
          </w:tcPr>
          <w:p>
            <w:pPr>
              <w:rPr>
                <w:rFonts w:ascii="宋体" w:hAnsi="宋体"/>
                <w:b/>
                <w:sz w:val="24"/>
              </w:rPr>
            </w:pPr>
            <w:r>
              <w:rPr>
                <w:rFonts w:hint="eastAsia" w:ascii="宋体" w:hAnsi="宋体"/>
                <w:b/>
                <w:sz w:val="24"/>
              </w:rPr>
              <w:t xml:space="preserve">   内容</w:t>
            </w:r>
          </w:p>
        </w:tc>
        <w:tc>
          <w:tcPr>
            <w:tcW w:w="1785" w:type="dxa"/>
            <w:tcMar>
              <w:top w:w="57" w:type="dxa"/>
              <w:left w:w="108" w:type="dxa"/>
              <w:bottom w:w="0" w:type="dxa"/>
              <w:right w:w="108" w:type="dxa"/>
            </w:tcMar>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tcMar>
              <w:top w:w="57" w:type="dxa"/>
              <w:left w:w="108" w:type="dxa"/>
              <w:bottom w:w="0" w:type="dxa"/>
              <w:right w:w="108" w:type="dxa"/>
            </w:tcMar>
            <w:vAlign w:val="center"/>
          </w:tcPr>
          <w:p>
            <w:pPr>
              <w:ind w:left="152"/>
              <w:rPr>
                <w:rFonts w:ascii="宋体" w:hAnsi="宋体"/>
                <w:b/>
                <w:sz w:val="24"/>
              </w:rPr>
            </w:pPr>
            <w:r>
              <w:rPr>
                <w:rFonts w:hint="eastAsia" w:ascii="宋体" w:hAnsi="宋体"/>
                <w:b/>
                <w:sz w:val="24"/>
              </w:rPr>
              <w:t>是否响应</w:t>
            </w:r>
          </w:p>
        </w:tc>
        <w:tc>
          <w:tcPr>
            <w:tcW w:w="2633" w:type="dxa"/>
            <w:tcMar>
              <w:top w:w="57" w:type="dxa"/>
              <w:left w:w="108" w:type="dxa"/>
              <w:bottom w:w="0" w:type="dxa"/>
              <w:right w:w="108" w:type="dxa"/>
            </w:tcMar>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售后服务保障要求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备品备件及耗材等要求</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质保期</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交货和服务</w:t>
            </w:r>
          </w:p>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时间及地点</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付款条件</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vAlign w:val="center"/>
          </w:tcPr>
          <w:p>
            <w:pPr>
              <w:snapToGrid w:val="0"/>
              <w:jc w:val="both"/>
              <w:rPr>
                <w:rFonts w:hint="eastAsia" w:ascii="宋体" w:hAnsi="宋体" w:eastAsia="宋体" w:cs="Arial"/>
                <w:bCs/>
                <w:kern w:val="2"/>
                <w:sz w:val="21"/>
                <w:szCs w:val="21"/>
                <w:lang w:val="en-US" w:eastAsia="zh-CN" w:bidi="ar-SA"/>
              </w:rPr>
            </w:pPr>
            <w:r>
              <w:rPr>
                <w:rFonts w:hint="eastAsia" w:ascii="宋体" w:hAnsi="宋体" w:eastAsia="宋体" w:cs="Arial"/>
                <w:bCs/>
                <w:kern w:val="2"/>
                <w:sz w:val="21"/>
                <w:szCs w:val="21"/>
                <w:lang w:val="en-US" w:eastAsia="zh-CN" w:bidi="ar-SA"/>
              </w:rPr>
              <w:t>……</w:t>
            </w: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4"/>
              </w:rPr>
            </w:pPr>
          </w:p>
        </w:tc>
        <w:tc>
          <w:tcPr>
            <w:tcW w:w="2587" w:type="dxa"/>
            <w:tcMar>
              <w:top w:w="57" w:type="dxa"/>
              <w:left w:w="108" w:type="dxa"/>
              <w:bottom w:w="0" w:type="dxa"/>
              <w:right w:w="108" w:type="dxa"/>
            </w:tcMar>
          </w:tcPr>
          <w:p>
            <w:pPr>
              <w:snapToGrid w:val="0"/>
              <w:rPr>
                <w:rFonts w:ascii="宋体" w:hAnsi="宋体"/>
                <w:sz w:val="24"/>
              </w:rPr>
            </w:pPr>
          </w:p>
        </w:tc>
        <w:tc>
          <w:tcPr>
            <w:tcW w:w="1785" w:type="dxa"/>
            <w:tcMar>
              <w:top w:w="57" w:type="dxa"/>
              <w:left w:w="108" w:type="dxa"/>
              <w:bottom w:w="0" w:type="dxa"/>
              <w:right w:w="108" w:type="dxa"/>
            </w:tcMar>
            <w:vAlign w:val="center"/>
          </w:tcPr>
          <w:p>
            <w:pPr>
              <w:rPr>
                <w:rFonts w:ascii="宋体" w:hAnsi="宋体"/>
                <w:sz w:val="24"/>
              </w:rPr>
            </w:pPr>
          </w:p>
        </w:tc>
        <w:tc>
          <w:tcPr>
            <w:tcW w:w="1365" w:type="dxa"/>
            <w:tcMar>
              <w:top w:w="57" w:type="dxa"/>
              <w:left w:w="108" w:type="dxa"/>
              <w:bottom w:w="0" w:type="dxa"/>
              <w:right w:w="108" w:type="dxa"/>
            </w:tcMar>
            <w:vAlign w:val="center"/>
          </w:tcPr>
          <w:p>
            <w:pPr>
              <w:rPr>
                <w:rFonts w:ascii="宋体" w:hAnsi="宋体"/>
                <w:sz w:val="24"/>
              </w:rPr>
            </w:pPr>
          </w:p>
        </w:tc>
        <w:tc>
          <w:tcPr>
            <w:tcW w:w="2633" w:type="dxa"/>
            <w:tcMar>
              <w:top w:w="57" w:type="dxa"/>
              <w:left w:w="108" w:type="dxa"/>
              <w:bottom w:w="0" w:type="dxa"/>
              <w:right w:w="108" w:type="dxa"/>
            </w:tcMar>
            <w:vAlign w:val="center"/>
          </w:tcPr>
          <w:p>
            <w:pPr>
              <w:rPr>
                <w:rFonts w:ascii="宋体" w:hAnsi="宋体"/>
                <w:sz w:val="24"/>
              </w:rPr>
            </w:pP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rPr>
          <w:rFonts w:ascii="宋体" w:hAnsi="宋体"/>
          <w:b/>
          <w:sz w:val="28"/>
        </w:rPr>
      </w:pPr>
      <w:r>
        <w:rPr>
          <w:rFonts w:ascii="宋体" w:hAnsi="宋体"/>
          <w:b/>
          <w:sz w:val="28"/>
        </w:rPr>
        <w:br w:type="page"/>
      </w:r>
    </w:p>
    <w:p>
      <w:pPr>
        <w:tabs>
          <w:tab w:val="left" w:pos="2460"/>
        </w:tabs>
        <w:spacing w:line="360" w:lineRule="auto"/>
        <w:rPr>
          <w:rFonts w:ascii="宋体" w:hAnsi="宋体"/>
          <w:b/>
          <w:sz w:val="28"/>
        </w:rPr>
      </w:pPr>
      <w:r>
        <w:rPr>
          <w:rFonts w:hint="eastAsia" w:ascii="宋体" w:hAnsi="宋体"/>
          <w:b/>
          <w:sz w:val="28"/>
        </w:rPr>
        <w:t>附件</w:t>
      </w:r>
      <w:r>
        <w:rPr>
          <w:rFonts w:hint="eastAsia" w:ascii="宋体" w:hAnsi="宋体"/>
          <w:b/>
          <w:sz w:val="28"/>
          <w:lang w:val="en-US" w:eastAsia="zh-CN"/>
        </w:rPr>
        <w:t>11</w:t>
      </w:r>
      <w:r>
        <w:rPr>
          <w:rFonts w:ascii="宋体" w:hAnsi="宋体"/>
          <w:b/>
          <w:sz w:val="28"/>
        </w:rPr>
        <w:tab/>
      </w:r>
    </w:p>
    <w:p>
      <w:pPr>
        <w:spacing w:line="360" w:lineRule="auto"/>
        <w:ind w:left="0" w:leftChars="0" w:firstLine="0" w:firstLineChars="0"/>
        <w:jc w:val="center"/>
        <w:rPr>
          <w:rFonts w:ascii="宋体" w:hAnsi="宋体"/>
          <w:b/>
          <w:sz w:val="24"/>
        </w:rPr>
      </w:pPr>
      <w:bookmarkStart w:id="84" w:name="_Toc3463_WPSOffice_Level1"/>
      <w:bookmarkStart w:id="85" w:name="_Toc29652_WPSOffice_Level1"/>
      <w:r>
        <w:rPr>
          <w:rFonts w:hint="eastAsia" w:ascii="宋体" w:hAnsi="宋体"/>
          <w:b/>
          <w:sz w:val="32"/>
          <w:szCs w:val="32"/>
        </w:rPr>
        <w:t>售后服务情况表</w:t>
      </w:r>
      <w:bookmarkEnd w:id="84"/>
      <w:bookmarkEnd w:id="85"/>
    </w:p>
    <w:tbl>
      <w:tblPr>
        <w:tblStyle w:val="19"/>
        <w:tblpPr w:leftFromText="181" w:rightFromText="181" w:bottomFromText="170" w:vertAnchor="text" w:tblpXSpec="center" w:tblpY="1"/>
        <w:tblOverlap w:val="never"/>
        <w:tblW w:w="89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879"/>
        <w:gridCol w:w="4061"/>
        <w:gridCol w:w="1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序号</w:t>
            </w:r>
          </w:p>
        </w:tc>
        <w:tc>
          <w:tcPr>
            <w:tcW w:w="2879"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项目</w:t>
            </w:r>
          </w:p>
        </w:tc>
        <w:tc>
          <w:tcPr>
            <w:tcW w:w="406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投标人情况</w:t>
            </w:r>
          </w:p>
        </w:tc>
        <w:tc>
          <w:tcPr>
            <w:tcW w:w="1301" w:type="dxa"/>
            <w:tcMar>
              <w:top w:w="57" w:type="dxa"/>
              <w:left w:w="108" w:type="dxa"/>
              <w:bottom w:w="0" w:type="dxa"/>
              <w:right w:w="108" w:type="dxa"/>
            </w:tcMar>
            <w:vAlign w:val="center"/>
          </w:tcPr>
          <w:p>
            <w:pPr>
              <w:pStyle w:val="34"/>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1</w:t>
            </w:r>
          </w:p>
        </w:tc>
        <w:tc>
          <w:tcPr>
            <w:tcW w:w="2879" w:type="dxa"/>
            <w:vMerge w:val="restart"/>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保修期内售后服务情况(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、售后服务的内容和措施</w:t>
            </w:r>
            <w:r>
              <w:rPr>
                <w:rFonts w:hint="eastAsia" w:ascii="宋体" w:hAnsi="宋体" w:cs="Arial"/>
                <w:bCs/>
                <w:sz w:val="21"/>
                <w:szCs w:val="21"/>
              </w:rPr>
              <w:t>等等，可用附页和宣传材料)</w:t>
            </w:r>
          </w:p>
        </w:tc>
        <w:tc>
          <w:tcPr>
            <w:tcW w:w="406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01" w:type="dxa"/>
            <w:tcMar>
              <w:top w:w="57" w:type="dxa"/>
              <w:left w:w="108" w:type="dxa"/>
              <w:bottom w:w="0" w:type="dxa"/>
              <w:right w:w="108" w:type="dxa"/>
            </w:tcMar>
          </w:tcPr>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2879" w:type="dxa"/>
            <w:vMerge w:val="continue"/>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p>
        </w:tc>
        <w:tc>
          <w:tcPr>
            <w:tcW w:w="4061" w:type="dxa"/>
            <w:tcMar>
              <w:top w:w="57" w:type="dxa"/>
              <w:left w:w="108" w:type="dxa"/>
              <w:bottom w:w="0" w:type="dxa"/>
              <w:right w:w="108" w:type="dxa"/>
            </w:tcMar>
          </w:tcPr>
          <w:p>
            <w:pPr>
              <w:pStyle w:val="34"/>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01" w:type="dxa"/>
            <w:tcMar>
              <w:top w:w="57" w:type="dxa"/>
              <w:left w:w="108" w:type="dxa"/>
              <w:bottom w:w="0" w:type="dxa"/>
              <w:right w:w="108" w:type="dxa"/>
            </w:tcMar>
          </w:tcPr>
          <w:p>
            <w:pPr>
              <w:pStyle w:val="34"/>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21" w:hRule="exact"/>
          <w:jc w:val="center"/>
        </w:trPr>
        <w:tc>
          <w:tcPr>
            <w:tcW w:w="739" w:type="dxa"/>
            <w:tcMar>
              <w:top w:w="57" w:type="dxa"/>
              <w:left w:w="108" w:type="dxa"/>
              <w:bottom w:w="0" w:type="dxa"/>
              <w:right w:w="108" w:type="dxa"/>
            </w:tcMar>
            <w:vAlign w:val="center"/>
          </w:tcPr>
          <w:p>
            <w:pPr>
              <w:pStyle w:val="34"/>
              <w:spacing w:line="360" w:lineRule="auto"/>
              <w:jc w:val="center"/>
              <w:rPr>
                <w:rFonts w:ascii="宋体" w:hAnsi="宋体" w:cs="Arial"/>
                <w:bCs/>
                <w:sz w:val="21"/>
                <w:szCs w:val="21"/>
              </w:rPr>
            </w:pPr>
            <w:r>
              <w:rPr>
                <w:rFonts w:hint="eastAsia" w:ascii="宋体" w:hAnsi="宋体" w:cs="Arial"/>
                <w:bCs/>
                <w:sz w:val="21"/>
                <w:szCs w:val="21"/>
              </w:rPr>
              <w:t>2</w:t>
            </w:r>
          </w:p>
        </w:tc>
        <w:tc>
          <w:tcPr>
            <w:tcW w:w="2879" w:type="dxa"/>
            <w:tcMar>
              <w:top w:w="57" w:type="dxa"/>
              <w:left w:w="108" w:type="dxa"/>
              <w:bottom w:w="0" w:type="dxa"/>
              <w:right w:w="108" w:type="dxa"/>
            </w:tcMar>
            <w:vAlign w:val="center"/>
          </w:tcPr>
          <w:p>
            <w:pPr>
              <w:pStyle w:val="34"/>
              <w:spacing w:line="360" w:lineRule="auto"/>
              <w:rPr>
                <w:rFonts w:ascii="宋体" w:hAnsi="宋体" w:cs="Arial"/>
                <w:bCs/>
                <w:sz w:val="21"/>
                <w:szCs w:val="21"/>
              </w:rPr>
            </w:pPr>
            <w:r>
              <w:rPr>
                <w:rFonts w:hint="eastAsia" w:ascii="宋体" w:hAnsi="宋体" w:cs="Arial"/>
                <w:bCs/>
                <w:sz w:val="21"/>
                <w:szCs w:val="21"/>
              </w:rPr>
              <w:t>保修期后售后服务</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p>
            <w:pPr>
              <w:pStyle w:val="34"/>
              <w:widowControl/>
              <w:spacing w:line="360" w:lineRule="auto"/>
              <w:jc w:val="left"/>
              <w:rPr>
                <w:rFonts w:ascii="宋体" w:hAnsi="宋体" w:cs="Arial"/>
                <w:bCs/>
                <w:sz w:val="21"/>
                <w:szCs w:val="21"/>
              </w:rPr>
            </w:pPr>
          </w:p>
          <w:p>
            <w:pPr>
              <w:pStyle w:val="34"/>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860"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87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p>
            <w:pPr>
              <w:pStyle w:val="34"/>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2879" w:type="dxa"/>
            <w:tcMar>
              <w:top w:w="57" w:type="dxa"/>
              <w:left w:w="108" w:type="dxa"/>
              <w:bottom w:w="0" w:type="dxa"/>
              <w:right w:w="108" w:type="dxa"/>
            </w:tcMar>
            <w:vAlign w:val="center"/>
          </w:tcPr>
          <w:p>
            <w:pPr>
              <w:pStyle w:val="34"/>
              <w:widowControl/>
              <w:spacing w:line="360" w:lineRule="auto"/>
              <w:jc w:val="left"/>
              <w:rPr>
                <w:rFonts w:ascii="宋体" w:hAnsi="宋体" w:cs="Arial"/>
                <w:bCs/>
                <w:sz w:val="21"/>
                <w:szCs w:val="21"/>
              </w:rPr>
            </w:pPr>
            <w:r>
              <w:rPr>
                <w:rFonts w:ascii="宋体" w:hAnsi="宋体" w:cs="Arial"/>
                <w:bCs/>
                <w:sz w:val="21"/>
                <w:szCs w:val="21"/>
              </w:rPr>
              <w:t>……</w:t>
            </w:r>
          </w:p>
        </w:tc>
        <w:tc>
          <w:tcPr>
            <w:tcW w:w="406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c>
          <w:tcPr>
            <w:tcW w:w="1301" w:type="dxa"/>
            <w:tcMar>
              <w:top w:w="57" w:type="dxa"/>
              <w:left w:w="108" w:type="dxa"/>
              <w:bottom w:w="0" w:type="dxa"/>
              <w:right w:w="108" w:type="dxa"/>
            </w:tcMar>
          </w:tcPr>
          <w:p>
            <w:pPr>
              <w:pStyle w:val="34"/>
              <w:widowControl/>
              <w:spacing w:line="360" w:lineRule="auto"/>
              <w:jc w:val="left"/>
              <w:rPr>
                <w:rFonts w:ascii="宋体" w:hAnsi="宋体" w:cs="Arial"/>
                <w:bCs/>
                <w:sz w:val="21"/>
                <w:szCs w:val="21"/>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7"/>
        <w:rPr>
          <w:rFonts w:ascii="宋体" w:hAnsi="宋体"/>
          <w:sz w:val="24"/>
          <w:u w:val="single"/>
        </w:rPr>
      </w:pPr>
    </w:p>
    <w:p>
      <w:pPr>
        <w:pStyle w:val="7"/>
        <w:rPr>
          <w:rFonts w:ascii="宋体" w:hAnsi="宋体"/>
          <w:sz w:val="24"/>
          <w:u w:val="single"/>
        </w:rPr>
      </w:pPr>
    </w:p>
    <w:p>
      <w:pPr>
        <w:pStyle w:val="7"/>
        <w:rPr>
          <w:rFonts w:ascii="宋体" w:hAnsi="宋体"/>
          <w:sz w:val="24"/>
          <w:u w:val="single"/>
        </w:rPr>
      </w:pPr>
    </w:p>
    <w:p>
      <w:pPr>
        <w:pStyle w:val="7"/>
        <w:ind w:firstLine="0"/>
        <w:rPr>
          <w:rFonts w:ascii="宋体" w:hAnsi="宋体"/>
          <w:sz w:val="24"/>
          <w:u w:val="single"/>
        </w:rPr>
      </w:pPr>
    </w:p>
    <w:p>
      <w:pPr>
        <w:spacing w:line="360" w:lineRule="auto"/>
        <w:ind w:right="-110"/>
        <w:jc w:val="left"/>
        <w:rPr>
          <w:rFonts w:ascii="宋体" w:hAnsi="宋体"/>
          <w:b/>
          <w:sz w:val="28"/>
        </w:rPr>
      </w:pPr>
    </w:p>
    <w:p>
      <w:pPr>
        <w:rPr>
          <w:rFonts w:ascii="宋体" w:hAnsi="宋体"/>
          <w:b/>
          <w:sz w:val="28"/>
        </w:rPr>
      </w:pPr>
      <w:r>
        <w:rPr>
          <w:rFonts w:hint="eastAsia" w:ascii="宋体" w:hAnsi="宋体"/>
          <w:b/>
          <w:sz w:val="28"/>
        </w:rPr>
        <w:br w:type="page"/>
      </w:r>
    </w:p>
    <w:p>
      <w:pPr>
        <w:jc w:val="center"/>
        <w:rPr>
          <w:rFonts w:hint="eastAsia"/>
          <w:sz w:val="52"/>
          <w:szCs w:val="52"/>
        </w:rPr>
      </w:pPr>
      <w:bookmarkStart w:id="86" w:name="_Toc30468_WPSOffice_Level1"/>
      <w:bookmarkStart w:id="87" w:name="_Toc21322_WPSOffice_Level1"/>
      <w:bookmarkStart w:id="88" w:name="_Toc4615_WPSOffice_Level1"/>
    </w:p>
    <w:p>
      <w:pPr>
        <w:pStyle w:val="18"/>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6"/>
      <w:bookmarkEnd w:id="87"/>
      <w:bookmarkEnd w:id="88"/>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18"/>
      </w:pPr>
    </w:p>
    <w:p>
      <w:pPr>
        <w:jc w:val="center"/>
        <w:rPr>
          <w:sz w:val="84"/>
          <w:szCs w:val="84"/>
        </w:rPr>
      </w:pPr>
      <w:bookmarkStart w:id="89" w:name="_Toc9453_WPSOffice_Level1"/>
      <w:bookmarkStart w:id="90" w:name="_Toc8885_WPSOffice_Level1"/>
      <w:r>
        <w:rPr>
          <w:rFonts w:hint="eastAsia"/>
          <w:sz w:val="84"/>
          <w:szCs w:val="84"/>
        </w:rPr>
        <w:t>报</w:t>
      </w:r>
      <w:bookmarkEnd w:id="89"/>
      <w:bookmarkEnd w:id="90"/>
    </w:p>
    <w:p>
      <w:pPr>
        <w:jc w:val="center"/>
        <w:rPr>
          <w:sz w:val="84"/>
          <w:szCs w:val="84"/>
        </w:rPr>
      </w:pPr>
      <w:bookmarkStart w:id="91" w:name="_Toc10910_WPSOffice_Level1"/>
      <w:bookmarkStart w:id="92" w:name="_Toc7485_WPSOffice_Level1"/>
      <w:r>
        <w:rPr>
          <w:rFonts w:hint="eastAsia"/>
          <w:sz w:val="84"/>
          <w:szCs w:val="84"/>
        </w:rPr>
        <w:t>价</w:t>
      </w:r>
      <w:bookmarkEnd w:id="91"/>
      <w:bookmarkEnd w:id="92"/>
    </w:p>
    <w:p>
      <w:pPr>
        <w:jc w:val="center"/>
        <w:rPr>
          <w:sz w:val="84"/>
          <w:szCs w:val="84"/>
        </w:rPr>
      </w:pPr>
      <w:bookmarkStart w:id="93" w:name="_Toc14572_WPSOffice_Level1"/>
      <w:bookmarkStart w:id="94" w:name="_Toc3932_WPSOffice_Level1"/>
      <w:r>
        <w:rPr>
          <w:rFonts w:hint="eastAsia"/>
          <w:sz w:val="84"/>
          <w:szCs w:val="84"/>
        </w:rPr>
        <w:t>文</w:t>
      </w:r>
      <w:bookmarkEnd w:id="93"/>
      <w:bookmarkEnd w:id="94"/>
    </w:p>
    <w:p>
      <w:pPr>
        <w:jc w:val="center"/>
        <w:rPr>
          <w:sz w:val="84"/>
          <w:szCs w:val="84"/>
        </w:rPr>
      </w:pPr>
      <w:bookmarkStart w:id="95" w:name="_Toc7562_WPSOffice_Level1"/>
      <w:bookmarkStart w:id="96" w:name="_Toc16973_WPSOffice_Level1"/>
      <w:r>
        <w:rPr>
          <w:rFonts w:hint="eastAsia"/>
          <w:sz w:val="84"/>
          <w:szCs w:val="84"/>
        </w:rPr>
        <w:t>件</w:t>
      </w:r>
      <w:bookmarkEnd w:id="95"/>
      <w:bookmarkEnd w:id="96"/>
    </w:p>
    <w:p>
      <w:pPr>
        <w:spacing w:line="360" w:lineRule="auto"/>
        <w:ind w:right="532"/>
        <w:rPr>
          <w:rFonts w:ascii="宋体" w:hAnsi="宋体"/>
          <w:sz w:val="36"/>
          <w:szCs w:val="36"/>
        </w:rPr>
      </w:pPr>
    </w:p>
    <w:p>
      <w:pPr>
        <w:pStyle w:val="18"/>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7" w:name="_Toc4603_WPSOffice_Level1"/>
      <w:bookmarkStart w:id="98" w:name="_Toc26700_WPSOffice_Level1"/>
      <w:r>
        <w:rPr>
          <w:rFonts w:hint="eastAsia" w:ascii="宋体" w:hAnsi="宋体"/>
          <w:sz w:val="36"/>
          <w:szCs w:val="36"/>
        </w:rPr>
        <w:t>投标人全称（公章）：</w:t>
      </w:r>
      <w:bookmarkEnd w:id="97"/>
      <w:bookmarkEnd w:id="98"/>
    </w:p>
    <w:p>
      <w:pPr>
        <w:spacing w:line="360" w:lineRule="auto"/>
        <w:ind w:right="-108" w:firstLine="720" w:firstLineChars="200"/>
        <w:rPr>
          <w:rFonts w:ascii="宋体" w:hAnsi="宋体"/>
          <w:sz w:val="36"/>
          <w:szCs w:val="36"/>
        </w:rPr>
      </w:pPr>
      <w:bookmarkStart w:id="99" w:name="_Toc1391_WPSOffice_Level1"/>
      <w:bookmarkStart w:id="100" w:name="_Toc32593_WPSOffice_Level1"/>
      <w:r>
        <w:rPr>
          <w:rFonts w:hint="eastAsia" w:ascii="宋体" w:hAnsi="宋体"/>
          <w:sz w:val="36"/>
          <w:szCs w:val="36"/>
        </w:rPr>
        <w:t>地    址：</w:t>
      </w:r>
      <w:bookmarkEnd w:id="99"/>
      <w:bookmarkEnd w:id="100"/>
    </w:p>
    <w:p>
      <w:pPr>
        <w:spacing w:line="360" w:lineRule="auto"/>
        <w:ind w:right="-108" w:firstLine="720" w:firstLineChars="200"/>
        <w:rPr>
          <w:rFonts w:ascii="宋体" w:hAnsi="宋体"/>
          <w:sz w:val="36"/>
          <w:szCs w:val="36"/>
        </w:rPr>
      </w:pPr>
      <w:bookmarkStart w:id="101" w:name="_Toc20938_WPSOffice_Level1"/>
      <w:bookmarkStart w:id="102" w:name="_Toc3791_WPSOffice_Level1"/>
      <w:r>
        <w:rPr>
          <w:rFonts w:hint="eastAsia" w:ascii="宋体" w:hAnsi="宋体"/>
          <w:sz w:val="36"/>
          <w:szCs w:val="36"/>
        </w:rPr>
        <w:t>时    间：</w:t>
      </w:r>
      <w:bookmarkEnd w:id="101"/>
      <w:bookmarkEnd w:id="102"/>
    </w:p>
    <w:p>
      <w:pPr>
        <w:spacing w:line="360" w:lineRule="auto"/>
        <w:ind w:right="-108"/>
        <w:jc w:val="center"/>
        <w:rPr>
          <w:rFonts w:ascii="仿宋_GB2312" w:hAnsi="宋体" w:eastAsia="仿宋_GB2312"/>
          <w:b/>
          <w:sz w:val="36"/>
          <w:szCs w:val="36"/>
        </w:rPr>
      </w:pPr>
    </w:p>
    <w:p>
      <w:pPr>
        <w:pStyle w:val="18"/>
      </w:pPr>
    </w:p>
    <w:p>
      <w:pPr>
        <w:pStyle w:val="18"/>
      </w:pPr>
    </w:p>
    <w:p>
      <w:pPr>
        <w:pStyle w:val="18"/>
      </w:pPr>
    </w:p>
    <w:p>
      <w:pPr>
        <w:pStyle w:val="7"/>
        <w:ind w:left="0" w:leftChars="0" w:firstLine="0" w:firstLineChars="0"/>
        <w:rPr>
          <w:rFonts w:ascii="仿宋_GB2312" w:hAnsi="宋体" w:eastAsia="仿宋_GB2312"/>
          <w:b/>
          <w:sz w:val="36"/>
          <w:szCs w:val="36"/>
        </w:rPr>
      </w:pPr>
    </w:p>
    <w:p>
      <w:pPr>
        <w:pStyle w:val="7"/>
        <w:ind w:left="0" w:leftChars="0" w:firstLine="0" w:firstLineChars="0"/>
        <w:rPr>
          <w:rFonts w:ascii="仿宋_GB2312" w:hAnsi="宋体" w:eastAsia="仿宋_GB2312"/>
          <w:b/>
          <w:sz w:val="36"/>
          <w:szCs w:val="36"/>
        </w:rPr>
      </w:pPr>
    </w:p>
    <w:p>
      <w:pPr>
        <w:spacing w:line="480" w:lineRule="auto"/>
        <w:jc w:val="center"/>
        <w:rPr>
          <w:rFonts w:hint="eastAsia" w:ascii="宋体" w:hAnsi="宋体"/>
          <w:b/>
          <w:bCs/>
          <w:sz w:val="36"/>
          <w:szCs w:val="36"/>
        </w:rPr>
      </w:pPr>
      <w:bookmarkStart w:id="103" w:name="_Toc29537_WPSOffice_Level1"/>
      <w:bookmarkStart w:id="104" w:name="_Toc19972_WPSOffice_Level1"/>
      <w:r>
        <w:rPr>
          <w:rFonts w:hint="eastAsia" w:ascii="宋体" w:hAnsi="宋体"/>
          <w:b/>
          <w:bCs/>
          <w:sz w:val="36"/>
          <w:szCs w:val="36"/>
        </w:rPr>
        <w:t>报价文件目录</w:t>
      </w:r>
      <w:bookmarkEnd w:id="103"/>
      <w:bookmarkEnd w:id="104"/>
    </w:p>
    <w:p>
      <w:pPr>
        <w:pStyle w:val="18"/>
        <w:rPr>
          <w:rFonts w:hint="eastAsia"/>
        </w:rPr>
      </w:pPr>
    </w:p>
    <w:p>
      <w:pPr>
        <w:spacing w:line="360" w:lineRule="auto"/>
        <w:ind w:firstLine="480" w:firstLineChars="200"/>
        <w:rPr>
          <w:sz w:val="24"/>
        </w:rPr>
      </w:pPr>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5" w:name="_Toc29988_WPSOffice_Level1"/>
      <w:bookmarkStart w:id="106" w:name="_Toc6778_WPSOffice_Level1"/>
      <w:r>
        <w:rPr>
          <w:rFonts w:hint="eastAsia" w:asciiTheme="minorEastAsia" w:hAnsiTheme="minorEastAsia" w:eastAsiaTheme="minorEastAsia" w:cstheme="minorEastAsia"/>
          <w:sz w:val="28"/>
          <w:szCs w:val="28"/>
          <w:lang w:val="en-US" w:eastAsia="zh-CN"/>
        </w:rPr>
        <w:t>开标一览表（附件12）</w:t>
      </w:r>
      <w:bookmarkEnd w:id="105"/>
      <w:bookmarkEnd w:id="106"/>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7" w:name="_Toc15601_WPSOffice_Level1"/>
      <w:bookmarkStart w:id="108" w:name="_Toc11601_WPSOffice_Level1"/>
      <w:r>
        <w:rPr>
          <w:rFonts w:hint="eastAsia" w:asciiTheme="minorEastAsia" w:hAnsiTheme="minorEastAsia" w:eastAsiaTheme="minorEastAsia" w:cstheme="minorEastAsia"/>
          <w:sz w:val="28"/>
          <w:szCs w:val="28"/>
          <w:lang w:val="en-US" w:eastAsia="zh-CN"/>
        </w:rPr>
        <w:t>报价明细表（附件13）</w:t>
      </w:r>
      <w:bookmarkEnd w:id="107"/>
      <w:bookmarkEnd w:id="108"/>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bookmarkStart w:id="109" w:name="_Toc17543_WPSOffice_Level1"/>
      <w:bookmarkStart w:id="110" w:name="_Toc45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lang w:val="en-US" w:eastAsia="zh-CN"/>
        </w:rPr>
        <w:t>（附件14）</w:t>
      </w:r>
      <w:bookmarkEnd w:id="109"/>
      <w:bookmarkEnd w:id="110"/>
    </w:p>
    <w:p>
      <w:pPr>
        <w:numPr>
          <w:ilvl w:val="0"/>
          <w:numId w:val="14"/>
        </w:numPr>
        <w:spacing w:line="360" w:lineRule="auto"/>
        <w:ind w:left="425" w:leftChars="0" w:hanging="425" w:firstLineChars="0"/>
        <w:jc w:val="both"/>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针对报价投标人认为其他需要说明的</w:t>
      </w:r>
    </w:p>
    <w:p>
      <w:pPr>
        <w:numPr>
          <w:ilvl w:val="0"/>
          <w:numId w:val="0"/>
        </w:numPr>
        <w:spacing w:line="360" w:lineRule="auto"/>
        <w:ind w:leftChars="0"/>
        <w:jc w:val="both"/>
        <w:rPr>
          <w:rFonts w:hint="eastAsia" w:asciiTheme="minorEastAsia" w:hAnsiTheme="minorEastAsia" w:eastAsiaTheme="minorEastAsia" w:cstheme="minorEastAsia"/>
          <w:sz w:val="28"/>
          <w:szCs w:val="28"/>
          <w:lang w:val="en-US" w:eastAsia="zh-CN"/>
        </w:rPr>
      </w:pPr>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hint="eastAsia" w:ascii="宋体" w:hAnsi="宋体"/>
          <w:b/>
          <w:sz w:val="32"/>
          <w:szCs w:val="32"/>
        </w:rPr>
      </w:pPr>
      <w:bookmarkStart w:id="111" w:name="_Toc16144_WPSOffice_Level1"/>
      <w:bookmarkStart w:id="112" w:name="_Toc30363_WPSOffice_Level1"/>
      <w:r>
        <w:rPr>
          <w:rFonts w:hint="eastAsia" w:ascii="宋体" w:hAnsi="宋体"/>
          <w:b/>
          <w:sz w:val="32"/>
          <w:szCs w:val="32"/>
        </w:rPr>
        <w:t>开标一览表</w:t>
      </w:r>
      <w:bookmarkEnd w:id="111"/>
      <w:bookmarkEnd w:id="112"/>
    </w:p>
    <w:p>
      <w:pPr>
        <w:pStyle w:val="18"/>
      </w:pPr>
    </w:p>
    <w:p>
      <w:pPr>
        <w:pStyle w:val="10"/>
        <w:spacing w:line="360" w:lineRule="auto"/>
        <w:ind w:firstLine="482" w:firstLineChars="200"/>
        <w:rPr>
          <w:rFonts w:hAnsi="宋体"/>
          <w:b/>
          <w:sz w:val="24"/>
        </w:rPr>
      </w:pPr>
      <w:r>
        <w:rPr>
          <w:rFonts w:hAnsi="宋体"/>
          <w:b/>
          <w:sz w:val="24"/>
        </w:rPr>
        <w:t>项目编号：</w:t>
      </w:r>
    </w:p>
    <w:p>
      <w:pPr>
        <w:pStyle w:val="38"/>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[货币单位：人民币元]</w:t>
      </w:r>
    </w:p>
    <w:tbl>
      <w:tblPr>
        <w:tblStyle w:val="19"/>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hint="eastAsia" w:ascii="宋体" w:hAnsi="宋体" w:eastAsia="宋体"/>
                <w:sz w:val="24"/>
                <w:lang w:eastAsia="zh-CN"/>
              </w:rPr>
            </w:pPr>
            <w:r>
              <w:rPr>
                <w:rFonts w:hint="eastAsia" w:ascii="宋体" w:hAnsi="宋体"/>
                <w:sz w:val="24"/>
              </w:rPr>
              <w:t>投标总报价</w:t>
            </w:r>
          </w:p>
        </w:tc>
        <w:tc>
          <w:tcPr>
            <w:tcW w:w="1349"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rPr>
                <w:rFonts w:ascii="宋体" w:hAnsi="宋体"/>
                <w:sz w:val="24"/>
              </w:rPr>
            </w:pPr>
          </w:p>
        </w:tc>
        <w:tc>
          <w:tcPr>
            <w:tcW w:w="134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hint="eastAsia" w:ascii="宋体" w:hAnsi="宋体" w:eastAsia="宋体" w:cs="宋体"/>
          <w:sz w:val="24"/>
        </w:rPr>
      </w:pPr>
      <w:r>
        <w:rPr>
          <w:rFonts w:hint="eastAsia" w:ascii="宋体" w:hAnsi="宋体"/>
          <w:b/>
          <w:szCs w:val="21"/>
        </w:rPr>
        <w:t>填报要求：</w:t>
      </w:r>
      <w:r>
        <w:rPr>
          <w:rFonts w:hint="eastAsia" w:ascii="宋体" w:hAnsi="宋体" w:eastAsia="宋体" w:cs="宋体"/>
          <w:color w:val="111F2C"/>
          <w:szCs w:val="21"/>
          <w:shd w:val="clear" w:color="auto" w:fill="FFFFFF"/>
        </w:rPr>
        <w:t>投标报价包括本项目采购需求和投入使用的所有费用，包括但不限于主件、标准附件、备品备件、施工、服务、专用工具、安装、调试、检验、培训、运输、保险、税款等。</w:t>
      </w:r>
    </w:p>
    <w:p>
      <w:pPr>
        <w:spacing w:line="360" w:lineRule="auto"/>
        <w:rPr>
          <w:rFonts w:hint="eastAsia" w:ascii="宋体" w:hAnsi="宋体" w:eastAsia="宋体" w:cs="宋体"/>
          <w:sz w:val="24"/>
        </w:rPr>
      </w:pPr>
    </w:p>
    <w:p>
      <w:pPr>
        <w:pStyle w:val="18"/>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rPr>
          <w:rFonts w:ascii="宋体" w:hAnsi="宋体"/>
          <w:b/>
          <w:sz w:val="28"/>
        </w:rPr>
      </w:pPr>
      <w:r>
        <w:rPr>
          <w:rFonts w:ascii="宋体" w:hAnsi="宋体"/>
          <w:b/>
          <w:sz w:val="28"/>
        </w:rPr>
        <w:br w:type="page"/>
      </w: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3</w:t>
      </w:r>
    </w:p>
    <w:p>
      <w:pPr>
        <w:spacing w:line="360" w:lineRule="auto"/>
        <w:jc w:val="center"/>
        <w:rPr>
          <w:rFonts w:hint="eastAsia" w:ascii="宋体" w:hAnsi="宋体"/>
          <w:sz w:val="24"/>
        </w:rPr>
      </w:pPr>
      <w:bookmarkStart w:id="113" w:name="_Toc8975_WPSOffice_Level1"/>
      <w:bookmarkStart w:id="114" w:name="_Toc22412_WPSOffice_Level1"/>
      <w:r>
        <w:rPr>
          <w:rFonts w:hint="eastAsia" w:ascii="宋体" w:hAnsi="宋体"/>
          <w:b/>
          <w:sz w:val="32"/>
          <w:szCs w:val="32"/>
        </w:rPr>
        <w:t>报价明细表</w:t>
      </w:r>
      <w:bookmarkEnd w:id="113"/>
      <w:bookmarkEnd w:id="114"/>
      <w:r>
        <w:rPr>
          <w:rFonts w:hint="eastAsia" w:ascii="宋体" w:hAnsi="宋体"/>
          <w:sz w:val="24"/>
        </w:rPr>
        <w:t xml:space="preserve">  </w:t>
      </w:r>
    </w:p>
    <w:p>
      <w:pPr>
        <w:spacing w:line="360" w:lineRule="auto"/>
        <w:jc w:val="both"/>
        <w:rPr>
          <w:rFonts w:hAnsi="宋体"/>
          <w:b/>
          <w:sz w:val="24"/>
        </w:rPr>
      </w:pPr>
      <w:r>
        <w:rPr>
          <w:rFonts w:hAnsi="宋体"/>
          <w:b/>
          <w:sz w:val="24"/>
        </w:rPr>
        <w:t>项目编号：</w:t>
      </w:r>
    </w:p>
    <w:p>
      <w:pPr>
        <w:pStyle w:val="38"/>
        <w:spacing w:line="360" w:lineRule="auto"/>
        <w:ind w:right="48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19"/>
        <w:tblpPr w:leftFromText="181" w:rightFromText="181" w:bottomFromText="170" w:vertAnchor="text" w:tblpXSpec="center" w:tblpY="1"/>
        <w:tblOverlap w:val="never"/>
        <w:tblW w:w="8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44"/>
        <w:gridCol w:w="1034"/>
        <w:gridCol w:w="1260"/>
        <w:gridCol w:w="1036"/>
        <w:gridCol w:w="1005"/>
        <w:gridCol w:w="851"/>
        <w:gridCol w:w="714"/>
        <w:gridCol w:w="69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序号</w:t>
            </w:r>
          </w:p>
        </w:tc>
        <w:tc>
          <w:tcPr>
            <w:tcW w:w="114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报价项目</w:t>
            </w:r>
          </w:p>
        </w:tc>
        <w:tc>
          <w:tcPr>
            <w:tcW w:w="1034"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品牌、产地</w:t>
            </w:r>
          </w:p>
        </w:tc>
        <w:tc>
          <w:tcPr>
            <w:tcW w:w="1260" w:type="dxa"/>
            <w:tcMar>
              <w:top w:w="57" w:type="dxa"/>
              <w:left w:w="108" w:type="dxa"/>
              <w:bottom w:w="0" w:type="dxa"/>
              <w:right w:w="108" w:type="dxa"/>
            </w:tcMar>
            <w:vAlign w:val="center"/>
          </w:tcPr>
          <w:p>
            <w:pPr>
              <w:spacing w:line="360" w:lineRule="auto"/>
              <w:ind w:left="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型号规格</w:t>
            </w:r>
          </w:p>
        </w:tc>
        <w:tc>
          <w:tcPr>
            <w:tcW w:w="1036"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制造商名称</w:t>
            </w:r>
          </w:p>
        </w:tc>
        <w:tc>
          <w:tcPr>
            <w:tcW w:w="1005" w:type="dxa"/>
            <w:tcMar>
              <w:top w:w="57" w:type="dxa"/>
              <w:left w:w="108" w:type="dxa"/>
              <w:bottom w:w="0" w:type="dxa"/>
              <w:right w:w="108" w:type="dxa"/>
            </w:tcMar>
            <w:vAlign w:val="center"/>
          </w:tcPr>
          <w:p>
            <w:pPr>
              <w:tabs>
                <w:tab w:val="left" w:pos="8280"/>
              </w:tabs>
              <w:autoSpaceDE w:val="0"/>
              <w:autoSpaceDN w:val="0"/>
              <w:adjustRightInd w:val="0"/>
              <w:spacing w:line="360" w:lineRule="auto"/>
              <w:ind w:right="25"/>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是否是小微企业</w:t>
            </w:r>
          </w:p>
        </w:tc>
        <w:tc>
          <w:tcPr>
            <w:tcW w:w="851" w:type="dxa"/>
            <w:tcMar>
              <w:top w:w="57" w:type="dxa"/>
              <w:left w:w="108" w:type="dxa"/>
              <w:bottom w:w="0" w:type="dxa"/>
              <w:right w:w="108" w:type="dxa"/>
            </w:tcMar>
            <w:vAlign w:val="center"/>
          </w:tcPr>
          <w:p>
            <w:pPr>
              <w:spacing w:line="360" w:lineRule="auto"/>
              <w:ind w:left="152"/>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数量</w:t>
            </w:r>
          </w:p>
        </w:tc>
        <w:tc>
          <w:tcPr>
            <w:tcW w:w="714"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单价</w:t>
            </w:r>
          </w:p>
        </w:tc>
        <w:tc>
          <w:tcPr>
            <w:tcW w:w="697"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小计</w:t>
            </w:r>
          </w:p>
        </w:tc>
        <w:tc>
          <w:tcPr>
            <w:tcW w:w="709" w:type="dxa"/>
            <w:tcMar>
              <w:top w:w="57" w:type="dxa"/>
              <w:left w:w="108" w:type="dxa"/>
              <w:bottom w:w="0" w:type="dxa"/>
              <w:right w:w="108" w:type="dxa"/>
            </w:tcMar>
            <w:vAlign w:val="center"/>
          </w:tcPr>
          <w:p>
            <w:pPr>
              <w:spacing w:line="360" w:lineRule="auto"/>
              <w:jc w:val="center"/>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2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14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260"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36"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1005"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851"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14"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697"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c>
          <w:tcPr>
            <w:tcW w:w="709" w:type="dxa"/>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8975" w:type="dxa"/>
            <w:gridSpan w:val="10"/>
            <w:tcBorders>
              <w:bottom w:val="single" w:color="auto" w:sz="4" w:space="0"/>
            </w:tcBorders>
            <w:tcMar>
              <w:top w:w="57" w:type="dxa"/>
              <w:left w:w="108" w:type="dxa"/>
              <w:bottom w:w="0" w:type="dxa"/>
              <w:right w:w="108" w:type="dxa"/>
            </w:tcMar>
            <w:vAlign w:val="center"/>
          </w:tcPr>
          <w:p>
            <w:pPr>
              <w:spacing w:line="360" w:lineRule="auto"/>
              <w:rPr>
                <w:rFonts w:hint="eastAsia" w:asciiTheme="majorEastAsia" w:hAnsiTheme="majorEastAsia" w:eastAsiaTheme="majorEastAsia" w:cstheme="majorEastAsia"/>
                <w:b/>
                <w:sz w:val="21"/>
                <w:szCs w:val="21"/>
              </w:rPr>
            </w:pPr>
            <w:r>
              <w:rPr>
                <w:rFonts w:hint="eastAsia" w:asciiTheme="majorEastAsia" w:hAnsiTheme="majorEastAsia" w:eastAsiaTheme="majorEastAsia" w:cstheme="majorEastAsia"/>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15" w:leftChars="0" w:firstLine="420" w:firstLineChars="200"/>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15" w:leftChars="0" w:firstLine="420" w:firstLineChars="200"/>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r>
        <w:rPr>
          <w:rFonts w:hint="eastAsia" w:ascii="宋体" w:hAnsi="宋体"/>
          <w:sz w:val="24"/>
        </w:rPr>
        <w:br w:type="page"/>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7"/>
        <w:spacing w:line="360" w:lineRule="auto"/>
        <w:ind w:left="0" w:leftChars="0" w:firstLine="0" w:firstLineChars="0"/>
        <w:jc w:val="center"/>
        <w:rPr>
          <w:rFonts w:ascii="宋体" w:hAnsi="宋体" w:cs="宋体"/>
          <w:b/>
          <w:sz w:val="32"/>
          <w:szCs w:val="32"/>
        </w:rPr>
      </w:pPr>
      <w:bookmarkStart w:id="115" w:name="_Toc29357_WPSOffice_Level1"/>
      <w:bookmarkStart w:id="116" w:name="_Toc12654_WPSOffice_Level1"/>
      <w:r>
        <w:rPr>
          <w:rFonts w:hint="eastAsia" w:ascii="宋体" w:hAnsi="宋体" w:cs="宋体"/>
          <w:b/>
          <w:sz w:val="32"/>
          <w:szCs w:val="32"/>
        </w:rPr>
        <w:t>中小企业声明函（货物）</w:t>
      </w:r>
      <w:bookmarkEnd w:id="115"/>
      <w:bookmarkEnd w:id="116"/>
    </w:p>
    <w:p>
      <w:pPr>
        <w:pStyle w:val="7"/>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（标的名称） </w:t>
      </w:r>
      <w:r>
        <w:rPr>
          <w:rFonts w:hint="eastAsia" w:ascii="宋体" w:hAnsi="宋体" w:cs="宋体"/>
          <w:sz w:val="24"/>
        </w:rPr>
        <w:t>，属于</w:t>
      </w:r>
      <w:r>
        <w:rPr>
          <w:rFonts w:hint="eastAsia" w:ascii="宋体" w:hAnsi="宋体" w:cs="宋体"/>
          <w:sz w:val="24"/>
          <w:u w:val="single"/>
        </w:rPr>
        <w:t>（招标文件中明确的所属行业）</w:t>
      </w:r>
      <w:r>
        <w:rPr>
          <w:rFonts w:hint="eastAsia" w:ascii="宋体" w:hAnsi="宋体" w:cs="宋体"/>
          <w:sz w:val="24"/>
        </w:rPr>
        <w:t>行业；制造商为</w:t>
      </w:r>
      <w:r>
        <w:rPr>
          <w:rFonts w:hint="eastAsia" w:ascii="宋体" w:hAnsi="宋体" w:cs="宋体"/>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center"/>
        <w:rPr>
          <w:rFonts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企业名称（盖章）：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日 期：    </w:t>
      </w:r>
    </w:p>
    <w:p>
      <w:pPr>
        <w:wordWrap w:val="0"/>
        <w:spacing w:line="360" w:lineRule="auto"/>
        <w:ind w:firstLine="480" w:firstLineChars="200"/>
        <w:jc w:val="center"/>
        <w:rPr>
          <w:rFonts w:hint="eastAsia" w:ascii="宋体" w:hAnsi="宋体" w:cs="宋体"/>
          <w:sz w:val="24"/>
        </w:rPr>
      </w:pPr>
      <w:r>
        <w:rPr>
          <w:rFonts w:hint="eastAsia" w:ascii="宋体" w:hAnsi="宋体" w:cs="宋体"/>
          <w:sz w:val="24"/>
        </w:rPr>
        <w:t xml:space="preserve">      </w:t>
      </w: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4" w:type="first"/>
          <w:footerReference r:id="rId6" w:type="first"/>
          <w:headerReference r:id="rId3" w:type="default"/>
          <w:footerReference r:id="rId5" w:type="default"/>
          <w:pgSz w:w="11906" w:h="16838"/>
          <w:pgMar w:top="1701" w:right="1418" w:bottom="1588"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0"/>
        <w:spacing w:line="360" w:lineRule="auto"/>
        <w:jc w:val="center"/>
        <w:outlineLvl w:val="1"/>
        <w:rPr>
          <w:rFonts w:hAnsi="宋体" w:cs="宋体"/>
          <w:b/>
          <w:sz w:val="32"/>
          <w:szCs w:val="32"/>
          <w:lang w:val="en-GB"/>
        </w:rPr>
      </w:pPr>
      <w:bookmarkStart w:id="117" w:name="_Toc27483_WPSOffice_Level1"/>
      <w:bookmarkStart w:id="118" w:name="_Toc17646_WPSOffice_Level1"/>
      <w:r>
        <w:rPr>
          <w:rFonts w:hint="eastAsia" w:hAnsi="宋体" w:cs="宋体"/>
          <w:b/>
          <w:sz w:val="32"/>
          <w:szCs w:val="32"/>
          <w:lang w:val="en-GB"/>
        </w:rPr>
        <w:t>残疾人福利性单位声明函</w:t>
      </w:r>
      <w:bookmarkEnd w:id="117"/>
      <w:bookmarkEnd w:id="118"/>
    </w:p>
    <w:p>
      <w:pPr>
        <w:spacing w:line="588"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39"/>
        <w:spacing w:line="360" w:lineRule="auto"/>
        <w:ind w:left="4788" w:leftChars="2280" w:firstLine="0" w:firstLineChars="0"/>
        <w:rPr>
          <w:rFonts w:hint="eastAsia" w:ascii="宋体" w:hAnsi="宋体"/>
          <w:sz w:val="24"/>
        </w:rPr>
      </w:pPr>
      <w:r>
        <w:rPr>
          <w:rFonts w:hint="eastAsia" w:ascii="宋体" w:hAnsi="宋体" w:cs="宋体"/>
          <w:sz w:val="24"/>
        </w:rPr>
        <w:t xml:space="preserve">                                </w:t>
      </w:r>
      <w:r>
        <w:rPr>
          <w:rFonts w:hint="eastAsia" w:ascii="宋体" w:hAnsi="宋体"/>
          <w:sz w:val="24"/>
        </w:rPr>
        <w:t>单位名称（盖章）：</w:t>
      </w:r>
    </w:p>
    <w:p>
      <w:pPr>
        <w:pStyle w:val="39"/>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pPr>
        <w:pStyle w:val="39"/>
        <w:spacing w:line="360" w:lineRule="auto"/>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台州市</w:t>
    </w:r>
    <w:r>
      <w:rPr>
        <w:rFonts w:hint="eastAsia"/>
        <w:b/>
        <w:i/>
        <w:color w:val="000000" w:themeColor="text1"/>
        <w:kern w:val="0"/>
        <w:sz w:val="18"/>
        <w:u w:val="single"/>
        <w:lang w:eastAsia="zh-CN"/>
        <w14:textFill>
          <w14:solidFill>
            <w14:schemeClr w14:val="tx1"/>
          </w14:solidFill>
        </w14:textFill>
      </w:rPr>
      <w:t>政府采购招标</w:t>
    </w:r>
    <w:r>
      <w:rPr>
        <w:rFonts w:hint="eastAsia"/>
        <w:b/>
        <w:i/>
        <w:color w:val="000000" w:themeColor="text1"/>
        <w:kern w:val="0"/>
        <w:sz w:val="18"/>
        <w:u w:val="single"/>
        <w:lang w:val="en-US" w:eastAsia="zh-CN"/>
        <w14:textFill>
          <w14:solidFill>
            <w14:schemeClr w14:val="tx1"/>
          </w14:solidFill>
        </w14:textFill>
      </w:rPr>
      <w:t>文件</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台州市</w:t>
    </w:r>
    <w:r>
      <w:rPr>
        <w:rFonts w:hint="eastAsia"/>
        <w:b/>
        <w:i/>
        <w:color w:val="000000" w:themeColor="text1"/>
        <w:kern w:val="0"/>
        <w:sz w:val="18"/>
        <w:u w:val="single"/>
        <w:lang w:eastAsia="zh-CN"/>
        <w14:textFill>
          <w14:solidFill>
            <w14:schemeClr w14:val="tx1"/>
          </w14:solidFill>
        </w14:textFill>
      </w:rPr>
      <w:t>政府采购招标</w:t>
    </w:r>
    <w:r>
      <w:rPr>
        <w:rFonts w:hint="eastAsia"/>
        <w:b/>
        <w:i/>
        <w:color w:val="000000" w:themeColor="text1"/>
        <w:kern w:val="0"/>
        <w:sz w:val="18"/>
        <w:u w:val="single"/>
        <w:lang w:val="en-US" w:eastAsia="zh-CN"/>
        <w14:textFill>
          <w14:solidFill>
            <w14:schemeClr w14:val="tx1"/>
          </w14:solidFill>
        </w14:textFill>
      </w:rPr>
      <w:t>文件</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8FA37827"/>
    <w:multiLevelType w:val="singleLevel"/>
    <w:tmpl w:val="8FA37827"/>
    <w:lvl w:ilvl="0" w:tentative="0">
      <w:start w:val="1"/>
      <w:numFmt w:val="decimal"/>
      <w:lvlText w:val="%1."/>
      <w:lvlJc w:val="left"/>
      <w:pPr>
        <w:ind w:left="425" w:hanging="425"/>
      </w:pPr>
      <w:rPr>
        <w:rFonts w:hint="default"/>
      </w:rPr>
    </w:lvl>
  </w:abstractNum>
  <w:abstractNum w:abstractNumId="2">
    <w:nsid w:val="A31CBD90"/>
    <w:multiLevelType w:val="singleLevel"/>
    <w:tmpl w:val="A31CBD90"/>
    <w:lvl w:ilvl="0" w:tentative="0">
      <w:start w:val="1"/>
      <w:numFmt w:val="decimal"/>
      <w:suff w:val="space"/>
      <w:lvlText w:val="%1."/>
      <w:lvlJc w:val="left"/>
    </w:lvl>
  </w:abstractNum>
  <w:abstractNum w:abstractNumId="3">
    <w:nsid w:val="B778F772"/>
    <w:multiLevelType w:val="singleLevel"/>
    <w:tmpl w:val="B778F772"/>
    <w:lvl w:ilvl="0" w:tentative="0">
      <w:start w:val="1"/>
      <w:numFmt w:val="decimal"/>
      <w:lvlText w:val="%1."/>
      <w:lvlJc w:val="left"/>
      <w:pPr>
        <w:tabs>
          <w:tab w:val="left" w:pos="312"/>
        </w:tabs>
      </w:pPr>
    </w:lvl>
  </w:abstractNum>
  <w:abstractNum w:abstractNumId="4">
    <w:nsid w:val="DB9645F2"/>
    <w:multiLevelType w:val="singleLevel"/>
    <w:tmpl w:val="DB9645F2"/>
    <w:lvl w:ilvl="0" w:tentative="0">
      <w:start w:val="2"/>
      <w:numFmt w:val="chineseCounting"/>
      <w:suff w:val="nothing"/>
      <w:lvlText w:val="（%1）"/>
      <w:lvlJc w:val="left"/>
      <w:rPr>
        <w:rFonts w:hint="eastAsia"/>
      </w:rPr>
    </w:lvl>
  </w:abstractNum>
  <w:abstractNum w:abstractNumId="5">
    <w:nsid w:val="DC3E784D"/>
    <w:multiLevelType w:val="singleLevel"/>
    <w:tmpl w:val="DC3E784D"/>
    <w:lvl w:ilvl="0" w:tentative="0">
      <w:start w:val="1"/>
      <w:numFmt w:val="decimal"/>
      <w:lvlText w:val="%1."/>
      <w:lvlJc w:val="left"/>
      <w:pPr>
        <w:tabs>
          <w:tab w:val="left" w:pos="312"/>
        </w:tabs>
      </w:pPr>
    </w:lvl>
  </w:abstractNum>
  <w:abstractNum w:abstractNumId="6">
    <w:nsid w:val="FF4D4BA8"/>
    <w:multiLevelType w:val="singleLevel"/>
    <w:tmpl w:val="FF4D4BA8"/>
    <w:lvl w:ilvl="0" w:tentative="0">
      <w:start w:val="1"/>
      <w:numFmt w:val="decimal"/>
      <w:lvlText w:val="%1."/>
      <w:lvlJc w:val="left"/>
      <w:pPr>
        <w:ind w:left="425" w:hanging="425"/>
      </w:pPr>
      <w:rPr>
        <w:rFonts w:hint="default"/>
      </w:rPr>
    </w:lvl>
  </w:abstractNum>
  <w:abstractNum w:abstractNumId="7">
    <w:nsid w:val="0ED2C79B"/>
    <w:multiLevelType w:val="singleLevel"/>
    <w:tmpl w:val="0ED2C79B"/>
    <w:lvl w:ilvl="0" w:tentative="0">
      <w:start w:val="1"/>
      <w:numFmt w:val="decimal"/>
      <w:pStyle w:val="6"/>
      <w:lvlText w:val="%1."/>
      <w:lvlJc w:val="left"/>
      <w:pPr>
        <w:tabs>
          <w:tab w:val="left" w:pos="360"/>
        </w:tabs>
        <w:ind w:left="360" w:hanging="360"/>
      </w:pPr>
    </w:lvl>
  </w:abstractNum>
  <w:abstractNum w:abstractNumId="8">
    <w:nsid w:val="289F1F1C"/>
    <w:multiLevelType w:val="singleLevel"/>
    <w:tmpl w:val="289F1F1C"/>
    <w:lvl w:ilvl="0" w:tentative="0">
      <w:start w:val="1"/>
      <w:numFmt w:val="decimal"/>
      <w:lvlText w:val="%1."/>
      <w:lvlJc w:val="left"/>
      <w:pPr>
        <w:ind w:left="425" w:hanging="425"/>
      </w:pPr>
      <w:rPr>
        <w:rFonts w:hint="default"/>
      </w:rPr>
    </w:lvl>
  </w:abstractNum>
  <w:abstractNum w:abstractNumId="9">
    <w:nsid w:val="461E5E94"/>
    <w:multiLevelType w:val="singleLevel"/>
    <w:tmpl w:val="461E5E94"/>
    <w:lvl w:ilvl="0" w:tentative="0">
      <w:start w:val="2"/>
      <w:numFmt w:val="chineseCounting"/>
      <w:suff w:val="space"/>
      <w:lvlText w:val="第%1章"/>
      <w:lvlJc w:val="left"/>
      <w:rPr>
        <w:rFonts w:hint="eastAsia"/>
      </w:rPr>
    </w:lvl>
  </w:abstractNum>
  <w:abstractNum w:abstractNumId="1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7488A27B"/>
    <w:multiLevelType w:val="singleLevel"/>
    <w:tmpl w:val="7488A27B"/>
    <w:lvl w:ilvl="0" w:tentative="0">
      <w:start w:val="1"/>
      <w:numFmt w:val="decimal"/>
      <w:lvlText w:val="%1."/>
      <w:lvlJc w:val="left"/>
      <w:pPr>
        <w:ind w:left="425" w:hanging="425"/>
      </w:pPr>
      <w:rPr>
        <w:rFonts w:hint="default"/>
      </w:rPr>
    </w:lvl>
  </w:abstractNum>
  <w:abstractNum w:abstractNumId="13">
    <w:nsid w:val="7E92F494"/>
    <w:multiLevelType w:val="singleLevel"/>
    <w:tmpl w:val="7E92F494"/>
    <w:lvl w:ilvl="0" w:tentative="0">
      <w:start w:val="1"/>
      <w:numFmt w:val="decimal"/>
      <w:lvlText w:val="%1."/>
      <w:lvlJc w:val="left"/>
      <w:pPr>
        <w:ind w:left="425" w:hanging="425"/>
      </w:pPr>
      <w:rPr>
        <w:rFonts w:hint="default"/>
      </w:rPr>
    </w:lvl>
  </w:abstractNum>
  <w:num w:numId="1">
    <w:abstractNumId w:val="10"/>
  </w:num>
  <w:num w:numId="2">
    <w:abstractNumId w:val="7"/>
  </w:num>
  <w:num w:numId="3">
    <w:abstractNumId w:val="11"/>
  </w:num>
  <w:num w:numId="4">
    <w:abstractNumId w:val="9"/>
  </w:num>
  <w:num w:numId="5">
    <w:abstractNumId w:val="4"/>
  </w:num>
  <w:num w:numId="6">
    <w:abstractNumId w:val="2"/>
  </w:num>
  <w:num w:numId="7">
    <w:abstractNumId w:val="5"/>
  </w:num>
  <w:num w:numId="8">
    <w:abstractNumId w:val="0"/>
  </w:num>
  <w:num w:numId="9">
    <w:abstractNumId w:val="13"/>
  </w:num>
  <w:num w:numId="10">
    <w:abstractNumId w:val="12"/>
  </w:num>
  <w:num w:numId="11">
    <w:abstractNumId w:val="1"/>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NzUyMWQ0MmFiMTRmMjRhZDk1NTc2MWJlMWI1MWMifQ=="/>
  </w:docVars>
  <w:rsids>
    <w:rsidRoot w:val="685F2B0C"/>
    <w:rsid w:val="0002799D"/>
    <w:rsid w:val="00032DC5"/>
    <w:rsid w:val="00037F4A"/>
    <w:rsid w:val="00072A3F"/>
    <w:rsid w:val="000E538F"/>
    <w:rsid w:val="001136A2"/>
    <w:rsid w:val="001B51C8"/>
    <w:rsid w:val="001C4F91"/>
    <w:rsid w:val="001E6CF9"/>
    <w:rsid w:val="00242A20"/>
    <w:rsid w:val="002A4418"/>
    <w:rsid w:val="00312C7C"/>
    <w:rsid w:val="00315916"/>
    <w:rsid w:val="003201FA"/>
    <w:rsid w:val="00330F75"/>
    <w:rsid w:val="003C4BB8"/>
    <w:rsid w:val="003E7404"/>
    <w:rsid w:val="00401AC8"/>
    <w:rsid w:val="00494691"/>
    <w:rsid w:val="005240D4"/>
    <w:rsid w:val="00565F77"/>
    <w:rsid w:val="005B7FA6"/>
    <w:rsid w:val="00623A21"/>
    <w:rsid w:val="00627077"/>
    <w:rsid w:val="00627D71"/>
    <w:rsid w:val="0066350B"/>
    <w:rsid w:val="006F24A9"/>
    <w:rsid w:val="006F679D"/>
    <w:rsid w:val="0072317A"/>
    <w:rsid w:val="007E4962"/>
    <w:rsid w:val="0093255C"/>
    <w:rsid w:val="00987EDA"/>
    <w:rsid w:val="00A921FD"/>
    <w:rsid w:val="00A97E75"/>
    <w:rsid w:val="00AA020C"/>
    <w:rsid w:val="00AB49B7"/>
    <w:rsid w:val="00B023A2"/>
    <w:rsid w:val="00B44061"/>
    <w:rsid w:val="00BD378A"/>
    <w:rsid w:val="00C4791F"/>
    <w:rsid w:val="00CF3329"/>
    <w:rsid w:val="00D00C48"/>
    <w:rsid w:val="00D0546E"/>
    <w:rsid w:val="00D07E9B"/>
    <w:rsid w:val="00DB1E3F"/>
    <w:rsid w:val="00DC1336"/>
    <w:rsid w:val="00E32B23"/>
    <w:rsid w:val="00E41EBA"/>
    <w:rsid w:val="00E448AC"/>
    <w:rsid w:val="00E66CDC"/>
    <w:rsid w:val="00EC04A9"/>
    <w:rsid w:val="00EF43FF"/>
    <w:rsid w:val="00F26F1C"/>
    <w:rsid w:val="010742D5"/>
    <w:rsid w:val="01077B6C"/>
    <w:rsid w:val="011C2867"/>
    <w:rsid w:val="011E4134"/>
    <w:rsid w:val="012355F0"/>
    <w:rsid w:val="012B6D61"/>
    <w:rsid w:val="015C2A86"/>
    <w:rsid w:val="015F789E"/>
    <w:rsid w:val="01851778"/>
    <w:rsid w:val="01877B5A"/>
    <w:rsid w:val="018A3D3F"/>
    <w:rsid w:val="01AE11E6"/>
    <w:rsid w:val="01B70CE3"/>
    <w:rsid w:val="01D10A61"/>
    <w:rsid w:val="01D61DCE"/>
    <w:rsid w:val="01F170ED"/>
    <w:rsid w:val="01F53A09"/>
    <w:rsid w:val="01F916C8"/>
    <w:rsid w:val="02040004"/>
    <w:rsid w:val="022115FB"/>
    <w:rsid w:val="02292E42"/>
    <w:rsid w:val="02375009"/>
    <w:rsid w:val="02536BAE"/>
    <w:rsid w:val="0277756A"/>
    <w:rsid w:val="0294584C"/>
    <w:rsid w:val="029A4E8A"/>
    <w:rsid w:val="02BD7D6C"/>
    <w:rsid w:val="02C73731"/>
    <w:rsid w:val="032A675A"/>
    <w:rsid w:val="032C58C3"/>
    <w:rsid w:val="036059A4"/>
    <w:rsid w:val="037628ED"/>
    <w:rsid w:val="03804F1D"/>
    <w:rsid w:val="038D5F87"/>
    <w:rsid w:val="03996F9E"/>
    <w:rsid w:val="03A92BAF"/>
    <w:rsid w:val="03AD4EC4"/>
    <w:rsid w:val="03DC5B25"/>
    <w:rsid w:val="041155D0"/>
    <w:rsid w:val="04315D2A"/>
    <w:rsid w:val="04431C4F"/>
    <w:rsid w:val="044D523C"/>
    <w:rsid w:val="04604D98"/>
    <w:rsid w:val="046212F9"/>
    <w:rsid w:val="04663F34"/>
    <w:rsid w:val="04686D1E"/>
    <w:rsid w:val="04E746F0"/>
    <w:rsid w:val="04E87471"/>
    <w:rsid w:val="050A0D5B"/>
    <w:rsid w:val="050D23B9"/>
    <w:rsid w:val="05162537"/>
    <w:rsid w:val="051E7487"/>
    <w:rsid w:val="053E2DA0"/>
    <w:rsid w:val="053F0EAC"/>
    <w:rsid w:val="053F23D3"/>
    <w:rsid w:val="056B3DBF"/>
    <w:rsid w:val="057D6BFC"/>
    <w:rsid w:val="057E41A9"/>
    <w:rsid w:val="05B01B1D"/>
    <w:rsid w:val="05BC5BB6"/>
    <w:rsid w:val="05CB2372"/>
    <w:rsid w:val="05F31C88"/>
    <w:rsid w:val="05FD1629"/>
    <w:rsid w:val="06221E50"/>
    <w:rsid w:val="06653309"/>
    <w:rsid w:val="06653EC4"/>
    <w:rsid w:val="067544C8"/>
    <w:rsid w:val="0699402C"/>
    <w:rsid w:val="069C64C8"/>
    <w:rsid w:val="06A0112C"/>
    <w:rsid w:val="06AD7687"/>
    <w:rsid w:val="06B864B2"/>
    <w:rsid w:val="06D372D6"/>
    <w:rsid w:val="06D64E56"/>
    <w:rsid w:val="06F061D6"/>
    <w:rsid w:val="0703081A"/>
    <w:rsid w:val="070C5153"/>
    <w:rsid w:val="070E765D"/>
    <w:rsid w:val="07157529"/>
    <w:rsid w:val="071747A0"/>
    <w:rsid w:val="071E2C8A"/>
    <w:rsid w:val="07347410"/>
    <w:rsid w:val="07425FC3"/>
    <w:rsid w:val="074273EB"/>
    <w:rsid w:val="07463A3E"/>
    <w:rsid w:val="074E4D14"/>
    <w:rsid w:val="079F3EE7"/>
    <w:rsid w:val="07AE41DE"/>
    <w:rsid w:val="07D85507"/>
    <w:rsid w:val="07DF5164"/>
    <w:rsid w:val="07E50580"/>
    <w:rsid w:val="07F46C10"/>
    <w:rsid w:val="07F520AE"/>
    <w:rsid w:val="07F9224F"/>
    <w:rsid w:val="07FA589D"/>
    <w:rsid w:val="082E5DF2"/>
    <w:rsid w:val="085403A4"/>
    <w:rsid w:val="085E020A"/>
    <w:rsid w:val="086951C1"/>
    <w:rsid w:val="08696EDC"/>
    <w:rsid w:val="087075EB"/>
    <w:rsid w:val="088D6A54"/>
    <w:rsid w:val="08941B48"/>
    <w:rsid w:val="08BD6586"/>
    <w:rsid w:val="08C60C4A"/>
    <w:rsid w:val="08C72312"/>
    <w:rsid w:val="08DC3175"/>
    <w:rsid w:val="08F0261B"/>
    <w:rsid w:val="08F81693"/>
    <w:rsid w:val="08FC23B7"/>
    <w:rsid w:val="09060203"/>
    <w:rsid w:val="090A0832"/>
    <w:rsid w:val="095406F9"/>
    <w:rsid w:val="0955362C"/>
    <w:rsid w:val="09566590"/>
    <w:rsid w:val="09583EB5"/>
    <w:rsid w:val="095D7A37"/>
    <w:rsid w:val="09772EC5"/>
    <w:rsid w:val="09875848"/>
    <w:rsid w:val="09B565E4"/>
    <w:rsid w:val="09BB0BBA"/>
    <w:rsid w:val="09BB6CF7"/>
    <w:rsid w:val="09C77B1C"/>
    <w:rsid w:val="09E70A54"/>
    <w:rsid w:val="09E77E14"/>
    <w:rsid w:val="09E9749A"/>
    <w:rsid w:val="09F232F3"/>
    <w:rsid w:val="09F46495"/>
    <w:rsid w:val="09F623EB"/>
    <w:rsid w:val="09FF3A0A"/>
    <w:rsid w:val="0A082AE0"/>
    <w:rsid w:val="0A0D5A3B"/>
    <w:rsid w:val="0A172426"/>
    <w:rsid w:val="0A2355D9"/>
    <w:rsid w:val="0A4573B3"/>
    <w:rsid w:val="0A53599E"/>
    <w:rsid w:val="0A744A82"/>
    <w:rsid w:val="0A8528D5"/>
    <w:rsid w:val="0A903A5E"/>
    <w:rsid w:val="0A904AA4"/>
    <w:rsid w:val="0A93374C"/>
    <w:rsid w:val="0A972E8D"/>
    <w:rsid w:val="0AAA5EAC"/>
    <w:rsid w:val="0AB40849"/>
    <w:rsid w:val="0ABB2280"/>
    <w:rsid w:val="0AD56F1F"/>
    <w:rsid w:val="0AE30D6F"/>
    <w:rsid w:val="0AE946CC"/>
    <w:rsid w:val="0AEA3C8C"/>
    <w:rsid w:val="0AEE0D1E"/>
    <w:rsid w:val="0AFC0782"/>
    <w:rsid w:val="0B1E0CF0"/>
    <w:rsid w:val="0B556C34"/>
    <w:rsid w:val="0B6C389D"/>
    <w:rsid w:val="0B760351"/>
    <w:rsid w:val="0B846791"/>
    <w:rsid w:val="0B8B536A"/>
    <w:rsid w:val="0BCC7711"/>
    <w:rsid w:val="0BCD0049"/>
    <w:rsid w:val="0BE83010"/>
    <w:rsid w:val="0BEA0DB9"/>
    <w:rsid w:val="0C061D9D"/>
    <w:rsid w:val="0C0F3325"/>
    <w:rsid w:val="0C1358B4"/>
    <w:rsid w:val="0C35472E"/>
    <w:rsid w:val="0C4551B9"/>
    <w:rsid w:val="0C480F3E"/>
    <w:rsid w:val="0C4813D5"/>
    <w:rsid w:val="0C585BE0"/>
    <w:rsid w:val="0C7E2237"/>
    <w:rsid w:val="0C9F1CEA"/>
    <w:rsid w:val="0CBE1DF9"/>
    <w:rsid w:val="0CC9599A"/>
    <w:rsid w:val="0CE0341A"/>
    <w:rsid w:val="0D10283C"/>
    <w:rsid w:val="0D3F7F2E"/>
    <w:rsid w:val="0D494870"/>
    <w:rsid w:val="0D5456F5"/>
    <w:rsid w:val="0D5955C7"/>
    <w:rsid w:val="0D705EC6"/>
    <w:rsid w:val="0D7C5049"/>
    <w:rsid w:val="0D83675C"/>
    <w:rsid w:val="0D8C75B3"/>
    <w:rsid w:val="0D9E0018"/>
    <w:rsid w:val="0DB757B9"/>
    <w:rsid w:val="0DE7555E"/>
    <w:rsid w:val="0DF06351"/>
    <w:rsid w:val="0E0979BF"/>
    <w:rsid w:val="0E5A014C"/>
    <w:rsid w:val="0E5E4DB8"/>
    <w:rsid w:val="0E5F6E07"/>
    <w:rsid w:val="0E607B1B"/>
    <w:rsid w:val="0E6126CF"/>
    <w:rsid w:val="0E635AF2"/>
    <w:rsid w:val="0E7F77A7"/>
    <w:rsid w:val="0E8405CA"/>
    <w:rsid w:val="0E8D5133"/>
    <w:rsid w:val="0EB1236A"/>
    <w:rsid w:val="0EC80162"/>
    <w:rsid w:val="0F197C6F"/>
    <w:rsid w:val="0F270991"/>
    <w:rsid w:val="0F3E6F11"/>
    <w:rsid w:val="0F6F7789"/>
    <w:rsid w:val="0FC27645"/>
    <w:rsid w:val="101F02CE"/>
    <w:rsid w:val="105C5738"/>
    <w:rsid w:val="107907CC"/>
    <w:rsid w:val="10843C5D"/>
    <w:rsid w:val="109909D1"/>
    <w:rsid w:val="10B73F1D"/>
    <w:rsid w:val="10BE1B05"/>
    <w:rsid w:val="10C84882"/>
    <w:rsid w:val="10D1178C"/>
    <w:rsid w:val="10E07EE2"/>
    <w:rsid w:val="10F630E0"/>
    <w:rsid w:val="11112CBE"/>
    <w:rsid w:val="11163418"/>
    <w:rsid w:val="111818B8"/>
    <w:rsid w:val="113B439C"/>
    <w:rsid w:val="11537715"/>
    <w:rsid w:val="11565610"/>
    <w:rsid w:val="11674F62"/>
    <w:rsid w:val="1171000D"/>
    <w:rsid w:val="118A244C"/>
    <w:rsid w:val="11950BDB"/>
    <w:rsid w:val="119C5B20"/>
    <w:rsid w:val="11A0203A"/>
    <w:rsid w:val="11A2124C"/>
    <w:rsid w:val="11AC592C"/>
    <w:rsid w:val="11AD389E"/>
    <w:rsid w:val="11C20C82"/>
    <w:rsid w:val="11C768FF"/>
    <w:rsid w:val="11D675CB"/>
    <w:rsid w:val="12063740"/>
    <w:rsid w:val="12101447"/>
    <w:rsid w:val="12275F24"/>
    <w:rsid w:val="12300982"/>
    <w:rsid w:val="123756C9"/>
    <w:rsid w:val="125F1817"/>
    <w:rsid w:val="12631B42"/>
    <w:rsid w:val="12655569"/>
    <w:rsid w:val="12695551"/>
    <w:rsid w:val="127F2662"/>
    <w:rsid w:val="128435EC"/>
    <w:rsid w:val="129643EF"/>
    <w:rsid w:val="12AD7A5C"/>
    <w:rsid w:val="12B83A98"/>
    <w:rsid w:val="12BB4641"/>
    <w:rsid w:val="12BF6231"/>
    <w:rsid w:val="12CD4F26"/>
    <w:rsid w:val="12CE1F8E"/>
    <w:rsid w:val="13024F62"/>
    <w:rsid w:val="1307442E"/>
    <w:rsid w:val="130B3F40"/>
    <w:rsid w:val="13244721"/>
    <w:rsid w:val="13285985"/>
    <w:rsid w:val="133A1A09"/>
    <w:rsid w:val="133C703D"/>
    <w:rsid w:val="13494163"/>
    <w:rsid w:val="134C77A5"/>
    <w:rsid w:val="134D2BB6"/>
    <w:rsid w:val="135D3F89"/>
    <w:rsid w:val="135E6A8D"/>
    <w:rsid w:val="13731B39"/>
    <w:rsid w:val="1381791C"/>
    <w:rsid w:val="13A11F77"/>
    <w:rsid w:val="13A75515"/>
    <w:rsid w:val="13C30E6E"/>
    <w:rsid w:val="140769BE"/>
    <w:rsid w:val="1413430F"/>
    <w:rsid w:val="141613F9"/>
    <w:rsid w:val="14203CB8"/>
    <w:rsid w:val="143A0B7C"/>
    <w:rsid w:val="143C354F"/>
    <w:rsid w:val="144646A7"/>
    <w:rsid w:val="14545F32"/>
    <w:rsid w:val="14596F4E"/>
    <w:rsid w:val="146F011F"/>
    <w:rsid w:val="147632A2"/>
    <w:rsid w:val="14872049"/>
    <w:rsid w:val="14936552"/>
    <w:rsid w:val="14C272D2"/>
    <w:rsid w:val="14E463A0"/>
    <w:rsid w:val="14EA3450"/>
    <w:rsid w:val="14F767B6"/>
    <w:rsid w:val="14FB222F"/>
    <w:rsid w:val="14FF79DA"/>
    <w:rsid w:val="150F0D42"/>
    <w:rsid w:val="151C2838"/>
    <w:rsid w:val="153E582F"/>
    <w:rsid w:val="159016BB"/>
    <w:rsid w:val="15E5000F"/>
    <w:rsid w:val="16031113"/>
    <w:rsid w:val="16213B9C"/>
    <w:rsid w:val="16674FC6"/>
    <w:rsid w:val="16692CA6"/>
    <w:rsid w:val="16725D01"/>
    <w:rsid w:val="168F227C"/>
    <w:rsid w:val="16F45F36"/>
    <w:rsid w:val="16F64319"/>
    <w:rsid w:val="16FC1D97"/>
    <w:rsid w:val="171F0861"/>
    <w:rsid w:val="17372639"/>
    <w:rsid w:val="173D243C"/>
    <w:rsid w:val="17534ECF"/>
    <w:rsid w:val="175F0E7A"/>
    <w:rsid w:val="1767434D"/>
    <w:rsid w:val="178B2122"/>
    <w:rsid w:val="17BA77C8"/>
    <w:rsid w:val="17C93C3F"/>
    <w:rsid w:val="17D71645"/>
    <w:rsid w:val="17DD1E28"/>
    <w:rsid w:val="17E01BB1"/>
    <w:rsid w:val="17E21891"/>
    <w:rsid w:val="181011F1"/>
    <w:rsid w:val="181C38B0"/>
    <w:rsid w:val="181E053B"/>
    <w:rsid w:val="18205336"/>
    <w:rsid w:val="184F29B3"/>
    <w:rsid w:val="18810539"/>
    <w:rsid w:val="18AA0A18"/>
    <w:rsid w:val="18DF40DC"/>
    <w:rsid w:val="18F45107"/>
    <w:rsid w:val="18F47AF6"/>
    <w:rsid w:val="190A522C"/>
    <w:rsid w:val="191C0124"/>
    <w:rsid w:val="192349BD"/>
    <w:rsid w:val="19297C63"/>
    <w:rsid w:val="192A06DB"/>
    <w:rsid w:val="192C0B58"/>
    <w:rsid w:val="192D288C"/>
    <w:rsid w:val="194335B5"/>
    <w:rsid w:val="197467ED"/>
    <w:rsid w:val="198218DD"/>
    <w:rsid w:val="19A01ECA"/>
    <w:rsid w:val="19BF2F9E"/>
    <w:rsid w:val="19C56581"/>
    <w:rsid w:val="19EE41FA"/>
    <w:rsid w:val="1A002E3D"/>
    <w:rsid w:val="1A0E78C9"/>
    <w:rsid w:val="1A5A6066"/>
    <w:rsid w:val="1A777345"/>
    <w:rsid w:val="1A7A4184"/>
    <w:rsid w:val="1A8D59A2"/>
    <w:rsid w:val="1A8E3BCD"/>
    <w:rsid w:val="1AD15B84"/>
    <w:rsid w:val="1ADA6CD0"/>
    <w:rsid w:val="1AF47380"/>
    <w:rsid w:val="1B0C0005"/>
    <w:rsid w:val="1B251F48"/>
    <w:rsid w:val="1B3833FF"/>
    <w:rsid w:val="1B396BED"/>
    <w:rsid w:val="1B4C6CA1"/>
    <w:rsid w:val="1B52759D"/>
    <w:rsid w:val="1B612ED3"/>
    <w:rsid w:val="1B6A011C"/>
    <w:rsid w:val="1B705E15"/>
    <w:rsid w:val="1B8C6B7B"/>
    <w:rsid w:val="1BA0571E"/>
    <w:rsid w:val="1BA72C10"/>
    <w:rsid w:val="1BB91038"/>
    <w:rsid w:val="1BBF65FB"/>
    <w:rsid w:val="1BD162E3"/>
    <w:rsid w:val="1BDE64F1"/>
    <w:rsid w:val="1BEA1EEC"/>
    <w:rsid w:val="1BF657FB"/>
    <w:rsid w:val="1BF868AD"/>
    <w:rsid w:val="1C0503E8"/>
    <w:rsid w:val="1C126363"/>
    <w:rsid w:val="1C2023D8"/>
    <w:rsid w:val="1C766429"/>
    <w:rsid w:val="1C771298"/>
    <w:rsid w:val="1C786858"/>
    <w:rsid w:val="1C800114"/>
    <w:rsid w:val="1C9A155D"/>
    <w:rsid w:val="1CB15134"/>
    <w:rsid w:val="1CC92F95"/>
    <w:rsid w:val="1CFA7EEF"/>
    <w:rsid w:val="1CFB1146"/>
    <w:rsid w:val="1D077978"/>
    <w:rsid w:val="1D0E75B6"/>
    <w:rsid w:val="1D2331DE"/>
    <w:rsid w:val="1D312AFC"/>
    <w:rsid w:val="1D325ED3"/>
    <w:rsid w:val="1D37062D"/>
    <w:rsid w:val="1D4105A8"/>
    <w:rsid w:val="1D487EB6"/>
    <w:rsid w:val="1D7B204C"/>
    <w:rsid w:val="1DB72E7F"/>
    <w:rsid w:val="1E317170"/>
    <w:rsid w:val="1E331E3B"/>
    <w:rsid w:val="1E3C1C1F"/>
    <w:rsid w:val="1E4914EC"/>
    <w:rsid w:val="1E561B49"/>
    <w:rsid w:val="1E5B5B74"/>
    <w:rsid w:val="1E925E44"/>
    <w:rsid w:val="1EDB21B2"/>
    <w:rsid w:val="1EE21D29"/>
    <w:rsid w:val="1F0B37C8"/>
    <w:rsid w:val="1F280F4B"/>
    <w:rsid w:val="1F3E1D5D"/>
    <w:rsid w:val="1F441C9D"/>
    <w:rsid w:val="1F6E3177"/>
    <w:rsid w:val="1F6F04BA"/>
    <w:rsid w:val="1F6F7A87"/>
    <w:rsid w:val="1F7742A1"/>
    <w:rsid w:val="1F832B7E"/>
    <w:rsid w:val="1F8C15A6"/>
    <w:rsid w:val="1F986F45"/>
    <w:rsid w:val="1F9F6666"/>
    <w:rsid w:val="1FC40F5C"/>
    <w:rsid w:val="1FCD6552"/>
    <w:rsid w:val="1FE07634"/>
    <w:rsid w:val="1FF829ED"/>
    <w:rsid w:val="20027E74"/>
    <w:rsid w:val="201047BC"/>
    <w:rsid w:val="2019412B"/>
    <w:rsid w:val="2024650C"/>
    <w:rsid w:val="204E5FD2"/>
    <w:rsid w:val="20703E6E"/>
    <w:rsid w:val="207A428C"/>
    <w:rsid w:val="20835E3C"/>
    <w:rsid w:val="208A0C45"/>
    <w:rsid w:val="208F1332"/>
    <w:rsid w:val="209C08EE"/>
    <w:rsid w:val="20AA71C2"/>
    <w:rsid w:val="20B10A0D"/>
    <w:rsid w:val="20B9166B"/>
    <w:rsid w:val="20D02ECC"/>
    <w:rsid w:val="20DC2970"/>
    <w:rsid w:val="20FA7410"/>
    <w:rsid w:val="21076B87"/>
    <w:rsid w:val="21094E07"/>
    <w:rsid w:val="21113681"/>
    <w:rsid w:val="21250156"/>
    <w:rsid w:val="212B3666"/>
    <w:rsid w:val="21523AD1"/>
    <w:rsid w:val="215C6880"/>
    <w:rsid w:val="216D19EE"/>
    <w:rsid w:val="21860B2C"/>
    <w:rsid w:val="218F0080"/>
    <w:rsid w:val="21E13F03"/>
    <w:rsid w:val="22084595"/>
    <w:rsid w:val="2225605D"/>
    <w:rsid w:val="222A72A4"/>
    <w:rsid w:val="222F2404"/>
    <w:rsid w:val="22423882"/>
    <w:rsid w:val="226C1BBE"/>
    <w:rsid w:val="227334E7"/>
    <w:rsid w:val="22734646"/>
    <w:rsid w:val="228B5E91"/>
    <w:rsid w:val="22AE1EDE"/>
    <w:rsid w:val="22C23296"/>
    <w:rsid w:val="22DD6CC1"/>
    <w:rsid w:val="2307360A"/>
    <w:rsid w:val="230F0CC5"/>
    <w:rsid w:val="231E1E30"/>
    <w:rsid w:val="23243D93"/>
    <w:rsid w:val="232931CF"/>
    <w:rsid w:val="233E3FBC"/>
    <w:rsid w:val="23444415"/>
    <w:rsid w:val="234D2AE9"/>
    <w:rsid w:val="23505F5A"/>
    <w:rsid w:val="235F3612"/>
    <w:rsid w:val="23666663"/>
    <w:rsid w:val="23693289"/>
    <w:rsid w:val="23757B5B"/>
    <w:rsid w:val="237B0E89"/>
    <w:rsid w:val="238732D2"/>
    <w:rsid w:val="23887728"/>
    <w:rsid w:val="239147E1"/>
    <w:rsid w:val="23920DB7"/>
    <w:rsid w:val="239C1E68"/>
    <w:rsid w:val="23BB34F7"/>
    <w:rsid w:val="23D167C1"/>
    <w:rsid w:val="23FE2934"/>
    <w:rsid w:val="24105169"/>
    <w:rsid w:val="24145543"/>
    <w:rsid w:val="2415164D"/>
    <w:rsid w:val="242853E9"/>
    <w:rsid w:val="24372605"/>
    <w:rsid w:val="24426206"/>
    <w:rsid w:val="247921D2"/>
    <w:rsid w:val="24D40FD8"/>
    <w:rsid w:val="24DE5C48"/>
    <w:rsid w:val="24E51E80"/>
    <w:rsid w:val="24F64777"/>
    <w:rsid w:val="24FB1C59"/>
    <w:rsid w:val="24FE0E05"/>
    <w:rsid w:val="25517809"/>
    <w:rsid w:val="256C1BBD"/>
    <w:rsid w:val="256F2571"/>
    <w:rsid w:val="2576124C"/>
    <w:rsid w:val="258130F7"/>
    <w:rsid w:val="259402E7"/>
    <w:rsid w:val="25AF3989"/>
    <w:rsid w:val="25B82D92"/>
    <w:rsid w:val="25C73339"/>
    <w:rsid w:val="25C772BF"/>
    <w:rsid w:val="25D05B49"/>
    <w:rsid w:val="25D62822"/>
    <w:rsid w:val="25F82554"/>
    <w:rsid w:val="25FD1357"/>
    <w:rsid w:val="260B3061"/>
    <w:rsid w:val="26205FC9"/>
    <w:rsid w:val="262931EB"/>
    <w:rsid w:val="262E591A"/>
    <w:rsid w:val="263771C4"/>
    <w:rsid w:val="26400EA4"/>
    <w:rsid w:val="265B4748"/>
    <w:rsid w:val="26622CD9"/>
    <w:rsid w:val="266372C2"/>
    <w:rsid w:val="267961DB"/>
    <w:rsid w:val="268C7D4E"/>
    <w:rsid w:val="26A60A07"/>
    <w:rsid w:val="26B424FB"/>
    <w:rsid w:val="26CC1B59"/>
    <w:rsid w:val="26D10703"/>
    <w:rsid w:val="26D10ECC"/>
    <w:rsid w:val="26EF57DC"/>
    <w:rsid w:val="27083115"/>
    <w:rsid w:val="27142A2D"/>
    <w:rsid w:val="271B4881"/>
    <w:rsid w:val="27214C90"/>
    <w:rsid w:val="272414C7"/>
    <w:rsid w:val="272A2ED5"/>
    <w:rsid w:val="273E547E"/>
    <w:rsid w:val="27685524"/>
    <w:rsid w:val="276959E0"/>
    <w:rsid w:val="276F555C"/>
    <w:rsid w:val="27702C8E"/>
    <w:rsid w:val="27827E3D"/>
    <w:rsid w:val="27A028B7"/>
    <w:rsid w:val="27AB6605"/>
    <w:rsid w:val="27BF3604"/>
    <w:rsid w:val="27D26786"/>
    <w:rsid w:val="27EA6257"/>
    <w:rsid w:val="27FD3CE9"/>
    <w:rsid w:val="2831638E"/>
    <w:rsid w:val="284F457A"/>
    <w:rsid w:val="28503B39"/>
    <w:rsid w:val="285117F8"/>
    <w:rsid w:val="288445F5"/>
    <w:rsid w:val="28883EBB"/>
    <w:rsid w:val="28885F5E"/>
    <w:rsid w:val="28901CD3"/>
    <w:rsid w:val="28907627"/>
    <w:rsid w:val="28A908AA"/>
    <w:rsid w:val="28C3120E"/>
    <w:rsid w:val="28D9203E"/>
    <w:rsid w:val="28FA3AFB"/>
    <w:rsid w:val="290A1459"/>
    <w:rsid w:val="290D2770"/>
    <w:rsid w:val="293430C2"/>
    <w:rsid w:val="29394DC3"/>
    <w:rsid w:val="294D3F3D"/>
    <w:rsid w:val="296A69AB"/>
    <w:rsid w:val="296E2E4C"/>
    <w:rsid w:val="297A28A9"/>
    <w:rsid w:val="29871168"/>
    <w:rsid w:val="299C3570"/>
    <w:rsid w:val="299C610E"/>
    <w:rsid w:val="299F7580"/>
    <w:rsid w:val="29B24934"/>
    <w:rsid w:val="29B661A7"/>
    <w:rsid w:val="29C25DAC"/>
    <w:rsid w:val="29EF59E7"/>
    <w:rsid w:val="29F869C7"/>
    <w:rsid w:val="29FA460F"/>
    <w:rsid w:val="2A081208"/>
    <w:rsid w:val="2A19132F"/>
    <w:rsid w:val="2A1E3A2B"/>
    <w:rsid w:val="2A3714C4"/>
    <w:rsid w:val="2A4E1459"/>
    <w:rsid w:val="2A5E24DB"/>
    <w:rsid w:val="2A926984"/>
    <w:rsid w:val="2AA908E7"/>
    <w:rsid w:val="2AC017A8"/>
    <w:rsid w:val="2AC36155"/>
    <w:rsid w:val="2AF2488D"/>
    <w:rsid w:val="2B1C1A99"/>
    <w:rsid w:val="2B334F71"/>
    <w:rsid w:val="2B50394A"/>
    <w:rsid w:val="2B753191"/>
    <w:rsid w:val="2B7D6E07"/>
    <w:rsid w:val="2B9444D2"/>
    <w:rsid w:val="2BE340CE"/>
    <w:rsid w:val="2BFC3479"/>
    <w:rsid w:val="2BFD1056"/>
    <w:rsid w:val="2C1E1CA1"/>
    <w:rsid w:val="2C214447"/>
    <w:rsid w:val="2C232160"/>
    <w:rsid w:val="2C4D6F1B"/>
    <w:rsid w:val="2C587217"/>
    <w:rsid w:val="2C825683"/>
    <w:rsid w:val="2C8D63B1"/>
    <w:rsid w:val="2CBB44E5"/>
    <w:rsid w:val="2CBC77F6"/>
    <w:rsid w:val="2CDB55D6"/>
    <w:rsid w:val="2D1D236A"/>
    <w:rsid w:val="2D292626"/>
    <w:rsid w:val="2DAB174B"/>
    <w:rsid w:val="2DAC3053"/>
    <w:rsid w:val="2DB21AB3"/>
    <w:rsid w:val="2DC70AE2"/>
    <w:rsid w:val="2DCA6026"/>
    <w:rsid w:val="2DCD4928"/>
    <w:rsid w:val="2DE96603"/>
    <w:rsid w:val="2E096E66"/>
    <w:rsid w:val="2E1729D6"/>
    <w:rsid w:val="2E1A0C6A"/>
    <w:rsid w:val="2E347EE6"/>
    <w:rsid w:val="2E374A38"/>
    <w:rsid w:val="2E3A1850"/>
    <w:rsid w:val="2E3C5510"/>
    <w:rsid w:val="2E4A61BB"/>
    <w:rsid w:val="2E6305D7"/>
    <w:rsid w:val="2E690638"/>
    <w:rsid w:val="2E875B98"/>
    <w:rsid w:val="2EA37EAA"/>
    <w:rsid w:val="2EBD7031"/>
    <w:rsid w:val="2EF73B32"/>
    <w:rsid w:val="2F011E82"/>
    <w:rsid w:val="2F240791"/>
    <w:rsid w:val="2F492921"/>
    <w:rsid w:val="2F4C7446"/>
    <w:rsid w:val="2F6858EF"/>
    <w:rsid w:val="2F6A0B1E"/>
    <w:rsid w:val="2F784161"/>
    <w:rsid w:val="2F7B48B5"/>
    <w:rsid w:val="2F853233"/>
    <w:rsid w:val="2FAF333B"/>
    <w:rsid w:val="2FC27E67"/>
    <w:rsid w:val="2FCD2C96"/>
    <w:rsid w:val="2FE66FC1"/>
    <w:rsid w:val="30160CDB"/>
    <w:rsid w:val="301B2075"/>
    <w:rsid w:val="30243B4E"/>
    <w:rsid w:val="30287A71"/>
    <w:rsid w:val="3046030C"/>
    <w:rsid w:val="30613F93"/>
    <w:rsid w:val="306162D4"/>
    <w:rsid w:val="30635A86"/>
    <w:rsid w:val="30797BE5"/>
    <w:rsid w:val="308146B4"/>
    <w:rsid w:val="309F27BB"/>
    <w:rsid w:val="30C01081"/>
    <w:rsid w:val="30C81567"/>
    <w:rsid w:val="30CD46BC"/>
    <w:rsid w:val="31013135"/>
    <w:rsid w:val="311763B6"/>
    <w:rsid w:val="31257A15"/>
    <w:rsid w:val="31452A71"/>
    <w:rsid w:val="31527289"/>
    <w:rsid w:val="31834561"/>
    <w:rsid w:val="318F2514"/>
    <w:rsid w:val="31AC658F"/>
    <w:rsid w:val="31B2519D"/>
    <w:rsid w:val="31B37BA1"/>
    <w:rsid w:val="31EE6D68"/>
    <w:rsid w:val="31F241E6"/>
    <w:rsid w:val="31FD2600"/>
    <w:rsid w:val="32114B98"/>
    <w:rsid w:val="32127E75"/>
    <w:rsid w:val="32210BD1"/>
    <w:rsid w:val="322658D9"/>
    <w:rsid w:val="32361B53"/>
    <w:rsid w:val="32400891"/>
    <w:rsid w:val="32493248"/>
    <w:rsid w:val="324C0B81"/>
    <w:rsid w:val="3272558C"/>
    <w:rsid w:val="327403EA"/>
    <w:rsid w:val="3299612B"/>
    <w:rsid w:val="32C25872"/>
    <w:rsid w:val="32D473D1"/>
    <w:rsid w:val="32DA51AD"/>
    <w:rsid w:val="32DC671C"/>
    <w:rsid w:val="33091096"/>
    <w:rsid w:val="33232830"/>
    <w:rsid w:val="33247F6A"/>
    <w:rsid w:val="33442827"/>
    <w:rsid w:val="33462AFF"/>
    <w:rsid w:val="337E52FC"/>
    <w:rsid w:val="33843CA1"/>
    <w:rsid w:val="338604C2"/>
    <w:rsid w:val="338F2A0F"/>
    <w:rsid w:val="33996246"/>
    <w:rsid w:val="33DC7649"/>
    <w:rsid w:val="340639D6"/>
    <w:rsid w:val="34105AD1"/>
    <w:rsid w:val="34731AFC"/>
    <w:rsid w:val="347728F4"/>
    <w:rsid w:val="348B54C8"/>
    <w:rsid w:val="34915550"/>
    <w:rsid w:val="349D56AC"/>
    <w:rsid w:val="349D6BA5"/>
    <w:rsid w:val="34A11B7B"/>
    <w:rsid w:val="34A6697A"/>
    <w:rsid w:val="34AF7E71"/>
    <w:rsid w:val="34B33A72"/>
    <w:rsid w:val="34BF1760"/>
    <w:rsid w:val="34D5280E"/>
    <w:rsid w:val="34E20D20"/>
    <w:rsid w:val="350C7DB7"/>
    <w:rsid w:val="3562042D"/>
    <w:rsid w:val="356608C9"/>
    <w:rsid w:val="35850AE6"/>
    <w:rsid w:val="35DE1818"/>
    <w:rsid w:val="35E06871"/>
    <w:rsid w:val="36146F55"/>
    <w:rsid w:val="36787E34"/>
    <w:rsid w:val="36D974F7"/>
    <w:rsid w:val="36E03CF2"/>
    <w:rsid w:val="36E05B33"/>
    <w:rsid w:val="36E77649"/>
    <w:rsid w:val="36EB68C6"/>
    <w:rsid w:val="36FC06E4"/>
    <w:rsid w:val="37002BA5"/>
    <w:rsid w:val="372A57D1"/>
    <w:rsid w:val="373006D6"/>
    <w:rsid w:val="373215AF"/>
    <w:rsid w:val="37395AAC"/>
    <w:rsid w:val="37533A9C"/>
    <w:rsid w:val="37554C2A"/>
    <w:rsid w:val="376C2F8C"/>
    <w:rsid w:val="37733C45"/>
    <w:rsid w:val="37EA244F"/>
    <w:rsid w:val="3801691A"/>
    <w:rsid w:val="38053C44"/>
    <w:rsid w:val="3816564C"/>
    <w:rsid w:val="382A2A0E"/>
    <w:rsid w:val="383C5D00"/>
    <w:rsid w:val="383F5E4A"/>
    <w:rsid w:val="38622194"/>
    <w:rsid w:val="38684F32"/>
    <w:rsid w:val="387A7CA5"/>
    <w:rsid w:val="387E3BF1"/>
    <w:rsid w:val="388E0F50"/>
    <w:rsid w:val="388E2941"/>
    <w:rsid w:val="38941E98"/>
    <w:rsid w:val="38983F5E"/>
    <w:rsid w:val="38EC1118"/>
    <w:rsid w:val="38F96580"/>
    <w:rsid w:val="38FD1A72"/>
    <w:rsid w:val="39056352"/>
    <w:rsid w:val="392F5095"/>
    <w:rsid w:val="3938092E"/>
    <w:rsid w:val="39413193"/>
    <w:rsid w:val="39465433"/>
    <w:rsid w:val="395B6912"/>
    <w:rsid w:val="39750ACE"/>
    <w:rsid w:val="398A61BC"/>
    <w:rsid w:val="399510E7"/>
    <w:rsid w:val="399B683C"/>
    <w:rsid w:val="399D3FE9"/>
    <w:rsid w:val="39B51F60"/>
    <w:rsid w:val="39BD1693"/>
    <w:rsid w:val="39BE3B67"/>
    <w:rsid w:val="39E932D4"/>
    <w:rsid w:val="39EA0C0C"/>
    <w:rsid w:val="3A1C6D85"/>
    <w:rsid w:val="3A3F6C87"/>
    <w:rsid w:val="3A531373"/>
    <w:rsid w:val="3A5B021A"/>
    <w:rsid w:val="3A772970"/>
    <w:rsid w:val="3A7D6D38"/>
    <w:rsid w:val="3AB971E4"/>
    <w:rsid w:val="3ADF78F0"/>
    <w:rsid w:val="3AE00107"/>
    <w:rsid w:val="3AE428CE"/>
    <w:rsid w:val="3B023CD3"/>
    <w:rsid w:val="3B140F58"/>
    <w:rsid w:val="3B170940"/>
    <w:rsid w:val="3B2A2C19"/>
    <w:rsid w:val="3B376B70"/>
    <w:rsid w:val="3B7A7129"/>
    <w:rsid w:val="3B7D7576"/>
    <w:rsid w:val="3B7F1E8C"/>
    <w:rsid w:val="3B890DAC"/>
    <w:rsid w:val="3BA25DBC"/>
    <w:rsid w:val="3BC76E9C"/>
    <w:rsid w:val="3BCB467A"/>
    <w:rsid w:val="3BE90506"/>
    <w:rsid w:val="3BEB6832"/>
    <w:rsid w:val="3BF45DB6"/>
    <w:rsid w:val="3BFA06DC"/>
    <w:rsid w:val="3C2E5ED4"/>
    <w:rsid w:val="3C40766B"/>
    <w:rsid w:val="3C7F621D"/>
    <w:rsid w:val="3C8B47EB"/>
    <w:rsid w:val="3CBB6AC9"/>
    <w:rsid w:val="3CBD35C8"/>
    <w:rsid w:val="3D0E3E15"/>
    <w:rsid w:val="3D1456AE"/>
    <w:rsid w:val="3D145DCC"/>
    <w:rsid w:val="3D1C0002"/>
    <w:rsid w:val="3D2962ED"/>
    <w:rsid w:val="3D2D7B94"/>
    <w:rsid w:val="3D340B81"/>
    <w:rsid w:val="3D4E706F"/>
    <w:rsid w:val="3D6D5435"/>
    <w:rsid w:val="3D8311E9"/>
    <w:rsid w:val="3DAA319C"/>
    <w:rsid w:val="3DC27AF5"/>
    <w:rsid w:val="3E036111"/>
    <w:rsid w:val="3E5D6B5C"/>
    <w:rsid w:val="3E7E4756"/>
    <w:rsid w:val="3E8106B7"/>
    <w:rsid w:val="3E845265"/>
    <w:rsid w:val="3E9A3719"/>
    <w:rsid w:val="3EC254C0"/>
    <w:rsid w:val="3ED07987"/>
    <w:rsid w:val="3EED10F8"/>
    <w:rsid w:val="3EFE25BA"/>
    <w:rsid w:val="3F310FA6"/>
    <w:rsid w:val="3F337D20"/>
    <w:rsid w:val="3F3E3D7D"/>
    <w:rsid w:val="3F506818"/>
    <w:rsid w:val="3F684E6E"/>
    <w:rsid w:val="3F6A3676"/>
    <w:rsid w:val="3F710A6F"/>
    <w:rsid w:val="3F7E1F67"/>
    <w:rsid w:val="3F83420A"/>
    <w:rsid w:val="3F8F7315"/>
    <w:rsid w:val="3F9A203F"/>
    <w:rsid w:val="3FA67005"/>
    <w:rsid w:val="3FAE6184"/>
    <w:rsid w:val="3FE36C1C"/>
    <w:rsid w:val="3FE72AEA"/>
    <w:rsid w:val="3FEB19D5"/>
    <w:rsid w:val="3FFDE5B1"/>
    <w:rsid w:val="403B55F7"/>
    <w:rsid w:val="403D5505"/>
    <w:rsid w:val="404C5FC4"/>
    <w:rsid w:val="40632B44"/>
    <w:rsid w:val="408853C4"/>
    <w:rsid w:val="40D75E60"/>
    <w:rsid w:val="40F2437B"/>
    <w:rsid w:val="40FD48E0"/>
    <w:rsid w:val="40FE1BCF"/>
    <w:rsid w:val="40FE520F"/>
    <w:rsid w:val="41353E3C"/>
    <w:rsid w:val="414562FD"/>
    <w:rsid w:val="414C3B30"/>
    <w:rsid w:val="41563B9A"/>
    <w:rsid w:val="41731331"/>
    <w:rsid w:val="417B7161"/>
    <w:rsid w:val="418579D7"/>
    <w:rsid w:val="418C6B85"/>
    <w:rsid w:val="4196095F"/>
    <w:rsid w:val="41961CCB"/>
    <w:rsid w:val="419D72A2"/>
    <w:rsid w:val="419E2D19"/>
    <w:rsid w:val="41A0236E"/>
    <w:rsid w:val="41A36E47"/>
    <w:rsid w:val="41A96728"/>
    <w:rsid w:val="41AB6899"/>
    <w:rsid w:val="41F95353"/>
    <w:rsid w:val="42076836"/>
    <w:rsid w:val="420F1D94"/>
    <w:rsid w:val="423B1FA8"/>
    <w:rsid w:val="424E4424"/>
    <w:rsid w:val="42666B2A"/>
    <w:rsid w:val="429325D1"/>
    <w:rsid w:val="429B53DF"/>
    <w:rsid w:val="429E3CF8"/>
    <w:rsid w:val="42BC7452"/>
    <w:rsid w:val="42D12138"/>
    <w:rsid w:val="42F7079D"/>
    <w:rsid w:val="430D4AC0"/>
    <w:rsid w:val="431E047F"/>
    <w:rsid w:val="431E65EF"/>
    <w:rsid w:val="43522956"/>
    <w:rsid w:val="43624EAD"/>
    <w:rsid w:val="437750CA"/>
    <w:rsid w:val="438D45B9"/>
    <w:rsid w:val="43985D00"/>
    <w:rsid w:val="43986BA3"/>
    <w:rsid w:val="43AB2F4E"/>
    <w:rsid w:val="43AC3F44"/>
    <w:rsid w:val="43B1210D"/>
    <w:rsid w:val="43DE77F3"/>
    <w:rsid w:val="43EF7EFB"/>
    <w:rsid w:val="43FA2050"/>
    <w:rsid w:val="4400649E"/>
    <w:rsid w:val="441910A9"/>
    <w:rsid w:val="44500782"/>
    <w:rsid w:val="446871A0"/>
    <w:rsid w:val="4478624B"/>
    <w:rsid w:val="447B6681"/>
    <w:rsid w:val="4493367B"/>
    <w:rsid w:val="44961F17"/>
    <w:rsid w:val="44A84176"/>
    <w:rsid w:val="44AB74B4"/>
    <w:rsid w:val="44BB301C"/>
    <w:rsid w:val="450A3185"/>
    <w:rsid w:val="450E61CB"/>
    <w:rsid w:val="451037D6"/>
    <w:rsid w:val="452905F3"/>
    <w:rsid w:val="45582FC6"/>
    <w:rsid w:val="4568103F"/>
    <w:rsid w:val="45801D53"/>
    <w:rsid w:val="45953C03"/>
    <w:rsid w:val="45AE2DF6"/>
    <w:rsid w:val="45B1539B"/>
    <w:rsid w:val="45F459D1"/>
    <w:rsid w:val="46052F0A"/>
    <w:rsid w:val="460C379B"/>
    <w:rsid w:val="462B2635"/>
    <w:rsid w:val="463427FB"/>
    <w:rsid w:val="464A3711"/>
    <w:rsid w:val="466B4F4C"/>
    <w:rsid w:val="469246C4"/>
    <w:rsid w:val="46977D08"/>
    <w:rsid w:val="46AF3AB5"/>
    <w:rsid w:val="46E25CA4"/>
    <w:rsid w:val="46E37251"/>
    <w:rsid w:val="46F40267"/>
    <w:rsid w:val="47017932"/>
    <w:rsid w:val="47294A71"/>
    <w:rsid w:val="474C71DB"/>
    <w:rsid w:val="475662DB"/>
    <w:rsid w:val="47756FD4"/>
    <w:rsid w:val="479B7297"/>
    <w:rsid w:val="47A214C1"/>
    <w:rsid w:val="47D626EF"/>
    <w:rsid w:val="47DE0285"/>
    <w:rsid w:val="47E81AB8"/>
    <w:rsid w:val="47F3460E"/>
    <w:rsid w:val="47F77566"/>
    <w:rsid w:val="47F94BE6"/>
    <w:rsid w:val="4812405E"/>
    <w:rsid w:val="481A3D49"/>
    <w:rsid w:val="481C1F20"/>
    <w:rsid w:val="481E50BE"/>
    <w:rsid w:val="48220E04"/>
    <w:rsid w:val="48225672"/>
    <w:rsid w:val="482454C6"/>
    <w:rsid w:val="48297C86"/>
    <w:rsid w:val="48370969"/>
    <w:rsid w:val="4844625B"/>
    <w:rsid w:val="486B4E85"/>
    <w:rsid w:val="48801F0A"/>
    <w:rsid w:val="488C6B30"/>
    <w:rsid w:val="48913C4F"/>
    <w:rsid w:val="489757F5"/>
    <w:rsid w:val="489C3512"/>
    <w:rsid w:val="489C7EA5"/>
    <w:rsid w:val="48AF592F"/>
    <w:rsid w:val="48DB5184"/>
    <w:rsid w:val="48DC4BB3"/>
    <w:rsid w:val="48F11175"/>
    <w:rsid w:val="48FC5916"/>
    <w:rsid w:val="49035E3C"/>
    <w:rsid w:val="49161A6F"/>
    <w:rsid w:val="491B567A"/>
    <w:rsid w:val="492819DC"/>
    <w:rsid w:val="49336FEA"/>
    <w:rsid w:val="493E22D0"/>
    <w:rsid w:val="49415896"/>
    <w:rsid w:val="4953162D"/>
    <w:rsid w:val="495C3D14"/>
    <w:rsid w:val="496A4A80"/>
    <w:rsid w:val="497C5511"/>
    <w:rsid w:val="498E2725"/>
    <w:rsid w:val="499C6D01"/>
    <w:rsid w:val="49A3132A"/>
    <w:rsid w:val="49B65DC9"/>
    <w:rsid w:val="49C828D8"/>
    <w:rsid w:val="49D94123"/>
    <w:rsid w:val="49E82B6B"/>
    <w:rsid w:val="49E970EA"/>
    <w:rsid w:val="49EE0415"/>
    <w:rsid w:val="4A0805D0"/>
    <w:rsid w:val="4A26545B"/>
    <w:rsid w:val="4A3E1268"/>
    <w:rsid w:val="4A560AA6"/>
    <w:rsid w:val="4A631F60"/>
    <w:rsid w:val="4A7B659D"/>
    <w:rsid w:val="4A852671"/>
    <w:rsid w:val="4A8F76FA"/>
    <w:rsid w:val="4AD018B4"/>
    <w:rsid w:val="4AD122F6"/>
    <w:rsid w:val="4AFB6678"/>
    <w:rsid w:val="4B12483C"/>
    <w:rsid w:val="4B281AD9"/>
    <w:rsid w:val="4B286964"/>
    <w:rsid w:val="4B462533"/>
    <w:rsid w:val="4B497516"/>
    <w:rsid w:val="4B5F395F"/>
    <w:rsid w:val="4B887ABD"/>
    <w:rsid w:val="4B927D05"/>
    <w:rsid w:val="4BA71700"/>
    <w:rsid w:val="4BC40127"/>
    <w:rsid w:val="4BCF7C38"/>
    <w:rsid w:val="4BD1718E"/>
    <w:rsid w:val="4BD95ACE"/>
    <w:rsid w:val="4C000F41"/>
    <w:rsid w:val="4C1E38AF"/>
    <w:rsid w:val="4C1F09E8"/>
    <w:rsid w:val="4C6A4F05"/>
    <w:rsid w:val="4C6B7BE3"/>
    <w:rsid w:val="4C771D65"/>
    <w:rsid w:val="4C783020"/>
    <w:rsid w:val="4C9743B6"/>
    <w:rsid w:val="4CD104DB"/>
    <w:rsid w:val="4CEE4DA0"/>
    <w:rsid w:val="4CFA5EBA"/>
    <w:rsid w:val="4CFB7F02"/>
    <w:rsid w:val="4D0B09F5"/>
    <w:rsid w:val="4D243AE6"/>
    <w:rsid w:val="4D362180"/>
    <w:rsid w:val="4D3C4079"/>
    <w:rsid w:val="4D4152D2"/>
    <w:rsid w:val="4D420722"/>
    <w:rsid w:val="4D5D2973"/>
    <w:rsid w:val="4D670A85"/>
    <w:rsid w:val="4D743D70"/>
    <w:rsid w:val="4D806473"/>
    <w:rsid w:val="4DA27E03"/>
    <w:rsid w:val="4DB87F6B"/>
    <w:rsid w:val="4DDE1879"/>
    <w:rsid w:val="4DE22211"/>
    <w:rsid w:val="4DF85FC0"/>
    <w:rsid w:val="4E001052"/>
    <w:rsid w:val="4E2B135E"/>
    <w:rsid w:val="4E3F2EE6"/>
    <w:rsid w:val="4E457068"/>
    <w:rsid w:val="4E4E4B6D"/>
    <w:rsid w:val="4E625DA3"/>
    <w:rsid w:val="4E7B029B"/>
    <w:rsid w:val="4E94139D"/>
    <w:rsid w:val="4ED36E10"/>
    <w:rsid w:val="4ED61833"/>
    <w:rsid w:val="4EDA18B9"/>
    <w:rsid w:val="4EEA1FB8"/>
    <w:rsid w:val="4F1214F9"/>
    <w:rsid w:val="4F37236C"/>
    <w:rsid w:val="4F400F3C"/>
    <w:rsid w:val="4F573543"/>
    <w:rsid w:val="4FA24E56"/>
    <w:rsid w:val="4FA613D6"/>
    <w:rsid w:val="4FAE4B93"/>
    <w:rsid w:val="4FB43984"/>
    <w:rsid w:val="4FB80520"/>
    <w:rsid w:val="4FCE557D"/>
    <w:rsid w:val="4FCF67B8"/>
    <w:rsid w:val="4FFE7F33"/>
    <w:rsid w:val="500E331C"/>
    <w:rsid w:val="500F7F8E"/>
    <w:rsid w:val="5010363B"/>
    <w:rsid w:val="501802EF"/>
    <w:rsid w:val="501A6EB3"/>
    <w:rsid w:val="501C4E89"/>
    <w:rsid w:val="503C452B"/>
    <w:rsid w:val="50401C90"/>
    <w:rsid w:val="50520469"/>
    <w:rsid w:val="50705EA7"/>
    <w:rsid w:val="508A0BD0"/>
    <w:rsid w:val="508E4B33"/>
    <w:rsid w:val="50971876"/>
    <w:rsid w:val="50DD3BA3"/>
    <w:rsid w:val="50E61CAB"/>
    <w:rsid w:val="50EE7DC2"/>
    <w:rsid w:val="514136A1"/>
    <w:rsid w:val="514A20B0"/>
    <w:rsid w:val="515463AA"/>
    <w:rsid w:val="51680F94"/>
    <w:rsid w:val="517D1FD1"/>
    <w:rsid w:val="51820F0A"/>
    <w:rsid w:val="51B00924"/>
    <w:rsid w:val="51BD4A0F"/>
    <w:rsid w:val="51BF1CEA"/>
    <w:rsid w:val="51C55B60"/>
    <w:rsid w:val="51C720FB"/>
    <w:rsid w:val="51D2101C"/>
    <w:rsid w:val="51E441B2"/>
    <w:rsid w:val="51E878B5"/>
    <w:rsid w:val="51EE3F4A"/>
    <w:rsid w:val="51F83860"/>
    <w:rsid w:val="51F8599D"/>
    <w:rsid w:val="52144845"/>
    <w:rsid w:val="522B4481"/>
    <w:rsid w:val="52305123"/>
    <w:rsid w:val="523F3431"/>
    <w:rsid w:val="52433E33"/>
    <w:rsid w:val="52461D9B"/>
    <w:rsid w:val="52556F68"/>
    <w:rsid w:val="526131D0"/>
    <w:rsid w:val="527A0BC1"/>
    <w:rsid w:val="528E5F94"/>
    <w:rsid w:val="52B73817"/>
    <w:rsid w:val="53014F84"/>
    <w:rsid w:val="53081FE2"/>
    <w:rsid w:val="53757657"/>
    <w:rsid w:val="53836E13"/>
    <w:rsid w:val="5399393C"/>
    <w:rsid w:val="53BC34C4"/>
    <w:rsid w:val="53CE29B7"/>
    <w:rsid w:val="53F61B0D"/>
    <w:rsid w:val="5423339D"/>
    <w:rsid w:val="54451376"/>
    <w:rsid w:val="545B0024"/>
    <w:rsid w:val="54623CCF"/>
    <w:rsid w:val="54783F91"/>
    <w:rsid w:val="54C52C01"/>
    <w:rsid w:val="54DE257B"/>
    <w:rsid w:val="551B052F"/>
    <w:rsid w:val="551F503D"/>
    <w:rsid w:val="55242A1A"/>
    <w:rsid w:val="552E7B6C"/>
    <w:rsid w:val="55356F21"/>
    <w:rsid w:val="553B1566"/>
    <w:rsid w:val="553D5A1E"/>
    <w:rsid w:val="554E66B4"/>
    <w:rsid w:val="55623019"/>
    <w:rsid w:val="55696548"/>
    <w:rsid w:val="559508F1"/>
    <w:rsid w:val="55A0704C"/>
    <w:rsid w:val="55CD2AA4"/>
    <w:rsid w:val="55CD5B20"/>
    <w:rsid w:val="55DD38ED"/>
    <w:rsid w:val="55E33C19"/>
    <w:rsid w:val="55E3492A"/>
    <w:rsid w:val="55E63D84"/>
    <w:rsid w:val="55FB5288"/>
    <w:rsid w:val="560F5295"/>
    <w:rsid w:val="56182AD9"/>
    <w:rsid w:val="56536DD0"/>
    <w:rsid w:val="56A16CF1"/>
    <w:rsid w:val="56C569E8"/>
    <w:rsid w:val="56EA1F97"/>
    <w:rsid w:val="56FE7B3D"/>
    <w:rsid w:val="57115A76"/>
    <w:rsid w:val="57356CE5"/>
    <w:rsid w:val="57400691"/>
    <w:rsid w:val="57477A7D"/>
    <w:rsid w:val="574C5991"/>
    <w:rsid w:val="575E0275"/>
    <w:rsid w:val="57685E63"/>
    <w:rsid w:val="576E359C"/>
    <w:rsid w:val="57761A73"/>
    <w:rsid w:val="57803A91"/>
    <w:rsid w:val="578F63E0"/>
    <w:rsid w:val="57974CC5"/>
    <w:rsid w:val="57AA5D1A"/>
    <w:rsid w:val="57B717AF"/>
    <w:rsid w:val="57C06BFC"/>
    <w:rsid w:val="57D0016E"/>
    <w:rsid w:val="57D46CDD"/>
    <w:rsid w:val="57DD461C"/>
    <w:rsid w:val="57DE15F7"/>
    <w:rsid w:val="57F052A5"/>
    <w:rsid w:val="57F56DA8"/>
    <w:rsid w:val="580F5DBC"/>
    <w:rsid w:val="58372026"/>
    <w:rsid w:val="584809DA"/>
    <w:rsid w:val="587316C8"/>
    <w:rsid w:val="588A1881"/>
    <w:rsid w:val="588C1B3F"/>
    <w:rsid w:val="588C3DE2"/>
    <w:rsid w:val="58952B75"/>
    <w:rsid w:val="589923E8"/>
    <w:rsid w:val="58C03641"/>
    <w:rsid w:val="58D3199A"/>
    <w:rsid w:val="58DA5821"/>
    <w:rsid w:val="58E146E6"/>
    <w:rsid w:val="59043E08"/>
    <w:rsid w:val="5934326C"/>
    <w:rsid w:val="59471B28"/>
    <w:rsid w:val="59763E82"/>
    <w:rsid w:val="597F5245"/>
    <w:rsid w:val="598A3666"/>
    <w:rsid w:val="59A3232E"/>
    <w:rsid w:val="59A63822"/>
    <w:rsid w:val="59B8355B"/>
    <w:rsid w:val="59FE08FA"/>
    <w:rsid w:val="5A257E94"/>
    <w:rsid w:val="5A2A02BF"/>
    <w:rsid w:val="5A5106AE"/>
    <w:rsid w:val="5A60741A"/>
    <w:rsid w:val="5A7A608F"/>
    <w:rsid w:val="5A976E36"/>
    <w:rsid w:val="5A9D694A"/>
    <w:rsid w:val="5AA2358A"/>
    <w:rsid w:val="5AA24080"/>
    <w:rsid w:val="5AAD1EF8"/>
    <w:rsid w:val="5ACF7403"/>
    <w:rsid w:val="5B365C08"/>
    <w:rsid w:val="5B46719F"/>
    <w:rsid w:val="5B5C0955"/>
    <w:rsid w:val="5B60313C"/>
    <w:rsid w:val="5B705B09"/>
    <w:rsid w:val="5B9331F3"/>
    <w:rsid w:val="5B983712"/>
    <w:rsid w:val="5B997CCC"/>
    <w:rsid w:val="5B9D7438"/>
    <w:rsid w:val="5BA42A14"/>
    <w:rsid w:val="5BC52ADE"/>
    <w:rsid w:val="5BFD6721"/>
    <w:rsid w:val="5C60141A"/>
    <w:rsid w:val="5C691962"/>
    <w:rsid w:val="5C8D4642"/>
    <w:rsid w:val="5CA70BEA"/>
    <w:rsid w:val="5CFA70E0"/>
    <w:rsid w:val="5CFF3634"/>
    <w:rsid w:val="5D0B0214"/>
    <w:rsid w:val="5D1A0A42"/>
    <w:rsid w:val="5D1C06B0"/>
    <w:rsid w:val="5D282771"/>
    <w:rsid w:val="5D3A4C89"/>
    <w:rsid w:val="5D42151C"/>
    <w:rsid w:val="5D4F1710"/>
    <w:rsid w:val="5D5D43F4"/>
    <w:rsid w:val="5D71045F"/>
    <w:rsid w:val="5D9A4060"/>
    <w:rsid w:val="5DAB19D1"/>
    <w:rsid w:val="5DBE340A"/>
    <w:rsid w:val="5DD263B9"/>
    <w:rsid w:val="5DE41D76"/>
    <w:rsid w:val="5DE555FC"/>
    <w:rsid w:val="5DF27C61"/>
    <w:rsid w:val="5DFF279E"/>
    <w:rsid w:val="5E4A015A"/>
    <w:rsid w:val="5E617327"/>
    <w:rsid w:val="5E772D56"/>
    <w:rsid w:val="5E843AB7"/>
    <w:rsid w:val="5E9A1FB9"/>
    <w:rsid w:val="5EA510F1"/>
    <w:rsid w:val="5EB11CC9"/>
    <w:rsid w:val="5EB7165F"/>
    <w:rsid w:val="5EDA2E6C"/>
    <w:rsid w:val="5EDF49B6"/>
    <w:rsid w:val="5EE659E4"/>
    <w:rsid w:val="5EF029BA"/>
    <w:rsid w:val="5EF2401E"/>
    <w:rsid w:val="5EF37A12"/>
    <w:rsid w:val="5F19063B"/>
    <w:rsid w:val="5F2A58BF"/>
    <w:rsid w:val="5F2D2E3D"/>
    <w:rsid w:val="5F3F28CF"/>
    <w:rsid w:val="5F4D6034"/>
    <w:rsid w:val="5FBE3FE5"/>
    <w:rsid w:val="5FC03792"/>
    <w:rsid w:val="5FC939D5"/>
    <w:rsid w:val="5FDA399F"/>
    <w:rsid w:val="5FF22D36"/>
    <w:rsid w:val="5FFA79ED"/>
    <w:rsid w:val="60075E39"/>
    <w:rsid w:val="600D0AF4"/>
    <w:rsid w:val="60273573"/>
    <w:rsid w:val="60276DC2"/>
    <w:rsid w:val="602A54A3"/>
    <w:rsid w:val="60315C67"/>
    <w:rsid w:val="60370997"/>
    <w:rsid w:val="603F1014"/>
    <w:rsid w:val="604F40FC"/>
    <w:rsid w:val="605A259A"/>
    <w:rsid w:val="6060154E"/>
    <w:rsid w:val="606D0EF6"/>
    <w:rsid w:val="60996EA6"/>
    <w:rsid w:val="60B07C9E"/>
    <w:rsid w:val="60C55200"/>
    <w:rsid w:val="60D06270"/>
    <w:rsid w:val="60EA7F29"/>
    <w:rsid w:val="61013040"/>
    <w:rsid w:val="611128E5"/>
    <w:rsid w:val="611C35B8"/>
    <w:rsid w:val="61315EF6"/>
    <w:rsid w:val="613A0A49"/>
    <w:rsid w:val="614E56CB"/>
    <w:rsid w:val="615440FF"/>
    <w:rsid w:val="616E368F"/>
    <w:rsid w:val="6184566A"/>
    <w:rsid w:val="619012C2"/>
    <w:rsid w:val="61AE7556"/>
    <w:rsid w:val="61D41854"/>
    <w:rsid w:val="61E20ED4"/>
    <w:rsid w:val="61E3363C"/>
    <w:rsid w:val="62282B27"/>
    <w:rsid w:val="623743B3"/>
    <w:rsid w:val="623E7108"/>
    <w:rsid w:val="625A6442"/>
    <w:rsid w:val="626A1CE1"/>
    <w:rsid w:val="626C134E"/>
    <w:rsid w:val="62841688"/>
    <w:rsid w:val="629B22CB"/>
    <w:rsid w:val="62A3229B"/>
    <w:rsid w:val="62A45588"/>
    <w:rsid w:val="62A57C35"/>
    <w:rsid w:val="62B952CA"/>
    <w:rsid w:val="62E07553"/>
    <w:rsid w:val="63081C9E"/>
    <w:rsid w:val="633F56A1"/>
    <w:rsid w:val="63421845"/>
    <w:rsid w:val="634A387E"/>
    <w:rsid w:val="6361478E"/>
    <w:rsid w:val="636E52EB"/>
    <w:rsid w:val="638B4892"/>
    <w:rsid w:val="639279AF"/>
    <w:rsid w:val="63944825"/>
    <w:rsid w:val="63D762DC"/>
    <w:rsid w:val="63EC2A57"/>
    <w:rsid w:val="63FE5C95"/>
    <w:rsid w:val="640E22EE"/>
    <w:rsid w:val="641222ED"/>
    <w:rsid w:val="64156B80"/>
    <w:rsid w:val="642B5582"/>
    <w:rsid w:val="642F3826"/>
    <w:rsid w:val="643B040A"/>
    <w:rsid w:val="645D1336"/>
    <w:rsid w:val="64643953"/>
    <w:rsid w:val="649122E0"/>
    <w:rsid w:val="6491381F"/>
    <w:rsid w:val="64B77EFF"/>
    <w:rsid w:val="64BB209D"/>
    <w:rsid w:val="64FB2F8F"/>
    <w:rsid w:val="65077676"/>
    <w:rsid w:val="651722E7"/>
    <w:rsid w:val="65347231"/>
    <w:rsid w:val="65740427"/>
    <w:rsid w:val="6577651D"/>
    <w:rsid w:val="658C66C4"/>
    <w:rsid w:val="65A05658"/>
    <w:rsid w:val="65AC2EFD"/>
    <w:rsid w:val="65B46375"/>
    <w:rsid w:val="65D37A5B"/>
    <w:rsid w:val="65F4511D"/>
    <w:rsid w:val="65F47DC0"/>
    <w:rsid w:val="65FF7596"/>
    <w:rsid w:val="66096B05"/>
    <w:rsid w:val="6627721E"/>
    <w:rsid w:val="66537DD0"/>
    <w:rsid w:val="66753E2C"/>
    <w:rsid w:val="6687460E"/>
    <w:rsid w:val="66A146AB"/>
    <w:rsid w:val="66A34F7A"/>
    <w:rsid w:val="66A43DA7"/>
    <w:rsid w:val="66AE0D1C"/>
    <w:rsid w:val="66B56271"/>
    <w:rsid w:val="66C32061"/>
    <w:rsid w:val="66CE247E"/>
    <w:rsid w:val="66D1553B"/>
    <w:rsid w:val="66D678E5"/>
    <w:rsid w:val="66E23A48"/>
    <w:rsid w:val="66EF31C1"/>
    <w:rsid w:val="66F123D1"/>
    <w:rsid w:val="66F16A47"/>
    <w:rsid w:val="66F203EF"/>
    <w:rsid w:val="67003EB8"/>
    <w:rsid w:val="671A0D2D"/>
    <w:rsid w:val="67200F9C"/>
    <w:rsid w:val="672252C1"/>
    <w:rsid w:val="67340A1D"/>
    <w:rsid w:val="674A4FC0"/>
    <w:rsid w:val="674D101A"/>
    <w:rsid w:val="675249FA"/>
    <w:rsid w:val="67683CFC"/>
    <w:rsid w:val="67B406DA"/>
    <w:rsid w:val="67C75EAB"/>
    <w:rsid w:val="67D13F82"/>
    <w:rsid w:val="67D47556"/>
    <w:rsid w:val="67E83BD3"/>
    <w:rsid w:val="67FE0A51"/>
    <w:rsid w:val="68277D0D"/>
    <w:rsid w:val="683021EA"/>
    <w:rsid w:val="6831292C"/>
    <w:rsid w:val="683A5F07"/>
    <w:rsid w:val="683D4EA1"/>
    <w:rsid w:val="68482B4B"/>
    <w:rsid w:val="6857517B"/>
    <w:rsid w:val="685F2B0C"/>
    <w:rsid w:val="68615AEE"/>
    <w:rsid w:val="686465B8"/>
    <w:rsid w:val="686E2F1C"/>
    <w:rsid w:val="686E4CA0"/>
    <w:rsid w:val="686F3D4E"/>
    <w:rsid w:val="6892121B"/>
    <w:rsid w:val="689E473A"/>
    <w:rsid w:val="68A772BD"/>
    <w:rsid w:val="68AD32C0"/>
    <w:rsid w:val="68B055E0"/>
    <w:rsid w:val="68C163CF"/>
    <w:rsid w:val="68E01B05"/>
    <w:rsid w:val="68F77559"/>
    <w:rsid w:val="690B67A2"/>
    <w:rsid w:val="693053C2"/>
    <w:rsid w:val="69577852"/>
    <w:rsid w:val="697A46A8"/>
    <w:rsid w:val="69AA61FA"/>
    <w:rsid w:val="69B022B6"/>
    <w:rsid w:val="69B72806"/>
    <w:rsid w:val="69B83AE8"/>
    <w:rsid w:val="69C21FC2"/>
    <w:rsid w:val="69D05774"/>
    <w:rsid w:val="69DD68EF"/>
    <w:rsid w:val="69F431E5"/>
    <w:rsid w:val="6A0B12F9"/>
    <w:rsid w:val="6A387A83"/>
    <w:rsid w:val="6A4E3481"/>
    <w:rsid w:val="6A906D98"/>
    <w:rsid w:val="6AB0358F"/>
    <w:rsid w:val="6AC81DFB"/>
    <w:rsid w:val="6ACC4B2B"/>
    <w:rsid w:val="6AD5470C"/>
    <w:rsid w:val="6B156F01"/>
    <w:rsid w:val="6B1823F4"/>
    <w:rsid w:val="6B302155"/>
    <w:rsid w:val="6B5061B8"/>
    <w:rsid w:val="6B5541CC"/>
    <w:rsid w:val="6B594757"/>
    <w:rsid w:val="6B794694"/>
    <w:rsid w:val="6BB10ECA"/>
    <w:rsid w:val="6BB80CD3"/>
    <w:rsid w:val="6BD97443"/>
    <w:rsid w:val="6BE154D6"/>
    <w:rsid w:val="6BFA34BF"/>
    <w:rsid w:val="6C1E27AA"/>
    <w:rsid w:val="6C253A83"/>
    <w:rsid w:val="6C282E9B"/>
    <w:rsid w:val="6C4C1DDE"/>
    <w:rsid w:val="6C60775B"/>
    <w:rsid w:val="6C787CBB"/>
    <w:rsid w:val="6C8A4E5F"/>
    <w:rsid w:val="6C8C5CC8"/>
    <w:rsid w:val="6C9165B6"/>
    <w:rsid w:val="6CA87474"/>
    <w:rsid w:val="6CAE0CBE"/>
    <w:rsid w:val="6CBA4949"/>
    <w:rsid w:val="6D0D5EB2"/>
    <w:rsid w:val="6D1075E9"/>
    <w:rsid w:val="6D2F4343"/>
    <w:rsid w:val="6D353D8C"/>
    <w:rsid w:val="6D4E6285"/>
    <w:rsid w:val="6D5C18AC"/>
    <w:rsid w:val="6D6B1613"/>
    <w:rsid w:val="6D886D51"/>
    <w:rsid w:val="6DCC4C0D"/>
    <w:rsid w:val="6DEA0A67"/>
    <w:rsid w:val="6DEC6437"/>
    <w:rsid w:val="6DFC561D"/>
    <w:rsid w:val="6E0F76B0"/>
    <w:rsid w:val="6E382FA7"/>
    <w:rsid w:val="6E395E9E"/>
    <w:rsid w:val="6E4341AC"/>
    <w:rsid w:val="6E5126B4"/>
    <w:rsid w:val="6E567C0C"/>
    <w:rsid w:val="6E5D6868"/>
    <w:rsid w:val="6E683231"/>
    <w:rsid w:val="6E7C1EB5"/>
    <w:rsid w:val="6EB664D0"/>
    <w:rsid w:val="6EC9421A"/>
    <w:rsid w:val="6ED36BB1"/>
    <w:rsid w:val="6EE110A6"/>
    <w:rsid w:val="6EF03BAE"/>
    <w:rsid w:val="6F155D21"/>
    <w:rsid w:val="6F1E3244"/>
    <w:rsid w:val="6F286746"/>
    <w:rsid w:val="6F287ED0"/>
    <w:rsid w:val="6F2B2506"/>
    <w:rsid w:val="6F436F8F"/>
    <w:rsid w:val="6F451BBF"/>
    <w:rsid w:val="6F634567"/>
    <w:rsid w:val="6F8D6B1D"/>
    <w:rsid w:val="6FAE4748"/>
    <w:rsid w:val="6FD91F90"/>
    <w:rsid w:val="6FE31AA8"/>
    <w:rsid w:val="70045D42"/>
    <w:rsid w:val="700A0D6E"/>
    <w:rsid w:val="704D2ABA"/>
    <w:rsid w:val="706717CB"/>
    <w:rsid w:val="707200F0"/>
    <w:rsid w:val="707663A9"/>
    <w:rsid w:val="707F274F"/>
    <w:rsid w:val="70950CE0"/>
    <w:rsid w:val="709D2458"/>
    <w:rsid w:val="70A2698B"/>
    <w:rsid w:val="70AA312E"/>
    <w:rsid w:val="70C24A2F"/>
    <w:rsid w:val="70CC0C4C"/>
    <w:rsid w:val="70E41087"/>
    <w:rsid w:val="70E65326"/>
    <w:rsid w:val="70E80F60"/>
    <w:rsid w:val="70F11D57"/>
    <w:rsid w:val="71014D29"/>
    <w:rsid w:val="710A2B65"/>
    <w:rsid w:val="71191A27"/>
    <w:rsid w:val="711F713E"/>
    <w:rsid w:val="71217371"/>
    <w:rsid w:val="712E54D4"/>
    <w:rsid w:val="71321C7C"/>
    <w:rsid w:val="714A1780"/>
    <w:rsid w:val="71637917"/>
    <w:rsid w:val="7170146E"/>
    <w:rsid w:val="71705776"/>
    <w:rsid w:val="717268C8"/>
    <w:rsid w:val="71802D0E"/>
    <w:rsid w:val="71880353"/>
    <w:rsid w:val="718F5890"/>
    <w:rsid w:val="71981E73"/>
    <w:rsid w:val="71C16BD6"/>
    <w:rsid w:val="71C363B8"/>
    <w:rsid w:val="71D14144"/>
    <w:rsid w:val="72143089"/>
    <w:rsid w:val="72150CEA"/>
    <w:rsid w:val="721F1006"/>
    <w:rsid w:val="721F4F40"/>
    <w:rsid w:val="7227177D"/>
    <w:rsid w:val="723419F5"/>
    <w:rsid w:val="7235573F"/>
    <w:rsid w:val="72477BAC"/>
    <w:rsid w:val="7255330E"/>
    <w:rsid w:val="726C56B8"/>
    <w:rsid w:val="72760CB0"/>
    <w:rsid w:val="7288771C"/>
    <w:rsid w:val="729326C7"/>
    <w:rsid w:val="72A458E1"/>
    <w:rsid w:val="72B13FB1"/>
    <w:rsid w:val="72C13E7C"/>
    <w:rsid w:val="72CD388B"/>
    <w:rsid w:val="72CE592F"/>
    <w:rsid w:val="72D21B1B"/>
    <w:rsid w:val="73014E33"/>
    <w:rsid w:val="730770A2"/>
    <w:rsid w:val="73197AE0"/>
    <w:rsid w:val="73221860"/>
    <w:rsid w:val="732F2FC7"/>
    <w:rsid w:val="733A4EF6"/>
    <w:rsid w:val="733D0234"/>
    <w:rsid w:val="733D1497"/>
    <w:rsid w:val="735F4C52"/>
    <w:rsid w:val="737405D6"/>
    <w:rsid w:val="73773239"/>
    <w:rsid w:val="739D4E7F"/>
    <w:rsid w:val="73A52CA9"/>
    <w:rsid w:val="73C82E30"/>
    <w:rsid w:val="73FA14E3"/>
    <w:rsid w:val="73FD29BB"/>
    <w:rsid w:val="740A7F35"/>
    <w:rsid w:val="740B686A"/>
    <w:rsid w:val="74193434"/>
    <w:rsid w:val="7436153F"/>
    <w:rsid w:val="744401CE"/>
    <w:rsid w:val="745819FD"/>
    <w:rsid w:val="746C366D"/>
    <w:rsid w:val="748200B4"/>
    <w:rsid w:val="749C71E6"/>
    <w:rsid w:val="74AC77E0"/>
    <w:rsid w:val="74DE6D4A"/>
    <w:rsid w:val="75045F44"/>
    <w:rsid w:val="75154170"/>
    <w:rsid w:val="751F2CCD"/>
    <w:rsid w:val="75334F10"/>
    <w:rsid w:val="754A3843"/>
    <w:rsid w:val="755E6626"/>
    <w:rsid w:val="75714F21"/>
    <w:rsid w:val="75801690"/>
    <w:rsid w:val="75841DF5"/>
    <w:rsid w:val="75883FFE"/>
    <w:rsid w:val="759118EE"/>
    <w:rsid w:val="759A0BFF"/>
    <w:rsid w:val="75A62B5C"/>
    <w:rsid w:val="75B660D9"/>
    <w:rsid w:val="75DA056C"/>
    <w:rsid w:val="75FA2F4D"/>
    <w:rsid w:val="76177C7F"/>
    <w:rsid w:val="761E4555"/>
    <w:rsid w:val="7652518B"/>
    <w:rsid w:val="765661CE"/>
    <w:rsid w:val="766B1FE7"/>
    <w:rsid w:val="767737E8"/>
    <w:rsid w:val="7687321E"/>
    <w:rsid w:val="769C5380"/>
    <w:rsid w:val="769D488D"/>
    <w:rsid w:val="76A648DB"/>
    <w:rsid w:val="76AA6FCA"/>
    <w:rsid w:val="76AD33AB"/>
    <w:rsid w:val="76AE1A33"/>
    <w:rsid w:val="76B645C9"/>
    <w:rsid w:val="76CB05E9"/>
    <w:rsid w:val="76F557EA"/>
    <w:rsid w:val="76FB601C"/>
    <w:rsid w:val="771E0B46"/>
    <w:rsid w:val="77243900"/>
    <w:rsid w:val="7745626C"/>
    <w:rsid w:val="774A218D"/>
    <w:rsid w:val="77534E7F"/>
    <w:rsid w:val="776C6AF3"/>
    <w:rsid w:val="77765B6B"/>
    <w:rsid w:val="777D79D9"/>
    <w:rsid w:val="7788271D"/>
    <w:rsid w:val="778A3CA6"/>
    <w:rsid w:val="77AB127E"/>
    <w:rsid w:val="77B8759C"/>
    <w:rsid w:val="77CA7AD8"/>
    <w:rsid w:val="77F04589"/>
    <w:rsid w:val="780776F7"/>
    <w:rsid w:val="785D4AC2"/>
    <w:rsid w:val="786E2373"/>
    <w:rsid w:val="78755AD9"/>
    <w:rsid w:val="78867CFB"/>
    <w:rsid w:val="7895518B"/>
    <w:rsid w:val="78DA375A"/>
    <w:rsid w:val="78FB6861"/>
    <w:rsid w:val="790C30F7"/>
    <w:rsid w:val="79182F94"/>
    <w:rsid w:val="791E6626"/>
    <w:rsid w:val="791F15A3"/>
    <w:rsid w:val="791F1ABD"/>
    <w:rsid w:val="792A6014"/>
    <w:rsid w:val="792A77CA"/>
    <w:rsid w:val="792C1C9C"/>
    <w:rsid w:val="79534836"/>
    <w:rsid w:val="795F47C4"/>
    <w:rsid w:val="7972F281"/>
    <w:rsid w:val="79880110"/>
    <w:rsid w:val="79894347"/>
    <w:rsid w:val="799447B2"/>
    <w:rsid w:val="79993DEC"/>
    <w:rsid w:val="79A91848"/>
    <w:rsid w:val="79B155D3"/>
    <w:rsid w:val="79BE02AE"/>
    <w:rsid w:val="79C15287"/>
    <w:rsid w:val="79C44E91"/>
    <w:rsid w:val="79D75B18"/>
    <w:rsid w:val="79F45759"/>
    <w:rsid w:val="79F9227E"/>
    <w:rsid w:val="7A03141B"/>
    <w:rsid w:val="7A2F5A98"/>
    <w:rsid w:val="7A340EA4"/>
    <w:rsid w:val="7A3F5F0E"/>
    <w:rsid w:val="7A402127"/>
    <w:rsid w:val="7A677819"/>
    <w:rsid w:val="7A75750A"/>
    <w:rsid w:val="7A7C3110"/>
    <w:rsid w:val="7A9E603E"/>
    <w:rsid w:val="7AA5799A"/>
    <w:rsid w:val="7AAE7A48"/>
    <w:rsid w:val="7AF259C5"/>
    <w:rsid w:val="7B12265C"/>
    <w:rsid w:val="7B4E1237"/>
    <w:rsid w:val="7B557668"/>
    <w:rsid w:val="7B5721B8"/>
    <w:rsid w:val="7B5C6BFD"/>
    <w:rsid w:val="7B884D33"/>
    <w:rsid w:val="7BA630A7"/>
    <w:rsid w:val="7BBB6A08"/>
    <w:rsid w:val="7BCB5994"/>
    <w:rsid w:val="7BED154E"/>
    <w:rsid w:val="7BED6B05"/>
    <w:rsid w:val="7C1946E0"/>
    <w:rsid w:val="7C42078B"/>
    <w:rsid w:val="7C953CBE"/>
    <w:rsid w:val="7C9C6D51"/>
    <w:rsid w:val="7CA326C8"/>
    <w:rsid w:val="7CAA5F0D"/>
    <w:rsid w:val="7D16490F"/>
    <w:rsid w:val="7D25417D"/>
    <w:rsid w:val="7D470375"/>
    <w:rsid w:val="7D5A124C"/>
    <w:rsid w:val="7D6B3C9C"/>
    <w:rsid w:val="7D6C7837"/>
    <w:rsid w:val="7D87483A"/>
    <w:rsid w:val="7D886B89"/>
    <w:rsid w:val="7D8A3047"/>
    <w:rsid w:val="7D92427A"/>
    <w:rsid w:val="7DA653E8"/>
    <w:rsid w:val="7DAB4450"/>
    <w:rsid w:val="7DAE4568"/>
    <w:rsid w:val="7DC3009F"/>
    <w:rsid w:val="7DC80DDA"/>
    <w:rsid w:val="7DDC30D5"/>
    <w:rsid w:val="7E0B16A2"/>
    <w:rsid w:val="7E12506E"/>
    <w:rsid w:val="7E1B5179"/>
    <w:rsid w:val="7E3610F8"/>
    <w:rsid w:val="7E594E0B"/>
    <w:rsid w:val="7E7C766D"/>
    <w:rsid w:val="7E833262"/>
    <w:rsid w:val="7E932FC5"/>
    <w:rsid w:val="7E9B5F2D"/>
    <w:rsid w:val="7ECE4E91"/>
    <w:rsid w:val="7ECE6209"/>
    <w:rsid w:val="7EDB5D8D"/>
    <w:rsid w:val="7EDD4604"/>
    <w:rsid w:val="7EE626A2"/>
    <w:rsid w:val="7F0A31ED"/>
    <w:rsid w:val="7F165CD8"/>
    <w:rsid w:val="7F243837"/>
    <w:rsid w:val="7F2B17D8"/>
    <w:rsid w:val="7F3C05D3"/>
    <w:rsid w:val="7F4E60A4"/>
    <w:rsid w:val="7F676C28"/>
    <w:rsid w:val="7F751E64"/>
    <w:rsid w:val="7F7A4953"/>
    <w:rsid w:val="7F806C96"/>
    <w:rsid w:val="7F90721E"/>
    <w:rsid w:val="7F9263AE"/>
    <w:rsid w:val="7F990359"/>
    <w:rsid w:val="7FAC08C1"/>
    <w:rsid w:val="7FAD0277"/>
    <w:rsid w:val="7FB44E0C"/>
    <w:rsid w:val="7FCF5193"/>
    <w:rsid w:val="7FD06104"/>
    <w:rsid w:val="7FDD445B"/>
    <w:rsid w:val="7FF03D02"/>
    <w:rsid w:val="9F5D3C7B"/>
    <w:rsid w:val="B7DF2E86"/>
    <w:rsid w:val="DFF70B63"/>
    <w:rsid w:val="F5FBFE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style>
  <w:style w:type="paragraph" w:styleId="6">
    <w:name w:val="List Number"/>
    <w:basedOn w:val="1"/>
    <w:qFormat/>
    <w:uiPriority w:val="0"/>
    <w:pPr>
      <w:numPr>
        <w:ilvl w:val="0"/>
        <w:numId w:val="2"/>
      </w:numPr>
    </w:pPr>
  </w:style>
  <w:style w:type="paragraph" w:styleId="7">
    <w:name w:val="Normal Indent"/>
    <w:basedOn w:val="1"/>
    <w:next w:val="1"/>
    <w:qFormat/>
    <w:uiPriority w:val="0"/>
    <w:pPr>
      <w:ind w:firstLine="420"/>
    </w:pPr>
    <w:rPr>
      <w:szCs w:val="20"/>
    </w:rPr>
  </w:style>
  <w:style w:type="paragraph" w:styleId="8">
    <w:name w:val="annotation text"/>
    <w:basedOn w:val="1"/>
    <w:qFormat/>
    <w:uiPriority w:val="0"/>
    <w:pPr>
      <w:jc w:val="left"/>
    </w:pPr>
  </w:style>
  <w:style w:type="paragraph" w:styleId="9">
    <w:name w:val="Body Text"/>
    <w:basedOn w:val="1"/>
    <w:qFormat/>
    <w:uiPriority w:val="0"/>
    <w:pPr>
      <w:spacing w:line="360" w:lineRule="exact"/>
    </w:pPr>
    <w:rPr>
      <w:sz w:val="24"/>
    </w:rPr>
  </w:style>
  <w:style w:type="paragraph" w:styleId="10">
    <w:name w:val="Plain Text"/>
    <w:basedOn w:val="1"/>
    <w:next w:val="11"/>
    <w:qFormat/>
    <w:uiPriority w:val="0"/>
    <w:rPr>
      <w:rFonts w:ascii="宋体" w:hAnsi="Courier New" w:cstheme="minorBidi"/>
    </w:rPr>
  </w:style>
  <w:style w:type="paragraph" w:styleId="11">
    <w:name w:val="Date"/>
    <w:basedOn w:val="1"/>
    <w:next w:val="1"/>
    <w:qFormat/>
    <w:uiPriority w:val="0"/>
    <w:pPr>
      <w:ind w:left="2500" w:leftChars="2500"/>
    </w:pPr>
    <w:rPr>
      <w:rFonts w:eastAsia="楷体_GB2312" w:asciiTheme="minorHAnsi" w:hAnsiTheme="minorHAnsi" w:cstheme="minorBidi"/>
      <w:sz w:val="32"/>
      <w:szCs w:val="22"/>
    </w:rPr>
  </w:style>
  <w:style w:type="paragraph" w:styleId="12">
    <w:name w:val="Balloon Text"/>
    <w:basedOn w:val="1"/>
    <w:link w:val="48"/>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6">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7">
    <w:name w:val="Body Text First Indent"/>
    <w:basedOn w:val="1"/>
    <w:qFormat/>
    <w:uiPriority w:val="0"/>
    <w:pPr>
      <w:ind w:firstLine="200" w:firstLineChars="200"/>
    </w:pPr>
  </w:style>
  <w:style w:type="paragraph" w:styleId="18">
    <w:name w:val="Body Text First Indent 2"/>
    <w:basedOn w:val="2"/>
    <w:qFormat/>
    <w:uiPriority w:val="0"/>
    <w:pPr>
      <w:ind w:firstLine="420"/>
    </w:pPr>
  </w:style>
  <w:style w:type="table" w:styleId="20">
    <w:name w:val="Table Grid"/>
    <w:basedOn w:val="19"/>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2">
    <w:name w:val="FollowedHyperlink"/>
    <w:basedOn w:val="21"/>
    <w:qFormat/>
    <w:uiPriority w:val="0"/>
    <w:rPr>
      <w:color w:val="800080"/>
      <w:u w:val="single"/>
    </w:rPr>
  </w:style>
  <w:style w:type="character" w:styleId="23">
    <w:name w:val="Hyperlink"/>
    <w:qFormat/>
    <w:uiPriority w:val="0"/>
    <w:rPr>
      <w:color w:val="0000FF"/>
      <w:u w:val="single"/>
    </w:rPr>
  </w:style>
  <w:style w:type="character" w:styleId="24">
    <w:name w:val="annotation reference"/>
    <w:basedOn w:val="21"/>
    <w:qFormat/>
    <w:uiPriority w:val="0"/>
    <w:rPr>
      <w:sz w:val="21"/>
      <w:szCs w:val="21"/>
    </w:rPr>
  </w:style>
  <w:style w:type="paragraph" w:customStyle="1" w:styleId="25">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8">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9">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正文_14"/>
    <w:qFormat/>
    <w:uiPriority w:val="0"/>
    <w:rPr>
      <w:rFonts w:ascii="Times New Roman" w:hAnsi="Times New Roman" w:eastAsia="宋体" w:cs="Times New Roman"/>
      <w:sz w:val="21"/>
      <w:szCs w:val="22"/>
      <w:lang w:val="en-US" w:eastAsia="zh-CN" w:bidi="ar-SA"/>
    </w:rPr>
  </w:style>
  <w:style w:type="paragraph" w:customStyle="1" w:styleId="32">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纯文本_3"/>
    <w:basedOn w:val="34"/>
    <w:qFormat/>
    <w:uiPriority w:val="0"/>
    <w:pPr>
      <w:widowControl/>
      <w:jc w:val="left"/>
    </w:pPr>
    <w:rPr>
      <w:rFonts w:ascii="宋体" w:hAnsi="Courier New" w:eastAsiaTheme="minorEastAsia" w:cstheme="minorBidi"/>
      <w:szCs w:val="21"/>
    </w:rPr>
  </w:style>
  <w:style w:type="paragraph" w:customStyle="1" w:styleId="36">
    <w:name w:val="纯文本_0_1"/>
    <w:basedOn w:val="1"/>
    <w:qFormat/>
    <w:uiPriority w:val="0"/>
    <w:pPr>
      <w:widowControl/>
      <w:jc w:val="left"/>
    </w:pPr>
    <w:rPr>
      <w:rFonts w:ascii="宋体" w:hAnsi="Courier New" w:eastAsiaTheme="minorEastAsia" w:cstheme="minorBidi"/>
      <w:szCs w:val="21"/>
    </w:rPr>
  </w:style>
  <w:style w:type="paragraph" w:customStyle="1" w:styleId="3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1">
    <w:name w:val="font21"/>
    <w:basedOn w:val="21"/>
    <w:qFormat/>
    <w:uiPriority w:val="0"/>
    <w:rPr>
      <w:rFonts w:hint="default" w:ascii="Arial" w:hAnsi="Arial" w:cs="Arial"/>
      <w:color w:val="000000"/>
      <w:sz w:val="20"/>
      <w:szCs w:val="20"/>
      <w:u w:val="none"/>
    </w:rPr>
  </w:style>
  <w:style w:type="character" w:customStyle="1" w:styleId="42">
    <w:name w:val="font01"/>
    <w:basedOn w:val="21"/>
    <w:qFormat/>
    <w:uiPriority w:val="0"/>
    <w:rPr>
      <w:rFonts w:hint="eastAsia" w:ascii="宋体" w:hAnsi="宋体" w:eastAsia="宋体" w:cs="宋体"/>
      <w:color w:val="000000"/>
      <w:sz w:val="20"/>
      <w:szCs w:val="20"/>
      <w:u w:val="none"/>
    </w:rPr>
  </w:style>
  <w:style w:type="paragraph" w:customStyle="1" w:styleId="43">
    <w:name w:val="纯文本1"/>
    <w:basedOn w:val="44"/>
    <w:qFormat/>
    <w:uiPriority w:val="0"/>
    <w:pPr>
      <w:widowControl/>
      <w:jc w:val="left"/>
    </w:pPr>
    <w:rPr>
      <w:rFonts w:ascii="宋体" w:hAnsi="Courier New"/>
    </w:rPr>
  </w:style>
  <w:style w:type="paragraph" w:customStyle="1" w:styleId="44">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5">
    <w:name w:val="Table Paragraph"/>
    <w:basedOn w:val="1"/>
    <w:qFormat/>
    <w:uiPriority w:val="1"/>
    <w:rPr>
      <w:rFonts w:ascii="宋体" w:hAnsi="宋体" w:cs="宋体"/>
    </w:rPr>
  </w:style>
  <w:style w:type="paragraph" w:customStyle="1" w:styleId="46">
    <w:name w:val="WPSOffice手动目录 1"/>
    <w:qFormat/>
    <w:uiPriority w:val="0"/>
    <w:rPr>
      <w:rFonts w:ascii="Times New Roman" w:hAnsi="Times New Roman" w:eastAsia="宋体" w:cs="Times New Roman"/>
      <w:lang w:val="en-US" w:eastAsia="zh-CN" w:bidi="ar-SA"/>
    </w:rPr>
  </w:style>
  <w:style w:type="character" w:customStyle="1" w:styleId="47">
    <w:name w:val="标题 1 Char Char"/>
    <w:basedOn w:val="21"/>
    <w:qFormat/>
    <w:uiPriority w:val="0"/>
    <w:rPr>
      <w:rFonts w:eastAsia="宋体"/>
      <w:b/>
      <w:spacing w:val="-2"/>
      <w:sz w:val="24"/>
      <w:lang w:val="en-US" w:eastAsia="zh-CN" w:bidi="ar-SA"/>
    </w:rPr>
  </w:style>
  <w:style w:type="character" w:customStyle="1" w:styleId="48">
    <w:name w:val="批注框文本 Char"/>
    <w:basedOn w:val="21"/>
    <w:link w:val="12"/>
    <w:qFormat/>
    <w:uiPriority w:val="0"/>
    <w:rPr>
      <w:kern w:val="2"/>
      <w:sz w:val="18"/>
      <w:szCs w:val="18"/>
    </w:rPr>
  </w:style>
  <w:style w:type="character" w:customStyle="1" w:styleId="49">
    <w:name w:val="font41"/>
    <w:basedOn w:val="21"/>
    <w:unhideWhenUsed/>
    <w:qFormat/>
    <w:uiPriority w:val="0"/>
    <w:rPr>
      <w:rFonts w:hint="eastAsia" w:ascii="宋体" w:hAnsi="宋体" w:eastAsia="宋体" w:cs="宋体"/>
      <w:color w:val="000000"/>
      <w:sz w:val="18"/>
      <w:szCs w:val="18"/>
    </w:rPr>
  </w:style>
  <w:style w:type="character" w:customStyle="1" w:styleId="50">
    <w:name w:val="font121"/>
    <w:basedOn w:val="21"/>
    <w:unhideWhenUsed/>
    <w:qFormat/>
    <w:uiPriority w:val="0"/>
    <w:rPr>
      <w:rFonts w:hint="eastAsia" w:ascii="宋体" w:hAnsi="宋体" w:eastAsia="宋体" w:cs="宋体"/>
      <w:color w:val="FF0000"/>
      <w:sz w:val="18"/>
      <w:szCs w:val="18"/>
    </w:rPr>
  </w:style>
  <w:style w:type="character" w:customStyle="1" w:styleId="51">
    <w:name w:val="font51"/>
    <w:basedOn w:val="21"/>
    <w:unhideWhenUsed/>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53</Pages>
  <Words>24277</Words>
  <Characters>25797</Characters>
  <Lines>174</Lines>
  <Paragraphs>49</Paragraphs>
  <TotalTime>15</TotalTime>
  <ScaleCrop>false</ScaleCrop>
  <LinksUpToDate>false</LinksUpToDate>
  <CharactersWithSpaces>28150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2021-02-05T17:06:00Z</dcterms:created>
  <dc:creator>Thorpe521</dc:creator>
  <cp:lastModifiedBy>cqh</cp:lastModifiedBy>
  <cp:lastPrinted>2021-08-18T09:05:00Z</cp:lastPrinted>
  <dcterms:modified xsi:type="dcterms:W3CDTF">2022-06-01T01:55:15Z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56099B2E4D2A4F63A2AAC9078C67EC41</vt:lpwstr>
  </property>
  <property fmtid="{D5CDD505-2E9C-101B-9397-08002B2CF9AE}" pid="4" name="woTemplateTypoMode" linkTarget="0">
    <vt:lpwstr>web</vt:lpwstr>
  </property>
  <property fmtid="{D5CDD505-2E9C-101B-9397-08002B2CF9AE}" pid="5" name="woTemplate" linkTarget="0">
    <vt:i4>1</vt:i4>
  </property>
</Properties>
</file>