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hint="eastAsia" w:ascii="宋体"/>
          <w:b/>
          <w:kern w:val="0"/>
          <w:sz w:val="32"/>
        </w:rPr>
        <w:t>TZCG-202</w:t>
      </w:r>
      <w:r>
        <w:rPr>
          <w:rFonts w:hint="eastAsia" w:ascii="宋体"/>
          <w:b/>
          <w:kern w:val="0"/>
          <w:sz w:val="32"/>
          <w:lang w:val="en-US" w:eastAsia="zh-CN"/>
        </w:rPr>
        <w:t>2</w:t>
      </w:r>
      <w:r>
        <w:rPr>
          <w:rFonts w:hint="eastAsia" w:ascii="宋体"/>
          <w:b/>
          <w:kern w:val="0"/>
          <w:sz w:val="32"/>
        </w:rPr>
        <w:t>-GK0</w:t>
      </w:r>
      <w:r>
        <w:rPr>
          <w:rFonts w:hint="eastAsia" w:ascii="宋体"/>
          <w:b/>
          <w:kern w:val="0"/>
          <w:sz w:val="32"/>
          <w:lang w:val="en-US" w:eastAsia="zh-CN"/>
        </w:rPr>
        <w:t>0</w:t>
      </w:r>
      <w:r>
        <w:rPr>
          <w:rFonts w:hint="eastAsia" w:ascii="宋体"/>
          <w:b/>
          <w:kern w:val="0"/>
          <w:sz w:val="32"/>
        </w:rPr>
        <w:t>2号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采购项目：WZ系统升级标段一（通用硬件）采购项目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人：台州市公安局</w:t>
      </w:r>
      <w:bookmarkStart w:id="120" w:name="_GoBack"/>
      <w:bookmarkEnd w:id="120"/>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rPr>
        <w:t>202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15</w:t>
      </w:r>
      <w:r>
        <w:rPr>
          <w:rFonts w:hint="eastAsia" w:ascii="宋体" w:hAnsi="宋体" w:cs="宋体"/>
          <w:color w:val="auto"/>
          <w:kern w:val="0"/>
          <w:sz w:val="28"/>
          <w:szCs w:val="28"/>
        </w:rPr>
        <w:t>日</w:t>
      </w:r>
    </w:p>
    <w:p>
      <w:pPr>
        <w:spacing w:line="360" w:lineRule="auto"/>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sdt>
      <w:sdtPr>
        <w:rPr>
          <w:rFonts w:ascii="宋体" w:hAnsi="宋体"/>
          <w:color w:val="auto"/>
          <w:kern w:val="0"/>
          <w:sz w:val="28"/>
          <w:szCs w:val="28"/>
        </w:rPr>
        <w:id w:val="147471336"/>
        <w:docPartObj>
          <w:docPartGallery w:val="Table of Contents"/>
          <w:docPartUnique/>
        </w:docPartObj>
      </w:sdtPr>
      <w:sdtEndPr>
        <w:rPr>
          <w:rFonts w:hint="default" w:ascii="宋体" w:hAnsi="宋体"/>
          <w:color w:val="auto"/>
          <w:kern w:val="0"/>
          <w:sz w:val="20"/>
          <w:szCs w:val="20"/>
          <w:lang w:val="en-US"/>
        </w:rPr>
      </w:sdtEndPr>
      <w:sdtContent>
        <w:p>
          <w:pPr>
            <w:spacing w:line="480" w:lineRule="auto"/>
            <w:rPr>
              <w:rFonts w:ascii="宋体" w:hAnsi="宋体"/>
              <w:color w:val="auto"/>
              <w:kern w:val="0"/>
              <w:sz w:val="28"/>
              <w:szCs w:val="28"/>
            </w:rPr>
          </w:pPr>
          <w:bookmarkStart w:id="0" w:name="_Toc25017_WPSOffice_Type1"/>
        </w:p>
        <w:p>
          <w:pPr>
            <w:pStyle w:val="2"/>
            <w:rPr>
              <w:color w:val="auto"/>
            </w:rPr>
          </w:pPr>
        </w:p>
        <w:p>
          <w:pPr>
            <w:spacing w:line="480" w:lineRule="auto"/>
            <w:jc w:val="center"/>
            <w:rPr>
              <w:rFonts w:ascii="宋体" w:hAnsi="宋体"/>
              <w:b/>
              <w:bCs/>
              <w:color w:val="auto"/>
              <w:sz w:val="36"/>
              <w:szCs w:val="36"/>
            </w:rPr>
          </w:pPr>
          <w:r>
            <w:rPr>
              <w:rFonts w:hint="eastAsia" w:ascii="宋体" w:hAnsi="宋体"/>
              <w:b/>
              <w:bCs/>
              <w:color w:val="auto"/>
              <w:sz w:val="36"/>
              <w:szCs w:val="36"/>
            </w:rPr>
            <w:t>目  录</w:t>
          </w:r>
        </w:p>
        <w:p>
          <w:pPr>
            <w:pStyle w:val="17"/>
            <w:tabs>
              <w:tab w:val="right" w:leader="dot" w:pos="8620"/>
            </w:tabs>
            <w:rPr>
              <w:rFonts w:eastAsiaTheme="minorEastAsia" w:cstheme="minorBidi"/>
              <w:color w:val="auto"/>
              <w:sz w:val="28"/>
              <w:szCs w:val="28"/>
            </w:rPr>
          </w:pPr>
          <w:r>
            <w:rPr>
              <w:color w:val="auto"/>
            </w:rPr>
            <w:fldChar w:fldCharType="begin"/>
          </w:r>
          <w:r>
            <w:rPr>
              <w:color w:val="auto"/>
            </w:rPr>
            <w:instrText xml:space="preserve"> HYPERLINK \l "_Toc4350_WPSOffice_Level1" </w:instrText>
          </w:r>
          <w:r>
            <w:rPr>
              <w:color w:val="auto"/>
            </w:rPr>
            <w:fldChar w:fldCharType="separate"/>
          </w:r>
          <w:r>
            <w:rPr>
              <w:rFonts w:hint="eastAsia" w:eastAsiaTheme="minorEastAsia" w:cstheme="minorBidi"/>
              <w:color w:val="auto"/>
              <w:sz w:val="28"/>
              <w:szCs w:val="28"/>
            </w:rPr>
            <w:t>第一章 投标邀请</w:t>
          </w:r>
          <w:r>
            <w:rPr>
              <w:rFonts w:hint="eastAsia" w:eastAsiaTheme="minorEastAsia" w:cstheme="minorBidi"/>
              <w:color w:val="auto"/>
              <w:sz w:val="28"/>
              <w:szCs w:val="28"/>
            </w:rPr>
            <w:tab/>
          </w:r>
          <w:bookmarkStart w:id="1" w:name="_Toc4350_WPSOffice_Level1Page"/>
          <w:r>
            <w:rPr>
              <w:rFonts w:hint="eastAsia" w:eastAsiaTheme="minorEastAsia" w:cstheme="minorBidi"/>
              <w:color w:val="auto"/>
              <w:sz w:val="28"/>
              <w:szCs w:val="28"/>
            </w:rPr>
            <w:t>3</w:t>
          </w:r>
          <w:bookmarkEnd w:id="1"/>
          <w:r>
            <w:rPr>
              <w:rFonts w:hint="eastAsia" w:eastAsiaTheme="minorEastAsia" w:cstheme="minorBidi"/>
              <w:color w:val="auto"/>
              <w:sz w:val="28"/>
              <w:szCs w:val="28"/>
            </w:rPr>
            <w:fldChar w:fldCharType="end"/>
          </w:r>
        </w:p>
        <w:p>
          <w:pPr>
            <w:pStyle w:val="17"/>
            <w:tabs>
              <w:tab w:val="right" w:leader="dot" w:pos="8620"/>
            </w:tabs>
            <w:rPr>
              <w:rFonts w:eastAsiaTheme="minorEastAsia" w:cstheme="minorBidi"/>
              <w:color w:val="auto"/>
              <w:sz w:val="28"/>
              <w:szCs w:val="28"/>
            </w:rPr>
          </w:pPr>
          <w:r>
            <w:rPr>
              <w:color w:val="auto"/>
            </w:rPr>
            <w:fldChar w:fldCharType="begin"/>
          </w:r>
          <w:r>
            <w:rPr>
              <w:color w:val="auto"/>
            </w:rPr>
            <w:instrText xml:space="preserve"> HYPERLINK \l "_Toc25017_WPSOffice_Level1" </w:instrText>
          </w:r>
          <w:r>
            <w:rPr>
              <w:color w:val="auto"/>
            </w:rPr>
            <w:fldChar w:fldCharType="separate"/>
          </w:r>
          <w:r>
            <w:rPr>
              <w:rFonts w:hint="eastAsia" w:eastAsiaTheme="minorEastAsia" w:cstheme="minorBidi"/>
              <w:color w:val="auto"/>
              <w:sz w:val="28"/>
              <w:szCs w:val="28"/>
            </w:rPr>
            <w:t>第二章 投标人须知</w:t>
          </w:r>
          <w:r>
            <w:rPr>
              <w:rFonts w:hint="eastAsia" w:eastAsiaTheme="minorEastAsia" w:cstheme="minorBidi"/>
              <w:color w:val="auto"/>
              <w:sz w:val="28"/>
              <w:szCs w:val="28"/>
            </w:rPr>
            <w:tab/>
          </w:r>
          <w:r>
            <w:rPr>
              <w:rFonts w:hint="eastAsia" w:eastAsiaTheme="minorEastAsia" w:cstheme="minorBidi"/>
              <w:color w:val="auto"/>
              <w:sz w:val="28"/>
              <w:szCs w:val="28"/>
            </w:rPr>
            <w:t>5</w:t>
          </w:r>
          <w:r>
            <w:rPr>
              <w:rFonts w:hint="eastAsia" w:eastAsiaTheme="minorEastAsia" w:cstheme="minorBidi"/>
              <w:color w:val="auto"/>
              <w:sz w:val="28"/>
              <w:szCs w:val="28"/>
            </w:rPr>
            <w:fldChar w:fldCharType="end"/>
          </w:r>
        </w:p>
        <w:p>
          <w:pPr>
            <w:pStyle w:val="17"/>
            <w:tabs>
              <w:tab w:val="right" w:leader="dot" w:pos="8620"/>
            </w:tabs>
            <w:rPr>
              <w:rFonts w:eastAsiaTheme="minorEastAsia" w:cstheme="minorBidi"/>
              <w:color w:val="auto"/>
              <w:sz w:val="28"/>
              <w:szCs w:val="28"/>
            </w:rPr>
          </w:pPr>
          <w:r>
            <w:rPr>
              <w:color w:val="auto"/>
            </w:rPr>
            <w:fldChar w:fldCharType="begin"/>
          </w:r>
          <w:r>
            <w:rPr>
              <w:color w:val="auto"/>
            </w:rPr>
            <w:instrText xml:space="preserve"> HYPERLINK \l "_Toc13072_WPSOffice_Level1" </w:instrText>
          </w:r>
          <w:r>
            <w:rPr>
              <w:color w:val="auto"/>
            </w:rPr>
            <w:fldChar w:fldCharType="separate"/>
          </w:r>
          <w:r>
            <w:rPr>
              <w:rFonts w:hint="eastAsia" w:eastAsiaTheme="minorEastAsia" w:cstheme="minorBidi"/>
              <w:color w:val="auto"/>
              <w:sz w:val="28"/>
              <w:szCs w:val="28"/>
            </w:rPr>
            <w:t>第三章 招标需求</w:t>
          </w:r>
          <w:r>
            <w:rPr>
              <w:rFonts w:hint="eastAsia" w:eastAsiaTheme="minorEastAsia" w:cstheme="minorBidi"/>
              <w:color w:val="auto"/>
              <w:sz w:val="28"/>
              <w:szCs w:val="28"/>
            </w:rPr>
            <w:tab/>
          </w:r>
          <w:r>
            <w:rPr>
              <w:rFonts w:hint="eastAsia" w:eastAsiaTheme="minorEastAsia" w:cstheme="minorBidi"/>
              <w:color w:val="auto"/>
              <w:sz w:val="28"/>
              <w:szCs w:val="28"/>
            </w:rPr>
            <w:t>1</w:t>
          </w:r>
          <w:r>
            <w:rPr>
              <w:rFonts w:hint="eastAsia" w:eastAsiaTheme="minorEastAsia" w:cstheme="minorBidi"/>
              <w:color w:val="auto"/>
              <w:sz w:val="28"/>
              <w:szCs w:val="28"/>
            </w:rPr>
            <w:fldChar w:fldCharType="end"/>
          </w:r>
          <w:r>
            <w:rPr>
              <w:rFonts w:hint="eastAsia" w:eastAsiaTheme="minorEastAsia" w:cstheme="minorBidi"/>
              <w:color w:val="auto"/>
              <w:sz w:val="28"/>
              <w:szCs w:val="28"/>
            </w:rPr>
            <w:t>4</w:t>
          </w:r>
        </w:p>
        <w:p>
          <w:pPr>
            <w:pStyle w:val="17"/>
            <w:tabs>
              <w:tab w:val="right" w:leader="dot" w:pos="8620"/>
            </w:tabs>
            <w:rPr>
              <w:rFonts w:hint="default" w:eastAsiaTheme="minorEastAsia" w:cstheme="minorBidi"/>
              <w:color w:val="auto"/>
              <w:sz w:val="28"/>
              <w:szCs w:val="28"/>
              <w:lang w:val="en-US"/>
            </w:rPr>
          </w:pPr>
          <w:r>
            <w:rPr>
              <w:color w:val="auto"/>
            </w:rPr>
            <w:fldChar w:fldCharType="begin"/>
          </w:r>
          <w:r>
            <w:rPr>
              <w:color w:val="auto"/>
            </w:rPr>
            <w:instrText xml:space="preserve"> HYPERLINK \l "_Toc31173_WPSOffice_Level1" </w:instrText>
          </w:r>
          <w:r>
            <w:rPr>
              <w:color w:val="auto"/>
            </w:rPr>
            <w:fldChar w:fldCharType="separate"/>
          </w:r>
          <w:r>
            <w:rPr>
              <w:rFonts w:hint="eastAsia" w:eastAsiaTheme="minorEastAsia" w:cstheme="minorBidi"/>
              <w:color w:val="auto"/>
              <w:sz w:val="28"/>
              <w:szCs w:val="28"/>
            </w:rPr>
            <w:t>第四章 评标</w:t>
          </w:r>
          <w:r>
            <w:rPr>
              <w:rFonts w:hint="eastAsia" w:eastAsiaTheme="minorEastAsia" w:cstheme="minorBidi"/>
              <w:color w:val="auto"/>
              <w:sz w:val="28"/>
              <w:szCs w:val="28"/>
            </w:rPr>
            <w:tab/>
          </w:r>
          <w:r>
            <w:rPr>
              <w:rFonts w:hint="eastAsia" w:eastAsiaTheme="minorEastAsia" w:cstheme="minorBidi"/>
              <w:color w:val="auto"/>
              <w:sz w:val="28"/>
              <w:szCs w:val="28"/>
            </w:rPr>
            <w:fldChar w:fldCharType="end"/>
          </w:r>
          <w:r>
            <w:rPr>
              <w:rFonts w:hint="eastAsia" w:eastAsiaTheme="minorEastAsia" w:cstheme="minorBidi"/>
              <w:color w:val="auto"/>
              <w:sz w:val="28"/>
              <w:szCs w:val="28"/>
              <w:lang w:val="en-US" w:eastAsia="zh-CN"/>
            </w:rPr>
            <w:t>35</w:t>
          </w:r>
        </w:p>
        <w:p>
          <w:pPr>
            <w:pStyle w:val="17"/>
            <w:tabs>
              <w:tab w:val="right" w:leader="dot" w:pos="8620"/>
            </w:tabs>
            <w:rPr>
              <w:rFonts w:eastAsiaTheme="minorEastAsia" w:cstheme="minorBidi"/>
              <w:color w:val="auto"/>
              <w:sz w:val="28"/>
              <w:szCs w:val="28"/>
            </w:rPr>
          </w:pPr>
          <w:r>
            <w:rPr>
              <w:color w:val="auto"/>
            </w:rPr>
            <w:fldChar w:fldCharType="begin"/>
          </w:r>
          <w:r>
            <w:rPr>
              <w:color w:val="auto"/>
            </w:rPr>
            <w:instrText xml:space="preserve"> HYPERLINK \l "_Toc27944_WPSOffice_Level1" </w:instrText>
          </w:r>
          <w:r>
            <w:rPr>
              <w:color w:val="auto"/>
            </w:rPr>
            <w:fldChar w:fldCharType="separate"/>
          </w:r>
          <w:r>
            <w:rPr>
              <w:rFonts w:hint="eastAsia" w:eastAsiaTheme="minorEastAsia" w:cstheme="minorBidi"/>
              <w:color w:val="auto"/>
              <w:sz w:val="28"/>
              <w:szCs w:val="28"/>
            </w:rPr>
            <w:t>第五章 拟签订的合同文本</w:t>
          </w:r>
          <w:r>
            <w:rPr>
              <w:rFonts w:hint="eastAsia" w:eastAsiaTheme="minorEastAsia" w:cstheme="minorBidi"/>
              <w:color w:val="auto"/>
              <w:sz w:val="28"/>
              <w:szCs w:val="28"/>
            </w:rPr>
            <w:tab/>
          </w:r>
          <w:r>
            <w:rPr>
              <w:rFonts w:hint="eastAsia" w:eastAsiaTheme="minorEastAsia" w:cstheme="minorBidi"/>
              <w:color w:val="auto"/>
              <w:sz w:val="28"/>
              <w:szCs w:val="28"/>
              <w:lang w:val="en-US" w:eastAsia="zh-CN"/>
            </w:rPr>
            <w:t>42</w:t>
          </w:r>
          <w:r>
            <w:rPr>
              <w:rFonts w:hint="eastAsia" w:eastAsiaTheme="minorEastAsia" w:cstheme="minorBidi"/>
              <w:color w:val="auto"/>
              <w:sz w:val="28"/>
              <w:szCs w:val="28"/>
            </w:rPr>
            <w:fldChar w:fldCharType="end"/>
          </w:r>
        </w:p>
        <w:p>
          <w:pPr>
            <w:pStyle w:val="17"/>
            <w:tabs>
              <w:tab w:val="right" w:leader="dot" w:pos="8620"/>
            </w:tabs>
            <w:rPr>
              <w:color w:val="auto"/>
            </w:rPr>
          </w:pPr>
          <w:r>
            <w:rPr>
              <w:color w:val="auto"/>
            </w:rPr>
            <w:fldChar w:fldCharType="begin"/>
          </w:r>
          <w:r>
            <w:rPr>
              <w:color w:val="auto"/>
            </w:rPr>
            <w:instrText xml:space="preserve"> HYPERLINK \l "_Toc5481_WPSOffice_Level1" </w:instrText>
          </w:r>
          <w:r>
            <w:rPr>
              <w:color w:val="auto"/>
            </w:rPr>
            <w:fldChar w:fldCharType="separate"/>
          </w:r>
          <w:r>
            <w:rPr>
              <w:rFonts w:hint="eastAsia" w:eastAsiaTheme="minorEastAsia" w:cstheme="minorBidi"/>
              <w:color w:val="auto"/>
              <w:sz w:val="28"/>
              <w:szCs w:val="28"/>
            </w:rPr>
            <w:t>第六章 投标文件格式</w:t>
          </w:r>
          <w:r>
            <w:rPr>
              <w:rFonts w:hint="eastAsia" w:eastAsiaTheme="minorEastAsia" w:cstheme="minorBidi"/>
              <w:color w:val="auto"/>
              <w:sz w:val="28"/>
              <w:szCs w:val="28"/>
            </w:rPr>
            <w:tab/>
          </w:r>
          <w:r>
            <w:rPr>
              <w:rFonts w:hint="eastAsia" w:eastAsiaTheme="minorEastAsia" w:cstheme="minorBidi"/>
              <w:color w:val="auto"/>
              <w:sz w:val="28"/>
              <w:szCs w:val="28"/>
            </w:rPr>
            <w:fldChar w:fldCharType="end"/>
          </w:r>
          <w:r>
            <w:rPr>
              <w:rFonts w:hint="eastAsia" w:eastAsiaTheme="minorEastAsia" w:cstheme="minorBidi"/>
              <w:color w:val="auto"/>
              <w:sz w:val="28"/>
              <w:szCs w:val="28"/>
              <w:lang w:val="en-US" w:eastAsia="zh-CN"/>
            </w:rPr>
            <w:t>47</w:t>
          </w:r>
        </w:p>
      </w:sdtContent>
    </w:sdt>
    <w:bookmarkEnd w:id="0"/>
    <w:p>
      <w:pPr>
        <w:spacing w:line="480" w:lineRule="auto"/>
        <w:rPr>
          <w:color w:val="auto"/>
          <w:sz w:val="28"/>
          <w:szCs w:val="28"/>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rPr>
          <w:rFonts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color w:val="auto"/>
          <w:sz w:val="36"/>
          <w:szCs w:val="36"/>
        </w:rPr>
      </w:pPr>
      <w:bookmarkStart w:id="2" w:name="_Toc4350_WPSOffice_Level1"/>
      <w:r>
        <w:rPr>
          <w:rFonts w:hint="eastAsia" w:ascii="宋体" w:hAnsi="宋体" w:cs="宋体"/>
          <w:b/>
          <w:color w:val="auto"/>
          <w:kern w:val="0"/>
          <w:sz w:val="36"/>
          <w:szCs w:val="36"/>
        </w:rPr>
        <w:t>投标邀请</w:t>
      </w:r>
      <w:bookmarkEnd w:id="2"/>
    </w:p>
    <w:p>
      <w:pPr>
        <w:pStyle w:val="5"/>
        <w:ind w:firstLine="480" w:firstLineChars="200"/>
        <w:rPr>
          <w:rFonts w:cs="宋体"/>
          <w:b w:val="0"/>
          <w:color w:val="auto"/>
          <w:sz w:val="24"/>
          <w:szCs w:val="24"/>
        </w:rPr>
      </w:pPr>
      <w:bookmarkStart w:id="3" w:name="_Toc28359002"/>
      <w:bookmarkStart w:id="4" w:name="_Toc28359079"/>
      <w:bookmarkStart w:id="5" w:name="_Toc35393621"/>
      <w:bookmarkStart w:id="6" w:name="_Toc35393790"/>
      <w:bookmarkStart w:id="7" w:name="_Hlk24379207"/>
      <w:r>
        <w:rPr>
          <w:rFonts w:hint="eastAsia" w:cs="宋体"/>
          <w:b w:val="0"/>
          <w:color w:val="auto"/>
          <w:sz w:val="24"/>
          <w:szCs w:val="24"/>
        </w:rPr>
        <w:t>台州市政府采购中心受台州市公安局委托，就WZ系统升级标段一（通用硬件）采购项目进行公开招标，欢迎符合资格条件的国内投标人参加投标。</w:t>
      </w:r>
    </w:p>
    <w:p>
      <w:pPr>
        <w:pStyle w:val="5"/>
        <w:ind w:firstLine="482" w:firstLineChars="200"/>
        <w:rPr>
          <w:rFonts w:cs="宋体"/>
          <w:bCs/>
          <w:color w:val="auto"/>
          <w:sz w:val="24"/>
          <w:szCs w:val="24"/>
        </w:rPr>
      </w:pPr>
      <w:r>
        <w:rPr>
          <w:rFonts w:hint="eastAsia" w:cs="宋体"/>
          <w:bCs/>
          <w:color w:val="auto"/>
          <w:sz w:val="24"/>
          <w:szCs w:val="24"/>
        </w:rPr>
        <w:t>一、项目基本情况</w:t>
      </w:r>
      <w:bookmarkEnd w:id="3"/>
      <w:bookmarkEnd w:id="4"/>
      <w:bookmarkEnd w:id="5"/>
      <w:bookmarkEnd w:id="6"/>
    </w:p>
    <w:p>
      <w:pPr>
        <w:spacing w:line="360" w:lineRule="auto"/>
        <w:ind w:firstLine="480" w:firstLineChars="200"/>
        <w:rPr>
          <w:rFonts w:ascii="宋体" w:hAnsi="宋体" w:cs="宋体"/>
          <w:color w:val="auto"/>
          <w:sz w:val="24"/>
        </w:rPr>
      </w:pPr>
      <w:r>
        <w:rPr>
          <w:rFonts w:hint="eastAsia" w:ascii="宋体" w:hAnsi="宋体" w:cs="宋体"/>
          <w:color w:val="auto"/>
          <w:sz w:val="24"/>
        </w:rPr>
        <w:t>项目编号：TZCG-202</w:t>
      </w:r>
      <w:r>
        <w:rPr>
          <w:rFonts w:hint="eastAsia" w:ascii="宋体" w:hAnsi="宋体" w:cs="宋体"/>
          <w:color w:val="auto"/>
          <w:sz w:val="24"/>
          <w:lang w:val="en-US" w:eastAsia="zh-CN"/>
        </w:rPr>
        <w:t>2</w:t>
      </w:r>
      <w:r>
        <w:rPr>
          <w:rFonts w:hint="eastAsia" w:ascii="宋体" w:hAnsi="宋体" w:cs="宋体"/>
          <w:color w:val="auto"/>
          <w:sz w:val="24"/>
        </w:rPr>
        <w:t>-GK</w:t>
      </w:r>
      <w:r>
        <w:rPr>
          <w:rFonts w:hint="eastAsia" w:ascii="宋体" w:hAnsi="宋体" w:cs="宋体"/>
          <w:color w:val="auto"/>
          <w:sz w:val="24"/>
          <w:lang w:val="en-US" w:eastAsia="zh-CN"/>
        </w:rPr>
        <w:t>0</w:t>
      </w:r>
      <w:r>
        <w:rPr>
          <w:rFonts w:hint="eastAsia" w:ascii="宋体" w:hAnsi="宋体" w:cs="宋体"/>
          <w:color w:val="auto"/>
          <w:sz w:val="24"/>
        </w:rPr>
        <w:t>02</w:t>
      </w:r>
      <w:r>
        <w:rPr>
          <w:rFonts w:hint="eastAsia" w:asciiTheme="minorEastAsia" w:hAnsiTheme="minorEastAsia" w:eastAsiaTheme="minorEastAsia" w:cstheme="minorEastAsia"/>
          <w:color w:val="auto"/>
          <w:sz w:val="24"/>
        </w:rPr>
        <w:t>号</w:t>
      </w:r>
    </w:p>
    <w:bookmarkEnd w:id="7"/>
    <w:p>
      <w:pPr>
        <w:spacing w:line="360" w:lineRule="auto"/>
        <w:ind w:firstLine="480" w:firstLineChars="200"/>
        <w:rPr>
          <w:rFonts w:ascii="宋体" w:hAnsi="宋体" w:cs="宋体"/>
          <w:color w:val="auto"/>
          <w:kern w:val="0"/>
          <w:sz w:val="24"/>
        </w:rPr>
      </w:pPr>
      <w:r>
        <w:rPr>
          <w:rFonts w:hint="eastAsia" w:ascii="宋体" w:hAnsi="宋体" w:cs="宋体"/>
          <w:color w:val="auto"/>
          <w:sz w:val="24"/>
        </w:rPr>
        <w:t>项目名称：</w:t>
      </w:r>
      <w:r>
        <w:rPr>
          <w:rFonts w:hint="eastAsia" w:cs="宋体"/>
          <w:color w:val="auto"/>
          <w:sz w:val="24"/>
        </w:rPr>
        <w:t>台州市公安局</w:t>
      </w:r>
      <w:r>
        <w:rPr>
          <w:rFonts w:hint="eastAsia" w:ascii="宋体" w:hAnsi="宋体" w:cs="宋体"/>
          <w:color w:val="auto"/>
          <w:sz w:val="24"/>
        </w:rPr>
        <w:t>WZ系统升级标段一（通用硬件）采购</w:t>
      </w:r>
      <w:r>
        <w:rPr>
          <w:rFonts w:hint="eastAsia" w:ascii="宋体" w:hAnsi="宋体" w:cs="宋体"/>
          <w:color w:val="auto"/>
          <w:kern w:val="0"/>
          <w:sz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color w:val="auto"/>
                <w:szCs w:val="21"/>
              </w:rPr>
            </w:pPr>
            <w:r>
              <w:rPr>
                <w:rFonts w:hint="eastAsia" w:ascii="宋体" w:hAnsi="宋体" w:cs="宋体"/>
                <w:b/>
                <w:color w:val="auto"/>
                <w:szCs w:val="21"/>
              </w:rPr>
              <w:t>标项名称</w:t>
            </w:r>
          </w:p>
        </w:tc>
        <w:tc>
          <w:tcPr>
            <w:tcW w:w="999"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kern w:val="0"/>
                <w:szCs w:val="21"/>
              </w:rPr>
              <w:t>数量</w:t>
            </w:r>
          </w:p>
        </w:tc>
        <w:tc>
          <w:tcPr>
            <w:tcW w:w="979"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单位</w:t>
            </w:r>
          </w:p>
        </w:tc>
        <w:tc>
          <w:tcPr>
            <w:tcW w:w="1303"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预算</w:t>
            </w:r>
          </w:p>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（万元）</w:t>
            </w:r>
          </w:p>
        </w:tc>
        <w:tc>
          <w:tcPr>
            <w:tcW w:w="1585" w:type="dxa"/>
            <w:vAlign w:val="center"/>
          </w:tcPr>
          <w:p>
            <w:pPr>
              <w:jc w:val="center"/>
              <w:rPr>
                <w:rFonts w:ascii="宋体" w:hAnsi="宋体" w:cs="宋体"/>
                <w:b/>
                <w:color w:val="auto"/>
                <w:szCs w:val="21"/>
              </w:rPr>
            </w:pPr>
            <w:r>
              <w:rPr>
                <w:rFonts w:hint="eastAsia" w:ascii="宋体" w:hAnsi="宋体" w:cs="宋体"/>
                <w:b/>
                <w:color w:val="auto"/>
                <w:szCs w:val="21"/>
              </w:rPr>
              <w:t>最高限价</w:t>
            </w:r>
          </w:p>
          <w:p>
            <w:pPr>
              <w:jc w:val="center"/>
              <w:rPr>
                <w:rFonts w:ascii="宋体" w:hAnsi="宋体" w:cs="宋体"/>
                <w:b/>
                <w:color w:val="auto"/>
                <w:szCs w:val="21"/>
              </w:rPr>
            </w:pPr>
            <w:r>
              <w:rPr>
                <w:rFonts w:hint="eastAsia" w:ascii="宋体" w:hAnsi="宋体" w:cs="宋体"/>
                <w:b/>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1</w:t>
            </w:r>
          </w:p>
        </w:tc>
        <w:tc>
          <w:tcPr>
            <w:tcW w:w="2741" w:type="dxa"/>
            <w:vAlign w:val="center"/>
          </w:tcPr>
          <w:p>
            <w:pPr>
              <w:tabs>
                <w:tab w:val="left" w:pos="8280"/>
              </w:tabs>
              <w:autoSpaceDE w:val="0"/>
              <w:autoSpaceDN w:val="0"/>
              <w:adjustRightInd w:val="0"/>
              <w:jc w:val="left"/>
              <w:rPr>
                <w:rFonts w:ascii="宋体" w:hAnsi="宋体" w:cs="宋体"/>
                <w:bCs/>
                <w:color w:val="auto"/>
                <w:szCs w:val="21"/>
              </w:rPr>
            </w:pPr>
            <w:r>
              <w:rPr>
                <w:rFonts w:hint="eastAsia" w:ascii="宋体" w:hAnsi="宋体" w:cs="宋体"/>
                <w:bCs/>
                <w:color w:val="auto"/>
                <w:sz w:val="24"/>
              </w:rPr>
              <w:t>WZ系统升级标段一（通用硬件）</w:t>
            </w:r>
          </w:p>
        </w:tc>
        <w:tc>
          <w:tcPr>
            <w:tcW w:w="999"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1</w:t>
            </w:r>
          </w:p>
        </w:tc>
        <w:tc>
          <w:tcPr>
            <w:tcW w:w="979"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批</w:t>
            </w:r>
          </w:p>
        </w:tc>
        <w:tc>
          <w:tcPr>
            <w:tcW w:w="1303"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 w:val="24"/>
              </w:rPr>
              <w:t>1171.3</w:t>
            </w:r>
          </w:p>
        </w:tc>
        <w:tc>
          <w:tcPr>
            <w:tcW w:w="1585"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 w:val="24"/>
              </w:rPr>
              <w:t>111</w:t>
            </w:r>
            <w:r>
              <w:rPr>
                <w:rFonts w:hint="eastAsia" w:ascii="宋体" w:hAnsi="宋体" w:cs="宋体"/>
                <w:bCs/>
                <w:color w:val="auto"/>
                <w:sz w:val="24"/>
                <w:lang w:val="en-US" w:eastAsia="zh-CN"/>
              </w:rPr>
              <w:t>0</w:t>
            </w:r>
            <w:r>
              <w:rPr>
                <w:rFonts w:hint="eastAsia" w:ascii="宋体" w:hAnsi="宋体" w:cs="宋体"/>
                <w:bCs/>
                <w:color w:val="auto"/>
                <w:sz w:val="24"/>
              </w:rPr>
              <w:t>.</w:t>
            </w:r>
            <w:r>
              <w:rPr>
                <w:rFonts w:hint="eastAsia" w:ascii="宋体" w:hAnsi="宋体" w:cs="宋体"/>
                <w:bCs/>
                <w:color w:val="auto"/>
                <w:sz w:val="24"/>
                <w:lang w:val="en-US" w:eastAsia="zh-CN"/>
              </w:rPr>
              <w:t>3</w:t>
            </w:r>
            <w:r>
              <w:rPr>
                <w:rFonts w:hint="eastAsia" w:ascii="宋体" w:hAnsi="宋体" w:cs="宋体"/>
                <w:bCs/>
                <w:color w:val="auto"/>
                <w:sz w:val="24"/>
              </w:rPr>
              <w:t>2</w:t>
            </w:r>
          </w:p>
        </w:tc>
      </w:tr>
    </w:tbl>
    <w:p>
      <w:pPr>
        <w:pStyle w:val="5"/>
        <w:ind w:right="0" w:firstLine="482" w:firstLineChars="200"/>
        <w:rPr>
          <w:rFonts w:cs="宋体"/>
          <w:bCs/>
          <w:color w:val="auto"/>
          <w:sz w:val="24"/>
          <w:szCs w:val="24"/>
        </w:rPr>
      </w:pPr>
      <w:bookmarkStart w:id="8" w:name="_Toc35393622"/>
      <w:bookmarkStart w:id="9" w:name="_Toc35393791"/>
      <w:bookmarkStart w:id="10" w:name="_Toc28359080"/>
      <w:bookmarkStart w:id="11" w:name="_Toc28359003"/>
      <w:r>
        <w:rPr>
          <w:rFonts w:hint="eastAsia" w:cs="宋体"/>
          <w:bCs/>
          <w:color w:val="auto"/>
          <w:sz w:val="24"/>
          <w:szCs w:val="24"/>
        </w:rPr>
        <w:t>二、投标人的资格要求</w:t>
      </w:r>
      <w:bookmarkEnd w:id="8"/>
      <w:bookmarkEnd w:id="9"/>
      <w:bookmarkEnd w:id="10"/>
      <w:bookmarkEnd w:id="11"/>
    </w:p>
    <w:p>
      <w:pPr>
        <w:spacing w:line="360" w:lineRule="auto"/>
        <w:ind w:firstLine="480" w:firstLineChars="200"/>
        <w:rPr>
          <w:rFonts w:ascii="宋体" w:hAnsi="宋体" w:cs="宋体"/>
          <w:color w:val="auto"/>
          <w:sz w:val="24"/>
        </w:rPr>
      </w:pPr>
      <w:r>
        <w:rPr>
          <w:rFonts w:hint="eastAsia" w:ascii="宋体" w:hAnsi="宋体" w:cs="宋体"/>
          <w:color w:val="auto"/>
          <w:sz w:val="24"/>
        </w:rPr>
        <w:t>（一）满足《中华人民共和国政府采购法》第二十二条规定</w:t>
      </w:r>
      <w:bookmarkStart w:id="12" w:name="_Toc35393623"/>
      <w:bookmarkStart w:id="13" w:name="_Toc28359004"/>
      <w:bookmarkStart w:id="14" w:name="_Toc28359081"/>
      <w:bookmarkStart w:id="15" w:name="_Toc35393792"/>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（二）本项目的特定资格要求：本项目不允许进口产品。</w:t>
      </w:r>
    </w:p>
    <w:p>
      <w:pPr>
        <w:spacing w:line="360" w:lineRule="auto"/>
        <w:ind w:firstLine="480" w:firstLineChars="200"/>
        <w:rPr>
          <w:rFonts w:ascii="宋体" w:hAnsi="宋体" w:cs="宋体"/>
          <w:color w:val="auto"/>
          <w:sz w:val="24"/>
        </w:rPr>
      </w:pPr>
      <w:r>
        <w:rPr>
          <w:rFonts w:hint="eastAsia" w:ascii="宋体" w:hAnsi="宋体" w:cs="宋体"/>
          <w:color w:val="auto"/>
          <w:sz w:val="24"/>
        </w:rPr>
        <w:t>（三）信用记录：未被列入“信用中国”失信被执行人或重大税收违法案件当事人名单；未处于“中国政府采购网”</w:t>
      </w:r>
      <w:r>
        <w:rPr>
          <w:rFonts w:hint="eastAsia"/>
          <w:color w:val="auto"/>
        </w:rPr>
        <w:fldChar w:fldCharType="begin"/>
      </w:r>
      <w:r>
        <w:rPr>
          <w:color w:val="auto"/>
        </w:rPr>
        <w:instrText xml:space="preserve"> HYPERLINK "http://www.ccgp.gov.cn）政府采购严重违法失信行为信息记录中的禁止参加政府采购活动期间。" </w:instrText>
      </w:r>
      <w:r>
        <w:rPr>
          <w:rFonts w:hint="eastAsia"/>
          <w:color w:val="auto"/>
        </w:rPr>
        <w:fldChar w:fldCharType="separate"/>
      </w:r>
      <w:r>
        <w:rPr>
          <w:rFonts w:hint="eastAsia" w:ascii="宋体" w:hAnsi="宋体" w:cs="宋体"/>
          <w:color w:val="auto"/>
          <w:sz w:val="24"/>
        </w:rPr>
        <w:t>政府采购严重违法失信行为信息记录中的禁止参加政府采购活动期间。</w:t>
      </w:r>
      <w:r>
        <w:rPr>
          <w:rFonts w:hint="eastAsia" w:ascii="宋体" w:hAnsi="宋体" w:cs="宋体"/>
          <w:color w:val="auto"/>
          <w:sz w:val="24"/>
        </w:rPr>
        <w:fldChar w:fldCharType="end"/>
      </w:r>
    </w:p>
    <w:p>
      <w:pPr>
        <w:spacing w:line="360" w:lineRule="auto"/>
        <w:ind w:firstLine="480" w:firstLineChars="200"/>
        <w:rPr>
          <w:rFonts w:ascii="宋体" w:hAnsi="宋体" w:cs="宋体"/>
          <w:color w:val="auto"/>
          <w:sz w:val="24"/>
        </w:rPr>
      </w:pPr>
      <w:r>
        <w:rPr>
          <w:rFonts w:hint="eastAsia" w:ascii="宋体" w:hAnsi="宋体" w:cs="宋体"/>
          <w:color w:val="auto"/>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5"/>
        <w:ind w:right="0" w:firstLine="482" w:firstLineChars="200"/>
        <w:rPr>
          <w:rFonts w:cs="宋体"/>
          <w:bCs/>
          <w:color w:val="auto"/>
          <w:sz w:val="24"/>
          <w:szCs w:val="24"/>
        </w:rPr>
      </w:pPr>
      <w:r>
        <w:rPr>
          <w:rFonts w:hint="eastAsia" w:cs="宋体"/>
          <w:bCs/>
          <w:color w:val="auto"/>
          <w:sz w:val="24"/>
          <w:szCs w:val="24"/>
        </w:rPr>
        <w:t>三、获取招标文件</w:t>
      </w:r>
      <w:bookmarkEnd w:id="12"/>
      <w:bookmarkEnd w:id="13"/>
      <w:bookmarkEnd w:id="14"/>
      <w:bookmarkEnd w:id="15"/>
    </w:p>
    <w:p>
      <w:pPr>
        <w:spacing w:line="360" w:lineRule="auto"/>
        <w:ind w:firstLine="480" w:firstLineChars="200"/>
        <w:rPr>
          <w:rFonts w:ascii="宋体" w:hAnsi="宋体" w:cs="宋体"/>
          <w:color w:val="auto"/>
          <w:sz w:val="24"/>
        </w:rPr>
      </w:pPr>
      <w:r>
        <w:rPr>
          <w:rFonts w:hint="eastAsia" w:ascii="宋体" w:hAnsi="宋体" w:cs="宋体"/>
          <w:color w:val="auto"/>
          <w:sz w:val="24"/>
        </w:rPr>
        <w:t>（一）时间：</w:t>
      </w:r>
      <w:r>
        <w:rPr>
          <w:rFonts w:hint="eastAsia" w:ascii="宋体" w:hAnsi="宋体" w:cs="宋体"/>
          <w:color w:val="auto"/>
          <w:sz w:val="24"/>
          <w:u w:val="single"/>
        </w:rPr>
        <w:t>202</w:t>
      </w:r>
      <w:r>
        <w:rPr>
          <w:rFonts w:hint="eastAsia" w:ascii="宋体" w:hAnsi="宋体" w:cs="宋体"/>
          <w:color w:val="auto"/>
          <w:sz w:val="24"/>
          <w:u w:val="single"/>
          <w:lang w:val="en-US" w:eastAsia="zh-CN"/>
        </w:rPr>
        <w:t>2</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2</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22</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5"/>
        <w:ind w:right="0" w:firstLine="482" w:firstLineChars="200"/>
        <w:rPr>
          <w:rFonts w:cs="宋体"/>
          <w:bCs/>
          <w:color w:val="auto"/>
          <w:sz w:val="24"/>
          <w:szCs w:val="24"/>
        </w:rPr>
      </w:pPr>
      <w:bookmarkStart w:id="16" w:name="_Toc28359082"/>
      <w:bookmarkStart w:id="17" w:name="_Toc35393793"/>
      <w:bookmarkStart w:id="18" w:name="_Toc28359005"/>
      <w:bookmarkStart w:id="19" w:name="_Toc35393624"/>
      <w:r>
        <w:rPr>
          <w:rFonts w:hint="eastAsia" w:cs="宋体"/>
          <w:bCs/>
          <w:color w:val="auto"/>
          <w:sz w:val="24"/>
          <w:szCs w:val="24"/>
        </w:rPr>
        <w:t>四、提交投标文件</w:t>
      </w:r>
      <w:bookmarkEnd w:id="16"/>
      <w:bookmarkEnd w:id="17"/>
      <w:bookmarkEnd w:id="18"/>
      <w:bookmarkEnd w:id="19"/>
    </w:p>
    <w:p>
      <w:pPr>
        <w:spacing w:line="360" w:lineRule="auto"/>
        <w:ind w:firstLine="480" w:firstLineChars="200"/>
        <w:rPr>
          <w:rFonts w:ascii="宋体" w:hAnsi="宋体" w:cs="宋体"/>
          <w:iCs/>
          <w:color w:val="auto"/>
          <w:sz w:val="24"/>
          <w:u w:val="single"/>
        </w:rPr>
      </w:pPr>
      <w:bookmarkStart w:id="20" w:name="_Toc28359007"/>
      <w:bookmarkStart w:id="21" w:name="_Toc35393794"/>
      <w:bookmarkStart w:id="22" w:name="_Toc28359084"/>
      <w:bookmarkStart w:id="23" w:name="_Toc35393625"/>
      <w:r>
        <w:rPr>
          <w:rFonts w:hint="eastAsia" w:ascii="宋体" w:hAnsi="宋体" w:cs="宋体"/>
          <w:color w:val="auto"/>
          <w:sz w:val="24"/>
        </w:rPr>
        <w:t>（一）截止时间（开标时间）：</w:t>
      </w:r>
      <w:r>
        <w:rPr>
          <w:rFonts w:hint="eastAsia" w:ascii="宋体" w:hAnsi="宋体" w:cs="宋体"/>
          <w:bCs/>
          <w:color w:val="auto"/>
          <w:sz w:val="24"/>
          <w:u w:val="single"/>
        </w:rPr>
        <w:t>202</w:t>
      </w:r>
      <w:r>
        <w:rPr>
          <w:rFonts w:hint="eastAsia" w:ascii="宋体" w:hAnsi="宋体" w:cs="宋体"/>
          <w:bCs/>
          <w:color w:val="auto"/>
          <w:sz w:val="24"/>
          <w:u w:val="single"/>
          <w:lang w:val="en-US" w:eastAsia="zh-CN"/>
        </w:rPr>
        <w:t>2</w:t>
      </w:r>
      <w:r>
        <w:rPr>
          <w:rFonts w:hint="eastAsia" w:ascii="宋体" w:hAnsi="宋体" w:cs="宋体"/>
          <w:bCs/>
          <w:color w:val="auto"/>
          <w:sz w:val="24"/>
          <w:u w:val="single"/>
        </w:rPr>
        <w:t>年</w:t>
      </w:r>
      <w:r>
        <w:rPr>
          <w:rFonts w:hint="eastAsia" w:ascii="宋体" w:hAnsi="宋体" w:cs="宋体"/>
          <w:color w:val="auto"/>
          <w:sz w:val="24"/>
          <w:u w:val="single"/>
          <w:lang w:val="en-US" w:eastAsia="zh-CN"/>
        </w:rPr>
        <w:t>4</w:t>
      </w:r>
      <w:r>
        <w:rPr>
          <w:rFonts w:hint="eastAsia" w:ascii="宋体" w:hAnsi="宋体" w:cs="宋体"/>
          <w:bCs/>
          <w:color w:val="auto"/>
          <w:sz w:val="24"/>
          <w:u w:val="single"/>
        </w:rPr>
        <w:t>月</w:t>
      </w:r>
      <w:r>
        <w:rPr>
          <w:rFonts w:hint="eastAsia" w:ascii="宋体" w:hAnsi="宋体" w:cs="宋体"/>
          <w:color w:val="auto"/>
          <w:sz w:val="24"/>
          <w:u w:val="single"/>
          <w:lang w:val="en-US" w:eastAsia="zh-CN"/>
        </w:rPr>
        <w:t>7</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点整</w:t>
      </w:r>
      <w:r>
        <w:rPr>
          <w:rFonts w:hint="eastAsia" w:ascii="宋体" w:hAnsi="宋体" w:cs="宋体"/>
          <w:bCs/>
          <w:color w:val="auto"/>
          <w:sz w:val="24"/>
        </w:rPr>
        <w:t>（北京时间）</w:t>
      </w:r>
    </w:p>
    <w:p>
      <w:pPr>
        <w:pStyle w:val="8"/>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（二）投标网址：浙江政府采购云平台（http://www.zcygov.cn）</w:t>
      </w:r>
    </w:p>
    <w:bookmarkEnd w:id="20"/>
    <w:bookmarkEnd w:id="21"/>
    <w:bookmarkEnd w:id="22"/>
    <w:bookmarkEnd w:id="23"/>
    <w:p>
      <w:pPr>
        <w:pStyle w:val="2"/>
        <w:spacing w:after="0" w:line="360" w:lineRule="auto"/>
        <w:ind w:left="0" w:leftChars="0" w:firstLine="482" w:firstLineChars="200"/>
        <w:rPr>
          <w:rFonts w:ascii="宋体" w:hAnsi="宋体" w:cs="宋体"/>
          <w:b/>
          <w:bCs/>
          <w:color w:val="auto"/>
          <w:kern w:val="0"/>
          <w:sz w:val="24"/>
        </w:rPr>
      </w:pPr>
      <w:r>
        <w:rPr>
          <w:rFonts w:hint="eastAsia" w:ascii="宋体" w:hAnsi="宋体" w:cs="宋体"/>
          <w:b/>
          <w:bCs/>
          <w:color w:val="auto"/>
          <w:kern w:val="0"/>
          <w:sz w:val="24"/>
        </w:rPr>
        <w:t>五、发布公告</w:t>
      </w:r>
    </w:p>
    <w:p>
      <w:pPr>
        <w:pStyle w:val="2"/>
        <w:spacing w:after="0" w:line="360" w:lineRule="auto"/>
        <w:ind w:left="0" w:leftChars="0" w:firstLine="480" w:firstLineChars="200"/>
        <w:rPr>
          <w:rFonts w:ascii="宋体" w:hAnsi="宋体" w:cs="宋体"/>
          <w:color w:val="auto"/>
          <w:kern w:val="0"/>
          <w:sz w:val="24"/>
        </w:rPr>
      </w:pPr>
      <w:r>
        <w:rPr>
          <w:rFonts w:hint="eastAsia" w:ascii="宋体" w:hAnsi="宋体" w:cs="宋体"/>
          <w:color w:val="auto"/>
          <w:sz w:val="24"/>
        </w:rPr>
        <w:t>（一）公告网址：</w:t>
      </w:r>
      <w:r>
        <w:rPr>
          <w:rFonts w:hint="eastAsia" w:ascii="宋体" w:hAnsi="宋体" w:cs="宋体"/>
          <w:color w:val="auto"/>
          <w:kern w:val="0"/>
          <w:sz w:val="24"/>
        </w:rPr>
        <w:t>浙江政府采购网（</w:t>
      </w:r>
      <w:r>
        <w:rPr>
          <w:rFonts w:hint="eastAsia" w:ascii="宋体" w:hAnsi="宋体" w:cs="宋体"/>
          <w:color w:val="auto"/>
          <w:sz w:val="24"/>
        </w:rPr>
        <w:t>https://zfcg.czt.zj.gov.cn</w:t>
      </w:r>
      <w:r>
        <w:rPr>
          <w:rFonts w:hint="eastAsia" w:ascii="宋体" w:hAnsi="宋体" w:cs="宋体"/>
          <w:color w:val="auto"/>
          <w:kern w:val="0"/>
          <w:sz w:val="24"/>
        </w:rPr>
        <w:t>）、台州市公共资源交易网（https://tzztb.zjtz.gov.cn）</w:t>
      </w:r>
    </w:p>
    <w:p>
      <w:pPr>
        <w:pStyle w:val="2"/>
        <w:spacing w:after="0" w:line="360" w:lineRule="auto"/>
        <w:ind w:left="0" w:leftChars="0" w:firstLine="480" w:firstLineChars="200"/>
        <w:rPr>
          <w:rFonts w:ascii="宋体" w:hAnsi="宋体" w:cs="宋体"/>
          <w:color w:val="auto"/>
          <w:kern w:val="0"/>
          <w:sz w:val="24"/>
        </w:rPr>
      </w:pPr>
      <w:r>
        <w:rPr>
          <w:rFonts w:hint="eastAsia" w:ascii="宋体" w:hAnsi="宋体" w:cs="宋体"/>
          <w:color w:val="auto"/>
          <w:sz w:val="24"/>
        </w:rPr>
        <w:t>（二）公告期限：</w:t>
      </w:r>
      <w:r>
        <w:rPr>
          <w:rFonts w:hint="eastAsia" w:ascii="宋体" w:hAnsi="宋体" w:cs="宋体"/>
          <w:color w:val="auto"/>
          <w:kern w:val="0"/>
          <w:sz w:val="24"/>
        </w:rPr>
        <w:t>本公告期限自发布之日起五个工作日</w:t>
      </w:r>
    </w:p>
    <w:p>
      <w:pPr>
        <w:pStyle w:val="5"/>
        <w:ind w:right="0" w:firstLine="482" w:firstLineChars="200"/>
        <w:rPr>
          <w:rFonts w:cs="宋体"/>
          <w:bCs/>
          <w:color w:val="auto"/>
          <w:sz w:val="24"/>
          <w:szCs w:val="24"/>
        </w:rPr>
      </w:pPr>
      <w:bookmarkStart w:id="24" w:name="_Toc35393795"/>
      <w:bookmarkStart w:id="25" w:name="_Toc35393626"/>
      <w:r>
        <w:rPr>
          <w:rFonts w:hint="eastAsia" w:cs="宋体"/>
          <w:bCs/>
          <w:color w:val="auto"/>
          <w:sz w:val="24"/>
          <w:szCs w:val="24"/>
        </w:rPr>
        <w:t>六、</w:t>
      </w:r>
      <w:bookmarkEnd w:id="24"/>
      <w:bookmarkEnd w:id="25"/>
      <w:r>
        <w:rPr>
          <w:rFonts w:hint="eastAsia" w:cs="宋体"/>
          <w:bCs/>
          <w:color w:val="auto"/>
          <w:sz w:val="24"/>
          <w:szCs w:val="24"/>
        </w:rPr>
        <w:t>注册报名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投标人需登录浙江省政府采购网（https://zfcg.czt.zj.gov.cn/）进行注册后报名。</w:t>
      </w:r>
    </w:p>
    <w:p>
      <w:pPr>
        <w:pStyle w:val="5"/>
        <w:ind w:right="0" w:firstLine="482" w:firstLineChars="200"/>
        <w:rPr>
          <w:rFonts w:cs="宋体"/>
          <w:bCs/>
          <w:color w:val="auto"/>
          <w:sz w:val="24"/>
          <w:szCs w:val="24"/>
        </w:rPr>
      </w:pPr>
      <w:bookmarkStart w:id="26" w:name="_Toc28359085"/>
      <w:bookmarkStart w:id="27" w:name="_Toc35393627"/>
      <w:bookmarkStart w:id="28" w:name="_Toc28359008"/>
      <w:bookmarkStart w:id="29" w:name="_Toc35393796"/>
      <w:r>
        <w:rPr>
          <w:rFonts w:hint="eastAsia" w:cs="宋体"/>
          <w:bCs/>
          <w:color w:val="auto"/>
          <w:sz w:val="24"/>
          <w:szCs w:val="24"/>
        </w:rPr>
        <w:t>七、联系</w:t>
      </w:r>
      <w:bookmarkEnd w:id="26"/>
      <w:bookmarkEnd w:id="27"/>
      <w:bookmarkEnd w:id="28"/>
      <w:bookmarkEnd w:id="29"/>
      <w:r>
        <w:rPr>
          <w:rFonts w:hint="eastAsia" w:cs="宋体"/>
          <w:bCs/>
          <w:color w:val="auto"/>
          <w:sz w:val="24"/>
          <w:szCs w:val="24"/>
        </w:rPr>
        <w:t>方式</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 xml:space="preserve">（一）采购人（受理招标文件相关质疑及答复） </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名 称：台州市公安局</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址：浙江省台州市椒江区康平路2号</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联系人：</w:t>
      </w:r>
      <w:bookmarkStart w:id="30" w:name="_Toc28359086"/>
      <w:bookmarkStart w:id="31" w:name="_Toc28359009"/>
      <w:r>
        <w:rPr>
          <w:rFonts w:hint="eastAsia" w:ascii="宋体" w:hAnsi="宋体" w:cs="宋体"/>
          <w:color w:val="auto"/>
          <w:sz w:val="24"/>
        </w:rPr>
        <w:t>陈老师</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联系电话：0576-88212830</w:t>
      </w:r>
    </w:p>
    <w:bookmarkEnd w:id="30"/>
    <w:bookmarkEnd w:id="31"/>
    <w:p>
      <w:pPr>
        <w:spacing w:line="360" w:lineRule="auto"/>
        <w:ind w:firstLine="482" w:firstLineChars="200"/>
        <w:jc w:val="left"/>
        <w:rPr>
          <w:rFonts w:ascii="宋体" w:hAnsi="宋体" w:cs="宋体"/>
          <w:color w:val="auto"/>
          <w:sz w:val="24"/>
        </w:rPr>
      </w:pPr>
      <w:r>
        <w:rPr>
          <w:rFonts w:hint="eastAsia" w:ascii="宋体" w:hAnsi="宋体" w:cs="宋体"/>
          <w:b/>
          <w:bCs/>
          <w:color w:val="auto"/>
          <w:sz w:val="24"/>
        </w:rPr>
        <w:t>（二）采购组织机构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名 称：台州市政府采购中心</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址：台州市市府大道777号</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项目联系人：</w:t>
      </w:r>
      <w:bookmarkStart w:id="32" w:name="_Toc28359010"/>
      <w:bookmarkStart w:id="33" w:name="_Toc28359087"/>
      <w:r>
        <w:rPr>
          <w:rFonts w:hint="eastAsia" w:ascii="宋体" w:hAnsi="宋体" w:cs="宋体"/>
          <w:color w:val="auto"/>
          <w:sz w:val="24"/>
        </w:rPr>
        <w:t>陈先生</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联系电话：0576-88325289</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受理联系人：候女士（受理注册、中标结果相关质疑及答复）</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联系电话：0576-88685121</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（三）同级政府采购监管机构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名 称：台州市财政局政府采购监管处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址：台州市财政局</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联系人：陈女士</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联系电话：0576-88206705</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（四）政采云平台</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联系电话：44008817190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color w:val="auto"/>
          <w:sz w:val="24"/>
          <w:shd w:val="clear" w:color="auto" w:fill="FFFFFF"/>
        </w:rPr>
        <w:t>台州市政府采购中心</w:t>
      </w:r>
      <w:r>
        <w:rPr>
          <w:rFonts w:hint="eastAsia" w:ascii="宋体" w:hAnsi="宋体" w:cs="宋体"/>
          <w:color w:val="auto"/>
          <w:kern w:val="0"/>
          <w:sz w:val="24"/>
        </w:rPr>
        <w:t xml:space="preserve"> </w:t>
      </w:r>
    </w:p>
    <w:p>
      <w:pPr>
        <w:widowControl/>
        <w:spacing w:line="360" w:lineRule="auto"/>
        <w:jc w:val="right"/>
        <w:rPr>
          <w:rFonts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rPr>
        <w:t>202</w:t>
      </w:r>
      <w:r>
        <w:rPr>
          <w:rFonts w:hint="eastAsia" w:asciiTheme="minorEastAsia" w:hAnsiTheme="minorEastAsia" w:eastAsiaTheme="minorEastAsia" w:cstheme="minorEastAsia"/>
          <w:color w:val="auto"/>
          <w:kern w:val="0"/>
          <w:sz w:val="24"/>
          <w:lang w:val="en-US" w:eastAsia="zh-CN"/>
        </w:rPr>
        <w:t>2</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15</w:t>
      </w:r>
      <w:r>
        <w:rPr>
          <w:rFonts w:hint="eastAsia" w:asciiTheme="minorEastAsia" w:hAnsiTheme="minorEastAsia" w:eastAsiaTheme="minorEastAsia" w:cstheme="minorEastAsia"/>
          <w:color w:val="auto"/>
          <w:kern w:val="0"/>
          <w:sz w:val="24"/>
        </w:rPr>
        <w:t>日</w:t>
      </w:r>
    </w:p>
    <w:p>
      <w:pPr>
        <w:pStyle w:val="2"/>
        <w:rPr>
          <w:color w:val="auto"/>
        </w:rPr>
      </w:pPr>
    </w:p>
    <w:bookmarkEnd w:id="32"/>
    <w:bookmarkEnd w:id="33"/>
    <w:p>
      <w:pPr>
        <w:rPr>
          <w:rFonts w:asciiTheme="minorEastAsia" w:hAnsiTheme="minorEastAsia" w:eastAsiaTheme="minorEastAsia"/>
          <w:b/>
          <w:color w:val="auto"/>
          <w:sz w:val="36"/>
          <w:szCs w:val="36"/>
        </w:rPr>
      </w:pPr>
      <w:bookmarkStart w:id="34" w:name="_Toc25017_WPSOffice_Level1"/>
      <w:r>
        <w:rPr>
          <w:rFonts w:hint="eastAsia" w:asciiTheme="minorEastAsia" w:hAnsiTheme="minorEastAsia" w:eastAsiaTheme="minorEastAsia"/>
          <w:b/>
          <w:color w:val="auto"/>
          <w:sz w:val="36"/>
          <w:szCs w:val="36"/>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rPr>
            </w:pPr>
            <w:r>
              <w:rPr>
                <w:rFonts w:hint="eastAsia" w:ascii="宋体" w:hAnsi="宋体" w:cs="宋体"/>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rPr>
            </w:pPr>
            <w:r>
              <w:rPr>
                <w:rFonts w:hint="eastAsia" w:ascii="宋体" w:hAnsi="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rPr>
            </w:pPr>
            <w:r>
              <w:rPr>
                <w:rFonts w:hint="eastAsia" w:ascii="宋体" w:hAnsi="宋体" w:cs="宋体"/>
              </w:rPr>
              <w:t>□是（具体清单见招标需求）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kern w:val="0"/>
                <w:szCs w:val="21"/>
              </w:rPr>
            </w:pPr>
            <w:r>
              <w:rPr>
                <w:rFonts w:hint="eastAsia" w:ascii="宋体" w:hAnsi="宋体" w:cs="宋体"/>
                <w:kern w:val="0"/>
                <w:szCs w:val="21"/>
              </w:rPr>
              <w:t>领</w:t>
            </w:r>
            <w:r>
              <w:rPr>
                <w:rFonts w:hint="eastAsia" w:ascii="宋体" w:hAnsi="宋体" w:cs="宋体"/>
                <w:color w:val="auto"/>
                <w:kern w:val="0"/>
                <w:szCs w:val="21"/>
              </w:rPr>
              <w:t>取招标文件后，采购人将统一组织现场勘察，各潜在投标人请在202</w:t>
            </w:r>
            <w:r>
              <w:rPr>
                <w:rFonts w:hint="eastAsia" w:ascii="宋体" w:hAnsi="宋体" w:cs="宋体"/>
                <w:color w:val="auto"/>
                <w:kern w:val="0"/>
                <w:szCs w:val="21"/>
                <w:lang w:val="en-US" w:eastAsia="zh-CN"/>
              </w:rPr>
              <w:t>2</w:t>
            </w:r>
            <w:r>
              <w:rPr>
                <w:rFonts w:hint="eastAsia" w:ascii="宋体" w:hAnsi="宋体" w:cs="宋体"/>
                <w:color w:val="auto"/>
                <w:kern w:val="0"/>
                <w:szCs w:val="21"/>
              </w:rPr>
              <w:t>年</w:t>
            </w:r>
            <w:r>
              <w:rPr>
                <w:rFonts w:hint="eastAsia" w:ascii="宋体" w:hAnsi="宋体" w:cs="宋体"/>
                <w:color w:val="FF0000"/>
                <w:kern w:val="0"/>
                <w:szCs w:val="21"/>
                <w:lang w:val="en-US" w:eastAsia="zh-CN"/>
              </w:rPr>
              <w:t>3</w:t>
            </w:r>
            <w:r>
              <w:rPr>
                <w:rFonts w:hint="eastAsia" w:ascii="宋体" w:hAnsi="宋体" w:cs="宋体"/>
                <w:color w:val="FF0000"/>
                <w:kern w:val="0"/>
                <w:szCs w:val="21"/>
              </w:rPr>
              <w:t>月</w:t>
            </w:r>
            <w:r>
              <w:rPr>
                <w:rFonts w:hint="eastAsia" w:ascii="宋体" w:hAnsi="宋体" w:cs="宋体"/>
                <w:color w:val="FF0000"/>
                <w:kern w:val="0"/>
                <w:szCs w:val="21"/>
                <w:lang w:val="en-US" w:eastAsia="zh-CN"/>
              </w:rPr>
              <w:t>25</w:t>
            </w:r>
            <w:r>
              <w:rPr>
                <w:rFonts w:hint="eastAsia" w:ascii="宋体" w:hAnsi="宋体" w:cs="宋体"/>
                <w:color w:val="FF0000"/>
                <w:kern w:val="0"/>
                <w:szCs w:val="21"/>
              </w:rPr>
              <w:t>日</w:t>
            </w:r>
            <w:r>
              <w:rPr>
                <w:rFonts w:hint="eastAsia" w:ascii="宋体" w:hAnsi="宋体" w:cs="宋体"/>
                <w:color w:val="auto"/>
                <w:kern w:val="0"/>
                <w:szCs w:val="21"/>
              </w:rPr>
              <w:t>前将公司名称、联系人、联系电话告知采购联系人：陈老师；联系电话：05</w:t>
            </w:r>
            <w:r>
              <w:rPr>
                <w:rFonts w:hint="eastAsia" w:ascii="宋体" w:hAnsi="宋体" w:cs="宋体"/>
                <w:kern w:val="0"/>
                <w:szCs w:val="21"/>
              </w:rPr>
              <w:t>76-88212830，具体勘察时间、地点另行通知。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rPr>
            </w:pPr>
            <w:r>
              <w:rPr>
                <w:rFonts w:hint="eastAsia" w:ascii="宋体" w:hAnsi="宋体" w:cs="宋体"/>
                <w:color w:val="auto"/>
              </w:rPr>
              <w:t>请投标人在投标前仔细阅读《政府采购项目电子交易操作指南》。</w:t>
            </w:r>
          </w:p>
          <w:p>
            <w:pPr>
              <w:spacing w:line="300" w:lineRule="auto"/>
              <w:ind w:firstLine="420" w:firstLineChars="200"/>
              <w:rPr>
                <w:rFonts w:ascii="宋体" w:hAnsi="宋体" w:cs="宋体"/>
                <w:color w:val="auto"/>
              </w:rPr>
            </w:pPr>
            <w:r>
              <w:rPr>
                <w:rFonts w:hint="eastAsia" w:ascii="宋体" w:hAnsi="宋体" w:cs="宋体"/>
                <w:color w:val="auto"/>
              </w:rPr>
              <w:t>1.投标文件的制作：投标人按照本项目招标文件和政采云平台的要求，通过“政采云电子交易客户端”编制、加密并递交投标文件（下载网址：</w:t>
            </w:r>
            <w:r>
              <w:rPr>
                <w:rFonts w:hint="eastAsia" w:ascii="宋体" w:hAnsi="宋体" w:cs="宋体"/>
                <w:color w:val="auto"/>
              </w:rPr>
              <w:fldChar w:fldCharType="begin"/>
            </w:r>
            <w:r>
              <w:rPr>
                <w:rFonts w:hint="eastAsia" w:ascii="宋体" w:hAnsi="宋体" w:cs="宋体"/>
                <w:color w:val="auto"/>
              </w:rPr>
              <w:instrText xml:space="preserve"> HYPERLINK "http://www.zjzfcg.gov.cn/bidClientTemplate/2019-09-24/12975.html）。" </w:instrText>
            </w:r>
            <w:r>
              <w:rPr>
                <w:rFonts w:hint="eastAsia" w:ascii="宋体" w:hAnsi="宋体" w:cs="宋体"/>
                <w:color w:val="auto"/>
              </w:rPr>
              <w:fldChar w:fldCharType="separate"/>
            </w:r>
            <w:r>
              <w:rPr>
                <w:rFonts w:hint="eastAsia" w:ascii="宋体" w:hAnsi="宋体" w:cs="宋体"/>
                <w:color w:val="auto"/>
              </w:rPr>
              <w:t>https://zfcg.czt.zj.gov.cn/download/index.html）。</w:t>
            </w:r>
            <w:r>
              <w:rPr>
                <w:rFonts w:hint="eastAsia" w:ascii="宋体" w:hAnsi="宋体" w:cs="宋体"/>
                <w:color w:val="auto"/>
              </w:rPr>
              <w:fldChar w:fldCharType="end"/>
            </w:r>
          </w:p>
          <w:p>
            <w:pPr>
              <w:spacing w:line="300" w:lineRule="auto"/>
              <w:ind w:firstLine="420" w:firstLineChars="200"/>
              <w:rPr>
                <w:rFonts w:ascii="宋体" w:hAnsi="宋体" w:cs="宋体"/>
                <w:color w:val="auto"/>
              </w:rPr>
            </w:pPr>
            <w:r>
              <w:rPr>
                <w:rFonts w:hint="eastAsia" w:ascii="宋体" w:hAnsi="宋体" w:cs="宋体"/>
                <w:color w:val="auto"/>
              </w:rPr>
              <w:t>2.投标：投标人应当在投标截止时间前（开标当天北京时间</w:t>
            </w:r>
            <w:r>
              <w:rPr>
                <w:rFonts w:hint="eastAsia" w:ascii="宋体" w:hAnsi="宋体" w:cs="宋体"/>
                <w:color w:val="auto"/>
                <w:u w:val="single"/>
                <w:lang w:val="en-US" w:eastAsia="zh-CN"/>
              </w:rPr>
              <w:t>09</w:t>
            </w:r>
            <w:r>
              <w:rPr>
                <w:rFonts w:hint="eastAsia" w:ascii="宋体" w:hAnsi="宋体" w:cs="宋体"/>
                <w:color w:val="auto"/>
                <w:u w:val="single"/>
              </w:rPr>
              <w:t>:</w:t>
            </w:r>
            <w:r>
              <w:rPr>
                <w:rFonts w:hint="eastAsia" w:ascii="宋体" w:hAnsi="宋体" w:cs="宋体"/>
                <w:color w:val="auto"/>
                <w:u w:val="single"/>
                <w:lang w:val="en-US" w:eastAsia="zh-CN"/>
              </w:rPr>
              <w:t>00</w:t>
            </w:r>
            <w:r>
              <w:rPr>
                <w:rFonts w:hint="eastAsia" w:ascii="宋体" w:hAnsi="宋体" w:cs="宋体"/>
                <w:color w:val="auto"/>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color w:val="auto"/>
                <w:kern w:val="0"/>
                <w:szCs w:val="21"/>
              </w:rPr>
            </w:pPr>
            <w:r>
              <w:rPr>
                <w:rFonts w:hint="eastAsia" w:ascii="宋体" w:hAnsi="宋体" w:cs="宋体"/>
                <w:color w:val="auto"/>
              </w:rPr>
              <w:t>3.投标文件解密：投标人应在开标当天北京时间</w:t>
            </w:r>
            <w:r>
              <w:rPr>
                <w:rFonts w:hint="eastAsia" w:ascii="宋体" w:hAnsi="宋体" w:cs="宋体"/>
                <w:color w:val="auto"/>
                <w:u w:val="single"/>
                <w:lang w:val="en-US" w:eastAsia="zh-CN"/>
              </w:rPr>
              <w:t>09</w:t>
            </w:r>
            <w:r>
              <w:rPr>
                <w:rFonts w:hint="eastAsia" w:ascii="宋体" w:hAnsi="宋体" w:cs="宋体"/>
                <w:color w:val="auto"/>
                <w:u w:val="single"/>
              </w:rPr>
              <w:t>:</w:t>
            </w:r>
            <w:r>
              <w:rPr>
                <w:rFonts w:hint="eastAsia" w:ascii="宋体" w:hAnsi="宋体" w:cs="宋体"/>
                <w:color w:val="auto"/>
                <w:u w:val="single"/>
                <w:lang w:val="en-US" w:eastAsia="zh-CN"/>
              </w:rPr>
              <w:t>00</w:t>
            </w:r>
            <w:r>
              <w:rPr>
                <w:rFonts w:hint="eastAsia" w:ascii="宋体" w:hAnsi="宋体" w:cs="宋体"/>
                <w:color w:val="auto"/>
              </w:rPr>
              <w:t>至</w:t>
            </w:r>
            <w:r>
              <w:rPr>
                <w:rFonts w:hint="eastAsia" w:ascii="宋体" w:hAnsi="宋体" w:cs="宋体"/>
                <w:color w:val="auto"/>
                <w:u w:val="single"/>
                <w:lang w:val="en-US" w:eastAsia="zh-CN"/>
              </w:rPr>
              <w:t>09</w:t>
            </w:r>
            <w:r>
              <w:rPr>
                <w:rFonts w:hint="eastAsia" w:ascii="宋体" w:hAnsi="宋体" w:cs="宋体"/>
                <w:color w:val="auto"/>
                <w:u w:val="single"/>
              </w:rPr>
              <w:t>:</w:t>
            </w:r>
            <w:r>
              <w:rPr>
                <w:rFonts w:hint="eastAsia" w:ascii="宋体" w:hAnsi="宋体" w:cs="宋体"/>
                <w:color w:val="auto"/>
                <w:u w:val="single"/>
                <w:lang w:val="en-US" w:eastAsia="zh-CN"/>
              </w:rPr>
              <w:t>30</w:t>
            </w:r>
            <w:r>
              <w:rPr>
                <w:rFonts w:hint="eastAsia" w:ascii="宋体" w:hAnsi="宋体" w:cs="宋体"/>
                <w:color w:val="auto"/>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auto"/>
              </w:rPr>
            </w:pPr>
            <w:r>
              <w:rPr>
                <w:rFonts w:hint="eastAsia" w:ascii="宋体" w:hAnsi="宋体" w:cs="宋体"/>
                <w:color w:val="auto"/>
              </w:rPr>
              <w:t>备份投标文件是通过政采云电子交易客户端制作投标文件产生的备份文件，请投标人自行妥善保管。</w:t>
            </w:r>
          </w:p>
          <w:p>
            <w:pPr>
              <w:spacing w:line="300" w:lineRule="auto"/>
              <w:ind w:firstLine="420" w:firstLineChars="200"/>
              <w:rPr>
                <w:rFonts w:ascii="宋体" w:hAnsi="宋体" w:cs="宋体"/>
                <w:color w:val="auto"/>
              </w:rPr>
            </w:pPr>
            <w:r>
              <w:rPr>
                <w:rFonts w:hint="eastAsia" w:ascii="宋体" w:hAnsi="宋体" w:cs="宋体"/>
                <w:color w:val="auto"/>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color w:val="auto"/>
              </w:rPr>
            </w:pPr>
            <w:r>
              <w:rPr>
                <w:rFonts w:hint="eastAsia" w:ascii="宋体" w:hAnsi="宋体" w:cs="宋体"/>
                <w:color w:val="auto"/>
              </w:rPr>
              <w:t>2.递交截止时间：开标当天</w:t>
            </w:r>
            <w:r>
              <w:rPr>
                <w:rFonts w:hint="eastAsia" w:ascii="宋体" w:hAnsi="宋体" w:cs="宋体"/>
                <w:color w:val="auto"/>
                <w:u w:val="single"/>
                <w:lang w:val="en-US" w:eastAsia="zh-CN"/>
              </w:rPr>
              <w:t>09</w:t>
            </w:r>
            <w:r>
              <w:rPr>
                <w:rFonts w:hint="eastAsia" w:ascii="宋体" w:hAnsi="宋体" w:cs="宋体"/>
                <w:color w:val="auto"/>
                <w:u w:val="single"/>
              </w:rPr>
              <w:t>:</w:t>
            </w:r>
            <w:r>
              <w:rPr>
                <w:rFonts w:hint="eastAsia" w:ascii="宋体" w:hAnsi="宋体" w:cs="宋体"/>
                <w:color w:val="auto"/>
                <w:u w:val="single"/>
                <w:lang w:val="en-US" w:eastAsia="zh-CN"/>
              </w:rPr>
              <w:t>45</w:t>
            </w:r>
            <w:r>
              <w:rPr>
                <w:rFonts w:hint="eastAsia" w:ascii="宋体" w:hAnsi="宋体" w:cs="宋体"/>
                <w:color w:val="auto"/>
              </w:rPr>
              <w:t>（北京时间）。</w:t>
            </w:r>
          </w:p>
          <w:p>
            <w:pPr>
              <w:spacing w:line="300" w:lineRule="auto"/>
              <w:ind w:firstLine="420" w:firstLineChars="200"/>
              <w:rPr>
                <w:rFonts w:ascii="宋体" w:hAnsi="宋体" w:cs="宋体"/>
                <w:color w:val="auto"/>
              </w:rPr>
            </w:pPr>
            <w:r>
              <w:rPr>
                <w:rFonts w:hint="eastAsia" w:ascii="宋体" w:hAnsi="宋体" w:cs="宋体"/>
                <w:color w:val="auto"/>
              </w:rPr>
              <w:t>3.投递邮箱：</w:t>
            </w:r>
            <w:r>
              <w:rPr>
                <w:rFonts w:hint="eastAsia" w:ascii="宋体" w:hAnsi="宋体" w:cs="宋体"/>
                <w:color w:val="auto"/>
                <w:u w:val="single"/>
                <w:lang w:val="en-US" w:eastAsia="zh-CN"/>
              </w:rPr>
              <w:t>iolite@dingtalk.com</w:t>
            </w:r>
            <w:r>
              <w:rPr>
                <w:rFonts w:hint="eastAsia" w:ascii="宋体" w:hAnsi="宋体" w:cs="宋体"/>
                <w:color w:val="auto"/>
              </w:rPr>
              <w:t>。</w:t>
            </w:r>
          </w:p>
          <w:p>
            <w:pPr>
              <w:spacing w:line="300" w:lineRule="auto"/>
              <w:ind w:firstLine="420" w:firstLineChars="200"/>
              <w:rPr>
                <w:rFonts w:ascii="宋体" w:hAnsi="宋体" w:cs="宋体"/>
                <w:color w:val="auto"/>
              </w:rPr>
            </w:pPr>
            <w:r>
              <w:rPr>
                <w:rFonts w:hint="eastAsia" w:ascii="宋体" w:hAnsi="宋体" w:cs="宋体"/>
                <w:color w:val="auto"/>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color w:val="auto"/>
                <w:szCs w:val="21"/>
              </w:rPr>
            </w:pPr>
            <w:r>
              <w:rPr>
                <w:rFonts w:hint="eastAsia" w:ascii="宋体" w:hAnsi="宋体" w:cs="宋体"/>
                <w:color w:val="auto"/>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00" w:lineRule="auto"/>
              <w:ind w:firstLine="0"/>
              <w:jc w:val="center"/>
              <w:rPr>
                <w:rFonts w:ascii="宋体" w:hAnsi="宋体" w:cs="宋体"/>
                <w:szCs w:val="21"/>
              </w:rPr>
            </w:pPr>
            <w:r>
              <w:rPr>
                <w:rFonts w:hint="eastAsia" w:ascii="宋体" w:hAnsi="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8"/>
              <w:spacing w:before="0" w:beforeAutospacing="0" w:after="0" w:afterAutospacing="0" w:line="300" w:lineRule="auto"/>
              <w:ind w:firstLine="420" w:firstLineChars="200"/>
              <w:jc w:val="both"/>
              <w:rPr>
                <w:rFonts w:hint="default" w:cs="宋体"/>
                <w:szCs w:val="21"/>
              </w:rPr>
            </w:pPr>
            <w:r>
              <w:rPr>
                <w:rFonts w:hint="eastAsia" w:cs="宋体"/>
                <w:sz w:val="21"/>
                <w:szCs w:val="21"/>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00" w:lineRule="auto"/>
              <w:ind w:firstLine="420" w:firstLineChars="200"/>
              <w:rPr>
                <w:rFonts w:hAnsi="宋体" w:cs="宋体"/>
                <w:bCs/>
                <w:szCs w:val="21"/>
              </w:rPr>
            </w:pPr>
            <w:r>
              <w:rPr>
                <w:rFonts w:hint="eastAsia" w:hAnsi="宋体" w:cs="宋体"/>
                <w:bCs/>
                <w:szCs w:val="21"/>
              </w:rPr>
              <w:t>1.本项目实行电子投标，投标人自行承担投标一切费用。</w:t>
            </w:r>
          </w:p>
          <w:p>
            <w:pPr>
              <w:pStyle w:val="11"/>
              <w:spacing w:line="300" w:lineRule="auto"/>
              <w:ind w:firstLine="420" w:firstLineChars="200"/>
              <w:rPr>
                <w:rFonts w:hAnsi="宋体" w:cs="宋体"/>
                <w:szCs w:val="21"/>
              </w:rPr>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szCs w:val="21"/>
              </w:rPr>
            </w:pPr>
            <w:r>
              <w:rPr>
                <w:rFonts w:hint="eastAsia" w:ascii="宋体" w:hAnsi="宋体" w:cs="宋体"/>
                <w:szCs w:val="21"/>
              </w:rPr>
              <w:t>信用中国（网址：</w:t>
            </w:r>
            <w:r>
              <w:rPr>
                <w:rFonts w:hint="eastAsia" w:ascii="宋体" w:hAnsi="宋体" w:cs="宋体"/>
              </w:rPr>
              <w:fldChar w:fldCharType="begin"/>
            </w:r>
            <w:r>
              <w:rPr>
                <w:rFonts w:hint="eastAsia" w:ascii="宋体" w:hAnsi="宋体" w:cs="宋体"/>
              </w:rPr>
              <w:instrText xml:space="preserve"> HYPERLINK "http://www.creditchina.gov.cn" </w:instrText>
            </w:r>
            <w:r>
              <w:rPr>
                <w:rFonts w:hint="eastAsia" w:ascii="宋体" w:hAnsi="宋体" w:cs="宋体"/>
              </w:rPr>
              <w:fldChar w:fldCharType="separate"/>
            </w:r>
            <w:r>
              <w:rPr>
                <w:rFonts w:hint="eastAsia" w:ascii="宋体" w:hAnsi="宋体" w:cs="宋体"/>
                <w:szCs w:val="21"/>
              </w:rPr>
              <w:t>http://www.creditchina.gov.cn</w:t>
            </w:r>
            <w:r>
              <w:rPr>
                <w:rFonts w:hint="eastAsia" w:ascii="宋体" w:hAnsi="宋体" w:cs="宋体"/>
                <w:szCs w:val="21"/>
              </w:rPr>
              <w:fldChar w:fldCharType="end"/>
            </w:r>
            <w:r>
              <w:rPr>
                <w:rFonts w:hint="eastAsia" w:ascii="宋体" w:hAnsi="宋体" w:cs="宋体"/>
                <w:szCs w:val="21"/>
              </w:rPr>
              <w:t>）</w:t>
            </w:r>
          </w:p>
          <w:p>
            <w:pPr>
              <w:spacing w:line="300" w:lineRule="auto"/>
              <w:rPr>
                <w:rFonts w:ascii="宋体" w:hAnsi="宋体" w:cs="宋体"/>
                <w:szCs w:val="21"/>
              </w:rPr>
            </w:pPr>
            <w:r>
              <w:rPr>
                <w:rFonts w:hint="eastAsia" w:ascii="宋体" w:hAnsi="宋体" w:cs="宋体"/>
                <w:szCs w:val="21"/>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color w:val="111F2C"/>
                <w:szCs w:val="21"/>
                <w:shd w:val="clear" w:color="auto" w:fill="FFFFFF"/>
              </w:rPr>
            </w:pPr>
            <w:r>
              <w:rPr>
                <w:rFonts w:hint="eastAsia" w:ascii="宋体" w:hAnsi="宋体" w:cs="宋体"/>
                <w:szCs w:val="21"/>
              </w:rPr>
              <w:t>根据《政府采购促进中小企业发展管理办法》（财库〔2020〕46号）文件的规定，本项目(□是 /☑ 否</w:t>
            </w:r>
            <w:r>
              <w:rPr>
                <w:rFonts w:hint="eastAsia" w:ascii="宋体" w:hAnsi="宋体" w:cs="宋体"/>
                <w:szCs w:val="21"/>
                <w:shd w:val="clear" w:color="auto" w:fill="FFFFFF"/>
              </w:rPr>
              <w:t>)</w:t>
            </w:r>
            <w:r>
              <w:rPr>
                <w:rFonts w:hint="eastAsia" w:ascii="宋体" w:hAnsi="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1.项目属性：</w:t>
            </w:r>
            <w:r>
              <w:rPr>
                <w:rFonts w:hint="eastAsia" w:ascii="宋体" w:hAnsi="宋体" w:cs="宋体"/>
                <w:szCs w:val="21"/>
                <w:u w:val="single"/>
              </w:rPr>
              <w:t>货物类</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2.中小企业划分标准所属行业（具体根据《中小企业划型标准规定》执行）：</w:t>
            </w:r>
          </w:p>
          <w:p>
            <w:pPr>
              <w:spacing w:line="300" w:lineRule="auto"/>
              <w:ind w:firstLine="420" w:firstLineChars="200"/>
              <w:rPr>
                <w:rFonts w:ascii="宋体" w:hAnsi="宋体" w:cs="宋体"/>
                <w:szCs w:val="21"/>
              </w:rPr>
            </w:pPr>
            <w:r>
              <w:rPr>
                <w:rFonts w:hint="eastAsia" w:ascii="宋体" w:hAnsi="宋体" w:cs="宋体"/>
                <w:szCs w:val="21"/>
              </w:rPr>
              <w:t>采购标的：</w:t>
            </w:r>
            <w:r>
              <w:rPr>
                <w:rFonts w:hint="eastAsia" w:ascii="宋体" w:hAnsi="宋体" w:cs="宋体"/>
                <w:szCs w:val="21"/>
                <w:u w:val="single"/>
              </w:rPr>
              <w:t>WZ系统升级标段一（通用硬件）</w:t>
            </w:r>
            <w:r>
              <w:rPr>
                <w:rFonts w:hint="eastAsia" w:ascii="宋体" w:hAnsi="宋体" w:cs="宋体"/>
                <w:szCs w:val="21"/>
              </w:rPr>
              <w:t>，所属行业：</w:t>
            </w:r>
            <w:r>
              <w:rPr>
                <w:rFonts w:hint="eastAsia" w:ascii="宋体" w:hAnsi="宋体" w:cs="宋体"/>
                <w:szCs w:val="21"/>
                <w:u w:val="single"/>
              </w:rPr>
              <w:t>制造业</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spacing w:line="300" w:lineRule="auto"/>
              <w:ind w:firstLine="420" w:firstLineChars="200"/>
              <w:rPr>
                <w:rFonts w:ascii="宋体" w:hAnsi="宋体" w:cs="宋体"/>
                <w:szCs w:val="21"/>
              </w:rPr>
            </w:pPr>
            <w:r>
              <w:rPr>
                <w:rFonts w:hint="eastAsia" w:ascii="宋体" w:hAnsi="宋体" w:cs="宋体"/>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szCs w:val="21"/>
              </w:rPr>
            </w:pPr>
            <w:r>
              <w:rPr>
                <w:rFonts w:hint="eastAsia" w:ascii="宋体" w:hAnsi="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szCs w:val="21"/>
              </w:rPr>
            </w:pPr>
            <w:r>
              <w:rPr>
                <w:rFonts w:hint="eastAsia" w:ascii="宋体" w:hAnsi="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带“★”的条款是</w:t>
            </w:r>
            <w:r>
              <w:rPr>
                <w:rFonts w:hint="eastAsia" w:ascii="宋体" w:hAnsi="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pStyle w:val="2"/>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集中采购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1"/>
        <w:snapToGrid w:val="0"/>
        <w:spacing w:line="360" w:lineRule="auto"/>
        <w:ind w:firstLine="482" w:firstLineChars="200"/>
        <w:rPr>
          <w:rFonts w:hAnsi="宋体" w:cs="宋体"/>
          <w:b/>
          <w:sz w:val="24"/>
        </w:rPr>
      </w:pPr>
      <w:r>
        <w:rPr>
          <w:rFonts w:hint="eastAsia" w:hAnsi="宋体" w:cs="宋体"/>
          <w:b/>
          <w:sz w:val="24"/>
        </w:rPr>
        <w:t>（七）特别说明</w:t>
      </w:r>
    </w:p>
    <w:p>
      <w:pPr>
        <w:pStyle w:val="11"/>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kern w:val="0"/>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（2）授权委托书（法定代表人亲自办理投标事宜的，则无需提交）；</w:t>
      </w:r>
    </w:p>
    <w:p>
      <w:pPr>
        <w:snapToGrid w:val="0"/>
        <w:spacing w:line="360" w:lineRule="auto"/>
        <w:ind w:firstLine="480" w:firstLineChars="200"/>
        <w:rPr>
          <w:rFonts w:ascii="宋体" w:hAnsi="宋体" w:cs="宋体"/>
          <w:sz w:val="24"/>
        </w:rPr>
      </w:pPr>
      <w:r>
        <w:rPr>
          <w:rFonts w:hint="eastAsia" w:ascii="宋体" w:hAnsi="宋体" w:cs="宋体"/>
          <w:sz w:val="24"/>
        </w:rPr>
        <w:t>（3）法人或者其他组织的营业执照等证明文件，自然人的身份证明；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（4）符合参与政府采购活动的资格条件并且没有税收缴纳、社会保障等方面的失信记录的承诺函；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（5）具备履行合同所必需的设备和专业技术能力的证明材料（根据项目性质提供）；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（6）提供采购公告中符合投标人特定条件的有效资质证书扫描件，以及需要说明的其他资料。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kern w:val="0"/>
          <w:sz w:val="24"/>
          <w:lang w:val="en-GB"/>
        </w:rPr>
      </w:pPr>
      <w:r>
        <w:rPr>
          <w:rFonts w:hint="eastAsia" w:asciiTheme="minorEastAsia" w:hAnsiTheme="minorEastAsia" w:eastAsiaTheme="minorEastAsia"/>
          <w:kern w:val="0"/>
          <w:sz w:val="24"/>
        </w:rPr>
        <w:t>（3）中小企业等声明函、</w:t>
      </w:r>
      <w:r>
        <w:rPr>
          <w:rFonts w:hint="eastAsia" w:asciiTheme="minorEastAsia" w:hAnsiTheme="minorEastAsia" w:eastAsiaTheme="minorEastAsia"/>
          <w:kern w:val="0"/>
          <w:sz w:val="24"/>
          <w:lang w:val="en-GB"/>
        </w:rPr>
        <w:t>残疾人福利性单位声明函、监狱企业声明函；</w:t>
      </w:r>
    </w:p>
    <w:p>
      <w:pPr>
        <w:autoSpaceDE w:val="0"/>
        <w:autoSpaceDN w:val="0"/>
        <w:adjustRightIn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8"/>
        <w:spacing w:before="0" w:beforeAutospacing="0" w:after="0" w:afterAutospacing="0" w:line="360" w:lineRule="auto"/>
        <w:ind w:firstLine="482" w:firstLineChars="200"/>
        <w:jc w:val="both"/>
        <w:rPr>
          <w:rFonts w:hint="default"/>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cs="宋体"/>
          <w:kern w:val="0"/>
          <w:sz w:val="24"/>
        </w:rPr>
        <w:t>采购组织机构自中标人确定之日起2个工作日内，在浙江省政府采购网和台州市公共资源交易网上公告中标结果，</w:t>
      </w:r>
      <w:r>
        <w:rPr>
          <w:rFonts w:hint="eastAsia" w:ascii="宋体" w:hAnsi="宋体" w:cs="宋体"/>
          <w:sz w:val="24"/>
        </w:rPr>
        <w:t>中标结果公告期为1个工作日</w:t>
      </w:r>
      <w:r>
        <w:rPr>
          <w:rFonts w:hint="eastAsia" w:ascii="宋体" w:hAnsi="宋体"/>
          <w:kern w:val="0"/>
          <w:sz w:val="24"/>
        </w:rPr>
        <w:t>。</w:t>
      </w:r>
    </w:p>
    <w:p>
      <w:pPr>
        <w:pStyle w:val="9"/>
        <w:spacing w:line="360" w:lineRule="auto"/>
        <w:ind w:firstLine="482" w:firstLineChars="200"/>
        <w:jc w:val="both"/>
        <w:rPr>
          <w:rFonts w:ascii="宋体" w:hAnsi="宋体"/>
          <w:b/>
          <w:bCs/>
          <w:kern w:val="0"/>
          <w:sz w:val="24"/>
        </w:rPr>
      </w:pPr>
      <w:r>
        <w:rPr>
          <w:rFonts w:hint="eastAsia" w:ascii="宋体" w:hAnsi="宋体"/>
          <w:b/>
          <w:bCs/>
          <w:kern w:val="0"/>
          <w:sz w:val="24"/>
        </w:rPr>
        <w:t>（三）发放中标通知书</w:t>
      </w:r>
    </w:p>
    <w:p>
      <w:pPr>
        <w:pStyle w:val="9"/>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8"/>
        <w:spacing w:before="0" w:beforeAutospacing="0" w:after="0" w:afterAutospacing="0" w:line="360" w:lineRule="auto"/>
        <w:ind w:firstLine="480" w:firstLineChars="200"/>
        <w:jc w:val="both"/>
        <w:rPr>
          <w:rFonts w:hint="default"/>
        </w:rPr>
      </w:pPr>
      <w:r>
        <w:t>3.中标人无故拖延、拒签合同的，将取消中标资格。</w:t>
      </w:r>
    </w:p>
    <w:p>
      <w:pPr>
        <w:pStyle w:val="18"/>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5" w:name="_Toc13072_WPSOffice_Level1"/>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总预算（万元）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Cs/>
                <w:sz w:val="24"/>
              </w:rPr>
              <w:t>WZ系统升级标段一（通用硬件）</w:t>
            </w:r>
          </w:p>
        </w:tc>
        <w:tc>
          <w:tcPr>
            <w:tcW w:w="1991"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批</w:t>
            </w:r>
          </w:p>
        </w:tc>
        <w:tc>
          <w:tcPr>
            <w:tcW w:w="1142" w:type="dxa"/>
            <w:vAlign w:val="center"/>
          </w:tcPr>
          <w:p>
            <w:pPr>
              <w:tabs>
                <w:tab w:val="left" w:pos="8280"/>
              </w:tabs>
              <w:autoSpaceDE w:val="0"/>
              <w:autoSpaceDN w:val="0"/>
              <w:adjustRightInd w:val="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1171.3</w:t>
            </w:r>
          </w:p>
        </w:tc>
        <w:tc>
          <w:tcPr>
            <w:tcW w:w="1203" w:type="dxa"/>
            <w:vAlign w:val="center"/>
          </w:tcPr>
          <w:p>
            <w:pPr>
              <w:tabs>
                <w:tab w:val="left" w:pos="8280"/>
              </w:tabs>
              <w:autoSpaceDE w:val="0"/>
              <w:autoSpaceDN w:val="0"/>
              <w:adjustRightInd w:val="0"/>
              <w:jc w:val="center"/>
              <w:rPr>
                <w:rFonts w:ascii="宋体" w:hAnsi="宋体"/>
                <w:sz w:val="24"/>
              </w:rPr>
            </w:pPr>
            <w:r>
              <w:rPr>
                <w:rFonts w:hint="eastAsia" w:ascii="宋体" w:hAnsi="宋体"/>
                <w:sz w:val="24"/>
              </w:rPr>
              <w:t>111</w:t>
            </w:r>
            <w:r>
              <w:rPr>
                <w:rFonts w:hint="eastAsia" w:ascii="宋体" w:hAnsi="宋体"/>
                <w:sz w:val="24"/>
                <w:lang w:val="en-US" w:eastAsia="zh-CN"/>
              </w:rPr>
              <w:t>0</w:t>
            </w:r>
            <w:r>
              <w:rPr>
                <w:rFonts w:hint="eastAsia" w:ascii="宋体" w:hAnsi="宋体"/>
                <w:sz w:val="24"/>
              </w:rPr>
              <w:t>.</w:t>
            </w:r>
            <w:r>
              <w:rPr>
                <w:rFonts w:hint="eastAsia" w:ascii="宋体" w:hAnsi="宋体"/>
                <w:sz w:val="24"/>
                <w:lang w:val="en-US" w:eastAsia="zh-CN"/>
              </w:rPr>
              <w:t>3</w:t>
            </w:r>
            <w:r>
              <w:rPr>
                <w:rFonts w:hint="eastAsia" w:ascii="宋体" w:hAnsi="宋体"/>
                <w:sz w:val="24"/>
              </w:rPr>
              <w:t>2</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二、技术需求</w:t>
      </w:r>
      <w:bookmarkStart w:id="36" w:name="_Toc31173_WPSOffice_Level1"/>
    </w:p>
    <w:p>
      <w:pPr>
        <w:tabs>
          <w:tab w:val="left" w:pos="8280"/>
        </w:tabs>
        <w:autoSpaceDE w:val="0"/>
        <w:autoSpaceDN w:val="0"/>
        <w:adjustRightInd w:val="0"/>
        <w:spacing w:line="360" w:lineRule="auto"/>
        <w:ind w:firstLine="482" w:firstLineChars="200"/>
        <w:rPr>
          <w:b/>
          <w:bCs/>
          <w:color w:val="000000"/>
          <w:sz w:val="24"/>
        </w:rPr>
      </w:pPr>
      <w:r>
        <w:rPr>
          <w:rFonts w:hint="eastAsia"/>
          <w:b/>
          <w:bCs/>
          <w:color w:val="000000"/>
          <w:sz w:val="24"/>
        </w:rPr>
        <w:t>（一）项目建设背景</w:t>
      </w:r>
    </w:p>
    <w:p>
      <w:pPr>
        <w:spacing w:line="360" w:lineRule="auto"/>
        <w:ind w:firstLine="480" w:firstLineChars="200"/>
        <w:rPr>
          <w:color w:val="000000"/>
          <w:sz w:val="24"/>
        </w:rPr>
      </w:pPr>
      <w:r>
        <w:rPr>
          <w:rFonts w:hint="eastAsia"/>
          <w:color w:val="000000"/>
          <w:sz w:val="24"/>
        </w:rPr>
        <w:t>台州市公安局W</w:t>
      </w:r>
      <w:r>
        <w:rPr>
          <w:color w:val="000000"/>
          <w:sz w:val="24"/>
        </w:rPr>
        <w:t>Z</w:t>
      </w:r>
      <w:r>
        <w:rPr>
          <w:rFonts w:hint="eastAsia"/>
          <w:color w:val="000000"/>
          <w:sz w:val="24"/>
        </w:rPr>
        <w:t>系统升级（</w:t>
      </w:r>
      <w:r>
        <w:rPr>
          <w:color w:val="000000"/>
          <w:sz w:val="24"/>
        </w:rPr>
        <w:t>XX1）建设项目</w:t>
      </w:r>
      <w:r>
        <w:rPr>
          <w:rFonts w:hint="eastAsia"/>
          <w:color w:val="000000"/>
          <w:sz w:val="24"/>
        </w:rPr>
        <w:t>，积极</w:t>
      </w:r>
      <w:r>
        <w:rPr>
          <w:color w:val="000000"/>
          <w:sz w:val="24"/>
        </w:rPr>
        <w:t>响应</w:t>
      </w:r>
      <w:r>
        <w:rPr>
          <w:rFonts w:hint="eastAsia"/>
          <w:color w:val="000000"/>
          <w:sz w:val="24"/>
        </w:rPr>
        <w:t>部</w:t>
      </w:r>
      <w:r>
        <w:rPr>
          <w:color w:val="000000"/>
          <w:sz w:val="24"/>
        </w:rPr>
        <w:t>、省号召</w:t>
      </w:r>
      <w:r>
        <w:rPr>
          <w:rFonts w:hint="eastAsia"/>
          <w:color w:val="000000"/>
          <w:sz w:val="24"/>
        </w:rPr>
        <w:t>，结合当前信息化发展中亟待解决的问题，着眼于信息化建设的长远发展，</w:t>
      </w:r>
      <w:r>
        <w:rPr>
          <w:color w:val="000000"/>
          <w:sz w:val="24"/>
        </w:rPr>
        <w:t>充分借助</w:t>
      </w:r>
      <w:r>
        <w:rPr>
          <w:rFonts w:hint="eastAsia"/>
          <w:color w:val="000000"/>
          <w:sz w:val="24"/>
        </w:rPr>
        <w:t>云计算、大数据等先进技术，全面支持公安机关网络安全监管防范和打击网络违法犯罪职能，提升公安机关应对当前日益复杂的网上斗争能力，为公安机关维护国家政治安全和政权安全、维护社会治安大局稳定提供支撑与保障。</w:t>
      </w:r>
    </w:p>
    <w:p>
      <w:pPr>
        <w:spacing w:line="360" w:lineRule="auto"/>
        <w:ind w:firstLine="480" w:firstLineChars="200"/>
        <w:rPr>
          <w:color w:val="000000"/>
          <w:sz w:val="24"/>
        </w:rPr>
      </w:pPr>
      <w:r>
        <w:rPr>
          <w:rFonts w:hint="eastAsia"/>
          <w:color w:val="000000"/>
          <w:sz w:val="24"/>
        </w:rPr>
        <w:t>本标段为台州市公安局W</w:t>
      </w:r>
      <w:r>
        <w:rPr>
          <w:color w:val="000000"/>
          <w:sz w:val="24"/>
        </w:rPr>
        <w:t>Z</w:t>
      </w:r>
      <w:r>
        <w:rPr>
          <w:rFonts w:hint="eastAsia"/>
          <w:color w:val="000000"/>
          <w:sz w:val="24"/>
        </w:rPr>
        <w:t>系统升级（</w:t>
      </w:r>
      <w:r>
        <w:rPr>
          <w:color w:val="000000"/>
          <w:sz w:val="24"/>
        </w:rPr>
        <w:t>XX1）建设项目</w:t>
      </w:r>
      <w:r>
        <w:rPr>
          <w:rFonts w:hint="eastAsia"/>
          <w:color w:val="000000"/>
          <w:sz w:val="24"/>
        </w:rPr>
        <w:t>的</w:t>
      </w:r>
      <w:r>
        <w:rPr>
          <w:color w:val="000000"/>
          <w:sz w:val="24"/>
        </w:rPr>
        <w:t>通用设备采购部分</w:t>
      </w:r>
      <w:r>
        <w:rPr>
          <w:rFonts w:hint="eastAsia"/>
          <w:color w:val="000000"/>
          <w:sz w:val="24"/>
        </w:rPr>
        <w:t>，包括计算存储设备、网络安全设备、通用传输设备</w:t>
      </w:r>
      <w:r>
        <w:rPr>
          <w:color w:val="000000"/>
          <w:sz w:val="24"/>
        </w:rPr>
        <w:t>，</w:t>
      </w:r>
      <w:r>
        <w:rPr>
          <w:rFonts w:hint="eastAsia"/>
          <w:color w:val="000000"/>
          <w:sz w:val="24"/>
        </w:rPr>
        <w:t>为台州市公安局W</w:t>
      </w:r>
      <w:r>
        <w:rPr>
          <w:color w:val="000000"/>
          <w:sz w:val="24"/>
        </w:rPr>
        <w:t>Z</w:t>
      </w:r>
      <w:r>
        <w:rPr>
          <w:rFonts w:hint="eastAsia"/>
          <w:color w:val="000000"/>
          <w:sz w:val="24"/>
        </w:rPr>
        <w:t>系统升级（</w:t>
      </w:r>
      <w:r>
        <w:rPr>
          <w:color w:val="000000"/>
          <w:sz w:val="24"/>
        </w:rPr>
        <w:t>XX1）建设项目</w:t>
      </w:r>
      <w:r>
        <w:rPr>
          <w:rFonts w:hint="eastAsia"/>
          <w:color w:val="000000"/>
          <w:sz w:val="24"/>
        </w:rPr>
        <w:t>提供</w:t>
      </w:r>
      <w:r>
        <w:rPr>
          <w:color w:val="000000"/>
          <w:sz w:val="24"/>
        </w:rPr>
        <w:t>基础设施支撑。</w:t>
      </w:r>
    </w:p>
    <w:p>
      <w:pPr>
        <w:spacing w:line="360" w:lineRule="auto"/>
        <w:ind w:firstLine="480" w:firstLineChars="200"/>
        <w:rPr>
          <w:color w:val="000000"/>
          <w:sz w:val="24"/>
        </w:rPr>
      </w:pPr>
    </w:p>
    <w:p>
      <w:pPr>
        <w:spacing w:line="360" w:lineRule="auto"/>
        <w:ind w:firstLine="482" w:firstLineChars="200"/>
        <w:rPr>
          <w:b/>
          <w:bCs/>
          <w:sz w:val="24"/>
        </w:rPr>
      </w:pPr>
      <w:r>
        <w:rPr>
          <w:rFonts w:hint="eastAsia"/>
          <w:b/>
          <w:bCs/>
          <w:sz w:val="24"/>
        </w:rPr>
        <w:t>（二）设备清单</w:t>
      </w:r>
    </w:p>
    <w:tbl>
      <w:tblPr>
        <w:tblStyle w:val="21"/>
        <w:tblW w:w="8446" w:type="dxa"/>
        <w:jc w:val="center"/>
        <w:tblLayout w:type="fixed"/>
        <w:tblCellMar>
          <w:top w:w="0" w:type="dxa"/>
          <w:left w:w="108" w:type="dxa"/>
          <w:bottom w:w="0" w:type="dxa"/>
          <w:right w:w="108" w:type="dxa"/>
        </w:tblCellMar>
      </w:tblPr>
      <w:tblGrid>
        <w:gridCol w:w="1034"/>
        <w:gridCol w:w="3642"/>
        <w:gridCol w:w="1276"/>
        <w:gridCol w:w="1247"/>
        <w:gridCol w:w="1247"/>
      </w:tblGrid>
      <w:tr>
        <w:tblPrEx>
          <w:tblCellMar>
            <w:top w:w="0" w:type="dxa"/>
            <w:left w:w="108" w:type="dxa"/>
            <w:bottom w:w="0" w:type="dxa"/>
            <w:right w:w="108" w:type="dxa"/>
          </w:tblCellMar>
        </w:tblPrEx>
        <w:trPr>
          <w:trHeight w:val="320" w:hRule="atLeast"/>
          <w:jc w:val="center"/>
        </w:trPr>
        <w:tc>
          <w:tcPr>
            <w:tcW w:w="1034" w:type="dxa"/>
            <w:tcBorders>
              <w:top w:val="single" w:color="auto" w:sz="4" w:space="0"/>
              <w:left w:val="single" w:color="auto" w:sz="4" w:space="0"/>
              <w:bottom w:val="single" w:color="auto" w:sz="4" w:space="0"/>
              <w:right w:val="single" w:color="auto" w:sz="4" w:space="0"/>
            </w:tcBorders>
            <w:shd w:val="clear" w:color="000000" w:fill="D7D7D7" w:themeFill="background1" w:themeFillShade="D8"/>
            <w:vAlign w:val="center"/>
          </w:tcPr>
          <w:p>
            <w:pPr>
              <w:jc w:val="center"/>
              <w:rPr>
                <w:b/>
                <w:bCs/>
                <w:color w:val="000000"/>
                <w:sz w:val="24"/>
              </w:rPr>
            </w:pPr>
            <w:r>
              <w:rPr>
                <w:rFonts w:hint="eastAsia"/>
                <w:b/>
                <w:bCs/>
                <w:color w:val="000000"/>
                <w:sz w:val="24"/>
              </w:rPr>
              <w:t>序号</w:t>
            </w:r>
          </w:p>
        </w:tc>
        <w:tc>
          <w:tcPr>
            <w:tcW w:w="3642"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jc w:val="center"/>
              <w:rPr>
                <w:b/>
                <w:bCs/>
                <w:color w:val="000000"/>
                <w:sz w:val="24"/>
              </w:rPr>
            </w:pPr>
            <w:r>
              <w:rPr>
                <w:rFonts w:hint="eastAsia"/>
                <w:b/>
                <w:bCs/>
                <w:color w:val="000000"/>
                <w:sz w:val="24"/>
              </w:rPr>
              <w:t>设备名称</w:t>
            </w:r>
          </w:p>
        </w:tc>
        <w:tc>
          <w:tcPr>
            <w:tcW w:w="1276" w:type="dxa"/>
            <w:tcBorders>
              <w:top w:val="single" w:color="auto" w:sz="4" w:space="0"/>
              <w:left w:val="single" w:color="auto" w:sz="4" w:space="0"/>
              <w:bottom w:val="single" w:color="auto" w:sz="4" w:space="0"/>
              <w:right w:val="single" w:color="auto" w:sz="4" w:space="0"/>
            </w:tcBorders>
            <w:shd w:val="clear" w:color="000000" w:fill="D7D7D7" w:themeFill="background1" w:themeFillShade="D8"/>
            <w:vAlign w:val="center"/>
          </w:tcPr>
          <w:p>
            <w:pPr>
              <w:jc w:val="center"/>
              <w:rPr>
                <w:b/>
                <w:bCs/>
                <w:color w:val="000000"/>
                <w:sz w:val="24"/>
              </w:rPr>
            </w:pPr>
            <w:r>
              <w:rPr>
                <w:rFonts w:hint="eastAsia"/>
                <w:b/>
                <w:bCs/>
                <w:color w:val="000000"/>
                <w:sz w:val="24"/>
              </w:rPr>
              <w:t>数量</w:t>
            </w:r>
          </w:p>
        </w:tc>
        <w:tc>
          <w:tcPr>
            <w:tcW w:w="1247"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jc w:val="center"/>
              <w:rPr>
                <w:b/>
                <w:bCs/>
                <w:color w:val="000000"/>
                <w:sz w:val="24"/>
              </w:rPr>
            </w:pPr>
            <w:r>
              <w:rPr>
                <w:rFonts w:hint="eastAsia"/>
                <w:b/>
                <w:bCs/>
                <w:color w:val="000000"/>
                <w:sz w:val="24"/>
              </w:rPr>
              <w:t>单位</w:t>
            </w:r>
          </w:p>
        </w:tc>
        <w:tc>
          <w:tcPr>
            <w:tcW w:w="1247" w:type="dxa"/>
            <w:tcBorders>
              <w:top w:val="single" w:color="auto" w:sz="4" w:space="0"/>
              <w:left w:val="nil"/>
              <w:bottom w:val="single" w:color="auto" w:sz="4" w:space="0"/>
              <w:right w:val="single" w:color="auto" w:sz="4" w:space="0"/>
            </w:tcBorders>
            <w:shd w:val="clear" w:color="000000" w:fill="D7D7D7" w:themeFill="background1" w:themeFillShade="D8"/>
            <w:vAlign w:val="center"/>
          </w:tcPr>
          <w:p>
            <w:pPr>
              <w:jc w:val="center"/>
              <w:rPr>
                <w:b/>
                <w:bCs/>
                <w:color w:val="000000"/>
                <w:sz w:val="24"/>
              </w:rPr>
            </w:pPr>
            <w:r>
              <w:rPr>
                <w:rFonts w:hint="eastAsia"/>
                <w:b/>
                <w:bCs/>
                <w:color w:val="000000"/>
                <w:sz w:val="24"/>
              </w:rPr>
              <w:t>是否核心产品</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数据存储服务器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45</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2</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检索服务器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35</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3</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计算服务器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8</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4</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数据治理及处理服务器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35</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5</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数据平台服务器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4</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6</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应用服务器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4</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7</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数据库服务器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2</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Arial" w:asciiTheme="minorEastAsia" w:hAnsiTheme="minorEastAsia"/>
                <w:sz w:val="24"/>
              </w:rPr>
            </w:pPr>
            <w:r>
              <w:rPr>
                <w:rFonts w:hint="eastAsia" w:cs="Arial" w:asciiTheme="minorEastAsia" w:hAnsiTheme="minorEastAsia"/>
                <w:sz w:val="24"/>
              </w:rPr>
              <w:t>8</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多媒体处理服务器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9</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核心交换机</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10</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大数据智能安全管理平台</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是</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11</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千兆光闸</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12</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万兆光闸</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13</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千兆防火墙</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14</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万兆防火墙</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15</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千兆交换机</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cs="Arial" w:asciiTheme="minorEastAsia" w:hAnsiTheme="minorEastAsia"/>
                <w:sz w:val="24"/>
              </w:rPr>
            </w:pPr>
            <w:r>
              <w:rPr>
                <w:rFonts w:hint="eastAsia" w:cs="Arial" w:asciiTheme="minorEastAsia" w:hAnsiTheme="minorEastAsia"/>
                <w:sz w:val="24"/>
              </w:rPr>
              <w:t>12</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16</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业务万兆交换机</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4</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台</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17</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漏洞扫描</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18</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运维审计</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19</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数据库审计</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20</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预警平台</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eastAsia="宋体" w:cs="Arial" w:asciiTheme="minorEastAsia" w:hAnsiTheme="minorEastAsia"/>
                <w:kern w:val="2"/>
                <w:sz w:val="24"/>
                <w:szCs w:val="24"/>
                <w:lang w:val="en-US" w:eastAsia="zh-CN" w:bidi="ar-SA"/>
              </w:rPr>
            </w:pPr>
            <w:r>
              <w:rPr>
                <w:rFonts w:hint="eastAsia" w:cs="Arial" w:asciiTheme="minorEastAsia" w:hAnsiTheme="minorEastAsia"/>
                <w:sz w:val="24"/>
              </w:rPr>
              <w:t>21</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主机安全卫士</w:t>
            </w:r>
          </w:p>
        </w:tc>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套</w:t>
            </w:r>
          </w:p>
        </w:tc>
        <w:tc>
          <w:tcPr>
            <w:tcW w:w="124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2</w:t>
            </w:r>
            <w:r>
              <w:rPr>
                <w:rFonts w:hint="eastAsia" w:cs="Arial" w:asciiTheme="minorEastAsia" w:hAnsiTheme="minorEastAsia"/>
                <w:sz w:val="24"/>
                <w:lang w:val="en-US" w:eastAsia="zh-CN"/>
              </w:rPr>
              <w:t>2</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辅材</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1</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批</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2</w:t>
            </w:r>
            <w:r>
              <w:rPr>
                <w:rFonts w:hint="eastAsia" w:cs="Arial" w:asciiTheme="minorEastAsia" w:hAnsiTheme="minorEastAsia"/>
                <w:sz w:val="24"/>
                <w:lang w:val="en-US" w:eastAsia="zh-CN"/>
              </w:rPr>
              <w:t>3</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分光器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58</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个</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2</w:t>
            </w:r>
            <w:r>
              <w:rPr>
                <w:rFonts w:hint="eastAsia" w:cs="Arial" w:asciiTheme="minorEastAsia" w:hAnsiTheme="minorEastAsia"/>
                <w:sz w:val="24"/>
                <w:lang w:val="en-US" w:eastAsia="zh-CN"/>
              </w:rPr>
              <w:t>4</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100G光放大器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29</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对</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r>
        <w:tblPrEx>
          <w:tblCellMar>
            <w:top w:w="0" w:type="dxa"/>
            <w:left w:w="108" w:type="dxa"/>
            <w:bottom w:w="0" w:type="dxa"/>
            <w:right w:w="108" w:type="dxa"/>
          </w:tblCellMar>
        </w:tblPrEx>
        <w:trPr>
          <w:trHeight w:val="454" w:hRule="atLeast"/>
          <w:jc w:val="center"/>
        </w:trPr>
        <w:tc>
          <w:tcPr>
            <w:tcW w:w="103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eastAsia="宋体" w:cs="Arial" w:asciiTheme="minorEastAsia" w:hAnsiTheme="minorEastAsia"/>
                <w:kern w:val="2"/>
                <w:sz w:val="24"/>
                <w:szCs w:val="24"/>
                <w:lang w:val="en-US" w:eastAsia="zh-CN" w:bidi="ar-SA"/>
              </w:rPr>
            </w:pPr>
            <w:r>
              <w:rPr>
                <w:rFonts w:hint="eastAsia" w:cs="Arial" w:asciiTheme="minorEastAsia" w:hAnsiTheme="minorEastAsia"/>
                <w:sz w:val="24"/>
              </w:rPr>
              <w:t>2</w:t>
            </w:r>
            <w:r>
              <w:rPr>
                <w:rFonts w:hint="eastAsia" w:cs="Arial" w:asciiTheme="minorEastAsia" w:hAnsiTheme="minorEastAsia"/>
                <w:sz w:val="24"/>
                <w:lang w:val="en-US" w:eastAsia="zh-CN"/>
              </w:rPr>
              <w:t>5</w:t>
            </w:r>
          </w:p>
        </w:tc>
        <w:tc>
          <w:tcPr>
            <w:tcW w:w="3642"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千兆光电转换器</w:t>
            </w:r>
          </w:p>
        </w:tc>
        <w:tc>
          <w:tcPr>
            <w:tcW w:w="1276" w:type="dxa"/>
            <w:tcBorders>
              <w:top w:val="nil"/>
              <w:left w:val="single" w:color="auto" w:sz="4" w:space="0"/>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4</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对</w:t>
            </w:r>
          </w:p>
        </w:tc>
        <w:tc>
          <w:tcPr>
            <w:tcW w:w="1247" w:type="dxa"/>
            <w:tcBorders>
              <w:top w:val="nil"/>
              <w:left w:val="nil"/>
              <w:bottom w:val="single" w:color="auto" w:sz="4" w:space="0"/>
              <w:right w:val="single" w:color="auto" w:sz="4" w:space="0"/>
            </w:tcBorders>
            <w:shd w:val="clear" w:color="000000" w:fill="FFFFFF"/>
            <w:vAlign w:val="center"/>
          </w:tcPr>
          <w:p>
            <w:pPr>
              <w:jc w:val="center"/>
              <w:rPr>
                <w:rFonts w:cs="Arial" w:asciiTheme="minorEastAsia" w:hAnsiTheme="minorEastAsia"/>
                <w:sz w:val="24"/>
              </w:rPr>
            </w:pPr>
            <w:r>
              <w:rPr>
                <w:rFonts w:hint="eastAsia" w:cs="Arial" w:asciiTheme="minorEastAsia" w:hAnsiTheme="minorEastAsia"/>
                <w:sz w:val="24"/>
              </w:rPr>
              <w:t>否</w:t>
            </w:r>
          </w:p>
        </w:tc>
      </w:tr>
    </w:tbl>
    <w:p>
      <w:pPr>
        <w:spacing w:line="360" w:lineRule="auto"/>
        <w:rPr>
          <w:b/>
          <w:bCs/>
          <w:sz w:val="24"/>
        </w:rPr>
      </w:pPr>
    </w:p>
    <w:p>
      <w:pPr>
        <w:spacing w:line="360" w:lineRule="auto"/>
        <w:ind w:firstLine="482" w:firstLineChars="200"/>
        <w:rPr>
          <w:b/>
          <w:bCs/>
          <w:sz w:val="24"/>
        </w:rPr>
      </w:pPr>
      <w:r>
        <w:rPr>
          <w:rFonts w:hint="eastAsia"/>
          <w:b/>
          <w:bCs/>
          <w:sz w:val="24"/>
        </w:rPr>
        <w:t>（三）详细技术指标</w:t>
      </w:r>
    </w:p>
    <w:p>
      <w:pPr>
        <w:pStyle w:val="6"/>
        <w:spacing w:line="240" w:lineRule="auto"/>
        <w:ind w:firstLine="482" w:firstLineChars="200"/>
        <w:rPr>
          <w:rFonts w:hint="default" w:ascii="宋体" w:hAnsi="宋体" w:eastAsia="宋体" w:cs="宋体"/>
          <w:b/>
          <w:bCs w:val="0"/>
          <w:sz w:val="24"/>
          <w:szCs w:val="24"/>
          <w:lang w:val="en-US" w:eastAsia="zh-CN"/>
        </w:rPr>
      </w:pPr>
      <w:r>
        <w:rPr>
          <w:rFonts w:hint="eastAsia" w:ascii="宋体" w:hAnsi="宋体" w:cs="宋体"/>
          <w:b/>
          <w:bCs w:val="0"/>
          <w:sz w:val="24"/>
          <w:szCs w:val="24"/>
        </w:rPr>
        <w:t>1.数据存储服务器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45台、核心产品）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widowControl/>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配置2颗英特尔至强银牌4210 CPU（2.2GHz，10核）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≥256G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支持SAS/SATA/NVMe接口硬盘，支持2个内置基于SATA总线的M.2 SSD硬盘；</w:t>
            </w:r>
          </w:p>
          <w:p>
            <w:pPr>
              <w:widowControl/>
              <w:rPr>
                <w:rFonts w:ascii="宋体" w:hAnsi="宋体" w:cs="宋体"/>
                <w:szCs w:val="21"/>
              </w:rPr>
            </w:pPr>
            <w:r>
              <w:rPr>
                <w:rFonts w:hint="eastAsia" w:ascii="宋体" w:hAnsi="宋体" w:cs="宋体"/>
                <w:szCs w:val="21"/>
              </w:rPr>
              <w:t>本次配置≥2块1.8T SAS 系统盘， 12块8T SATA 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配置独立raid卡，≥2G缓存支持raid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冗余电源，冗余风扇，独立风扇控制支持免工具热插拔维护；</w:t>
            </w:r>
          </w:p>
          <w:p>
            <w:pPr>
              <w:widowControl/>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3年免费故障硬盘保留服务</w:t>
            </w:r>
          </w:p>
        </w:tc>
      </w:tr>
    </w:tbl>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2.检索服务器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35台、核心产品）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配置2颗英特尔至强金牌5220R CPU（2.2GHz，24核）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≥256G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本次配置≥2块1.8T SAS 系统盘，12块6T SATA 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★GPU</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w:t>
            </w:r>
            <w:r>
              <w:rPr>
                <w:rFonts w:ascii="宋体" w:hAnsi="宋体" w:cs="宋体"/>
                <w:szCs w:val="21"/>
              </w:rPr>
              <w:t>3</w:t>
            </w:r>
            <w:r>
              <w:rPr>
                <w:rFonts w:hint="eastAsia" w:ascii="宋体" w:hAnsi="宋体" w:cs="宋体"/>
                <w:szCs w:val="21"/>
              </w:rPr>
              <w:t>个双宽GPU</w:t>
            </w:r>
            <w:r>
              <w:rPr>
                <w:rFonts w:hint="eastAsia" w:ascii="宋体" w:hAnsi="宋体" w:cs="宋体"/>
                <w:szCs w:val="21"/>
                <w:lang w:val="en-US" w:eastAsia="zh-CN"/>
              </w:rPr>
              <w:t>或</w:t>
            </w:r>
            <w:r>
              <w:rPr>
                <w:rFonts w:hint="eastAsia" w:ascii="宋体" w:hAnsi="宋体" w:cs="宋体"/>
                <w:szCs w:val="21"/>
              </w:rPr>
              <w:t>8个单宽GPU（提供官网证明材料）</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配置独立raid卡，≥2G缓存，支持raid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★系统安全保护</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为保证系统安全，支持同品牌系统安全加固模块，支持主机操作系统安全加固功能模块扩展，从系统内核层对服务器进行安全加固规则配置，且支持虚拟化平台内核加固</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3.计算服务器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8台、核心产品）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配置2颗英特尔至强金牌5220R CPU（2.2GHz，24核）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≥512G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本次配置≥2块1.8T SAS 硬盘，12块960G SSD硬盘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★GPU</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w:t>
            </w:r>
            <w:r>
              <w:rPr>
                <w:rFonts w:ascii="宋体" w:hAnsi="宋体" w:cs="宋体"/>
                <w:szCs w:val="21"/>
              </w:rPr>
              <w:t>3</w:t>
            </w:r>
            <w:r>
              <w:rPr>
                <w:rFonts w:hint="eastAsia" w:ascii="宋体" w:hAnsi="宋体" w:cs="宋体"/>
                <w:szCs w:val="21"/>
              </w:rPr>
              <w:t>个双宽GPU</w:t>
            </w:r>
            <w:r>
              <w:rPr>
                <w:rFonts w:hint="eastAsia" w:ascii="宋体" w:hAnsi="宋体" w:cs="宋体"/>
                <w:szCs w:val="21"/>
                <w:lang w:val="en-US" w:eastAsia="zh-CN"/>
              </w:rPr>
              <w:t>或</w:t>
            </w:r>
            <w:r>
              <w:rPr>
                <w:rFonts w:hint="eastAsia" w:ascii="宋体" w:hAnsi="宋体" w:cs="宋体"/>
                <w:szCs w:val="21"/>
              </w:rPr>
              <w:t>8个单宽GPU（提供官网证明材料）</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★系统安全保护</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为保证系统安全，支持同品牌系统安全加固模块，支持主机操作系统安全加固功能模块扩展，从系统内核层对服务器进行安全加固规则配置，且支持虚拟化平台内核加固</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4.数据治理及处理服务器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35台、核心产品）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配置2颗英特尔至强银牌4216 CPU（2.1GHz，16核）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≥256G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本次配置≥2块1.8T SAS 硬盘， 12块6T SATA 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★GPU</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w:t>
            </w:r>
            <w:r>
              <w:rPr>
                <w:rFonts w:ascii="宋体" w:hAnsi="宋体" w:cs="宋体"/>
                <w:szCs w:val="21"/>
              </w:rPr>
              <w:t>3</w:t>
            </w:r>
            <w:r>
              <w:rPr>
                <w:rFonts w:hint="eastAsia" w:ascii="宋体" w:hAnsi="宋体" w:cs="宋体"/>
                <w:szCs w:val="21"/>
              </w:rPr>
              <w:t>个双宽GPU</w:t>
            </w:r>
            <w:r>
              <w:rPr>
                <w:rFonts w:hint="eastAsia" w:ascii="宋体" w:hAnsi="宋体" w:cs="宋体"/>
                <w:szCs w:val="21"/>
                <w:lang w:val="en-US" w:eastAsia="zh-CN"/>
              </w:rPr>
              <w:t>或</w:t>
            </w:r>
            <w:r>
              <w:rPr>
                <w:rFonts w:hint="eastAsia" w:ascii="宋体" w:hAnsi="宋体" w:cs="宋体"/>
                <w:szCs w:val="21"/>
              </w:rPr>
              <w:t>8个单宽GPU（提供官网证明材料）</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★系统安全保护</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为保证系统安全，支持同品牌系统安全加固模块，支持主机操作系统安全加固功能模块扩展，从系统内核层对服务器进行安全加固规则配置，且支持虚拟化平台内核加固</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5.数据平台服务器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4台、核心产品）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配置2颗英特尔至强银牌4210 CPU（2.2GHz，10核）</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≥128G DDR4内存，板载≥24个内存插槽</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本次配置≥6块1.8T SAS硬盘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配置独立raid卡，≥2G缓存，支持raid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6.应用服务器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4台、核心产品）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配置2颗英特尔至强银牌4210 CPU（2.2GHz，10核）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≥128G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本次配置≥6块1.8T SAS硬盘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配置独立raid卡，≥2G缓存，支持raid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7.数据库服务器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2台、核心产品）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配置2颗英特尔至强银牌4210 CPU（2.2GHz，10核）</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≥256G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支持SAS/SATA/NVMe接口硬盘，支持2个内置基于SATA总线的M.2 SSD硬盘；</w:t>
            </w:r>
          </w:p>
          <w:p>
            <w:pPr>
              <w:rPr>
                <w:rFonts w:ascii="宋体" w:hAnsi="宋体" w:cs="宋体"/>
                <w:szCs w:val="21"/>
              </w:rPr>
            </w:pPr>
            <w:r>
              <w:rPr>
                <w:rFonts w:hint="eastAsia" w:ascii="宋体" w:hAnsi="宋体" w:cs="宋体"/>
                <w:szCs w:val="21"/>
              </w:rPr>
              <w:t>本次配置≥12块4T SATA硬盘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I/O扩展</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最大支持≥9个PCIE插槽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配置独立raid卡，≥2G缓存，支持raid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冗余电源，冗余风扇，独立风扇控制支持免工具热插拔维护；</w:t>
            </w:r>
          </w:p>
          <w:p>
            <w:pPr>
              <w:rPr>
                <w:rFonts w:ascii="宋体" w:hAnsi="宋体" w:cs="宋体"/>
                <w:szCs w:val="21"/>
              </w:rPr>
            </w:pPr>
            <w:r>
              <w:rPr>
                <w:rFonts w:hint="eastAsia" w:ascii="宋体" w:hAnsi="宋体" w:cs="宋体"/>
                <w:szCs w:val="21"/>
              </w:rPr>
              <w:t>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ascii="宋体" w:hAnsi="宋体" w:cs="宋体"/>
          <w:sz w:val="24"/>
        </w:rPr>
      </w:pPr>
    </w:p>
    <w:p>
      <w:pPr>
        <w:pStyle w:val="6"/>
        <w:spacing w:line="240" w:lineRule="auto"/>
        <w:ind w:firstLine="482" w:firstLineChars="200"/>
        <w:rPr>
          <w:rFonts w:ascii="宋体" w:hAnsi="宋体" w:cs="宋体"/>
          <w:b/>
          <w:bCs w:val="0"/>
          <w:sz w:val="24"/>
          <w:szCs w:val="24"/>
        </w:rPr>
      </w:pPr>
      <w:r>
        <w:rPr>
          <w:rFonts w:hint="eastAsia" w:ascii="宋体" w:hAnsi="宋体" w:cs="宋体"/>
          <w:b/>
          <w:bCs w:val="0"/>
          <w:sz w:val="24"/>
          <w:szCs w:val="24"/>
        </w:rPr>
        <w:t>8.多媒体处理服务器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1台、核心产品）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7D7D7" w:themeFill="background1" w:themeFillShade="D8"/>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品牌要求</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国有自主品牌，非OEM</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外型</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4U机架式服务器，配机架安装导轨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处理器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配置2颗英特尔 Gold 6240</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≥128G DDR4内存，板载≥24个内存插槽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硬盘</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支持SAS/SATA/NVMe接口硬盘，支持NVMe SSD，支持M.2硬盘。本次配置≥2块1.2T SAS硬盘</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RAID卡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配置独立raid卡，支持raid 0 1 5 6</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GPU</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最大支持16个单宽或8个双宽GPU卡本次配置≥8块英伟达T4卡</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网卡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配置≥2个千兆网口，2个万兆网口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电源、导轨</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配置4个电源，电源支持2+2冗余，标准上架导轨</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管理特性</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集成BMC管理模块，支持IPMI、KVM over IP、虚拟媒体等功能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3年免费故障硬盘保留服务</w:t>
            </w:r>
          </w:p>
        </w:tc>
      </w:tr>
    </w:tbl>
    <w:p>
      <w:pPr>
        <w:rPr>
          <w:rFonts w:cs="Arial" w:asciiTheme="minorEastAsia" w:hAnsiTheme="minorEastAsia"/>
          <w:sz w:val="24"/>
        </w:rPr>
      </w:pPr>
    </w:p>
    <w:p>
      <w:pPr>
        <w:pStyle w:val="6"/>
        <w:ind w:firstLine="482" w:firstLineChars="200"/>
        <w:rPr>
          <w:b/>
          <w:bCs w:val="0"/>
          <w:sz w:val="24"/>
          <w:szCs w:val="24"/>
        </w:rPr>
      </w:pPr>
      <w:r>
        <w:rPr>
          <w:rFonts w:hint="eastAsia"/>
          <w:b/>
          <w:bCs w:val="0"/>
          <w:sz w:val="24"/>
          <w:szCs w:val="24"/>
          <w:lang w:val="en-US" w:eastAsia="zh-CN"/>
        </w:rPr>
        <w:t>9</w:t>
      </w:r>
      <w:r>
        <w:rPr>
          <w:rFonts w:hint="eastAsia"/>
          <w:b/>
          <w:bCs w:val="0"/>
          <w:sz w:val="24"/>
          <w:szCs w:val="24"/>
        </w:rPr>
        <w:t>.核心交换机</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▲业务插槽</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业务槽位≥8个</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★交换能力</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交换能力≥184Tbps；包转发率≥115200Mpps</w:t>
            </w:r>
          </w:p>
        </w:tc>
      </w:tr>
      <w:tr>
        <w:tblPrEx>
          <w:tblCellMar>
            <w:top w:w="0" w:type="dxa"/>
            <w:left w:w="108" w:type="dxa"/>
            <w:bottom w:w="0" w:type="dxa"/>
            <w:right w:w="108" w:type="dxa"/>
          </w:tblCellMar>
        </w:tblPrEx>
        <w:trPr>
          <w:cantSplit/>
          <w:trHeight w:val="624" w:hRule="atLeast"/>
          <w:tblHeader/>
          <w:jc w:val="center"/>
        </w:trPr>
        <w:tc>
          <w:tcPr>
            <w:tcW w:w="1191"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路由功能</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IP V4支持静态路由，RIP V2，EIGRP，OSPF V2，BGP；IP V6支持静态路由，OSPF V3，BGP V6，EIGRP V6；支持等价路由，路由条目≥64条</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支持PIMv2，PIM Source Specific Multicast（SSM），PIM Bi-Direction</w:t>
            </w:r>
            <w:r>
              <w:rPr>
                <w:rFonts w:hint="eastAsia" w:cs="宋体"/>
                <w:szCs w:val="21"/>
              </w:rPr>
              <w:t>，</w:t>
            </w:r>
            <w:r>
              <w:rPr>
                <w:rFonts w:hint="eastAsia" w:ascii="宋体" w:hAnsi="宋体" w:cs="宋体"/>
                <w:szCs w:val="21"/>
              </w:rPr>
              <w:t>MSDP；IP单播路由容量≥32K；IP组播路由容量≥8K</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虚拟化功能</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支持与下连交换机的一体化管理，下连交换机数量最大可支持48台，通过直连，本交换机可作为下一级交换机的控制层面，下一级交换机无须本地管理，降低管理复杂度；支持跨机箱链路捆绑</w:t>
            </w:r>
            <w:r>
              <w:rPr>
                <w:rFonts w:hint="eastAsia" w:cs="宋体"/>
                <w:szCs w:val="21"/>
              </w:rPr>
              <w:t>；</w:t>
            </w:r>
            <w:r>
              <w:rPr>
                <w:rFonts w:hint="eastAsia" w:ascii="宋体" w:hAnsi="宋体" w:cs="宋体"/>
                <w:szCs w:val="21"/>
              </w:rPr>
              <w:t>支持模块化软件，即业务特性可根据命令控制来决定是否装入内存-RAM运行（如BGP，OSPF 等）；支持不间断业务在线软件升级（ISSU）</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★SAN协议</w:t>
            </w:r>
          </w:p>
        </w:tc>
        <w:tc>
          <w:tcPr>
            <w:tcW w:w="737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cs="宋体"/>
                <w:szCs w:val="21"/>
              </w:rPr>
              <w:t>支持FC 2/4/8G（根据所配光模块实现端口类型设置），数量≥96个（允许外接一台同品牌设备实现，外接设备整机≥96端口激活；若选择外接设备实现，要求核心交换机必须支持FC0E网络融合功能）</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★实配配置</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实配电源数量≥6个，风扇数量≥4，万兆板卡≥2块，40G板卡≥2块，≥40个万兆多模模块，≥36个40G多模模块，≥2个8GB FC模块</w:t>
            </w:r>
          </w:p>
        </w:tc>
      </w:tr>
    </w:tbl>
    <w:p>
      <w:pPr>
        <w:pStyle w:val="6"/>
        <w:ind w:firstLine="482" w:firstLineChars="200"/>
        <w:rPr>
          <w:rFonts w:hint="eastAsia"/>
          <w:b/>
          <w:bCs w:val="0"/>
          <w:sz w:val="24"/>
          <w:szCs w:val="40"/>
          <w:lang w:val="en-US" w:eastAsia="zh-CN"/>
        </w:rPr>
      </w:pPr>
    </w:p>
    <w:p>
      <w:pPr>
        <w:pStyle w:val="6"/>
        <w:ind w:firstLine="482" w:firstLineChars="200"/>
        <w:rPr>
          <w:b/>
          <w:bCs w:val="0"/>
          <w:sz w:val="24"/>
          <w:szCs w:val="40"/>
        </w:rPr>
      </w:pPr>
      <w:r>
        <w:rPr>
          <w:rFonts w:hint="eastAsia"/>
          <w:b/>
          <w:bCs w:val="0"/>
          <w:sz w:val="24"/>
          <w:szCs w:val="40"/>
          <w:lang w:val="en-US" w:eastAsia="zh-CN"/>
        </w:rPr>
        <w:t>1</w:t>
      </w:r>
      <w:r>
        <w:rPr>
          <w:rFonts w:hint="eastAsia"/>
          <w:b/>
          <w:bCs w:val="0"/>
          <w:sz w:val="24"/>
          <w:szCs w:val="40"/>
        </w:rPr>
        <w:t>0.大数据智能安全管理平台</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1套、核心产品）</w:t>
      </w:r>
    </w:p>
    <w:tbl>
      <w:tblPr>
        <w:tblStyle w:val="21"/>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022" w:type="dxa"/>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指标项</w:t>
            </w:r>
          </w:p>
        </w:tc>
        <w:tc>
          <w:tcPr>
            <w:tcW w:w="7539" w:type="dxa"/>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hint="eastAsia" w:ascii="宋体" w:hAnsi="宋体" w:cs="宋体"/>
                <w:szCs w:val="21"/>
              </w:rPr>
            </w:pPr>
            <w:r>
              <w:rPr>
                <w:rFonts w:hint="eastAsia" w:ascii="宋体" w:hAnsi="宋体" w:cs="宋体"/>
                <w:szCs w:val="21"/>
              </w:rPr>
              <w:t>基本要求</w:t>
            </w:r>
          </w:p>
          <w:p>
            <w:pPr>
              <w:rPr>
                <w:rFonts w:ascii="宋体" w:hAnsi="宋体" w:cs="宋体"/>
                <w:szCs w:val="21"/>
              </w:rPr>
            </w:pPr>
          </w:p>
        </w:tc>
        <w:tc>
          <w:tcPr>
            <w:tcW w:w="7539" w:type="dxa"/>
            <w:vAlign w:val="center"/>
          </w:tcPr>
          <w:p>
            <w:pPr>
              <w:widowControl/>
              <w:rPr>
                <w:rFonts w:hint="eastAsia" w:ascii="宋体" w:hAnsi="宋体" w:eastAsia="宋体" w:cs="宋体"/>
                <w:szCs w:val="21"/>
                <w:lang w:eastAsia="zh-CN"/>
              </w:rPr>
            </w:pPr>
            <w:r>
              <w:rPr>
                <w:rFonts w:hint="eastAsia" w:ascii="宋体" w:hAnsi="宋体" w:cs="宋体"/>
                <w:szCs w:val="21"/>
              </w:rPr>
              <w:t>通过公安部检测并获得计算机信息系统安全专用产品销售许可证</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具备大数据检索功能，提供相关专利证明材料</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物理机硬件配置：CPU ≥24核，内存≥256GB，配置企业级存储磁盘总容量≥24TB（或磁盘可用容量≥20TB）</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接口要求：≥千兆电口*4</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数据采集和处理性能≥12000EPS，每条数据大小&gt;1KB；可接收全流量吞吐量≥2Gbps，接入日志源不少于200个，10亿数据关键字查询结果响应时间&lt;2秒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数据接入和共享</w:t>
            </w:r>
          </w:p>
        </w:tc>
        <w:tc>
          <w:tcPr>
            <w:tcW w:w="7539" w:type="dxa"/>
            <w:tcBorders>
              <w:bottom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支持通过多种类型的安全、泛安全类数据接入采集，应包括但不限于设备日志数据、流量数据、弱点漏洞数据、系统性能数据、威胁情报数据、资产人员数据</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支持通过流量采集设备采集接入全流量数据，包含流量中的请求包和返回包等信息，并可在数据检索中体现包信息</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大数据平台中的安全数据，包括告警数据、资产数据、工单等至少20种可共享给第三方系统，实现数据共享和交换</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同时支持原始日志、标准化数据、告警数据≥3种数据的共享和交换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★安全分析能力模型</w:t>
            </w:r>
          </w:p>
        </w:tc>
        <w:tc>
          <w:tcPr>
            <w:tcW w:w="7539" w:type="dxa"/>
            <w:vAlign w:val="center"/>
          </w:tcPr>
          <w:p>
            <w:pPr>
              <w:widowControl/>
              <w:rPr>
                <w:rFonts w:ascii="宋体" w:hAnsi="宋体" w:cs="宋体"/>
                <w:szCs w:val="21"/>
              </w:rPr>
            </w:pPr>
            <w:r>
              <w:rPr>
                <w:rFonts w:hint="eastAsia" w:ascii="宋体" w:hAnsi="宋体" w:cs="宋体"/>
                <w:szCs w:val="21"/>
              </w:rPr>
              <w:t>平台应内置包括规则模型、关联模型、统计模型、情报模型等在内的安全分析模型；支持对安全日志里200个以上字段，包括但不限于应用协议、目的IP、目的主机名、目的端口、目的用户名、数据流方向、情报IOC等进行任意形式的逻辑与或非形式组合建模，运算方式包括但不限于AND、OR、等于、不等于、大于、小于、属于、不属于、存在、不存在等，并能根据组合方式自动生成运算表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★自动化响应编排</w:t>
            </w:r>
          </w:p>
        </w:tc>
        <w:tc>
          <w:tcPr>
            <w:tcW w:w="7539" w:type="dxa"/>
            <w:vAlign w:val="center"/>
          </w:tcPr>
          <w:p>
            <w:pPr>
              <w:widowControl/>
              <w:rPr>
                <w:rFonts w:ascii="宋体" w:hAnsi="宋体" w:cs="宋体"/>
                <w:szCs w:val="21"/>
              </w:rPr>
            </w:pPr>
            <w:r>
              <w:rPr>
                <w:rFonts w:hint="eastAsia" w:ascii="宋体" w:hAnsi="宋体" w:cs="宋体"/>
                <w:szCs w:val="21"/>
              </w:rPr>
              <w:t>支持前端拖拽式交互设计安全风险分析研判策略和联动响应剧本，支持多种策略编排动作，包括但不限于数据源、分析组件、处置响应等，可自动判断策略编排是否合理并弹窗提示</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支持与不同品牌的网关类安全产品进行联动防护，防护策略支持设置每次阻断不同时长生效时间，时间设置包括10分钟，30分钟，6小时，24小时，72小时，永久阻断</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支持与同品牌EDR集成联动，一键查杀木马病毒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★AI高级分析和</w:t>
            </w:r>
          </w:p>
        </w:tc>
        <w:tc>
          <w:tcPr>
            <w:tcW w:w="7539" w:type="dxa"/>
            <w:vAlign w:val="center"/>
          </w:tcPr>
          <w:p>
            <w:pPr>
              <w:rPr>
                <w:rFonts w:ascii="宋体" w:hAnsi="宋体" w:cs="宋体"/>
                <w:szCs w:val="21"/>
              </w:rPr>
            </w:pPr>
            <w:r>
              <w:rPr>
                <w:rFonts w:hint="eastAsia" w:ascii="宋体" w:hAnsi="宋体" w:cs="宋体"/>
                <w:szCs w:val="21"/>
              </w:rPr>
              <w:t>平台内置不少于8种机器学习分析场景模型，可检测发现勒索挖矿告警数异常、安全设备日志数异常、网络会话数异常、域名请求数异常等特定场景条件下的安全态势异常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安全态势可视化分析和安全运营门户</w:t>
            </w:r>
          </w:p>
        </w:tc>
        <w:tc>
          <w:tcPr>
            <w:tcW w:w="7539" w:type="dxa"/>
            <w:vAlign w:val="center"/>
          </w:tcPr>
          <w:p>
            <w:pPr>
              <w:widowControl/>
              <w:rPr>
                <w:rFonts w:hint="eastAsia" w:ascii="宋体" w:hAnsi="宋体" w:eastAsia="宋体" w:cs="宋体"/>
                <w:szCs w:val="21"/>
                <w:lang w:eastAsia="zh-CN"/>
              </w:rPr>
            </w:pPr>
            <w:r>
              <w:rPr>
                <w:rFonts w:hint="eastAsia" w:ascii="宋体" w:hAnsi="宋体" w:cs="宋体"/>
                <w:szCs w:val="21"/>
              </w:rPr>
              <w:t xml:space="preserve">支持安全态势的可视化呈现，以大屏的方式从攻击事件、资产安全、追踪溯源、运行监测、重保方案等多个维度进行可视化展示，提供不少于10块大屏展示界面 </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 xml:space="preserve">统计类图表支持展示升序或降序的TOP5到TOP100，可针对数据中任意字段的计数、平均值、求和、最大值、最小值、唯一值等≥5种算子的统计结果配置可视化图表 </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平台应具有统一的安全运营门户，作为多个安全态势分析与感知功能的统一入口，集成态势感知、威胁狩猎、通报预警、异常监测、运行监测等多个功能模块，实现平台内部业务、数据、服务、资源的无缝整合与集成</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统一门户应支持与第三方产品集成，一键跳转至产品功能界面</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支持不少于10000条检索结果导出，导出内容字段可自定义选择，支持excel或CSV格式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rPr>
                <w:rFonts w:ascii="宋体" w:hAnsi="宋体" w:cs="宋体"/>
                <w:szCs w:val="21"/>
              </w:rPr>
            </w:pPr>
            <w:r>
              <w:rPr>
                <w:rFonts w:hint="eastAsia" w:ascii="宋体" w:hAnsi="宋体" w:cs="宋体"/>
                <w:szCs w:val="21"/>
              </w:rPr>
              <w:t>威胁情报</w:t>
            </w:r>
          </w:p>
        </w:tc>
        <w:tc>
          <w:tcPr>
            <w:tcW w:w="7539" w:type="dxa"/>
            <w:vAlign w:val="center"/>
          </w:tcPr>
          <w:p>
            <w:pPr>
              <w:widowControl/>
              <w:rPr>
                <w:rFonts w:ascii="宋体" w:hAnsi="宋体" w:cs="宋体"/>
                <w:szCs w:val="21"/>
              </w:rPr>
            </w:pPr>
            <w:r>
              <w:rPr>
                <w:rFonts w:hint="eastAsia" w:ascii="宋体" w:hAnsi="宋体" w:cs="宋体"/>
                <w:szCs w:val="21"/>
              </w:rPr>
              <w:t>情报记录包含情报置信度、标签、组织名称、地理位置、运营商等信息；</w:t>
            </w:r>
          </w:p>
          <w:p>
            <w:pPr>
              <w:widowControl/>
              <w:rPr>
                <w:rFonts w:hint="eastAsia" w:ascii="宋体" w:hAnsi="宋体" w:eastAsia="宋体" w:cs="宋体"/>
                <w:szCs w:val="21"/>
                <w:lang w:eastAsia="zh-CN"/>
              </w:rPr>
            </w:pPr>
            <w:r>
              <w:rPr>
                <w:rFonts w:hint="eastAsia" w:ascii="宋体" w:hAnsi="宋体" w:cs="宋体"/>
                <w:szCs w:val="21"/>
              </w:rPr>
              <w:t>支持查看情报源中有效情报数量、最近更新时间、今日更新情报数量</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碰撞情报IOC支持通过情报源、IOC类型、标签、置信度等多维度进行碰撞分析，内置威胁情报条数不少于400万条</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支持通过流量无侵入式自动发现资产，支持发现终端、Web服务器、DNS服务器、邮件服务器、FTP文件服务器等类型≥5种，其中web服务器支持自动识别服务域名和服务站点名称</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支持拓扑图的增加、修改、删除、导入、导出，支持创建&gt;50个业务或网络拓扑，支持建立平面拓扑和3D拓扑</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支持在拓扑图上一键点击跳转查询相应网络实体的安全日志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rPr>
                <w:rFonts w:ascii="宋体" w:hAnsi="宋体" w:cs="宋体"/>
                <w:szCs w:val="21"/>
              </w:rPr>
            </w:pPr>
            <w:r>
              <w:rPr>
                <w:rFonts w:hint="eastAsia" w:ascii="宋体" w:hAnsi="宋体" w:cs="宋体"/>
                <w:szCs w:val="21"/>
              </w:rPr>
              <w:t>★重大活动保障</w:t>
            </w:r>
          </w:p>
        </w:tc>
        <w:tc>
          <w:tcPr>
            <w:tcW w:w="7539" w:type="dxa"/>
            <w:vAlign w:val="center"/>
          </w:tcPr>
          <w:p>
            <w:pPr>
              <w:widowControl/>
              <w:rPr>
                <w:rFonts w:ascii="宋体" w:hAnsi="宋体" w:cs="宋体"/>
                <w:szCs w:val="21"/>
              </w:rPr>
            </w:pPr>
            <w:r>
              <w:rPr>
                <w:rFonts w:hint="eastAsia" w:ascii="宋体" w:hAnsi="宋体" w:cs="宋体"/>
                <w:szCs w:val="21"/>
              </w:rPr>
              <w:t>支持重大活动保障任务前期、中期、后期分阶段的任务管理，保障预案管理</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支持任意保障区域和系统，支持设置保障监控拓扑，支持重大保障态势大屏实时监测</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保障监测视角覆盖云管端、边界、应用、安全设备等监测维度≥6种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022" w:type="dxa"/>
            <w:vAlign w:val="center"/>
          </w:tcPr>
          <w:p>
            <w:pPr>
              <w:widowControl/>
              <w:rPr>
                <w:rFonts w:ascii="宋体" w:hAnsi="宋体" w:cs="宋体"/>
                <w:szCs w:val="21"/>
              </w:rPr>
            </w:pPr>
            <w:r>
              <w:rPr>
                <w:rFonts w:hint="eastAsia" w:ascii="宋体" w:hAnsi="宋体" w:cs="宋体"/>
                <w:szCs w:val="21"/>
              </w:rPr>
              <w:t>★厂家资质</w:t>
            </w:r>
          </w:p>
        </w:tc>
        <w:tc>
          <w:tcPr>
            <w:tcW w:w="7539" w:type="dxa"/>
            <w:vAlign w:val="center"/>
          </w:tcPr>
          <w:p>
            <w:pPr>
              <w:widowControl/>
              <w:rPr>
                <w:rFonts w:ascii="宋体" w:hAnsi="宋体" w:cs="宋体"/>
                <w:szCs w:val="21"/>
              </w:rPr>
            </w:pPr>
            <w:r>
              <w:rPr>
                <w:rFonts w:hint="eastAsia" w:ascii="宋体" w:hAnsi="宋体" w:cs="宋体"/>
                <w:szCs w:val="21"/>
              </w:rPr>
              <w:t>国家信息安全测评信息安全服务资质证书（安全工程类三级）</w:t>
            </w:r>
            <w:r>
              <w:rPr>
                <w:rFonts w:hint="eastAsia" w:ascii="宋体" w:hAnsi="宋体" w:cs="宋体"/>
                <w:szCs w:val="21"/>
                <w:lang w:eastAsia="zh-CN"/>
              </w:rPr>
              <w:t>；</w:t>
            </w:r>
          </w:p>
          <w:p>
            <w:pPr>
              <w:widowControl/>
              <w:textAlignment w:val="center"/>
              <w:rPr>
                <w:rFonts w:ascii="宋体" w:hAnsi="宋体" w:cs="宋体"/>
                <w:szCs w:val="21"/>
              </w:rPr>
            </w:pPr>
            <w:r>
              <w:rPr>
                <w:rFonts w:hint="eastAsia" w:ascii="宋体" w:hAnsi="宋体" w:cs="宋体"/>
                <w:szCs w:val="21"/>
              </w:rPr>
              <w:t>信息安全服务资质认证证书（信息安全风险评估一级），提供相关证明文件具备大数据服务能力，并提供相关专利证明材料</w:t>
            </w:r>
          </w:p>
        </w:tc>
      </w:tr>
    </w:tbl>
    <w:p>
      <w:pPr>
        <w:pStyle w:val="6"/>
        <w:spacing w:line="240" w:lineRule="auto"/>
        <w:ind w:firstLine="482" w:firstLineChars="200"/>
        <w:rPr>
          <w:rFonts w:hint="eastAsia"/>
          <w:b/>
          <w:bCs w:val="0"/>
          <w:sz w:val="24"/>
          <w:szCs w:val="24"/>
        </w:rPr>
      </w:pPr>
    </w:p>
    <w:p>
      <w:pPr>
        <w:pStyle w:val="6"/>
        <w:spacing w:line="240" w:lineRule="auto"/>
        <w:ind w:firstLine="482" w:firstLineChars="200"/>
        <w:rPr>
          <w:b/>
          <w:bCs w:val="0"/>
          <w:sz w:val="24"/>
          <w:szCs w:val="24"/>
        </w:rPr>
      </w:pPr>
      <w:r>
        <w:rPr>
          <w:rFonts w:hint="eastAsia"/>
          <w:b/>
          <w:bCs w:val="0"/>
          <w:sz w:val="24"/>
          <w:szCs w:val="24"/>
          <w:lang w:val="en-US" w:eastAsia="zh-CN"/>
        </w:rPr>
        <w:t>11</w:t>
      </w:r>
      <w:r>
        <w:rPr>
          <w:rFonts w:hint="eastAsia"/>
          <w:b/>
          <w:bCs w:val="0"/>
          <w:sz w:val="24"/>
          <w:szCs w:val="24"/>
        </w:rPr>
        <w:t>.千兆光闸</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1台、非核心产品）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指标项</w:t>
            </w:r>
          </w:p>
        </w:tc>
        <w:tc>
          <w:tcPr>
            <w:tcW w:w="7370"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硬件和接口</w:t>
            </w:r>
          </w:p>
        </w:tc>
        <w:tc>
          <w:tcPr>
            <w:tcW w:w="7370" w:type="dxa"/>
            <w:vAlign w:val="center"/>
          </w:tcPr>
          <w:p>
            <w:pPr>
              <w:rPr>
                <w:rFonts w:hint="eastAsia" w:ascii="宋体" w:hAnsi="宋体" w:eastAsia="宋体" w:cs="宋体"/>
                <w:szCs w:val="21"/>
                <w:lang w:eastAsia="zh-CN"/>
              </w:rPr>
            </w:pPr>
            <w:r>
              <w:rPr>
                <w:rFonts w:hint="eastAsia" w:ascii="宋体" w:hAnsi="宋体" w:cs="宋体"/>
                <w:szCs w:val="21"/>
              </w:rPr>
              <w:t>采用2+1硬件架构，具有两个独立主机，独立主机之间，仅使用单个无源分光器进行单纤连接，不存在反方向的物理通道</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标准机架式机箱，冗余电源，设备提供液晶面板</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内网接口：不少于6个10M/100M/1000M自适应电口、2个SFP插槽、1个Console口和2个USB口</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外网接口：不少于6个10M/100M/1000M自适应电口、2个SFP插槽、1个Console口和2个USB口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性能参数</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数据库数据同步性能：≥1,000条/秒</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小文件数据同步性能：≥1,000个/秒</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最大传输延时：≤80ms</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系统吞吐量：≥320Mbps</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最大支持服务：≥30</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稳定性运行时间(MTBF)：&gt;50000小时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主机系统</w:t>
            </w:r>
          </w:p>
        </w:tc>
        <w:tc>
          <w:tcPr>
            <w:tcW w:w="7370" w:type="dxa"/>
            <w:vAlign w:val="center"/>
          </w:tcPr>
          <w:p>
            <w:pPr>
              <w:pStyle w:val="28"/>
              <w:ind w:firstLine="0" w:firstLineChars="0"/>
              <w:rPr>
                <w:rFonts w:hint="eastAsia" w:ascii="宋体" w:hAnsi="宋体" w:eastAsia="宋体" w:cs="宋体"/>
                <w:szCs w:val="21"/>
                <w:lang w:eastAsia="zh-CN"/>
              </w:rPr>
            </w:pPr>
            <w:r>
              <w:rPr>
                <w:rFonts w:hint="eastAsia" w:ascii="宋体" w:hAnsi="宋体" w:cs="宋体"/>
                <w:szCs w:val="21"/>
              </w:rPr>
              <w:t>系统要求：内、外网主机系统分别采用冗余双系统启动模式，当A系统运行失败后，能从B系统启动，且A、B系统可互为备份</w:t>
            </w:r>
            <w:r>
              <w:rPr>
                <w:rFonts w:hint="eastAsia" w:ascii="宋体" w:hAnsi="宋体" w:cs="宋体"/>
                <w:szCs w:val="21"/>
                <w:lang w:eastAsia="zh-CN"/>
              </w:rPr>
              <w:t>；</w:t>
            </w:r>
          </w:p>
          <w:p>
            <w:pPr>
              <w:pStyle w:val="28"/>
              <w:ind w:left="0" w:leftChars="0" w:firstLine="0" w:firstLineChars="0"/>
              <w:rPr>
                <w:rFonts w:ascii="宋体" w:hAnsi="宋体" w:cs="宋体"/>
                <w:szCs w:val="21"/>
              </w:rPr>
            </w:pPr>
            <w:r>
              <w:rPr>
                <w:rFonts w:hint="eastAsia" w:ascii="宋体" w:hAnsi="宋体" w:cs="宋体"/>
                <w:szCs w:val="21"/>
              </w:rPr>
              <w:t>具有全热备的能力：即两套设备的所有主机中任何一台出现故障，都能被相应的备机替换并正常工作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数据单向传输</w:t>
            </w:r>
          </w:p>
        </w:tc>
        <w:tc>
          <w:tcPr>
            <w:tcW w:w="7370" w:type="dxa"/>
            <w:vAlign w:val="center"/>
          </w:tcPr>
          <w:p>
            <w:pPr>
              <w:pStyle w:val="28"/>
              <w:ind w:firstLine="0" w:firstLineChars="0"/>
              <w:rPr>
                <w:rFonts w:ascii="宋体" w:hAnsi="宋体" w:cs="宋体"/>
                <w:szCs w:val="21"/>
              </w:rPr>
            </w:pPr>
            <w:r>
              <w:rPr>
                <w:rFonts w:hint="eastAsia" w:ascii="宋体" w:hAnsi="宋体" w:cs="宋体"/>
                <w:szCs w:val="21"/>
              </w:rPr>
              <w:t>支持文件快递功能，用户将自己的文件同时单向导入给多个用户；支持FTPS加密传输，传输采用SSL加密方式</w:t>
            </w:r>
            <w:r>
              <w:rPr>
                <w:rFonts w:hint="eastAsia" w:ascii="宋体" w:hAnsi="宋体" w:cs="宋体"/>
                <w:szCs w:val="21"/>
                <w:lang w:eastAsia="zh-CN"/>
              </w:rPr>
              <w:t>；</w:t>
            </w:r>
          </w:p>
          <w:p>
            <w:pPr>
              <w:pStyle w:val="28"/>
              <w:ind w:firstLine="0" w:firstLineChars="0"/>
              <w:rPr>
                <w:rFonts w:ascii="宋体" w:hAnsi="宋体" w:cs="宋体"/>
                <w:szCs w:val="21"/>
              </w:rPr>
            </w:pPr>
            <w:r>
              <w:rPr>
                <w:rFonts w:hint="eastAsia" w:ascii="宋体" w:hAnsi="宋体" w:cs="宋体"/>
                <w:szCs w:val="21"/>
              </w:rPr>
              <w:t>支持异构数据单向导入，包括数据库类型异构、表异构、字段异构和字符异构</w:t>
            </w:r>
            <w:r>
              <w:rPr>
                <w:rFonts w:hint="eastAsia" w:ascii="宋体" w:hAnsi="宋体" w:cs="宋体"/>
                <w:szCs w:val="21"/>
                <w:lang w:eastAsia="zh-CN"/>
              </w:rPr>
              <w:t>；</w:t>
            </w:r>
            <w:r>
              <w:rPr>
                <w:rFonts w:hint="eastAsia" w:ascii="宋体" w:hAnsi="宋体" w:cs="宋体"/>
                <w:szCs w:val="21"/>
              </w:rPr>
              <w:t>支持数据内容审查，包括身份证审查、枚举值审查、数值范围审查、字段值长度审查等，支持列值转换和行过滤</w:t>
            </w:r>
            <w:r>
              <w:rPr>
                <w:rFonts w:hint="eastAsia" w:ascii="宋体" w:hAnsi="宋体" w:cs="宋体"/>
                <w:szCs w:val="21"/>
                <w:lang w:eastAsia="zh-CN"/>
              </w:rPr>
              <w:t>；</w:t>
            </w:r>
          </w:p>
          <w:p>
            <w:pPr>
              <w:pStyle w:val="28"/>
              <w:ind w:firstLine="0" w:firstLineChars="0"/>
              <w:rPr>
                <w:rFonts w:ascii="宋体" w:hAnsi="宋体" w:cs="宋体"/>
                <w:szCs w:val="21"/>
              </w:rPr>
            </w:pPr>
            <w:r>
              <w:rPr>
                <w:rFonts w:hint="eastAsia" w:ascii="宋体" w:hAnsi="宋体" w:cs="宋体"/>
                <w:szCs w:val="21"/>
              </w:rPr>
              <w:t>支持单向UDP同步，支持组播功能</w:t>
            </w:r>
            <w:r>
              <w:rPr>
                <w:rFonts w:hint="eastAsia" w:ascii="宋体" w:hAnsi="宋体" w:cs="宋体"/>
                <w:szCs w:val="21"/>
                <w:lang w:eastAsia="zh-CN"/>
              </w:rPr>
              <w:t>；</w:t>
            </w:r>
          </w:p>
          <w:p>
            <w:pPr>
              <w:pStyle w:val="28"/>
              <w:ind w:firstLine="0" w:firstLineChars="0"/>
              <w:rPr>
                <w:rFonts w:ascii="宋体" w:hAnsi="宋体" w:cs="宋体"/>
                <w:szCs w:val="21"/>
              </w:rPr>
            </w:pPr>
            <w:r>
              <w:rPr>
                <w:rFonts w:hint="eastAsia" w:ascii="宋体" w:hAnsi="宋体" w:cs="宋体"/>
                <w:szCs w:val="21"/>
              </w:rPr>
              <w:t>支持UDP包过滤功能：含IP、内容范围、包内容、包大小等能够指定待传输数据的优先级，支持自主设置纠错编码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系统管理</w:t>
            </w:r>
          </w:p>
        </w:tc>
        <w:tc>
          <w:tcPr>
            <w:tcW w:w="7370" w:type="dxa"/>
            <w:vAlign w:val="center"/>
          </w:tcPr>
          <w:p>
            <w:pPr>
              <w:pStyle w:val="28"/>
              <w:ind w:firstLine="0" w:firstLineChars="0"/>
              <w:rPr>
                <w:rFonts w:ascii="宋体" w:hAnsi="宋体" w:cs="宋体"/>
                <w:szCs w:val="21"/>
              </w:rPr>
            </w:pPr>
            <w:r>
              <w:rPr>
                <w:rFonts w:hint="eastAsia" w:ascii="宋体" w:hAnsi="宋体" w:cs="宋体"/>
                <w:szCs w:val="21"/>
              </w:rPr>
              <w:t>符合等级保护三级要求，支持三权分立的管理</w:t>
            </w:r>
            <w:r>
              <w:rPr>
                <w:rFonts w:hint="eastAsia" w:ascii="宋体" w:hAnsi="宋体" w:cs="宋体"/>
                <w:szCs w:val="21"/>
                <w:lang w:eastAsia="zh-CN"/>
              </w:rPr>
              <w:t>；</w:t>
            </w:r>
          </w:p>
          <w:p>
            <w:pPr>
              <w:pStyle w:val="28"/>
              <w:ind w:firstLine="0" w:firstLineChars="0"/>
              <w:rPr>
                <w:rFonts w:hint="eastAsia" w:ascii="宋体" w:hAnsi="宋体" w:eastAsia="宋体" w:cs="宋体"/>
                <w:szCs w:val="21"/>
                <w:lang w:eastAsia="zh-CN"/>
              </w:rPr>
            </w:pPr>
            <w:r>
              <w:rPr>
                <w:rFonts w:hint="eastAsia" w:ascii="宋体" w:hAnsi="宋体" w:cs="宋体"/>
                <w:szCs w:val="21"/>
              </w:rPr>
              <w:t>支持web（B/S）方式管理，支持HTTPS方式访问，管理界面采用证书和用户名与密码双因子进行认证</w:t>
            </w:r>
            <w:r>
              <w:rPr>
                <w:rFonts w:hint="eastAsia" w:ascii="宋体" w:hAnsi="宋体" w:cs="宋体"/>
                <w:szCs w:val="21"/>
                <w:lang w:eastAsia="zh-CN"/>
              </w:rPr>
              <w:t>；</w:t>
            </w:r>
          </w:p>
          <w:p>
            <w:pPr>
              <w:pStyle w:val="28"/>
              <w:ind w:firstLine="0" w:firstLineChars="0"/>
              <w:rPr>
                <w:rFonts w:ascii="宋体" w:hAnsi="宋体" w:cs="宋体"/>
                <w:szCs w:val="21"/>
              </w:rPr>
            </w:pPr>
            <w:r>
              <w:rPr>
                <w:rFonts w:hint="eastAsia" w:ascii="宋体" w:hAnsi="宋体" w:cs="宋体"/>
                <w:szCs w:val="21"/>
              </w:rPr>
              <w:t>具有系统状态监测功能，支持网络状态监测功能。系统状态分为三级，系统实时进行状态监测与结果展示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审计报表</w:t>
            </w:r>
          </w:p>
        </w:tc>
        <w:tc>
          <w:tcPr>
            <w:tcW w:w="7370" w:type="dxa"/>
            <w:vAlign w:val="center"/>
          </w:tcPr>
          <w:p>
            <w:pPr>
              <w:pStyle w:val="28"/>
              <w:ind w:left="0" w:leftChars="0" w:firstLine="0" w:firstLineChars="0"/>
              <w:rPr>
                <w:rFonts w:ascii="宋体" w:hAnsi="宋体" w:cs="宋体"/>
                <w:szCs w:val="21"/>
              </w:rPr>
            </w:pPr>
            <w:r>
              <w:rPr>
                <w:rFonts w:hint="eastAsia" w:ascii="宋体" w:hAnsi="宋体" w:cs="宋体"/>
                <w:szCs w:val="21"/>
              </w:rPr>
              <w:t>支持报表管理，支持自定义分析饼图、线型图、矩形图，支持日流量统计、月流量统计、报警统计、传输统计</w:t>
            </w:r>
          </w:p>
        </w:tc>
      </w:tr>
    </w:tbl>
    <w:p>
      <w:pPr>
        <w:rPr>
          <w:sz w:val="24"/>
        </w:rPr>
      </w:pPr>
    </w:p>
    <w:p>
      <w:pPr>
        <w:pStyle w:val="6"/>
        <w:ind w:firstLine="482" w:firstLineChars="200"/>
        <w:rPr>
          <w:rFonts w:ascii="宋体" w:hAnsi="宋体" w:cs="宋体"/>
          <w:b/>
          <w:bCs w:val="0"/>
          <w:sz w:val="24"/>
          <w:szCs w:val="24"/>
        </w:rPr>
      </w:pPr>
      <w:r>
        <w:rPr>
          <w:rFonts w:hint="eastAsia" w:ascii="宋体" w:hAnsi="宋体" w:cs="宋体"/>
          <w:b/>
          <w:bCs w:val="0"/>
          <w:sz w:val="24"/>
          <w:szCs w:val="24"/>
        </w:rPr>
        <w:t>1</w:t>
      </w:r>
      <w:r>
        <w:rPr>
          <w:rFonts w:hint="eastAsia" w:ascii="宋体" w:hAnsi="宋体" w:cs="宋体"/>
          <w:b/>
          <w:bCs w:val="0"/>
          <w:sz w:val="24"/>
          <w:szCs w:val="24"/>
          <w:lang w:val="en-US" w:eastAsia="zh-CN"/>
        </w:rPr>
        <w:t>2</w:t>
      </w:r>
      <w:r>
        <w:rPr>
          <w:rFonts w:hint="eastAsia" w:ascii="宋体" w:hAnsi="宋体" w:cs="宋体"/>
          <w:b/>
          <w:bCs w:val="0"/>
          <w:sz w:val="24"/>
          <w:szCs w:val="24"/>
        </w:rPr>
        <w:t>.万兆光闸</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1台、非核心产品）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指标项</w:t>
            </w:r>
          </w:p>
        </w:tc>
        <w:tc>
          <w:tcPr>
            <w:tcW w:w="7370"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restart"/>
            <w:shd w:val="clear" w:color="auto" w:fill="auto"/>
            <w:vAlign w:val="center"/>
          </w:tcPr>
          <w:p>
            <w:pPr>
              <w:rPr>
                <w:rFonts w:ascii="宋体" w:hAnsi="宋体" w:cs="宋体"/>
                <w:szCs w:val="21"/>
              </w:rPr>
            </w:pPr>
            <w:r>
              <w:rPr>
                <w:rFonts w:hint="eastAsia" w:ascii="宋体" w:hAnsi="宋体" w:cs="宋体"/>
                <w:szCs w:val="21"/>
              </w:rPr>
              <w:t>硬件规格</w:t>
            </w:r>
          </w:p>
        </w:tc>
        <w:tc>
          <w:tcPr>
            <w:tcW w:w="7370" w:type="dxa"/>
            <w:shd w:val="clear" w:color="auto" w:fill="auto"/>
            <w:vAlign w:val="center"/>
          </w:tcPr>
          <w:p>
            <w:pPr>
              <w:pStyle w:val="28"/>
              <w:ind w:firstLine="0" w:firstLineChars="0"/>
              <w:rPr>
                <w:rFonts w:ascii="宋体" w:hAnsi="宋体" w:cs="宋体"/>
                <w:szCs w:val="21"/>
              </w:rPr>
            </w:pPr>
            <w:r>
              <w:rPr>
                <w:rFonts w:hint="eastAsia" w:ascii="宋体" w:hAnsi="宋体" w:cs="宋体"/>
                <w:szCs w:val="21"/>
              </w:rPr>
              <w:t>外网CPU不低于Xeon E3-1270V3；外网内存≥8G DDR3；外网硬盘≥256G SSD；外网网卡：万兆光口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shd w:val="clear" w:color="auto" w:fill="auto"/>
            <w:vAlign w:val="center"/>
          </w:tcPr>
          <w:p>
            <w:pPr>
              <w:pStyle w:val="28"/>
              <w:ind w:firstLineChars="0"/>
              <w:rPr>
                <w:rFonts w:ascii="宋体" w:hAnsi="宋体" w:cs="宋体"/>
                <w:szCs w:val="21"/>
              </w:rPr>
            </w:pPr>
          </w:p>
        </w:tc>
        <w:tc>
          <w:tcPr>
            <w:tcW w:w="7370" w:type="dxa"/>
            <w:shd w:val="clear" w:color="auto" w:fill="auto"/>
            <w:vAlign w:val="center"/>
          </w:tcPr>
          <w:p>
            <w:pPr>
              <w:pStyle w:val="28"/>
              <w:ind w:firstLine="0" w:firstLineChars="0"/>
              <w:rPr>
                <w:rFonts w:ascii="宋体" w:hAnsi="宋体" w:cs="宋体"/>
                <w:szCs w:val="21"/>
              </w:rPr>
            </w:pPr>
            <w:r>
              <w:rPr>
                <w:rFonts w:hint="eastAsia" w:ascii="宋体" w:hAnsi="宋体" w:cs="宋体"/>
                <w:szCs w:val="21"/>
              </w:rPr>
              <w:t xml:space="preserve">内网CPU不低于Xeon E3-1270V3；内网内存≥8G DDR3；内网硬盘≥256G SSD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吞吐</w:t>
            </w:r>
          </w:p>
        </w:tc>
        <w:tc>
          <w:tcPr>
            <w:tcW w:w="7370" w:type="dxa"/>
            <w:shd w:val="clear" w:color="auto" w:fill="auto"/>
            <w:vAlign w:val="center"/>
          </w:tcPr>
          <w:p>
            <w:pPr>
              <w:rPr>
                <w:rFonts w:ascii="宋体" w:hAnsi="宋体" w:cs="宋体"/>
                <w:szCs w:val="21"/>
              </w:rPr>
            </w:pPr>
            <w:r>
              <w:rPr>
                <w:rFonts w:hint="eastAsia" w:ascii="宋体" w:hAnsi="宋体" w:cs="宋体"/>
                <w:szCs w:val="21"/>
              </w:rPr>
              <w:t>单任务应用数据吞吐量≥2200Mbps；多任务应用数据吞吐量≥2400Mbps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restart"/>
            <w:shd w:val="clear" w:color="auto" w:fill="auto"/>
            <w:vAlign w:val="center"/>
          </w:tcPr>
          <w:p>
            <w:pPr>
              <w:rPr>
                <w:rFonts w:ascii="宋体" w:hAnsi="宋体" w:cs="宋体"/>
                <w:szCs w:val="21"/>
              </w:rPr>
            </w:pPr>
            <w:r>
              <w:rPr>
                <w:rFonts w:hint="eastAsia" w:ascii="宋体" w:hAnsi="宋体" w:cs="宋体"/>
                <w:szCs w:val="21"/>
              </w:rPr>
              <w:t>性能</w:t>
            </w:r>
          </w:p>
        </w:tc>
        <w:tc>
          <w:tcPr>
            <w:tcW w:w="7370" w:type="dxa"/>
            <w:shd w:val="clear" w:color="auto" w:fill="auto"/>
            <w:vAlign w:val="center"/>
          </w:tcPr>
          <w:p>
            <w:pPr>
              <w:rPr>
                <w:rFonts w:ascii="宋体" w:hAnsi="宋体" w:cs="宋体"/>
                <w:szCs w:val="21"/>
              </w:rPr>
            </w:pPr>
            <w:r>
              <w:rPr>
                <w:rFonts w:hint="eastAsia" w:ascii="宋体" w:hAnsi="宋体" w:cs="宋体"/>
                <w:szCs w:val="21"/>
              </w:rPr>
              <w:t>单用户小文件：10K文件&gt;70个每秒；1M文件&gt;50个每秒；10M文件&gt;35个每秒；20M文件&gt;20个每秒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shd w:val="clear" w:color="auto" w:fill="auto"/>
            <w:vAlign w:val="center"/>
          </w:tcPr>
          <w:p>
            <w:pPr>
              <w:rPr>
                <w:rFonts w:ascii="宋体" w:hAnsi="宋体" w:cs="宋体"/>
                <w:szCs w:val="21"/>
              </w:rPr>
            </w:pPr>
          </w:p>
        </w:tc>
        <w:tc>
          <w:tcPr>
            <w:tcW w:w="7370" w:type="dxa"/>
            <w:shd w:val="clear" w:color="auto" w:fill="auto"/>
            <w:vAlign w:val="center"/>
          </w:tcPr>
          <w:p>
            <w:pPr>
              <w:rPr>
                <w:rFonts w:ascii="宋体" w:hAnsi="宋体" w:cs="宋体"/>
                <w:szCs w:val="21"/>
              </w:rPr>
            </w:pPr>
            <w:r>
              <w:rPr>
                <w:rFonts w:hint="eastAsia" w:ascii="宋体" w:hAnsi="宋体" w:cs="宋体"/>
                <w:szCs w:val="21"/>
              </w:rPr>
              <w:t>多用户小文件：10K文件&gt;140个每秒；1M文件&gt;70个每秒；10M文件&gt;40个每秒；20M文件&gt;20个每秒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shd w:val="clear" w:color="auto" w:fill="auto"/>
            <w:vAlign w:val="center"/>
          </w:tcPr>
          <w:p>
            <w:pPr>
              <w:rPr>
                <w:rFonts w:ascii="宋体" w:hAnsi="宋体" w:cs="宋体"/>
                <w:szCs w:val="21"/>
              </w:rPr>
            </w:pPr>
          </w:p>
        </w:tc>
        <w:tc>
          <w:tcPr>
            <w:tcW w:w="7370" w:type="dxa"/>
            <w:shd w:val="clear" w:color="auto" w:fill="auto"/>
            <w:vAlign w:val="center"/>
          </w:tcPr>
          <w:p>
            <w:pPr>
              <w:rPr>
                <w:rFonts w:ascii="宋体" w:hAnsi="宋体" w:cs="宋体"/>
                <w:szCs w:val="21"/>
              </w:rPr>
            </w:pPr>
            <w:r>
              <w:rPr>
                <w:rFonts w:hint="eastAsia" w:ascii="宋体" w:hAnsi="宋体" w:cs="宋体"/>
                <w:szCs w:val="21"/>
              </w:rPr>
              <w:t>支持最大数据文件：100G；数据差错率&lt;0.01%；稳定运行时间&gt;50000小时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restart"/>
            <w:vAlign w:val="center"/>
          </w:tcPr>
          <w:p>
            <w:pPr>
              <w:rPr>
                <w:rFonts w:ascii="宋体" w:hAnsi="宋体" w:cs="宋体"/>
                <w:szCs w:val="21"/>
              </w:rPr>
            </w:pPr>
            <w:r>
              <w:rPr>
                <w:rFonts w:hint="eastAsia" w:ascii="宋体" w:hAnsi="宋体" w:cs="宋体"/>
                <w:szCs w:val="21"/>
              </w:rPr>
              <w:t>软件功能</w:t>
            </w:r>
          </w:p>
        </w:tc>
        <w:tc>
          <w:tcPr>
            <w:tcW w:w="7370" w:type="dxa"/>
            <w:vAlign w:val="center"/>
          </w:tcPr>
          <w:p>
            <w:pPr>
              <w:rPr>
                <w:rFonts w:ascii="宋体" w:hAnsi="宋体" w:cs="宋体"/>
                <w:szCs w:val="21"/>
              </w:rPr>
            </w:pPr>
            <w:r>
              <w:rPr>
                <w:rFonts w:hint="eastAsia" w:ascii="宋体" w:hAnsi="宋体" w:cs="宋体"/>
                <w:szCs w:val="21"/>
              </w:rPr>
              <w:t>登录认证：系统任何用户的登录均需要进行用户认证后才能进入系统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vAlign w:val="center"/>
          </w:tcPr>
          <w:p>
            <w:pPr>
              <w:rPr>
                <w:rFonts w:ascii="宋体" w:hAnsi="宋体" w:cs="宋体"/>
                <w:szCs w:val="21"/>
              </w:rPr>
            </w:pPr>
          </w:p>
        </w:tc>
        <w:tc>
          <w:tcPr>
            <w:tcW w:w="7370" w:type="dxa"/>
            <w:vAlign w:val="center"/>
          </w:tcPr>
          <w:p>
            <w:pPr>
              <w:rPr>
                <w:rFonts w:ascii="宋体" w:hAnsi="宋体" w:cs="宋体"/>
                <w:szCs w:val="21"/>
              </w:rPr>
            </w:pPr>
            <w:r>
              <w:rPr>
                <w:rFonts w:hint="eastAsia" w:ascii="宋体" w:hAnsi="宋体" w:cs="宋体"/>
                <w:szCs w:val="21"/>
              </w:rPr>
              <w:t>审计功能：对文件上传、文件下载、系统配置、用户鉴别等系统操作进行审计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vAlign w:val="center"/>
          </w:tcPr>
          <w:p>
            <w:pPr>
              <w:rPr>
                <w:rFonts w:ascii="宋体" w:hAnsi="宋体" w:cs="宋体"/>
                <w:szCs w:val="21"/>
              </w:rPr>
            </w:pPr>
          </w:p>
        </w:tc>
        <w:tc>
          <w:tcPr>
            <w:tcW w:w="7370" w:type="dxa"/>
            <w:vAlign w:val="center"/>
          </w:tcPr>
          <w:p>
            <w:pPr>
              <w:rPr>
                <w:rFonts w:ascii="宋体" w:hAnsi="宋体" w:cs="宋体"/>
                <w:szCs w:val="21"/>
              </w:rPr>
            </w:pPr>
            <w:r>
              <w:rPr>
                <w:rFonts w:hint="eastAsia" w:ascii="宋体" w:hAnsi="宋体" w:cs="宋体"/>
                <w:szCs w:val="21"/>
              </w:rPr>
              <w:t>自检功能：系统对自身硬件状态进行实时监控，并将结果在系统管理界面上进行展示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Merge w:val="continue"/>
            <w:vAlign w:val="center"/>
          </w:tcPr>
          <w:p>
            <w:pPr>
              <w:rPr>
                <w:rFonts w:ascii="宋体" w:hAnsi="宋体" w:cs="宋体"/>
                <w:szCs w:val="21"/>
              </w:rPr>
            </w:pPr>
          </w:p>
        </w:tc>
        <w:tc>
          <w:tcPr>
            <w:tcW w:w="7370" w:type="dxa"/>
            <w:vAlign w:val="center"/>
          </w:tcPr>
          <w:p>
            <w:pPr>
              <w:rPr>
                <w:rFonts w:ascii="宋体" w:hAnsi="宋体" w:cs="宋体"/>
                <w:szCs w:val="21"/>
              </w:rPr>
            </w:pPr>
            <w:r>
              <w:rPr>
                <w:rFonts w:hint="eastAsia" w:ascii="宋体" w:hAnsi="宋体" w:cs="宋体"/>
                <w:szCs w:val="21"/>
              </w:rPr>
              <w:t>传输方式：支持FTP方式、SAMBA方式等进行数据传输</w:t>
            </w:r>
          </w:p>
        </w:tc>
      </w:tr>
    </w:tbl>
    <w:p>
      <w:pPr>
        <w:rPr>
          <w:rFonts w:ascii="宋体" w:hAnsi="宋体" w:cs="宋体"/>
          <w:sz w:val="24"/>
        </w:rPr>
      </w:pPr>
    </w:p>
    <w:p>
      <w:pPr>
        <w:pStyle w:val="6"/>
        <w:ind w:firstLine="482" w:firstLineChars="200"/>
        <w:rPr>
          <w:rFonts w:ascii="宋体" w:hAnsi="宋体" w:cs="宋体"/>
          <w:b/>
          <w:bCs w:val="0"/>
          <w:sz w:val="24"/>
          <w:szCs w:val="24"/>
        </w:rPr>
      </w:pPr>
      <w:r>
        <w:rPr>
          <w:rFonts w:hint="eastAsia" w:ascii="宋体" w:hAnsi="宋体" w:cs="宋体"/>
          <w:b/>
          <w:bCs w:val="0"/>
          <w:sz w:val="24"/>
          <w:szCs w:val="24"/>
        </w:rPr>
        <w:t>1</w:t>
      </w:r>
      <w:r>
        <w:rPr>
          <w:rFonts w:hint="eastAsia" w:ascii="宋体" w:hAnsi="宋体" w:cs="宋体"/>
          <w:b/>
          <w:bCs w:val="0"/>
          <w:sz w:val="24"/>
          <w:szCs w:val="24"/>
          <w:lang w:val="en-US" w:eastAsia="zh-CN"/>
        </w:rPr>
        <w:t>3</w:t>
      </w:r>
      <w:r>
        <w:rPr>
          <w:rFonts w:hint="eastAsia" w:ascii="宋体" w:hAnsi="宋体" w:cs="宋体"/>
          <w:b/>
          <w:bCs w:val="0"/>
          <w:sz w:val="24"/>
          <w:szCs w:val="24"/>
        </w:rPr>
        <w:t>.千兆防火墙</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技术项</w:t>
            </w:r>
          </w:p>
        </w:tc>
        <w:tc>
          <w:tcPr>
            <w:tcW w:w="7370"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硬件规格</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采用专用多核硬件平台</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标准2U设备，双电源</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≥6个10/100/1000M自适应千兆电接口及12个combo接口（每个Combo口为一对互斥的千兆口，即1个千兆SFP插槽（不含SFP模块）和1个千兆电口）；2个USB接口，1个RJ45；≥60G</w:t>
            </w:r>
            <w:r>
              <w:rPr>
                <w:rFonts w:hint="eastAsia" w:ascii="Arial" w:hAnsi="Arial" w:cs="宋体"/>
                <w:szCs w:val="21"/>
              </w:rPr>
              <w:t xml:space="preserve"> </w:t>
            </w:r>
            <w:r>
              <w:rPr>
                <w:rFonts w:hint="eastAsia" w:ascii="宋体" w:hAnsi="宋体" w:cs="宋体"/>
                <w:szCs w:val="21"/>
              </w:rPr>
              <w:t>SSD硬盘</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默认支持下一代防火墙访问控制、入侵防御、网络防病毒、上网行为及URL分类管理、流控和IPSecVPN模块，三年Ips特征库，防病毒特征库，应用识别及URL分类库升级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性能</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整机最大吞吐量≥8Gbps</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最大并发连接数≥300万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虚拟化</w:t>
            </w:r>
          </w:p>
        </w:tc>
        <w:tc>
          <w:tcPr>
            <w:tcW w:w="7370" w:type="dxa"/>
            <w:shd w:val="clear" w:color="auto" w:fill="auto"/>
            <w:vAlign w:val="center"/>
          </w:tcPr>
          <w:p>
            <w:pPr>
              <w:rPr>
                <w:rFonts w:ascii="宋体" w:hAnsi="宋体" w:cs="宋体"/>
                <w:szCs w:val="21"/>
              </w:rPr>
            </w:pPr>
            <w:r>
              <w:rPr>
                <w:rFonts w:hint="eastAsia" w:ascii="宋体" w:hAnsi="宋体" w:cs="宋体"/>
                <w:szCs w:val="21"/>
              </w:rPr>
              <w:t>支持基于硬件Hypervisor技术的底层虚拟化，各个虚拟防火墙之间完全隔离，可运行不同的防火墙版本，拥有完全独立的CPU、内存、接口等资源</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每个虚拟防火墙均提供完整的安全功能，包括防火墙、入侵防御、防病毒、上网行为管理和流控、VPN、IPv4/IPv6双栈等</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访问控制</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支持基于接口/安全域、地址、用户、服务、应用和时间的防火墙访问控制策略</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支持基于接口/安全域、地址、用户、服务、应用和时间的会话控制策略</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支持策略预编译技术，在大量防火墙访问控制策略情况下整机性能不受影响</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入侵防御</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支持并开通网络入侵检测及防御功能，入侵防御事件库事件数量不少于4000条</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可基于IP地址、网段、用户、时间、VLAN、协议类型等条件设定入侵防御模块的检测事件及响应方式</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具备协议自动识别功能；支持自定义事件功能</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提供SQL注入攻击、XSS攻击的检测和防御功能，对Web服务系统提供保护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防病毒</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支持并开通对HTTP、FTP、SMTP、POP3、IMAP协议的病毒检测和过滤功能</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支持对文件感染型病毒、蠕虫病毒、脚本病毒、宏病毒、木马、恶意软件等过滤，病毒库数量不少于1000万</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防病毒功能开启后，整机处理性能衰减不超过30%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行为管理及流量控制</w:t>
            </w:r>
          </w:p>
        </w:tc>
        <w:tc>
          <w:tcPr>
            <w:tcW w:w="7370" w:type="dxa"/>
            <w:shd w:val="clear" w:color="auto" w:fill="auto"/>
            <w:vAlign w:val="center"/>
          </w:tcPr>
          <w:p>
            <w:pPr>
              <w:rPr>
                <w:rFonts w:ascii="宋体" w:hAnsi="宋体" w:cs="宋体"/>
                <w:szCs w:val="21"/>
              </w:rPr>
            </w:pPr>
            <w:r>
              <w:rPr>
                <w:rFonts w:hint="eastAsia" w:ascii="宋体" w:hAnsi="宋体" w:cs="宋体"/>
                <w:szCs w:val="21"/>
              </w:rPr>
              <w:t>支持并开通基于DPI和DFI技术的应用特征识别及行为控制，应用识别的种类不少于1000种</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支持并开通基于线路和多层通道嵌套的带宽管理和流量控制功能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高可用性</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支持主-主和主-备模式，主备模式下支持基于设备优先级的主设备抢占功能</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支持基于心跳信号丢失、链路断开等多种方式的HA切换条件及逻辑</w:t>
            </w:r>
            <w:r>
              <w:rPr>
                <w:rFonts w:hint="eastAsia" w:ascii="宋体" w:hAnsi="宋体" w:cs="宋体"/>
                <w:szCs w:val="21"/>
                <w:lang w:eastAsia="zh-CN"/>
              </w:rPr>
              <w:t>；</w:t>
            </w:r>
          </w:p>
        </w:tc>
      </w:tr>
    </w:tbl>
    <w:p>
      <w:pPr>
        <w:rPr>
          <w:sz w:val="24"/>
        </w:rPr>
      </w:pPr>
    </w:p>
    <w:p>
      <w:pPr>
        <w:pStyle w:val="6"/>
        <w:ind w:firstLine="482" w:firstLineChars="200"/>
        <w:rPr>
          <w:b/>
          <w:bCs w:val="0"/>
          <w:sz w:val="24"/>
          <w:szCs w:val="24"/>
        </w:rPr>
      </w:pPr>
      <w:r>
        <w:rPr>
          <w:rFonts w:hint="eastAsia"/>
          <w:b/>
          <w:bCs w:val="0"/>
          <w:sz w:val="24"/>
          <w:szCs w:val="24"/>
        </w:rPr>
        <w:t>1</w:t>
      </w:r>
      <w:r>
        <w:rPr>
          <w:rFonts w:hint="eastAsia"/>
          <w:b/>
          <w:bCs w:val="0"/>
          <w:sz w:val="24"/>
          <w:szCs w:val="24"/>
          <w:lang w:val="en-US" w:eastAsia="zh-CN"/>
        </w:rPr>
        <w:t>4</w:t>
      </w:r>
      <w:r>
        <w:rPr>
          <w:rFonts w:hint="eastAsia"/>
          <w:b/>
          <w:bCs w:val="0"/>
          <w:sz w:val="24"/>
          <w:szCs w:val="24"/>
        </w:rPr>
        <w:t>.万兆防火墙</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blHeader/>
          <w:jc w:val="center"/>
        </w:trPr>
        <w:tc>
          <w:tcPr>
            <w:tcW w:w="1191"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技术项</w:t>
            </w:r>
          </w:p>
        </w:tc>
        <w:tc>
          <w:tcPr>
            <w:tcW w:w="7370" w:type="dxa"/>
            <w:shd w:val="clear" w:color="auto" w:fill="D7D7D7" w:themeFill="background1" w:themeFillShade="D8"/>
            <w:vAlign w:val="center"/>
          </w:tcPr>
          <w:p>
            <w:pPr>
              <w:rPr>
                <w:rFonts w:ascii="宋体" w:hAnsi="宋体" w:cs="宋体"/>
                <w:szCs w:val="21"/>
              </w:rPr>
            </w:pPr>
            <w:r>
              <w:rPr>
                <w:rFonts w:hint="eastAsia" w:ascii="宋体" w:hAnsi="宋体" w:cs="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硬件规格</w:t>
            </w:r>
          </w:p>
        </w:tc>
        <w:tc>
          <w:tcPr>
            <w:tcW w:w="7370" w:type="dxa"/>
            <w:shd w:val="clear" w:color="auto" w:fill="auto"/>
            <w:vAlign w:val="center"/>
          </w:tcPr>
          <w:p>
            <w:pPr>
              <w:pStyle w:val="28"/>
              <w:ind w:firstLine="0" w:firstLineChars="0"/>
              <w:rPr>
                <w:rFonts w:hint="eastAsia" w:ascii="宋体" w:hAnsi="宋体" w:eastAsia="宋体" w:cs="宋体"/>
                <w:szCs w:val="21"/>
                <w:lang w:eastAsia="zh-CN"/>
              </w:rPr>
            </w:pPr>
            <w:r>
              <w:rPr>
                <w:rFonts w:hint="eastAsia" w:ascii="宋体" w:hAnsi="宋体" w:cs="宋体"/>
                <w:szCs w:val="21"/>
              </w:rPr>
              <w:t>采用专用多核硬件平台</w:t>
            </w:r>
            <w:r>
              <w:rPr>
                <w:rFonts w:hint="eastAsia"/>
                <w:lang w:eastAsia="zh-CN"/>
              </w:rPr>
              <w:t>；</w:t>
            </w:r>
          </w:p>
          <w:p>
            <w:pPr>
              <w:pStyle w:val="28"/>
              <w:ind w:firstLine="0" w:firstLineChars="0"/>
              <w:rPr>
                <w:rFonts w:hint="eastAsia" w:ascii="宋体" w:hAnsi="宋体" w:eastAsia="宋体" w:cs="宋体"/>
                <w:szCs w:val="21"/>
                <w:lang w:eastAsia="zh-CN"/>
              </w:rPr>
            </w:pPr>
            <w:r>
              <w:rPr>
                <w:rFonts w:hint="eastAsia" w:ascii="宋体" w:hAnsi="宋体" w:cs="宋体"/>
                <w:szCs w:val="21"/>
              </w:rPr>
              <w:t>标准2U设备，双路供电电源</w:t>
            </w:r>
            <w:r>
              <w:rPr>
                <w:rFonts w:hint="eastAsia" w:ascii="宋体" w:hAnsi="宋体" w:cs="宋体"/>
                <w:szCs w:val="21"/>
                <w:lang w:eastAsia="zh-CN"/>
              </w:rPr>
              <w:t>；</w:t>
            </w:r>
          </w:p>
          <w:p>
            <w:pPr>
              <w:pStyle w:val="28"/>
              <w:ind w:firstLine="0" w:firstLineChars="0"/>
              <w:rPr>
                <w:rFonts w:hint="eastAsia" w:ascii="宋体" w:hAnsi="宋体" w:eastAsia="宋体" w:cs="宋体"/>
                <w:szCs w:val="21"/>
                <w:lang w:eastAsia="zh-CN"/>
              </w:rPr>
            </w:pPr>
            <w:r>
              <w:rPr>
                <w:rFonts w:hint="eastAsia" w:ascii="宋体" w:hAnsi="宋体" w:cs="宋体"/>
                <w:szCs w:val="21"/>
              </w:rPr>
              <w:t>≥16个10/100/1000M自适应千兆电接口，2个千兆SFP接口及4个SPF+万兆接口（不含光模块）；2个USB接口，1个RJ45</w:t>
            </w:r>
            <w:r>
              <w:rPr>
                <w:rFonts w:hint="eastAsia" w:cs="宋体"/>
                <w:szCs w:val="21"/>
              </w:rPr>
              <w:t>；</w:t>
            </w:r>
            <w:r>
              <w:rPr>
                <w:rFonts w:hint="eastAsia" w:ascii="宋体" w:hAnsi="宋体" w:cs="宋体"/>
                <w:szCs w:val="21"/>
              </w:rPr>
              <w:t>≥60G SSD硬盘</w:t>
            </w:r>
            <w:r>
              <w:rPr>
                <w:rFonts w:hint="eastAsia" w:ascii="宋体" w:hAnsi="宋体" w:cs="宋体"/>
                <w:szCs w:val="21"/>
                <w:lang w:eastAsia="zh-CN"/>
              </w:rPr>
              <w:t>；</w:t>
            </w:r>
          </w:p>
          <w:p>
            <w:pPr>
              <w:pStyle w:val="28"/>
              <w:ind w:firstLine="0" w:firstLineChars="0"/>
              <w:rPr>
                <w:rFonts w:ascii="宋体" w:hAnsi="宋体" w:cs="宋体"/>
                <w:szCs w:val="21"/>
              </w:rPr>
            </w:pPr>
            <w:r>
              <w:rPr>
                <w:rFonts w:hint="eastAsia" w:ascii="宋体" w:hAnsi="宋体" w:cs="宋体"/>
                <w:szCs w:val="21"/>
              </w:rPr>
              <w:t>默认支持下一代防火墙访问控制、入侵防御、网络防病毒、上网行为及URL分类管理、流控和IPSec VPN模块</w:t>
            </w:r>
            <w:r>
              <w:rPr>
                <w:rFonts w:hint="eastAsia" w:cs="宋体"/>
                <w:szCs w:val="21"/>
              </w:rPr>
              <w:t>，</w:t>
            </w:r>
            <w:r>
              <w:rPr>
                <w:rFonts w:hint="eastAsia" w:ascii="宋体" w:hAnsi="宋体" w:cs="宋体"/>
                <w:szCs w:val="21"/>
              </w:rPr>
              <w:t>三年Ips特征库，防病毒特征库，应用识别及URL分类库升级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性能</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整机最大吞吐量≥18Gbps</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最大并发连接数≥320万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虚拟化</w:t>
            </w:r>
          </w:p>
        </w:tc>
        <w:tc>
          <w:tcPr>
            <w:tcW w:w="7370" w:type="dxa"/>
            <w:shd w:val="clear" w:color="auto" w:fill="auto"/>
            <w:vAlign w:val="center"/>
          </w:tcPr>
          <w:p>
            <w:pPr>
              <w:rPr>
                <w:rFonts w:ascii="宋体" w:hAnsi="宋体" w:cs="宋体"/>
                <w:szCs w:val="21"/>
              </w:rPr>
            </w:pPr>
            <w:r>
              <w:rPr>
                <w:rFonts w:hint="eastAsia" w:ascii="宋体" w:hAnsi="宋体" w:cs="宋体"/>
                <w:szCs w:val="21"/>
              </w:rPr>
              <w:t>支持基于硬件Hypervisor技术的底层虚拟化，各个虚拟防火墙之间完全隔离，可运行不同的防火墙版本，拥有完全独立的CPU、内存、接口等资源</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每个虚拟防火墙均提供完整的安全功能，包括防火墙、入侵防御、防病毒、上网行为管理和流控、VPN、IPv4/IPv6双栈等</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访问控制</w:t>
            </w:r>
          </w:p>
        </w:tc>
        <w:tc>
          <w:tcPr>
            <w:tcW w:w="7370" w:type="dxa"/>
            <w:shd w:val="clear" w:color="auto" w:fill="auto"/>
            <w:vAlign w:val="center"/>
          </w:tcPr>
          <w:p>
            <w:pPr>
              <w:rPr>
                <w:rFonts w:ascii="宋体" w:hAnsi="宋体" w:cs="宋体"/>
                <w:szCs w:val="21"/>
              </w:rPr>
            </w:pPr>
            <w:r>
              <w:rPr>
                <w:rFonts w:hint="eastAsia" w:ascii="宋体" w:hAnsi="宋体" w:cs="宋体"/>
                <w:szCs w:val="21"/>
              </w:rPr>
              <w:t>支持基于接口/安全域、地址、用户、服务、应用和时间的防火墙访问控制策略</w:t>
            </w:r>
            <w:r>
              <w:rPr>
                <w:rFonts w:hint="eastAsia" w:ascii="宋体" w:hAnsi="宋体" w:cs="宋体"/>
                <w:szCs w:val="21"/>
                <w:lang w:eastAsia="zh-CN"/>
              </w:rPr>
              <w:t>；</w:t>
            </w: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支持基于接口/安全域、地址、用户、服务、应用和时间的会话控制策略</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支持策略预编译技术，在大量防火墙访问控制策略情况下整机性能不受影响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入侵防御</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支持并开通网络入侵检测及防御功能，入侵防御事件库事件数量不少于4000条</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可基于IP地址、网段、用户、时间、VLAN、协议类型等条件设定入侵防御模块的检测事件及响应方式</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具备协议自动识别功能；支持自定义事件功能</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提供SQL注入攻击、XSS攻击的检测和防御功能，对Web服务系统提供保护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防病毒</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支持并开通对HTTP、FTP、SMTP、POP3、IMAP协议的病毒检测和过滤功能</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支持对文件感染型病毒、蠕虫病毒、脚本病毒、宏病毒、木马、恶意软件等过滤，病毒库数量不少于1000万</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防病毒功能开启后，整机处理性能衰减不超过30%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行为管理及流量控制</w:t>
            </w:r>
          </w:p>
        </w:tc>
        <w:tc>
          <w:tcPr>
            <w:tcW w:w="7370" w:type="dxa"/>
            <w:shd w:val="clear" w:color="auto" w:fill="auto"/>
            <w:vAlign w:val="center"/>
          </w:tcPr>
          <w:p>
            <w:pPr>
              <w:rPr>
                <w:rFonts w:ascii="宋体" w:hAnsi="宋体" w:cs="宋体"/>
                <w:szCs w:val="21"/>
              </w:rPr>
            </w:pPr>
            <w:r>
              <w:rPr>
                <w:rFonts w:hint="eastAsia" w:ascii="宋体" w:hAnsi="宋体" w:cs="宋体"/>
                <w:szCs w:val="21"/>
              </w:rPr>
              <w:t>支持并开通基于DPI和DFI技术的应用特征识别及行为控制，应用识别的种类不少于1000种</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支持并开通基于线路和多层通道嵌套的带宽管理和流量控制功能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blHeader/>
          <w:jc w:val="center"/>
        </w:trPr>
        <w:tc>
          <w:tcPr>
            <w:tcW w:w="1191" w:type="dxa"/>
            <w:shd w:val="clear" w:color="auto" w:fill="auto"/>
            <w:vAlign w:val="center"/>
          </w:tcPr>
          <w:p>
            <w:pPr>
              <w:rPr>
                <w:rFonts w:ascii="宋体" w:hAnsi="宋体" w:cs="宋体"/>
                <w:szCs w:val="21"/>
              </w:rPr>
            </w:pPr>
            <w:r>
              <w:rPr>
                <w:rFonts w:hint="eastAsia" w:ascii="宋体" w:hAnsi="宋体" w:cs="宋体"/>
                <w:szCs w:val="21"/>
              </w:rPr>
              <w:t>高可用性</w:t>
            </w:r>
          </w:p>
        </w:tc>
        <w:tc>
          <w:tcPr>
            <w:tcW w:w="7370" w:type="dxa"/>
            <w:shd w:val="clear" w:color="auto" w:fill="auto"/>
            <w:vAlign w:val="center"/>
          </w:tcPr>
          <w:p>
            <w:pPr>
              <w:rPr>
                <w:rFonts w:hint="eastAsia" w:ascii="宋体" w:hAnsi="宋体" w:eastAsia="宋体" w:cs="宋体"/>
                <w:szCs w:val="21"/>
                <w:lang w:eastAsia="zh-CN"/>
              </w:rPr>
            </w:pPr>
            <w:r>
              <w:rPr>
                <w:rFonts w:hint="eastAsia" w:ascii="宋体" w:hAnsi="宋体" w:cs="宋体"/>
                <w:szCs w:val="21"/>
              </w:rPr>
              <w:t>支持主-主和主-备模式，主备模式下支持基于设备优先级的主设备抢占功能</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支持基于心跳信号丢失、链路断开等多种方式的HA切换条件及逻辑</w:t>
            </w:r>
            <w:r>
              <w:rPr>
                <w:rFonts w:hint="eastAsia" w:ascii="宋体" w:hAnsi="宋体" w:cs="宋体"/>
                <w:szCs w:val="21"/>
                <w:lang w:eastAsia="zh-CN"/>
              </w:rPr>
              <w:t>；</w:t>
            </w:r>
          </w:p>
        </w:tc>
      </w:tr>
    </w:tbl>
    <w:p>
      <w:pPr>
        <w:rPr>
          <w:sz w:val="24"/>
        </w:rPr>
      </w:pPr>
    </w:p>
    <w:p>
      <w:pPr>
        <w:pStyle w:val="6"/>
        <w:ind w:firstLine="482" w:firstLineChars="200"/>
        <w:rPr>
          <w:b/>
          <w:bCs w:val="0"/>
          <w:sz w:val="24"/>
          <w:szCs w:val="24"/>
        </w:rPr>
      </w:pPr>
      <w:r>
        <w:rPr>
          <w:rFonts w:hint="eastAsia"/>
          <w:b/>
          <w:bCs w:val="0"/>
          <w:sz w:val="24"/>
          <w:szCs w:val="24"/>
        </w:rPr>
        <w:t>1</w:t>
      </w:r>
      <w:r>
        <w:rPr>
          <w:rFonts w:hint="eastAsia"/>
          <w:b/>
          <w:bCs w:val="0"/>
          <w:sz w:val="24"/>
          <w:szCs w:val="24"/>
          <w:lang w:val="en-US" w:eastAsia="zh-CN"/>
        </w:rPr>
        <w:t>5</w:t>
      </w:r>
      <w:r>
        <w:rPr>
          <w:rFonts w:hint="eastAsia"/>
          <w:b/>
          <w:bCs w:val="0"/>
          <w:sz w:val="24"/>
          <w:szCs w:val="24"/>
        </w:rPr>
        <w:t>.千兆交换机</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12台、非核心产品）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参数要求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交换能力</w:t>
            </w:r>
          </w:p>
        </w:tc>
        <w:tc>
          <w:tcPr>
            <w:tcW w:w="737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cs="宋体"/>
                <w:szCs w:val="21"/>
              </w:rPr>
              <w:t>交换容量≥800Gbps</w:t>
            </w:r>
            <w:r>
              <w:rPr>
                <w:rFonts w:hint="eastAsia" w:cs="宋体"/>
                <w:szCs w:val="21"/>
              </w:rPr>
              <w:t>，</w:t>
            </w:r>
            <w:r>
              <w:rPr>
                <w:rFonts w:hint="eastAsia" w:ascii="宋体" w:hAnsi="宋体" w:cs="宋体"/>
                <w:szCs w:val="21"/>
              </w:rPr>
              <w:t>三层包转发率≥800Mpps</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接口</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≥48个10/100/1000 RJ45 电口，≥4个10G SFP+ 端口</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三层功能</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IPv4 路由表≥1K，支持IPv4静态路由，RIPv1&amp;v2，OSPFv2，ECMP，ICMP、策略路由，VRF</w:t>
            </w:r>
            <w:r>
              <w:rPr>
                <w:rFonts w:hint="eastAsia" w:cs="宋体"/>
                <w:szCs w:val="21"/>
              </w:rPr>
              <w:t>；</w:t>
            </w:r>
            <w:r>
              <w:rPr>
                <w:rFonts w:hint="eastAsia" w:ascii="宋体" w:hAnsi="宋体" w:cs="宋体"/>
                <w:szCs w:val="21"/>
              </w:rPr>
              <w:t>支持IPv6静态路由，RIPng，OSPF V3，ICMPv6，NDP，ICMPv6等</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可靠性</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支持M-LAG技术，将多台物理机箱组成 1 台虚拟交换机，实现多台设备间的链路聚合，从而把链路可靠性从单板级提高到了设备级，组成双活系统；支持VARP；支持Smart Link或等同的技术，确保上联核心设备的备份线路可以在&lt;50ms的时间内恢复</w:t>
            </w:r>
          </w:p>
        </w:tc>
      </w:tr>
    </w:tbl>
    <w:p>
      <w:pPr>
        <w:rPr>
          <w:sz w:val="24"/>
        </w:rPr>
      </w:pPr>
    </w:p>
    <w:p>
      <w:pPr>
        <w:pStyle w:val="6"/>
        <w:ind w:firstLine="482" w:firstLineChars="200"/>
        <w:rPr>
          <w:b/>
          <w:bCs w:val="0"/>
          <w:sz w:val="24"/>
          <w:szCs w:val="24"/>
        </w:rPr>
      </w:pPr>
      <w:r>
        <w:rPr>
          <w:rFonts w:hint="eastAsia"/>
          <w:b/>
          <w:bCs w:val="0"/>
          <w:sz w:val="24"/>
          <w:szCs w:val="24"/>
        </w:rPr>
        <w:t>1</w:t>
      </w:r>
      <w:r>
        <w:rPr>
          <w:rFonts w:hint="eastAsia"/>
          <w:b/>
          <w:bCs w:val="0"/>
          <w:sz w:val="24"/>
          <w:szCs w:val="24"/>
          <w:lang w:val="en-US" w:eastAsia="zh-CN"/>
        </w:rPr>
        <w:t>6</w:t>
      </w:r>
      <w:r>
        <w:rPr>
          <w:rFonts w:hint="eastAsia"/>
          <w:b/>
          <w:bCs w:val="0"/>
          <w:sz w:val="24"/>
          <w:szCs w:val="24"/>
        </w:rPr>
        <w:t>.业务万兆交换机</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4台、非核心产品）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交换能力</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交换容量≥4.8Tbps</w:t>
            </w:r>
            <w:r>
              <w:rPr>
                <w:rFonts w:hint="eastAsia" w:cs="宋体"/>
                <w:szCs w:val="21"/>
              </w:rPr>
              <w:t>，</w:t>
            </w:r>
            <w:r>
              <w:rPr>
                <w:rFonts w:hint="eastAsia" w:ascii="宋体" w:hAnsi="宋体" w:cs="宋体"/>
                <w:szCs w:val="21"/>
              </w:rPr>
              <w:t>三层包转发率≥1600Mpps</w:t>
            </w:r>
          </w:p>
        </w:tc>
      </w:tr>
      <w:tr>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▲接口</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≥48个1/10Gbps SFP+端口和≥</w:t>
            </w:r>
            <w:r>
              <w:rPr>
                <w:rFonts w:ascii="宋体" w:hAnsi="宋体" w:cs="宋体"/>
                <w:szCs w:val="21"/>
              </w:rPr>
              <w:t>2</w:t>
            </w:r>
            <w:r>
              <w:rPr>
                <w:rFonts w:hint="eastAsia" w:ascii="宋体" w:hAnsi="宋体" w:cs="宋体"/>
                <w:szCs w:val="21"/>
              </w:rPr>
              <w:t>个40G QSFP+端口（支持拆分为10G端口使用），最大支持万兆端口≥72个</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电源风扇</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1+1冗余电源，满配电源和风扇</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模块</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配置≥46个万兆多模模块，≥</w:t>
            </w:r>
            <w:r>
              <w:rPr>
                <w:rFonts w:ascii="宋体" w:hAnsi="宋体" w:cs="宋体"/>
                <w:szCs w:val="21"/>
              </w:rPr>
              <w:t>2</w:t>
            </w:r>
            <w:r>
              <w:rPr>
                <w:rFonts w:hint="eastAsia" w:ascii="宋体" w:hAnsi="宋体" w:cs="宋体"/>
                <w:szCs w:val="21"/>
              </w:rPr>
              <w:t>个40G多模模块</w:t>
            </w:r>
          </w:p>
        </w:tc>
      </w:tr>
    </w:tbl>
    <w:p>
      <w:pPr>
        <w:rPr>
          <w:sz w:val="24"/>
        </w:rPr>
      </w:pPr>
    </w:p>
    <w:p>
      <w:pPr>
        <w:rPr>
          <w:sz w:val="24"/>
        </w:rPr>
      </w:pPr>
    </w:p>
    <w:p>
      <w:pPr>
        <w:pStyle w:val="6"/>
        <w:ind w:firstLine="482" w:firstLineChars="200"/>
        <w:rPr>
          <w:b/>
          <w:bCs w:val="0"/>
          <w:sz w:val="24"/>
          <w:szCs w:val="24"/>
        </w:rPr>
      </w:pPr>
      <w:r>
        <w:rPr>
          <w:rFonts w:hint="eastAsia"/>
          <w:b/>
          <w:bCs w:val="0"/>
          <w:sz w:val="24"/>
          <w:szCs w:val="24"/>
        </w:rPr>
        <w:t>1</w:t>
      </w:r>
      <w:r>
        <w:rPr>
          <w:rFonts w:hint="eastAsia"/>
          <w:b/>
          <w:bCs w:val="0"/>
          <w:sz w:val="24"/>
          <w:szCs w:val="24"/>
          <w:lang w:val="en-US" w:eastAsia="zh-CN"/>
        </w:rPr>
        <w:t>7</w:t>
      </w:r>
      <w:r>
        <w:rPr>
          <w:rFonts w:hint="eastAsia"/>
          <w:b/>
          <w:bCs w:val="0"/>
          <w:sz w:val="24"/>
          <w:szCs w:val="24"/>
        </w:rPr>
        <w:t>.漏洞扫描</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1"/>
        <w:tblW w:w="8561" w:type="dxa"/>
        <w:jc w:val="center"/>
        <w:tblLayout w:type="fixed"/>
        <w:tblCellMar>
          <w:top w:w="0" w:type="dxa"/>
          <w:left w:w="108" w:type="dxa"/>
          <w:bottom w:w="0" w:type="dxa"/>
          <w:right w:w="108" w:type="dxa"/>
        </w:tblCellMar>
      </w:tblPr>
      <w:tblGrid>
        <w:gridCol w:w="1191"/>
        <w:gridCol w:w="7370"/>
      </w:tblGrid>
      <w:tr>
        <w:tblPrEx>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指标项</w:t>
            </w:r>
          </w:p>
        </w:tc>
        <w:tc>
          <w:tcPr>
            <w:tcW w:w="7370" w:type="dxa"/>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szCs w:val="21"/>
              </w:rPr>
            </w:pPr>
            <w:r>
              <w:rPr>
                <w:rFonts w:hint="eastAsia" w:ascii="宋体" w:hAnsi="宋体" w:cs="宋体"/>
                <w:szCs w:val="21"/>
              </w:rPr>
              <w:t>指标要求</w:t>
            </w:r>
          </w:p>
        </w:tc>
      </w:tr>
      <w:tr>
        <w:tblPrEx>
          <w:tblCellMar>
            <w:top w:w="0" w:type="dxa"/>
            <w:left w:w="108" w:type="dxa"/>
            <w:bottom w:w="0" w:type="dxa"/>
            <w:right w:w="108" w:type="dxa"/>
          </w:tblCellMar>
        </w:tblPrEx>
        <w:trPr>
          <w:cantSplit/>
          <w:trHeight w:val="624" w:hRule="atLeast"/>
          <w:tblHeader/>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硬件配置</w:t>
            </w: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标准1U硬件平台，配备至少6个100/1000M自适应电口，单电源</w:t>
            </w:r>
          </w:p>
        </w:tc>
      </w:tr>
      <w:tr>
        <w:tblPrEx>
          <w:tblCellMar>
            <w:top w:w="0" w:type="dxa"/>
            <w:left w:w="108" w:type="dxa"/>
            <w:bottom w:w="0" w:type="dxa"/>
            <w:right w:w="108" w:type="dxa"/>
          </w:tblCellMar>
        </w:tblPrEx>
        <w:trPr>
          <w:cantSplit/>
          <w:trHeight w:val="624" w:hRule="atLeast"/>
          <w:tblHeader/>
          <w:jc w:val="center"/>
        </w:trPr>
        <w:tc>
          <w:tcPr>
            <w:tcW w:w="1191" w:type="dxa"/>
            <w:vMerge w:val="restart"/>
            <w:tcBorders>
              <w:top w:val="single" w:color="auto" w:sz="4" w:space="0"/>
              <w:left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功能要求</w:t>
            </w:r>
          </w:p>
        </w:tc>
        <w:tc>
          <w:tcPr>
            <w:tcW w:w="7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提供三权分立的账户体系，支持上下级部门管理，非上下级的不同部门任务、资产隔离</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top w:val="single" w:color="auto" w:sz="4" w:space="0"/>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提供审计功能，能够对登陆日志、操作日常进行记录和查询，并可以将日志导入导出操作</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right w:val="single" w:color="auto" w:sz="4" w:space="0"/>
            </w:tcBorders>
            <w:vAlign w:val="center"/>
          </w:tcPr>
          <w:p>
            <w:pPr>
              <w:rPr>
                <w:rFonts w:ascii="宋体" w:hAnsi="宋体" w:cs="宋体"/>
                <w:szCs w:val="21"/>
              </w:rPr>
            </w:pPr>
            <w:r>
              <w:rPr>
                <w:rFonts w:hint="eastAsia" w:ascii="宋体" w:hAnsi="宋体" w:cs="宋体"/>
                <w:szCs w:val="21"/>
              </w:rPr>
              <w:t>提供日志自动审计功能，根据指定的审计标准自动、定时审计；并将审计结果发送到指定邮箱当中</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系统内置不同的策略模板如针对Linux、Windows操作系统等模板，同时允许用户定制扫描策略；用户可定义扫描范围、定义扫描端口、扫描使用的参数集等具体扫描选项</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支持Windows系列操作系统，支持Linux主流操作系统（Centos、Redhat、Debian、Fedora、Ubuntu、Suse等），支持Unix主流操作系统（AIX、HPUX、Solaris等）</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支持对Web、FTP、电子邮件等应用系统、Apache等web中间件服务器以及Office等常用软件进行漏洞扫描</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提供采用SMB、SSH等协议对Windows、Linux系统进行登录授权扫描 </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具备弱口令扫描功能，提供多种弱口令扫描协议，包括SMB、RDP、SSH、TELNET、FTP、SMTP、IMAP、POP3、MySQL、MSSQL、REDIS、RTSP等协议进行弱口令扫描，允许用户自定义用户、密码字典</w:t>
            </w:r>
          </w:p>
        </w:tc>
      </w:tr>
      <w:tr>
        <w:tblPrEx>
          <w:tblCellMar>
            <w:top w:w="0" w:type="dxa"/>
            <w:left w:w="108" w:type="dxa"/>
            <w:bottom w:w="0" w:type="dxa"/>
            <w:right w:w="108" w:type="dxa"/>
          </w:tblCellMar>
        </w:tblPrEx>
        <w:trPr>
          <w:cantSplit/>
          <w:trHeight w:val="624" w:hRule="atLeast"/>
          <w:tblHeader/>
          <w:jc w:val="center"/>
        </w:trPr>
        <w:tc>
          <w:tcPr>
            <w:tcW w:w="1191" w:type="dxa"/>
            <w:vMerge w:val="continue"/>
            <w:tcBorders>
              <w:left w:val="single" w:color="auto" w:sz="4" w:space="0"/>
              <w:right w:val="single" w:color="auto" w:sz="4" w:space="0"/>
            </w:tcBorders>
            <w:vAlign w:val="center"/>
          </w:tcPr>
          <w:p>
            <w:pPr>
              <w:rPr>
                <w:rFonts w:ascii="宋体" w:hAnsi="宋体" w:cs="宋体"/>
                <w:szCs w:val="21"/>
              </w:rPr>
            </w:pPr>
          </w:p>
        </w:tc>
        <w:tc>
          <w:tcPr>
            <w:tcW w:w="737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支持发现非默认端口启动的服务，支持服务的协议识别、版本</w:t>
            </w:r>
          </w:p>
        </w:tc>
      </w:tr>
    </w:tbl>
    <w:p>
      <w:pPr>
        <w:rPr>
          <w:rFonts w:cs="Arial" w:asciiTheme="minorEastAsia" w:hAnsiTheme="minorEastAsia"/>
          <w:sz w:val="24"/>
        </w:rPr>
      </w:pPr>
    </w:p>
    <w:p>
      <w:pPr>
        <w:pStyle w:val="6"/>
        <w:ind w:firstLine="482" w:firstLineChars="200"/>
        <w:rPr>
          <w:b/>
          <w:bCs w:val="0"/>
          <w:sz w:val="24"/>
          <w:szCs w:val="24"/>
        </w:rPr>
      </w:pPr>
      <w:r>
        <w:rPr>
          <w:rFonts w:hint="eastAsia"/>
          <w:b/>
          <w:bCs w:val="0"/>
          <w:sz w:val="24"/>
          <w:szCs w:val="24"/>
        </w:rPr>
        <w:t>1</w:t>
      </w:r>
      <w:r>
        <w:rPr>
          <w:rFonts w:hint="eastAsia"/>
          <w:b/>
          <w:bCs w:val="0"/>
          <w:sz w:val="24"/>
          <w:szCs w:val="24"/>
          <w:lang w:val="en-US" w:eastAsia="zh-CN"/>
        </w:rPr>
        <w:t>8</w:t>
      </w:r>
      <w:r>
        <w:rPr>
          <w:rFonts w:hint="eastAsia"/>
          <w:b/>
          <w:bCs w:val="0"/>
          <w:sz w:val="24"/>
          <w:szCs w:val="24"/>
        </w:rPr>
        <w:t>.运维审计</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1"/>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szCs w:val="21"/>
              </w:rPr>
            </w:pPr>
            <w:r>
              <w:rPr>
                <w:rFonts w:hint="eastAsia" w:ascii="宋体" w:hAnsi="宋体" w:cs="宋体"/>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szCs w:val="21"/>
              </w:rPr>
            </w:pPr>
            <w:r>
              <w:rPr>
                <w:rFonts w:hint="eastAsia" w:ascii="宋体" w:hAnsi="宋体" w:cs="宋体"/>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tcBorders>
              <w:top w:val="single" w:color="auto" w:sz="4" w:space="0"/>
              <w:left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基本要求</w:t>
            </w:r>
          </w:p>
        </w:tc>
        <w:tc>
          <w:tcPr>
            <w:tcW w:w="7370" w:type="dxa"/>
            <w:tcBorders>
              <w:top w:val="single" w:color="auto" w:sz="4" w:space="0"/>
              <w:left w:val="single" w:color="auto" w:sz="4" w:space="0"/>
              <w:right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通过IPv6 Ready Logo认证并获得证书</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标准2U硬件，≥2千兆电口管理口+4千兆业务电口+4千兆业务光口（含2个千兆SFP多模光模块）</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内存≥8GB；磁盘≥1TB*2，RAID1；双电源</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授权资产：500个</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硬件性能：并发字符连接最大500个，并发图形连接最大100个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身份认证要求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支持手机APP动态口令认证方式登录堡垒机，且新用户首次登录后需强制绑定APP动态口令</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堡垒机须内嵌动态令牌和usbkey认证引擎，可同时使用动态令牌和USBkey</w:t>
            </w:r>
            <w:r>
              <w:rPr>
                <w:rFonts w:hint="eastAsia" w:ascii="宋体" w:hAnsi="宋体" w:cs="宋体"/>
                <w:szCs w:val="21"/>
              </w:rPr>
              <w:fldChar w:fldCharType="begin"/>
            </w:r>
            <w:r>
              <w:rPr>
                <w:rFonts w:hint="eastAsia" w:ascii="宋体" w:hAnsi="宋体" w:cs="宋体"/>
                <w:szCs w:val="21"/>
              </w:rPr>
              <w:instrText xml:space="preserve"> HYPERLINK \l "_双因素认证授权资质" </w:instrText>
            </w:r>
            <w:r>
              <w:rPr>
                <w:rFonts w:hint="eastAsia" w:ascii="宋体" w:hAnsi="宋体" w:cs="宋体"/>
                <w:szCs w:val="21"/>
              </w:rPr>
              <w:fldChar w:fldCharType="separate"/>
            </w:r>
            <w:r>
              <w:rPr>
                <w:rFonts w:hint="eastAsia" w:ascii="宋体" w:hAnsi="宋体" w:cs="宋体"/>
                <w:szCs w:val="21"/>
              </w:rPr>
              <w:fldChar w:fldCharType="end"/>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支持采用国密加密算法进行核心敏感数据加密存储</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基于不同的用户设置不同的双因子认证模式，如user1用动态令牌、user2用USBkey、user3手机APP动态口令认证</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支持域认证与双因子认证结合使用，如同时使用AD/LDAP用户名+AD/LDAP密码+手机APP动态口令登录堡垒机、</w:t>
            </w:r>
            <w:r>
              <w:rPr>
                <w:rFonts w:hint="eastAsia" w:ascii="宋体" w:hAnsi="宋体" w:cs="宋体"/>
                <w:szCs w:val="21"/>
              </w:rPr>
              <w:fldChar w:fldCharType="begin"/>
            </w:r>
            <w:r>
              <w:rPr>
                <w:rFonts w:hint="eastAsia" w:ascii="宋体" w:hAnsi="宋体" w:cs="宋体"/>
                <w:szCs w:val="21"/>
              </w:rPr>
              <w:instrText xml:space="preserve"> HYPERLINK \l "_直接使用登录堡垒机的AD/LDAP用户及密码可以直接自动登录到服务器里_1" </w:instrText>
            </w:r>
            <w:r>
              <w:rPr>
                <w:rFonts w:hint="eastAsia" w:ascii="宋体" w:hAnsi="宋体" w:cs="宋体"/>
                <w:szCs w:val="21"/>
              </w:rPr>
              <w:fldChar w:fldCharType="separate"/>
            </w:r>
            <w:r>
              <w:rPr>
                <w:rFonts w:hint="eastAsia" w:ascii="宋体" w:hAnsi="宋体" w:cs="宋体"/>
                <w:szCs w:val="21"/>
              </w:rPr>
              <w:t>同时使用AD/LDAP用户名+AD/LDAP密码+短信口令登录堡垒机</w:t>
            </w:r>
            <w:r>
              <w:rPr>
                <w:rFonts w:hint="eastAsia" w:ascii="宋体" w:hAnsi="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设备管理要求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支持对设备进行按设备类型分组、按部门分组，支持设备批量导入/导出</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支持设备帐户和密码的自动登录、手工登录、二次自动登录模式</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支持自动收集设备IP、运维协议、端口号、账号、密码、与用户的权限关系，甚至可自动完成授权</w:t>
            </w:r>
            <w:r>
              <w:rPr>
                <w:rFonts w:hint="eastAsia"/>
                <w:lang w:eastAsia="zh-CN"/>
              </w:rPr>
              <w:t>；</w:t>
            </w:r>
          </w:p>
          <w:p>
            <w:pPr>
              <w:rPr>
                <w:rFonts w:ascii="宋体" w:hAnsi="宋体" w:cs="宋体"/>
                <w:szCs w:val="21"/>
              </w:rPr>
            </w:pPr>
            <w:r>
              <w:rPr>
                <w:rFonts w:hint="eastAsia" w:ascii="宋体" w:hAnsi="宋体" w:cs="宋体"/>
                <w:szCs w:val="21"/>
              </w:rPr>
              <w:t>导出的设备信息文件加密存储，解密时须由2个管理员同时解密才能查看到设备信息文件内容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p>
          <w:p>
            <w:pPr>
              <w:widowControl/>
              <w:rPr>
                <w:rFonts w:ascii="宋体" w:hAnsi="宋体" w:cs="宋体"/>
                <w:szCs w:val="21"/>
              </w:rPr>
            </w:pPr>
          </w:p>
          <w:p>
            <w:pPr>
              <w:rPr>
                <w:rFonts w:ascii="宋体" w:hAnsi="宋体" w:cs="宋体"/>
                <w:szCs w:val="21"/>
              </w:rPr>
            </w:pPr>
            <w:r>
              <w:rPr>
                <w:rFonts w:hint="eastAsia" w:ascii="宋体" w:hAnsi="宋体" w:cs="宋体"/>
                <w:szCs w:val="21"/>
              </w:rPr>
              <w:t>运维方式要求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可以使用SSH-agent-forwarding登录到ssh服务器，用于登录堡垒机和登录ssh主机使用相同私钥的场景</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可以使用密码或公钥的方式登录到SSH资产，并且可以发送运维用户信息、运维来源IP等环境变量到资产上</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支持批量登录字符设备功能：能自动生成SecurCRT/Xshell工具的批量登录文件，实现在工具中批量自动登录多台设备</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可一键批量登录不同协议的主机资产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审计日志要求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支持保存SSH的sz/rz命令（zmodem），SFTP/FTP，RDP粘贴板（桌面之间复制-粘贴），RDP磁盘映射传输的原始文件</w:t>
            </w:r>
            <w:r>
              <w:rPr>
                <w:rFonts w:hint="eastAsia"/>
                <w:lang w:eastAsia="zh-CN"/>
              </w:rPr>
              <w:t>；</w:t>
            </w:r>
          </w:p>
          <w:p>
            <w:pPr>
              <w:widowControl/>
              <w:rPr>
                <w:rFonts w:ascii="宋体" w:hAnsi="宋体" w:cs="宋体"/>
                <w:szCs w:val="21"/>
              </w:rPr>
            </w:pPr>
            <w:r>
              <w:rPr>
                <w:rFonts w:hint="eastAsia" w:ascii="宋体" w:hAnsi="宋体" w:cs="宋体"/>
                <w:szCs w:val="21"/>
              </w:rPr>
              <w:t>审计数据支持通过SFTP/FTP方式自动归档，并在页面中可以查询哪些数据是否归档。归档过程时，可以设置自动执行归档的时间以及归档传输的速度限制并可设置归档成功之后自动删除数据，归档后的数据可以用专用播放器离线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安全策略要求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支持通过基于时间、IP/IP段、用户/用户组、设备/设备组、设备账号、命令关键字、控制动作、黑白名单等组合访问控制策略，授权用户可访问的目标设备</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对重要设备启用登录审核功能，运维人员须向管理员申请登录，管理员允许之后才可登录</w:t>
            </w:r>
            <w:r>
              <w:rPr>
                <w:rFonts w:hint="eastAsia" w:ascii="宋体" w:hAnsi="宋体" w:cs="宋体"/>
                <w:szCs w:val="21"/>
                <w:lang w:eastAsia="zh-CN"/>
              </w:rPr>
              <w:t>，</w:t>
            </w:r>
            <w:r>
              <w:rPr>
                <w:rFonts w:hint="eastAsia" w:ascii="宋体" w:hAnsi="宋体" w:cs="宋体"/>
                <w:szCs w:val="21"/>
              </w:rPr>
              <w:t>否则无法登录</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支持对重要命令进行审核：运维人员执行命令后，须等到管理员审批通过后才可执行成功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报表统计要求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内置丰富的报表统计模板，可点击柱状图、或曲线图进行数据钻取分析，且支持PDF、doc、html格式导出</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内置根据运维人员和组生成各种维度的分析报表</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支持运维报表自动定期发送，提供一键导出符合等级保护、SOX法案要求的综合分析报告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系统管理要求</w:t>
            </w:r>
          </w:p>
        </w:tc>
        <w:tc>
          <w:tcPr>
            <w:tcW w:w="7370" w:type="dxa"/>
            <w:vAlign w:val="center"/>
          </w:tcPr>
          <w:p>
            <w:pPr>
              <w:widowControl/>
              <w:rPr>
                <w:rFonts w:ascii="宋体" w:hAnsi="宋体" w:cs="宋体"/>
                <w:szCs w:val="21"/>
              </w:rPr>
            </w:pPr>
            <w:r>
              <w:rPr>
                <w:rFonts w:hint="eastAsia" w:ascii="宋体" w:hAnsi="宋体" w:cs="宋体"/>
                <w:szCs w:val="21"/>
              </w:rPr>
              <w:t>支持自身审计，包括但不限于：系统状态检测、登录日志、用户配置日志、设备配置日志、授权配置日志、策略配置日志、运维访问日志、系统配置日志等</w:t>
            </w:r>
          </w:p>
          <w:p>
            <w:pPr>
              <w:widowControl/>
              <w:rPr>
                <w:rFonts w:hint="eastAsia" w:ascii="宋体" w:hAnsi="宋体" w:eastAsia="宋体" w:cs="宋体"/>
                <w:szCs w:val="21"/>
                <w:lang w:eastAsia="zh-CN"/>
              </w:rPr>
            </w:pPr>
            <w:r>
              <w:rPr>
                <w:rFonts w:hint="eastAsia" w:ascii="宋体" w:hAnsi="宋体" w:cs="宋体"/>
                <w:szCs w:val="21"/>
              </w:rPr>
              <w:t>支持系统日志报表统计功能，包括但不限于登录日志统计、配置日志统计、运维访问日志统计等，可以导出报表</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需提供用户、资产、授权的增删改查等API接口，允许第三方平台调用堡垒机的API接口，实现用户、资产、权限自动同步到堡垒机，简化堡垒机配置工作量</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支持和同品牌数据库审计系统进行联动，将通过SSH/RDP等加密方式操作数据库的行为整合到数据库审计中，实现数据库行为的统一集中查询、展示、审计分析等</w:t>
            </w:r>
          </w:p>
        </w:tc>
      </w:tr>
    </w:tbl>
    <w:p>
      <w:pPr>
        <w:rPr>
          <w:sz w:val="24"/>
        </w:rPr>
      </w:pPr>
    </w:p>
    <w:p>
      <w:pPr>
        <w:pStyle w:val="6"/>
        <w:ind w:firstLine="482" w:firstLineChars="200"/>
        <w:rPr>
          <w:b/>
          <w:bCs w:val="0"/>
        </w:rPr>
      </w:pPr>
      <w:r>
        <w:rPr>
          <w:rFonts w:hint="eastAsia"/>
          <w:b/>
          <w:bCs w:val="0"/>
          <w:sz w:val="24"/>
          <w:szCs w:val="24"/>
        </w:rPr>
        <w:t>1</w:t>
      </w:r>
      <w:r>
        <w:rPr>
          <w:rFonts w:hint="eastAsia"/>
          <w:b/>
          <w:bCs w:val="0"/>
          <w:sz w:val="24"/>
          <w:szCs w:val="24"/>
          <w:lang w:val="en-US" w:eastAsia="zh-CN"/>
        </w:rPr>
        <w:t>9</w:t>
      </w:r>
      <w:r>
        <w:rPr>
          <w:rFonts w:hint="eastAsia"/>
          <w:b/>
          <w:bCs w:val="0"/>
          <w:sz w:val="24"/>
          <w:szCs w:val="24"/>
        </w:rPr>
        <w:t>.数据库审计</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1"/>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tcBorders>
              <w:top w:val="single" w:color="auto" w:sz="4" w:space="0"/>
              <w:left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产品资质要求</w:t>
            </w:r>
          </w:p>
        </w:tc>
        <w:tc>
          <w:tcPr>
            <w:tcW w:w="7370" w:type="dxa"/>
            <w:tcBorders>
              <w:top w:val="single" w:color="auto" w:sz="4" w:space="0"/>
              <w:left w:val="single" w:color="auto" w:sz="4" w:space="0"/>
              <w:right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产品为自主研发，具有计算机软件著作权登记证书，且产品所有资质必须为数据库审计产品专有的资质，非网络审计产品或综合审计产品的资质</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通过IPv6 Ready Logo认证并获得证书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tcBorders>
              <w:top w:val="single" w:color="auto" w:sz="4" w:space="0"/>
              <w:left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规格和性能要求</w:t>
            </w:r>
          </w:p>
          <w:p>
            <w:pPr>
              <w:rPr>
                <w:rFonts w:ascii="宋体" w:hAnsi="宋体" w:cs="宋体"/>
                <w:szCs w:val="21"/>
              </w:rPr>
            </w:pPr>
          </w:p>
        </w:tc>
        <w:tc>
          <w:tcPr>
            <w:tcW w:w="7370" w:type="dxa"/>
            <w:tcBorders>
              <w:top w:val="single" w:color="auto" w:sz="4" w:space="0"/>
              <w:left w:val="single" w:color="auto" w:sz="4" w:space="0"/>
              <w:right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标准2U硬件，≥1管理口+1HA口+8审计口（4个千兆电口+4千兆光口），网口类型：1000M电口≥6，1000M光口≥4</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内存：≥8GB*2；磁盘：≥2TB*2；双电源</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审计性能：同时支持12个数据库数审计能力，不会产生漏审</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总网络吞吐量：≥2000Mbps</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双向审计最大数据库流量：≥200Mbps</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峰值事务处理能力TPS：≥20000条/秒；日志数量存储：≥4亿条；审计日志检索能力≥1500万条/秒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协议支持</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支持SQL会话解密，支持对SQL Server 2005及以上版本TDS加密通讯协议采取证书导入方式实现透明解密，可以审计到用户名、请求的语句以及返回结果集等信息</w:t>
            </w:r>
            <w:r>
              <w:rPr>
                <w:rFonts w:hint="eastAsia"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可以通过导入证书的方式实现MySQL 5.7及以上版本采用了加密协议通讯的审计</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支持对各种协议自动识别编码及在web界面手工配置特定编码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审计功能</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支持数据库操作表、视图、索引、存储过程等</w:t>
            </w:r>
            <w:r>
              <w:rPr>
                <w:rFonts w:hint="eastAsia" w:ascii="宋体" w:hAnsi="宋体" w:cs="宋体"/>
                <w:szCs w:val="21"/>
              </w:rPr>
              <w:fldChar w:fldCharType="begin"/>
            </w:r>
            <w:r>
              <w:rPr>
                <w:rFonts w:hint="eastAsia" w:ascii="宋体" w:hAnsi="宋体" w:cs="宋体"/>
                <w:szCs w:val="21"/>
              </w:rPr>
              <w:instrText xml:space="preserve"> HYPERLINK \l "_支持各种对象的SQL审计_1" </w:instrText>
            </w:r>
            <w:r>
              <w:rPr>
                <w:rFonts w:hint="eastAsia" w:ascii="宋体" w:hAnsi="宋体" w:cs="宋体"/>
                <w:szCs w:val="21"/>
              </w:rPr>
              <w:fldChar w:fldCharType="separate"/>
            </w:r>
            <w:r>
              <w:rPr>
                <w:rFonts w:hint="eastAsia" w:ascii="宋体" w:hAnsi="宋体" w:cs="宋体"/>
                <w:szCs w:val="21"/>
              </w:rPr>
              <w:t>各种对象的所有SQL操作审计</w:t>
            </w:r>
            <w:r>
              <w:rPr>
                <w:rFonts w:hint="eastAsia" w:ascii="宋体" w:hAnsi="宋体" w:cs="宋体"/>
                <w:szCs w:val="21"/>
              </w:rPr>
              <w:fldChar w:fldCharType="end"/>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支持双向审计，提供审计返回时长、SQL错误代码、返回行数、返回结果集的审计，须提供权威检测机构的检测报告证明</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支持跨语句、跨多包的绑定变量名及绑定变量值审计</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支持超长SQL语句（最长4M）审计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安全审计</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支持审计记录中敏感数据的模糊化处理，内置常见敏感数据掩码规则，支持自定义</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支持基于数据库</w:t>
            </w:r>
            <w:r>
              <w:rPr>
                <w:rFonts w:hint="eastAsia" w:ascii="宋体" w:hAnsi="宋体" w:cs="宋体"/>
                <w:szCs w:val="21"/>
              </w:rPr>
              <w:fldChar w:fldCharType="begin"/>
            </w:r>
            <w:r>
              <w:rPr>
                <w:rFonts w:hint="eastAsia" w:ascii="宋体" w:hAnsi="宋体" w:cs="宋体"/>
                <w:szCs w:val="21"/>
              </w:rPr>
              <w:instrText xml:space="preserve"> HYPERLINK \l "_多维度查询" </w:instrText>
            </w:r>
            <w:r>
              <w:rPr>
                <w:rFonts w:hint="eastAsia" w:ascii="宋体" w:hAnsi="宋体" w:cs="宋体"/>
                <w:szCs w:val="21"/>
              </w:rPr>
              <w:fldChar w:fldCharType="separate"/>
            </w:r>
            <w:r>
              <w:rPr>
                <w:rFonts w:hint="eastAsia" w:ascii="宋体" w:hAnsi="宋体" w:cs="宋体"/>
                <w:szCs w:val="21"/>
              </w:rPr>
              <w:t>访问日期、时间、源/目的IP、来源</w:t>
            </w:r>
            <w:r>
              <w:rPr>
                <w:rFonts w:hint="eastAsia" w:ascii="宋体" w:hAnsi="宋体" w:cs="宋体"/>
                <w:szCs w:val="21"/>
              </w:rPr>
              <w:fldChar w:fldCharType="end"/>
            </w:r>
            <w:r>
              <w:rPr>
                <w:rFonts w:hint="eastAsia" w:ascii="宋体" w:hAnsi="宋体" w:cs="宋体"/>
                <w:szCs w:val="21"/>
              </w:rPr>
              <w:t>、数据库名、数据库表名、字段值、数据库登录账号、SQL关键词、数据库返回码、SQL响应时间、数据库操作类型、影响行数等条件的审计查询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模型分析</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支持自动建模，提供对数据库的访问行为创建模型，并能根据模型数据自动对模型以外的行为进行自动智能告警</w:t>
            </w:r>
            <w:r>
              <w:rPr>
                <w:rFonts w:hint="eastAsia"/>
                <w:lang w:eastAsia="zh-CN"/>
              </w:rPr>
              <w:t>；</w:t>
            </w:r>
          </w:p>
          <w:p>
            <w:pPr>
              <w:rPr>
                <w:rFonts w:ascii="宋体" w:hAnsi="宋体" w:cs="宋体"/>
                <w:szCs w:val="21"/>
              </w:rPr>
            </w:pPr>
            <w:r>
              <w:rPr>
                <w:rFonts w:hint="eastAsia" w:ascii="宋体" w:hAnsi="宋体" w:cs="宋体"/>
                <w:szCs w:val="21"/>
              </w:rPr>
              <w:t>对学习的安全基线以外的行为自动智能进行告警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系统管理</w:t>
            </w:r>
          </w:p>
        </w:tc>
        <w:tc>
          <w:tcPr>
            <w:tcW w:w="7370" w:type="dxa"/>
            <w:tcBorders>
              <w:bottom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支持</w:t>
            </w:r>
            <w:r>
              <w:rPr>
                <w:rFonts w:hint="eastAsia" w:ascii="宋体" w:hAnsi="宋体" w:cs="宋体"/>
                <w:szCs w:val="21"/>
              </w:rPr>
              <w:fldChar w:fldCharType="begin"/>
            </w:r>
            <w:r>
              <w:rPr>
                <w:rFonts w:hint="eastAsia" w:ascii="宋体" w:hAnsi="宋体" w:cs="宋体"/>
                <w:szCs w:val="21"/>
              </w:rPr>
              <w:instrText xml:space="preserve"> HYPERLINK \l "_NTP、SNMP" </w:instrText>
            </w:r>
            <w:r>
              <w:rPr>
                <w:rFonts w:hint="eastAsia" w:ascii="宋体" w:hAnsi="宋体" w:cs="宋体"/>
                <w:szCs w:val="21"/>
              </w:rPr>
              <w:fldChar w:fldCharType="separate"/>
            </w:r>
            <w:r>
              <w:rPr>
                <w:rFonts w:hint="eastAsia" w:ascii="宋体" w:hAnsi="宋体" w:cs="宋体"/>
                <w:szCs w:val="21"/>
              </w:rPr>
              <w:t>NTP时间同步，客户端浏览器时间同步、SNMP</w:t>
            </w:r>
            <w:r>
              <w:rPr>
                <w:rFonts w:hint="eastAsia" w:ascii="宋体" w:hAnsi="宋体" w:cs="宋体"/>
                <w:szCs w:val="21"/>
              </w:rPr>
              <w:fldChar w:fldCharType="end"/>
            </w:r>
            <w:r>
              <w:rPr>
                <w:rFonts w:hint="eastAsia" w:ascii="宋体" w:hAnsi="宋体" w:cs="宋体"/>
                <w:szCs w:val="21"/>
              </w:rPr>
              <w:t>（V1、V2、V3）网络管理协议</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支持系统资源使用率超阈值、agent状态异常、长时间无审计日志时触发系统告警，且告警支持通过页面、SYSLOG、SNMP、邮件、短信、钉钉方式输出</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功能全面API化，支持第三方调用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分布式</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支持在管理节点上管理数据库资产、审计规则、报表订阅、告警通知等</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支持在管理节点查询所有审计节点的日志信息</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支持在管理节点上监控所有审计节点的状态信息，包括CPU使用率、内存使用率、数据库流量、磁盘使用率、审计日志数、告警日志数等信息</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支持在管理中心直接升级审计节点</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管理中心和审计节点统一license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三层关联</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支持三层关联审计，提供客户端访问Web服务器的URL和应用服务器访问数据库的SQL语句一一关联功能，便于准确追踪溯源确定任何一个SQL语句是前端具体哪个URL访问触发</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支持通过部署agent实现java web环境100%准确关联</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支持资产组管理</w:t>
            </w:r>
          </w:p>
        </w:tc>
      </w:tr>
    </w:tbl>
    <w:p/>
    <w:p>
      <w:pPr>
        <w:pStyle w:val="6"/>
        <w:ind w:firstLine="482" w:firstLineChars="200"/>
        <w:rPr>
          <w:b/>
          <w:bCs w:val="0"/>
          <w:sz w:val="24"/>
          <w:szCs w:val="24"/>
        </w:rPr>
      </w:pPr>
      <w:r>
        <w:rPr>
          <w:rFonts w:hint="eastAsia"/>
          <w:b/>
          <w:bCs w:val="0"/>
          <w:sz w:val="24"/>
          <w:szCs w:val="24"/>
          <w:lang w:val="en-US" w:eastAsia="zh-CN"/>
        </w:rPr>
        <w:t>20</w:t>
      </w:r>
      <w:r>
        <w:rPr>
          <w:rFonts w:hint="eastAsia"/>
          <w:b/>
          <w:bCs w:val="0"/>
          <w:sz w:val="24"/>
          <w:szCs w:val="24"/>
        </w:rPr>
        <w:t>.预警平台</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1"/>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指标项</w:t>
            </w:r>
          </w:p>
        </w:tc>
        <w:tc>
          <w:tcPr>
            <w:tcW w:w="7370" w:type="dxa"/>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产品资质要求</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通过公安部检测并获得计算机信息系统安全专用产品销售许可证（APT安全监测类）</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通过IPv6 Ready Logo认证并获得证书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规格和性能要求</w:t>
            </w:r>
          </w:p>
        </w:tc>
        <w:tc>
          <w:tcPr>
            <w:tcW w:w="7370" w:type="dxa"/>
            <w:tcBorders>
              <w:bottom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rPr>
              <w:t>软硬一体化2U标准机架式设备，1+1冗余电源</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CPU</w:t>
            </w:r>
            <w:r>
              <w:rPr>
                <w:rFonts w:hint="eastAsia" w:cs="宋体"/>
                <w:szCs w:val="21"/>
              </w:rPr>
              <w:t>：</w:t>
            </w:r>
            <w:r>
              <w:rPr>
                <w:rFonts w:hint="eastAsia" w:ascii="宋体" w:hAnsi="宋体" w:cs="宋体"/>
                <w:szCs w:val="21"/>
              </w:rPr>
              <w:t>不低于6核心12线程*2</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内存：≥32G，硬盘：≥2T*2，带RAID1，可用磁盘空间不小于2T</w:t>
            </w:r>
            <w:r>
              <w:rPr>
                <w:rFonts w:hint="eastAsia" w:cs="宋体"/>
                <w:szCs w:val="21"/>
              </w:rPr>
              <w:t>；</w:t>
            </w:r>
            <w:r>
              <w:rPr>
                <w:rFonts w:hint="eastAsia" w:ascii="宋体" w:hAnsi="宋体" w:cs="宋体"/>
                <w:szCs w:val="21"/>
              </w:rPr>
              <w:t>管理口：不少于Consle*1</w:t>
            </w:r>
            <w:r>
              <w:rPr>
                <w:rFonts w:hint="eastAsia" w:cs="宋体"/>
                <w:szCs w:val="21"/>
              </w:rPr>
              <w:t>，</w:t>
            </w:r>
            <w:r>
              <w:rPr>
                <w:rFonts w:hint="eastAsia" w:ascii="宋体" w:hAnsi="宋体" w:cs="宋体"/>
                <w:szCs w:val="21"/>
              </w:rPr>
              <w:t>USB*2</w:t>
            </w:r>
            <w:r>
              <w:rPr>
                <w:rFonts w:hint="eastAsia" w:cs="宋体"/>
                <w:szCs w:val="21"/>
              </w:rPr>
              <w:t>，</w:t>
            </w:r>
            <w:r>
              <w:rPr>
                <w:rFonts w:hint="eastAsia" w:ascii="宋体" w:hAnsi="宋体" w:cs="宋体"/>
                <w:szCs w:val="21"/>
              </w:rPr>
              <w:t>千兆RJ45网口*2</w:t>
            </w:r>
            <w:r>
              <w:rPr>
                <w:rFonts w:hint="eastAsia" w:cs="宋体"/>
                <w:szCs w:val="21"/>
              </w:rPr>
              <w:t>；</w:t>
            </w:r>
          </w:p>
          <w:p>
            <w:pPr>
              <w:widowControl/>
              <w:rPr>
                <w:rFonts w:hint="eastAsia" w:ascii="宋体" w:hAnsi="宋体" w:eastAsia="宋体" w:cs="宋体"/>
                <w:szCs w:val="21"/>
                <w:lang w:eastAsia="zh-CN"/>
              </w:rPr>
            </w:pPr>
            <w:r>
              <w:rPr>
                <w:rFonts w:hint="eastAsia" w:ascii="宋体" w:hAnsi="宋体" w:cs="宋体"/>
                <w:szCs w:val="21"/>
              </w:rPr>
              <w:t>业务口：不少于千兆RJ45网口*4，千兆SFP光口*4</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吞吐率：网络层≥4Gbps，应用层≥2Gbps</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WEB检测：HTTP最大并发数≥10万/秒</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邮件处理数：≥200万封/24小时</w:t>
            </w:r>
            <w:r>
              <w:rPr>
                <w:rFonts w:hint="eastAsia" w:ascii="宋体" w:hAnsi="宋体" w:cs="宋体"/>
                <w:szCs w:val="21"/>
                <w:lang w:eastAsia="zh-CN"/>
              </w:rPr>
              <w:t>；</w:t>
            </w:r>
          </w:p>
          <w:p>
            <w:pPr>
              <w:rPr>
                <w:rFonts w:hint="eastAsia" w:ascii="宋体" w:hAnsi="宋体" w:eastAsia="宋体" w:cs="宋体"/>
                <w:szCs w:val="21"/>
                <w:lang w:eastAsia="zh-CN"/>
              </w:rPr>
            </w:pPr>
            <w:r>
              <w:rPr>
                <w:rFonts w:hint="eastAsia" w:ascii="宋体" w:hAnsi="宋体" w:cs="宋体"/>
                <w:szCs w:val="21"/>
              </w:rPr>
              <w:t>文件检测：≥10万个/24小时</w:t>
            </w:r>
            <w:r>
              <w:rPr>
                <w:rFonts w:hint="eastAsia" w:ascii="宋体" w:hAnsi="宋体" w:cs="宋体"/>
                <w:szCs w:val="21"/>
                <w:lang w:eastAsia="zh-CN"/>
              </w:rPr>
              <w:t>；</w:t>
            </w:r>
          </w:p>
          <w:p>
            <w:pPr>
              <w:pStyle w:val="8"/>
              <w:ind w:firstLine="0"/>
              <w:rPr>
                <w:rFonts w:ascii="宋体" w:hAnsi="宋体" w:cs="宋体"/>
                <w:szCs w:val="21"/>
              </w:rPr>
            </w:pPr>
            <w:r>
              <w:rPr>
                <w:rFonts w:hint="eastAsia" w:ascii="宋体" w:hAnsi="宋体" w:cs="宋体"/>
                <w:szCs w:val="21"/>
              </w:rPr>
              <w:t>支持全流量检测，可根据需求打开或关闭全流量检测功能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p>
          <w:p>
            <w:pPr>
              <w:widowControl/>
              <w:rPr>
                <w:rFonts w:ascii="宋体" w:hAnsi="宋体" w:cs="宋体"/>
                <w:szCs w:val="21"/>
              </w:rPr>
            </w:pPr>
          </w:p>
          <w:p>
            <w:pPr>
              <w:widowControl/>
              <w:rPr>
                <w:rFonts w:ascii="宋体" w:hAnsi="宋体" w:cs="宋体"/>
                <w:szCs w:val="21"/>
              </w:rPr>
            </w:pPr>
          </w:p>
          <w:p>
            <w:pPr>
              <w:widowControl/>
              <w:rPr>
                <w:rFonts w:ascii="宋体" w:hAnsi="宋体" w:cs="宋体"/>
                <w:szCs w:val="21"/>
              </w:rPr>
            </w:pPr>
          </w:p>
          <w:p>
            <w:pPr>
              <w:widowControl/>
              <w:rPr>
                <w:rFonts w:ascii="宋体" w:hAnsi="宋体" w:cs="宋体"/>
                <w:szCs w:val="21"/>
              </w:rPr>
            </w:pPr>
            <w:r>
              <w:rPr>
                <w:rFonts w:hint="eastAsia" w:ascii="宋体" w:hAnsi="宋体" w:cs="宋体"/>
                <w:szCs w:val="21"/>
              </w:rPr>
              <w:t>审计协议</w:t>
            </w:r>
          </w:p>
          <w:p>
            <w:pPr>
              <w:rPr>
                <w:rFonts w:ascii="宋体" w:hAnsi="宋体" w:cs="宋体"/>
                <w:szCs w:val="21"/>
              </w:rPr>
            </w:pPr>
            <w:r>
              <w:rPr>
                <w:rFonts w:hint="eastAsia" w:ascii="宋体" w:hAnsi="宋体" w:cs="宋体"/>
                <w:szCs w:val="21"/>
              </w:rPr>
              <w:t>协议自动识别</w:t>
            </w:r>
          </w:p>
        </w:tc>
        <w:tc>
          <w:tcPr>
            <w:tcW w:w="7370" w:type="dxa"/>
            <w:vAlign w:val="center"/>
          </w:tcPr>
          <w:p>
            <w:pPr>
              <w:widowControl/>
              <w:rPr>
                <w:rFonts w:ascii="宋体" w:hAnsi="宋体" w:cs="宋体"/>
                <w:szCs w:val="21"/>
              </w:rPr>
            </w:pPr>
            <w:r>
              <w:rPr>
                <w:rFonts w:hint="eastAsia" w:ascii="宋体" w:hAnsi="宋体" w:cs="宋体"/>
                <w:szCs w:val="21"/>
              </w:rPr>
              <w:t>支持解析HTTP、FTP、SMTP、POP3、SMB、IMAP、DNS、Mysql、MSSQL、Oracle、HTTPS、SMTPS、POP3S、IMAPS等协议报文（HTTPS、SMTPS、POP3S、IMAPS加密协议解析需要导入服务器私钥证书），并提供审计协议类型的端口号配置，可根据需要变更端口号</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支持非标端口下的常规协议自动识别、解析和威胁检测功能，包括HTTP/FTP/IMAP/SMTP/POP3/SSL/SMB/RDP等；可自定义是否启用该功能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检测风险类别</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支持根据MAC与IP地址的绑定关系，分析网络中的ARP流量，判断ARP应答包中的IP和MAC地址是否匹配</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支持对内网主机进行主机威胁分析，详细展示具体的威胁等级、威胁次数、攻击开始时间、攻击结束时间、威胁性指数统计等</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可基于该页面，快速获悉攻击者IP、攻击手段和攻击资产，并支持导出攻击者列表，便于威胁分析人员快速应对和处置</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支持上传PCAP包进行回放分析</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支持 HTTP、HTTPS（需要导入服务器私钥证书）协议解析，检测WEB攻击</w:t>
            </w:r>
          </w:p>
          <w:p>
            <w:pPr>
              <w:widowControl/>
              <w:rPr>
                <w:rFonts w:hint="eastAsia" w:ascii="宋体" w:hAnsi="宋体" w:eastAsia="宋体" w:cs="宋体"/>
                <w:szCs w:val="21"/>
                <w:lang w:eastAsia="zh-CN"/>
              </w:rPr>
            </w:pPr>
            <w:r>
              <w:rPr>
                <w:rFonts w:hint="eastAsia" w:ascii="宋体" w:hAnsi="宋体" w:cs="宋体"/>
                <w:szCs w:val="21"/>
              </w:rPr>
              <w:t>支持双向审计，对请求和响应都进行审计</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支持WEB特征攻击风险白名单配置，白名单颗粒度可达到WEB特征类别、WEB特征规则和HTTP方法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rPr>
                <w:rFonts w:ascii="宋体" w:hAnsi="宋体" w:cs="宋体"/>
                <w:szCs w:val="21"/>
              </w:rPr>
            </w:pPr>
            <w:r>
              <w:rPr>
                <w:rFonts w:hint="eastAsia" w:ascii="宋体" w:hAnsi="宋体" w:cs="宋体"/>
                <w:szCs w:val="21"/>
              </w:rPr>
              <w:t>设备联动</w:t>
            </w:r>
          </w:p>
        </w:tc>
        <w:tc>
          <w:tcPr>
            <w:tcW w:w="7370" w:type="dxa"/>
            <w:vAlign w:val="center"/>
          </w:tcPr>
          <w:p>
            <w:pPr>
              <w:widowControl/>
              <w:rPr>
                <w:rFonts w:ascii="宋体" w:hAnsi="宋体" w:cs="宋体"/>
                <w:szCs w:val="21"/>
              </w:rPr>
            </w:pPr>
            <w:r>
              <w:rPr>
                <w:rFonts w:hint="eastAsia" w:ascii="宋体" w:hAnsi="宋体" w:cs="宋体"/>
                <w:szCs w:val="21"/>
              </w:rPr>
              <w:t>支持将分析到的恶意文件攻击行为同步到EDR，实现APT深度威胁分析与EDR联动查杀；</w:t>
            </w:r>
          </w:p>
          <w:p>
            <w:pPr>
              <w:rPr>
                <w:rFonts w:ascii="宋体" w:hAnsi="宋体" w:cs="宋体"/>
                <w:szCs w:val="21"/>
              </w:rPr>
            </w:pPr>
            <w:r>
              <w:rPr>
                <w:rFonts w:hint="eastAsia" w:ascii="宋体" w:hAnsi="宋体" w:cs="宋体"/>
                <w:szCs w:val="21"/>
              </w:rPr>
              <w:t>支持将分析到的SMB远程溢出攻击、扫描行为、Web后门访问、隧道通信、暴力破解、挖矿、远控工具利用、WEB攻击等同步到防火墙，实现APT深度威胁分析与防火墙联动阻断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动态沙箱检测</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动态执行可疑文件，分析代码的注册表、进程、网络、文件等行为，分析其安全风险</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支持沙箱逃逸检测，当恶意文件进行逃逸尝试，在沙箱报告中进行体现</w:t>
            </w:r>
            <w:r>
              <w:rPr>
                <w:rFonts w:hint="eastAsia"/>
                <w:lang w:eastAsia="zh-CN"/>
              </w:rPr>
              <w:t>；</w:t>
            </w:r>
          </w:p>
          <w:p>
            <w:pPr>
              <w:rPr>
                <w:rFonts w:ascii="宋体" w:hAnsi="宋体" w:cs="宋体"/>
                <w:szCs w:val="21"/>
              </w:rPr>
            </w:pPr>
            <w:r>
              <w:rPr>
                <w:rFonts w:hint="eastAsia" w:ascii="宋体" w:hAnsi="宋体" w:cs="宋体"/>
                <w:szCs w:val="21"/>
              </w:rPr>
              <w:t>可展示具体文件的行为，包括所有的注册表行为、进程行为、互斥量、返回结果、返回值等信息</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资产识别和管理</w:t>
            </w:r>
          </w:p>
        </w:tc>
        <w:tc>
          <w:tcPr>
            <w:tcW w:w="7370" w:type="dxa"/>
            <w:vAlign w:val="center"/>
          </w:tcPr>
          <w:p>
            <w:pPr>
              <w:widowControl/>
              <w:rPr>
                <w:rFonts w:ascii="宋体" w:hAnsi="宋体" w:cs="宋体"/>
                <w:szCs w:val="21"/>
              </w:rPr>
            </w:pPr>
            <w:r>
              <w:rPr>
                <w:rFonts w:hint="eastAsia" w:ascii="宋体" w:hAnsi="宋体" w:cs="宋体"/>
                <w:szCs w:val="21"/>
              </w:rPr>
              <w:t>支持对流量中的IP地址、端口等进行统计，快速识别未登记资产。可基于特定应用或服务对内部资产进行梳理（系统类型、IP、域名、端口等），查看资产端口暴露情况，特别是以非标端口提供的服务情况；可深入识别运行在资产上的中间件、应用、技术架构的详细情况（类型、版本、服务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可视化展示</w:t>
            </w:r>
          </w:p>
        </w:tc>
        <w:tc>
          <w:tcPr>
            <w:tcW w:w="7370" w:type="dxa"/>
            <w:vAlign w:val="center"/>
          </w:tcPr>
          <w:p>
            <w:pPr>
              <w:widowControl/>
              <w:rPr>
                <w:rFonts w:ascii="宋体" w:hAnsi="宋体" w:cs="宋体"/>
                <w:szCs w:val="21"/>
              </w:rPr>
            </w:pPr>
            <w:r>
              <w:rPr>
                <w:rFonts w:hint="eastAsia" w:ascii="宋体" w:hAnsi="宋体" w:cs="宋体"/>
                <w:szCs w:val="21"/>
              </w:rPr>
              <w:t>导航：支持大屏展示网络攻击态势，包括攻击地图、紧急事件数/总数、恶意文件数/扫描总数、风险趋势（高、中、低风险）、流量分析（吞吐量、HTTP流量、DNS流量）、高危风险类别排名、攻击源区域排名、紧急事件/高危事件，并支持全球地图、中国地图切换展示</w:t>
            </w:r>
            <w:r>
              <w:rPr>
                <w:rFonts w:hint="eastAsia"/>
                <w:lang w:eastAsia="zh-CN"/>
              </w:rPr>
              <w:t>；</w:t>
            </w:r>
          </w:p>
        </w:tc>
      </w:tr>
    </w:tbl>
    <w:p/>
    <w:p>
      <w:pPr>
        <w:pStyle w:val="6"/>
        <w:ind w:firstLine="482" w:firstLineChars="200"/>
        <w:rPr>
          <w:b/>
          <w:bCs w:val="0"/>
          <w:sz w:val="24"/>
          <w:szCs w:val="40"/>
        </w:rPr>
      </w:pPr>
      <w:r>
        <w:rPr>
          <w:rFonts w:hint="eastAsia"/>
          <w:b/>
          <w:bCs w:val="0"/>
          <w:sz w:val="24"/>
          <w:szCs w:val="40"/>
        </w:rPr>
        <w:t>21.主机安全卫士</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1套、非核心产品）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硬件配置</w:t>
            </w:r>
          </w:p>
        </w:tc>
        <w:tc>
          <w:tcPr>
            <w:tcW w:w="7370" w:type="dxa"/>
            <w:vAlign w:val="center"/>
          </w:tcPr>
          <w:p>
            <w:pPr>
              <w:widowControl/>
              <w:rPr>
                <w:rFonts w:ascii="宋体" w:hAnsi="宋体" w:cs="宋体"/>
                <w:szCs w:val="21"/>
              </w:rPr>
            </w:pPr>
            <w:r>
              <w:rPr>
                <w:rFonts w:hint="eastAsia" w:ascii="宋体" w:hAnsi="宋体" w:cs="宋体"/>
                <w:szCs w:val="21"/>
              </w:rPr>
              <w:t>硬件服务器品牌工控机、规格1U、CPU不低于二核四线程、内存≥8G、硬盘≥1T、≥6电口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软件支持</w:t>
            </w:r>
          </w:p>
        </w:tc>
        <w:tc>
          <w:tcPr>
            <w:tcW w:w="7370" w:type="dxa"/>
            <w:vAlign w:val="center"/>
          </w:tcPr>
          <w:p>
            <w:pPr>
              <w:widowControl/>
              <w:rPr>
                <w:rFonts w:ascii="宋体" w:hAnsi="宋体" w:cs="宋体"/>
                <w:szCs w:val="21"/>
              </w:rPr>
            </w:pPr>
            <w:r>
              <w:rPr>
                <w:rFonts w:hint="eastAsia" w:ascii="宋体" w:hAnsi="宋体" w:cs="宋体"/>
                <w:szCs w:val="21"/>
              </w:rPr>
              <w:t>软件可根据具体业务需求进行配置和功能定制化开发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系统性能监控</w:t>
            </w:r>
          </w:p>
        </w:tc>
        <w:tc>
          <w:tcPr>
            <w:tcW w:w="7370" w:type="dxa"/>
            <w:vAlign w:val="center"/>
          </w:tcPr>
          <w:p>
            <w:pPr>
              <w:widowControl/>
              <w:rPr>
                <w:rFonts w:ascii="宋体" w:hAnsi="宋体" w:cs="宋体"/>
                <w:szCs w:val="21"/>
              </w:rPr>
            </w:pPr>
            <w:r>
              <w:rPr>
                <w:rFonts w:hint="eastAsia" w:ascii="宋体" w:hAnsi="宋体" w:cs="宋体"/>
                <w:szCs w:val="21"/>
              </w:rPr>
              <w:t>支持对CPU使用率监控、内存占用率监控、磁盘读写监控、上下行流量监控</w:t>
            </w:r>
          </w:p>
          <w:p>
            <w:pPr>
              <w:widowControl/>
              <w:outlineLvl w:val="1"/>
              <w:rPr>
                <w:rFonts w:ascii="宋体" w:hAnsi="宋体" w:cs="宋体"/>
                <w:szCs w:val="21"/>
              </w:rPr>
            </w:pPr>
            <w:r>
              <w:rPr>
                <w:rFonts w:hint="eastAsia" w:ascii="宋体" w:hAnsi="宋体" w:cs="宋体"/>
                <w:szCs w:val="21"/>
              </w:rPr>
              <w:t>支持对CPU、内存、磁盘读写、网络上下行流量达到配置阈值时告警。支持对CPU、内存达到一定阈值时客户端进行熔断</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支持网络通信全时监控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高级威胁防护模块</w:t>
            </w:r>
          </w:p>
        </w:tc>
        <w:tc>
          <w:tcPr>
            <w:tcW w:w="7370" w:type="dxa"/>
            <w:vAlign w:val="center"/>
          </w:tcPr>
          <w:p>
            <w:pPr>
              <w:widowControl/>
              <w:rPr>
                <w:rFonts w:ascii="宋体" w:hAnsi="宋体" w:cs="宋体"/>
                <w:szCs w:val="21"/>
              </w:rPr>
            </w:pPr>
            <w:r>
              <w:rPr>
                <w:rFonts w:hint="eastAsia" w:ascii="宋体" w:hAnsi="宋体" w:cs="宋体"/>
                <w:szCs w:val="21"/>
              </w:rPr>
              <w:t>支持对本机的扩展行为（信息收集、权限提升）进行监测，防止提权行为和信息泄露</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识别渗透过程中的隧道代理（端口映射、端口转发、内网代理），可阻断隧道代理搭建行为</w:t>
            </w:r>
            <w:r>
              <w:rPr>
                <w:rFonts w:hint="eastAsia" w:ascii="宋体" w:hAnsi="宋体" w:cs="宋体"/>
                <w:szCs w:val="21"/>
                <w:lang w:eastAsia="zh-CN"/>
              </w:rPr>
              <w:t>；</w:t>
            </w:r>
          </w:p>
          <w:p>
            <w:pPr>
              <w:widowControl/>
              <w:shd w:val="clear" w:color="auto" w:fill="FFFFFF"/>
              <w:rPr>
                <w:rFonts w:ascii="宋体" w:hAnsi="宋体" w:cs="宋体"/>
                <w:szCs w:val="21"/>
              </w:rPr>
            </w:pPr>
            <w:r>
              <w:rPr>
                <w:rFonts w:hint="eastAsia" w:ascii="宋体" w:hAnsi="宋体" w:cs="宋体"/>
                <w:szCs w:val="21"/>
              </w:rPr>
              <w:t>对失陷后主机远控持久化行为进行检测（反弹shell、远程控制），可阻断远控</w:t>
            </w:r>
            <w:r>
              <w:rPr>
                <w:rFonts w:hint="eastAsia" w:ascii="宋体" w:hAnsi="宋体" w:cs="宋体"/>
                <w:szCs w:val="21"/>
                <w:lang w:eastAsia="zh-CN"/>
              </w:rPr>
              <w:t>；</w:t>
            </w:r>
          </w:p>
          <w:p>
            <w:pPr>
              <w:widowControl/>
              <w:shd w:val="clear" w:color="auto" w:fill="FFFFFF"/>
              <w:rPr>
                <w:rFonts w:hint="eastAsia" w:ascii="宋体" w:hAnsi="宋体" w:eastAsia="宋体" w:cs="宋体"/>
                <w:szCs w:val="21"/>
                <w:lang w:eastAsia="zh-CN"/>
              </w:rPr>
            </w:pPr>
            <w:r>
              <w:rPr>
                <w:rFonts w:hint="eastAsia" w:ascii="宋体" w:hAnsi="宋体" w:cs="宋体"/>
                <w:szCs w:val="21"/>
              </w:rPr>
              <w:t>对内网的恶意攻击行为进行识别（漏洞利用、横向移动），可阻断恶意探测行为</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可对渗透的收尾阶段的数据清除行为进行识别和阻断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系统安全性模块</w:t>
            </w:r>
          </w:p>
        </w:tc>
        <w:tc>
          <w:tcPr>
            <w:tcW w:w="7370" w:type="dxa"/>
            <w:vAlign w:val="center"/>
          </w:tcPr>
          <w:p>
            <w:pPr>
              <w:pStyle w:val="51"/>
              <w:widowControl/>
              <w:ind w:firstLine="0" w:firstLineChars="0"/>
              <w:rPr>
                <w:rFonts w:hint="eastAsia" w:ascii="Arial" w:hAnsi="Arial" w:eastAsia="宋体"/>
                <w:lang w:eastAsia="zh-CN"/>
              </w:rPr>
            </w:pPr>
            <w:r>
              <w:rPr>
                <w:rFonts w:hint="eastAsia" w:ascii="宋体" w:hAnsi="宋体" w:cs="宋体"/>
                <w:szCs w:val="21"/>
              </w:rPr>
              <w:t>违规外联支持黑、白名单双模式，白名单模式可配置是否允许访问特定的网站和地址；黑名单模式可自定义恶意IP，支持黑名单告警和阻断</w:t>
            </w:r>
            <w:r>
              <w:rPr>
                <w:rFonts w:hint="eastAsia" w:ascii="Arial" w:hAnsi="Arial"/>
              </w:rPr>
              <w:t xml:space="preserve"> </w:t>
            </w:r>
            <w:r>
              <w:rPr>
                <w:rFonts w:hint="eastAsia" w:ascii="Arial" w:hAnsi="Arial"/>
                <w:lang w:eastAsia="zh-CN"/>
              </w:rPr>
              <w:t>；</w:t>
            </w:r>
          </w:p>
          <w:p>
            <w:pPr>
              <w:widowControl/>
              <w:rPr>
                <w:rFonts w:ascii="宋体" w:hAnsi="宋体" w:cs="宋体"/>
                <w:szCs w:val="21"/>
              </w:rPr>
            </w:pPr>
            <w:r>
              <w:rPr>
                <w:rFonts w:hint="eastAsia" w:ascii="宋体" w:hAnsi="宋体" w:cs="宋体"/>
                <w:szCs w:val="21"/>
              </w:rPr>
              <w:t>支持登录防护，包括以系统账号为粒度的异常登录防护、支持五个任意维度（任意地理位置，任意IP，任意域名，任意计算机名，任意时间）的系统登录访问策略设置</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支持管理员对入网的移动存储介质进行注册，可以对已注册的移动介质进行管理，包括授权、启用、停用、删除、导出注册列表、行为监控及审计等</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支持客户端自主申请移动存储介质注册，管理员统一对申请进行审批</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支持开启白名单，对白名单内的文件的操作进行放行</w:t>
            </w:r>
            <w:r>
              <w:rPr>
                <w:rFonts w:hint="eastAsia" w:ascii="宋体" w:hAnsi="宋体" w:cs="宋体"/>
                <w:szCs w:val="21"/>
              </w:rPr>
              <w:fldChar w:fldCharType="begin"/>
            </w:r>
            <w:r>
              <w:rPr>
                <w:rFonts w:hint="eastAsia" w:ascii="宋体" w:hAnsi="宋体" w:cs="宋体"/>
                <w:szCs w:val="21"/>
              </w:rPr>
              <w:instrText xml:space="preserve"> HYPERLINK \l "截图五" </w:instrText>
            </w:r>
            <w:r>
              <w:rPr>
                <w:rFonts w:hint="eastAsia" w:ascii="宋体" w:hAnsi="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防病毒模块</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提供专门的针对未知勒索病毒的防御引擎，并提供功能开关项。对于未知勒索病毒确保无法加密。支持白名单设置</w:t>
            </w:r>
            <w:r>
              <w:rPr>
                <w:rFonts w:hint="eastAsia" w:ascii="宋体" w:hAnsi="宋体" w:cs="宋体"/>
                <w:szCs w:val="21"/>
                <w:lang w:eastAsia="zh-CN"/>
              </w:rPr>
              <w:t>；</w:t>
            </w:r>
          </w:p>
          <w:p>
            <w:pPr>
              <w:pStyle w:val="51"/>
              <w:widowControl/>
              <w:ind w:firstLine="0" w:firstLineChars="0"/>
              <w:rPr>
                <w:rFonts w:hint="eastAsia" w:ascii="宋体" w:hAnsi="宋体" w:eastAsia="宋体" w:cs="宋体"/>
                <w:szCs w:val="21"/>
                <w:lang w:eastAsia="zh-CN"/>
              </w:rPr>
            </w:pPr>
            <w:r>
              <w:rPr>
                <w:rFonts w:hint="eastAsia" w:ascii="宋体" w:hAnsi="宋体" w:cs="宋体"/>
                <w:szCs w:val="21"/>
              </w:rPr>
              <w:t>支持强力查杀，对于无法普通隔离的病毒文件强制停止进程并隔离或动态移除到删除队列</w:t>
            </w:r>
            <w:r>
              <w:rPr>
                <w:rFonts w:hint="eastAsia" w:ascii="宋体" w:hAnsi="宋体" w:cs="宋体"/>
                <w:szCs w:val="21"/>
                <w:lang w:eastAsia="zh-CN"/>
              </w:rPr>
              <w:t>；</w:t>
            </w:r>
          </w:p>
          <w:p>
            <w:pPr>
              <w:pStyle w:val="51"/>
              <w:widowControl/>
              <w:ind w:firstLine="0" w:firstLineChars="0"/>
              <w:rPr>
                <w:rFonts w:hint="eastAsia" w:ascii="宋体" w:hAnsi="宋体" w:eastAsia="宋体" w:cs="宋体"/>
                <w:szCs w:val="21"/>
                <w:lang w:eastAsia="zh-CN"/>
              </w:rPr>
            </w:pPr>
            <w:r>
              <w:rPr>
                <w:rFonts w:hint="eastAsia" w:ascii="宋体" w:hAnsi="宋体" w:cs="宋体"/>
                <w:szCs w:val="21"/>
              </w:rPr>
              <w:t>支持部分病毒感染文件的修复功能，对于二进制文件可剥离感染部分，保证应用正常使用</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支持对压缩文件、打包文件查、杀毒（默认支持9层压缩扫描，可根据用户需求增加扫描层数）</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支持运行文件查杀毒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p>
          <w:p>
            <w:pPr>
              <w:widowControl/>
              <w:rPr>
                <w:rFonts w:ascii="宋体" w:hAnsi="宋体" w:cs="宋体"/>
                <w:szCs w:val="21"/>
              </w:rPr>
            </w:pPr>
          </w:p>
          <w:p>
            <w:pPr>
              <w:widowControl/>
              <w:rPr>
                <w:rFonts w:ascii="宋体" w:hAnsi="宋体" w:cs="宋体"/>
                <w:szCs w:val="21"/>
              </w:rPr>
            </w:pPr>
            <w:r>
              <w:rPr>
                <w:rFonts w:hint="eastAsia" w:ascii="宋体" w:hAnsi="宋体" w:cs="宋体"/>
                <w:szCs w:val="21"/>
              </w:rPr>
              <w:t>告警功能</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告警类型包括：高级威胁、系统防护、网络防护、Web应用防护</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告警内容至少包括事件发生时间、事件类型、访问的资源、 IP源地址等详细内容</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告警方式包括：Email，短信，syslog，snmptrap，自定义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集中管控</w:t>
            </w: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支持导出已安装客户端程序的资产清单</w:t>
            </w:r>
            <w:r>
              <w:rPr>
                <w:rFonts w:hint="eastAsia" w:ascii="Arial" w:hAnsi="Arial" w:cs="宋体"/>
                <w:szCs w:val="21"/>
              </w:rPr>
              <w:t>；</w:t>
            </w:r>
            <w:r>
              <w:rPr>
                <w:rFonts w:hint="eastAsia" w:ascii="宋体" w:hAnsi="宋体" w:cs="宋体"/>
                <w:szCs w:val="21"/>
              </w:rPr>
              <w:t>支持导出日志</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能够通过统一的管理中心对多个服务器或主机进行监控</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能实时检测工作组件工作状态以及系统关键资源的运行状态</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能对服务器或主机节点进行分组管理</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支持多级中心部署，查看所有下级控制中心的资产部署情况以及风险数据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p>
          <w:p>
            <w:pPr>
              <w:widowControl/>
              <w:rPr>
                <w:rFonts w:ascii="宋体" w:hAnsi="宋体" w:cs="宋体"/>
                <w:szCs w:val="21"/>
              </w:rPr>
            </w:pPr>
            <w:r>
              <w:rPr>
                <w:rFonts w:hint="eastAsia" w:ascii="宋体" w:hAnsi="宋体" w:cs="宋体"/>
                <w:szCs w:val="21"/>
              </w:rPr>
              <w:t>用户管理</w:t>
            </w:r>
          </w:p>
          <w:p>
            <w:pPr>
              <w:rPr>
                <w:rFonts w:ascii="宋体" w:hAnsi="宋体" w:cs="宋体"/>
                <w:szCs w:val="21"/>
              </w:rPr>
            </w:pPr>
          </w:p>
        </w:tc>
        <w:tc>
          <w:tcPr>
            <w:tcW w:w="7370" w:type="dxa"/>
            <w:tcBorders>
              <w:bottom w:val="single" w:color="auto" w:sz="4" w:space="0"/>
            </w:tcBorders>
            <w:vAlign w:val="center"/>
          </w:tcPr>
          <w:p>
            <w:pPr>
              <w:widowControl/>
              <w:tabs>
                <w:tab w:val="right" w:pos="5859"/>
              </w:tabs>
              <w:rPr>
                <w:rFonts w:hint="eastAsia" w:ascii="宋体" w:hAnsi="宋体" w:eastAsia="宋体" w:cs="宋体"/>
                <w:szCs w:val="21"/>
                <w:lang w:eastAsia="zh-CN"/>
              </w:rPr>
            </w:pPr>
            <w:r>
              <w:rPr>
                <w:rFonts w:hint="eastAsia" w:ascii="宋体" w:hAnsi="宋体" w:cs="宋体"/>
                <w:szCs w:val="21"/>
              </w:rPr>
              <w:t>支持多级用户管理：系统管理员、租户管理员</w:t>
            </w:r>
            <w:r>
              <w:rPr>
                <w:rFonts w:hint="eastAsia" w:ascii="宋体" w:hAnsi="宋体" w:cs="宋体"/>
                <w:szCs w:val="21"/>
                <w:lang w:eastAsia="zh-CN"/>
              </w:rPr>
              <w:t>；</w:t>
            </w:r>
          </w:p>
          <w:p>
            <w:pPr>
              <w:widowControl/>
              <w:rPr>
                <w:rFonts w:ascii="宋体" w:hAnsi="宋体" w:cs="宋体"/>
                <w:szCs w:val="21"/>
              </w:rPr>
            </w:pPr>
            <w:r>
              <w:rPr>
                <w:rFonts w:hint="eastAsia" w:ascii="宋体" w:hAnsi="宋体" w:cs="宋体"/>
                <w:szCs w:val="21"/>
              </w:rPr>
              <w:t>至少支持以下帐号管理功能：帐号创建、帐号授权、帐号属性修改和帐号删除</w:t>
            </w:r>
          </w:p>
          <w:p>
            <w:pPr>
              <w:widowControl/>
              <w:rPr>
                <w:rFonts w:hint="eastAsia" w:ascii="宋体" w:hAnsi="宋体" w:eastAsia="宋体" w:cs="宋体"/>
                <w:szCs w:val="21"/>
                <w:lang w:eastAsia="zh-CN"/>
              </w:rPr>
            </w:pPr>
            <w:r>
              <w:rPr>
                <w:rFonts w:hint="eastAsia" w:ascii="宋体" w:hAnsi="宋体" w:cs="宋体"/>
                <w:szCs w:val="21"/>
              </w:rPr>
              <w:t>进行身份认证，用户切换角色时，必须进行重新认证</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支持超时重新认证机制并能够定义用户认证尝试的最大允许失败次数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widowControl/>
              <w:rPr>
                <w:rFonts w:ascii="宋体" w:hAnsi="宋体" w:cs="宋体"/>
                <w:szCs w:val="21"/>
              </w:rPr>
            </w:pPr>
            <w:r>
              <w:rPr>
                <w:rFonts w:hint="eastAsia" w:ascii="宋体" w:hAnsi="宋体" w:cs="宋体"/>
                <w:szCs w:val="21"/>
              </w:rPr>
              <w:t>可视化功能</w:t>
            </w:r>
          </w:p>
          <w:p>
            <w:pPr>
              <w:rPr>
                <w:rFonts w:ascii="宋体" w:hAnsi="宋体" w:cs="宋体"/>
                <w:szCs w:val="21"/>
              </w:rPr>
            </w:pPr>
          </w:p>
        </w:tc>
        <w:tc>
          <w:tcPr>
            <w:tcW w:w="7370" w:type="dxa"/>
            <w:vAlign w:val="center"/>
          </w:tcPr>
          <w:p>
            <w:pPr>
              <w:widowControl/>
              <w:rPr>
                <w:rFonts w:hint="eastAsia" w:ascii="宋体" w:hAnsi="宋体" w:eastAsia="宋体" w:cs="宋体"/>
                <w:szCs w:val="21"/>
                <w:lang w:eastAsia="zh-CN"/>
              </w:rPr>
            </w:pPr>
            <w:r>
              <w:rPr>
                <w:rFonts w:hint="eastAsia" w:ascii="宋体" w:hAnsi="宋体" w:cs="宋体"/>
                <w:szCs w:val="21"/>
              </w:rPr>
              <w:t>能展示各个服务器或主机节点的信息，运行状态、活动规律、行为变化趋势和详细资料，以及历史行为数据查询、全局安全态势等</w:t>
            </w:r>
            <w:r>
              <w:rPr>
                <w:rFonts w:hint="eastAsia" w:ascii="宋体" w:hAnsi="宋体" w:cs="宋体"/>
                <w:szCs w:val="21"/>
                <w:lang w:eastAsia="zh-CN"/>
              </w:rPr>
              <w:t>；</w:t>
            </w:r>
          </w:p>
          <w:p>
            <w:pPr>
              <w:widowControl/>
              <w:rPr>
                <w:rFonts w:hint="eastAsia" w:ascii="宋体" w:hAnsi="宋体" w:eastAsia="宋体" w:cs="宋体"/>
                <w:szCs w:val="21"/>
                <w:lang w:eastAsia="zh-CN"/>
              </w:rPr>
            </w:pPr>
            <w:r>
              <w:rPr>
                <w:rFonts w:hint="eastAsia" w:ascii="宋体" w:hAnsi="宋体" w:cs="宋体"/>
                <w:szCs w:val="21"/>
              </w:rPr>
              <w:t>能监测节点遭受网络攻击的趋势信息，可以直观的了解攻击目标、攻击源、攻击方式的变化趋势和详细资料</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提供与本产品相结合的勒索保险业务</w:t>
            </w:r>
            <w:r>
              <w:rPr>
                <w:rFonts w:hint="eastAsia" w:ascii="Arial" w:hAnsi="Arial" w:cs="宋体"/>
                <w:szCs w:val="21"/>
              </w:rPr>
              <w:t>，</w:t>
            </w:r>
            <w:r>
              <w:rPr>
                <w:rFonts w:hint="eastAsia" w:ascii="宋体" w:hAnsi="宋体" w:cs="宋体"/>
                <w:szCs w:val="21"/>
              </w:rPr>
              <w:t>该业务需要明确的使用梯度</w:t>
            </w:r>
          </w:p>
        </w:tc>
      </w:tr>
    </w:tbl>
    <w:p/>
    <w:p>
      <w:pPr>
        <w:pStyle w:val="6"/>
        <w:ind w:firstLine="482" w:firstLineChars="200"/>
        <w:rPr>
          <w:b/>
          <w:bCs w:val="0"/>
          <w:sz w:val="24"/>
          <w:szCs w:val="24"/>
        </w:rPr>
      </w:pPr>
      <w:r>
        <w:rPr>
          <w:rFonts w:hint="eastAsia"/>
          <w:b/>
          <w:bCs w:val="0"/>
          <w:sz w:val="24"/>
          <w:szCs w:val="24"/>
        </w:rPr>
        <w:t>2</w:t>
      </w:r>
      <w:r>
        <w:rPr>
          <w:rFonts w:hint="eastAsia"/>
          <w:b/>
          <w:bCs w:val="0"/>
          <w:sz w:val="24"/>
          <w:szCs w:val="24"/>
          <w:lang w:val="en-US" w:eastAsia="zh-CN"/>
        </w:rPr>
        <w:t>2</w:t>
      </w:r>
      <w:r>
        <w:rPr>
          <w:rFonts w:hint="eastAsia"/>
          <w:b/>
          <w:bCs w:val="0"/>
          <w:sz w:val="24"/>
          <w:szCs w:val="24"/>
        </w:rPr>
        <w:t>.辅材</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1批、非核心产品）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辅材</w:t>
            </w:r>
          </w:p>
        </w:tc>
        <w:tc>
          <w:tcPr>
            <w:tcW w:w="7370" w:type="dxa"/>
            <w:vAlign w:val="center"/>
          </w:tcPr>
          <w:p>
            <w:pPr>
              <w:rPr>
                <w:rFonts w:ascii="宋体" w:hAnsi="宋体" w:cs="宋体"/>
                <w:szCs w:val="21"/>
              </w:rPr>
            </w:pPr>
            <w:r>
              <w:rPr>
                <w:rFonts w:hint="eastAsia" w:ascii="宋体" w:hAnsi="宋体" w:cs="宋体"/>
                <w:szCs w:val="21"/>
              </w:rPr>
              <w:t>光纤，成品网线，网线，水晶头，法兰盘，网线工具箱</w:t>
            </w:r>
          </w:p>
        </w:tc>
      </w:tr>
    </w:tbl>
    <w:p>
      <w:pPr>
        <w:rPr>
          <w:sz w:val="24"/>
        </w:rPr>
      </w:pPr>
    </w:p>
    <w:p>
      <w:pPr>
        <w:pStyle w:val="6"/>
        <w:ind w:firstLine="482" w:firstLineChars="200"/>
        <w:rPr>
          <w:b/>
          <w:bCs w:val="0"/>
          <w:sz w:val="24"/>
          <w:szCs w:val="24"/>
        </w:rPr>
      </w:pPr>
      <w:r>
        <w:rPr>
          <w:rFonts w:hint="eastAsia"/>
          <w:b/>
          <w:bCs w:val="0"/>
          <w:sz w:val="24"/>
          <w:szCs w:val="24"/>
        </w:rPr>
        <w:t>2</w:t>
      </w:r>
      <w:r>
        <w:rPr>
          <w:rFonts w:hint="eastAsia"/>
          <w:b/>
          <w:bCs w:val="0"/>
          <w:sz w:val="24"/>
          <w:szCs w:val="24"/>
          <w:lang w:val="en-US" w:eastAsia="zh-CN"/>
        </w:rPr>
        <w:t>3</w:t>
      </w:r>
      <w:r>
        <w:rPr>
          <w:rFonts w:hint="eastAsia"/>
          <w:b/>
          <w:bCs w:val="0"/>
          <w:sz w:val="24"/>
          <w:szCs w:val="24"/>
        </w:rPr>
        <w:t>.分光器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58个、非核心产品）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blHeader/>
          <w:jc w:val="center"/>
        </w:trPr>
        <w:tc>
          <w:tcPr>
            <w:tcW w:w="1191" w:type="dxa"/>
            <w:vMerge w:val="restart"/>
            <w:vAlign w:val="center"/>
          </w:tcPr>
          <w:p>
            <w:pPr>
              <w:rPr>
                <w:rFonts w:ascii="宋体" w:hAnsi="宋体" w:cs="宋体"/>
                <w:szCs w:val="21"/>
              </w:rPr>
            </w:pPr>
            <w:r>
              <w:rPr>
                <w:rFonts w:hint="eastAsia" w:ascii="宋体" w:hAnsi="宋体" w:cs="宋体"/>
                <w:szCs w:val="21"/>
              </w:rPr>
              <w:t>分光器</w:t>
            </w:r>
          </w:p>
        </w:tc>
        <w:tc>
          <w:tcPr>
            <w:tcW w:w="7370" w:type="dxa"/>
            <w:vAlign w:val="center"/>
          </w:tcPr>
          <w:p>
            <w:pPr>
              <w:rPr>
                <w:rFonts w:ascii="宋体" w:hAnsi="宋体" w:cs="宋体"/>
                <w:szCs w:val="21"/>
              </w:rPr>
            </w:pPr>
            <w:r>
              <w:rPr>
                <w:rFonts w:hint="eastAsia" w:ascii="宋体" w:hAnsi="宋体" w:cs="宋体"/>
                <w:szCs w:val="21"/>
              </w:rPr>
              <w:t>用于分光，根据实际情况支持1×2分光或1×</w:t>
            </w:r>
            <w:r>
              <w:rPr>
                <w:rFonts w:ascii="宋体" w:hAnsi="宋体" w:cs="宋体"/>
                <w:szCs w:val="21"/>
              </w:rPr>
              <w:t>4</w:t>
            </w:r>
            <w:r>
              <w:rPr>
                <w:rFonts w:hint="eastAsia" w:ascii="宋体" w:hAnsi="宋体" w:cs="宋体"/>
                <w:szCs w:val="21"/>
              </w:rPr>
              <w:t>分光，支持任意类型单模或多模光纤，支持用户指定光接口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6" w:hRule="atLeast"/>
          <w:tblHeader/>
          <w:jc w:val="center"/>
        </w:trPr>
        <w:tc>
          <w:tcPr>
            <w:tcW w:w="1191" w:type="dxa"/>
            <w:vMerge w:val="continue"/>
            <w:vAlign w:val="center"/>
          </w:tcPr>
          <w:p>
            <w:pPr>
              <w:rPr>
                <w:rFonts w:ascii="宋体" w:hAnsi="宋体" w:cs="宋体"/>
                <w:szCs w:val="21"/>
              </w:rPr>
            </w:pPr>
          </w:p>
        </w:tc>
        <w:tc>
          <w:tcPr>
            <w:tcW w:w="7370" w:type="dxa"/>
            <w:vAlign w:val="center"/>
          </w:tcPr>
          <w:p>
            <w:pPr>
              <w:rPr>
                <w:rFonts w:ascii="宋体" w:hAnsi="宋体" w:cs="宋体"/>
                <w:szCs w:val="21"/>
              </w:rPr>
            </w:pPr>
            <w:r>
              <w:rPr>
                <w:rFonts w:hint="eastAsia" w:ascii="宋体" w:hAnsi="宋体" w:cs="宋体"/>
                <w:szCs w:val="21"/>
              </w:rPr>
              <w:t>定制化分光比，工作波长</w:t>
            </w:r>
            <w:r>
              <w:rPr>
                <w:rFonts w:ascii="宋体" w:hAnsi="宋体" w:cs="宋体"/>
                <w:szCs w:val="21"/>
              </w:rPr>
              <w:t>1260</w:t>
            </w:r>
            <w:r>
              <w:rPr>
                <w:rFonts w:hint="eastAsia" w:ascii="宋体" w:hAnsi="宋体" w:cs="宋体"/>
                <w:szCs w:val="21"/>
              </w:rPr>
              <w:t>nm～</w:t>
            </w:r>
            <w:r>
              <w:rPr>
                <w:rFonts w:ascii="宋体" w:hAnsi="宋体" w:cs="宋体"/>
                <w:szCs w:val="21"/>
              </w:rPr>
              <w:t>1650</w:t>
            </w:r>
            <w:r>
              <w:rPr>
                <w:rFonts w:hint="eastAsia" w:ascii="宋体" w:hAnsi="宋体" w:cs="宋体"/>
                <w:szCs w:val="21"/>
              </w:rPr>
              <w:t>nm，偏振相关损耗≤0</w:t>
            </w:r>
            <w:r>
              <w:rPr>
                <w:rFonts w:ascii="宋体" w:hAnsi="宋体" w:cs="宋体"/>
                <w:szCs w:val="21"/>
              </w:rPr>
              <w:t>.1</w:t>
            </w:r>
            <w:r>
              <w:rPr>
                <w:rFonts w:hint="eastAsia" w:ascii="宋体" w:hAnsi="宋体" w:cs="宋体"/>
                <w:szCs w:val="21"/>
              </w:rPr>
              <w:t>d</w:t>
            </w:r>
            <w:r>
              <w:rPr>
                <w:rFonts w:ascii="宋体" w:hAnsi="宋体" w:cs="宋体"/>
                <w:szCs w:val="21"/>
              </w:rPr>
              <w:t>B</w:t>
            </w:r>
            <w:r>
              <w:rPr>
                <w:rFonts w:hint="eastAsia" w:ascii="宋体" w:hAnsi="宋体" w:cs="宋体"/>
                <w:szCs w:val="21"/>
              </w:rPr>
              <w:t>，回波损耗＞5</w:t>
            </w:r>
            <w:r>
              <w:rPr>
                <w:rFonts w:ascii="宋体" w:hAnsi="宋体" w:cs="宋体"/>
                <w:szCs w:val="21"/>
              </w:rPr>
              <w:t>5</w:t>
            </w:r>
            <w:r>
              <w:rPr>
                <w:rFonts w:hint="eastAsia" w:ascii="宋体" w:hAnsi="宋体" w:cs="宋体"/>
                <w:szCs w:val="21"/>
              </w:rPr>
              <w:t>d</w:t>
            </w:r>
            <w:r>
              <w:rPr>
                <w:rFonts w:ascii="宋体" w:hAnsi="宋体" w:cs="宋体"/>
                <w:szCs w:val="21"/>
              </w:rPr>
              <w:t>B</w:t>
            </w:r>
            <w:r>
              <w:rPr>
                <w:rFonts w:hint="eastAsia" w:ascii="宋体" w:hAnsi="宋体" w:cs="宋体"/>
                <w:szCs w:val="21"/>
              </w:rPr>
              <w:t>，方向性≥6</w:t>
            </w:r>
            <w:r>
              <w:rPr>
                <w:rFonts w:ascii="宋体" w:hAnsi="宋体" w:cs="宋体"/>
                <w:szCs w:val="21"/>
              </w:rPr>
              <w:t>0</w:t>
            </w:r>
            <w:r>
              <w:rPr>
                <w:rFonts w:hint="eastAsia" w:ascii="宋体" w:hAnsi="宋体" w:cs="宋体"/>
                <w:szCs w:val="21"/>
              </w:rPr>
              <w:t>d</w:t>
            </w:r>
            <w:r>
              <w:rPr>
                <w:rFonts w:ascii="宋体" w:hAnsi="宋体" w:cs="宋体"/>
                <w:szCs w:val="21"/>
              </w:rPr>
              <w:t>B</w:t>
            </w:r>
            <w:r>
              <w:rPr>
                <w:rFonts w:hint="eastAsia" w:ascii="宋体" w:hAnsi="宋体" w:cs="宋体"/>
                <w:szCs w:val="21"/>
              </w:rPr>
              <w:t>，工作温度-</w:t>
            </w:r>
            <w:r>
              <w:rPr>
                <w:rFonts w:ascii="宋体" w:hAnsi="宋体" w:cs="宋体"/>
                <w:szCs w:val="21"/>
              </w:rPr>
              <w:t>4</w:t>
            </w:r>
            <w:r>
              <w:rPr>
                <w:rFonts w:hint="eastAsia" w:ascii="宋体" w:hAnsi="宋体" w:cs="宋体"/>
                <w:szCs w:val="21"/>
              </w:rPr>
              <w:t>0～+</w:t>
            </w:r>
            <w:r>
              <w:rPr>
                <w:rFonts w:ascii="宋体" w:hAnsi="宋体" w:cs="宋体"/>
                <w:szCs w:val="21"/>
              </w:rPr>
              <w:t>85</w:t>
            </w:r>
            <w:r>
              <w:rPr>
                <w:rFonts w:hint="eastAsia" w:ascii="宋体" w:hAnsi="宋体" w:cs="宋体"/>
                <w:szCs w:val="21"/>
              </w:rPr>
              <w:t>摄氏度。</w:t>
            </w:r>
          </w:p>
        </w:tc>
      </w:tr>
    </w:tbl>
    <w:p>
      <w:pPr>
        <w:rPr>
          <w:sz w:val="24"/>
        </w:rPr>
      </w:pPr>
    </w:p>
    <w:p>
      <w:pPr>
        <w:pStyle w:val="6"/>
        <w:ind w:firstLine="482" w:firstLineChars="200"/>
        <w:rPr>
          <w:b/>
          <w:bCs w:val="0"/>
          <w:sz w:val="24"/>
          <w:szCs w:val="24"/>
        </w:rPr>
      </w:pPr>
      <w:r>
        <w:rPr>
          <w:rFonts w:hint="eastAsia"/>
          <w:b/>
          <w:bCs w:val="0"/>
          <w:sz w:val="24"/>
          <w:szCs w:val="24"/>
        </w:rPr>
        <w:t>2</w:t>
      </w:r>
      <w:r>
        <w:rPr>
          <w:rFonts w:hint="eastAsia"/>
          <w:b/>
          <w:bCs w:val="0"/>
          <w:sz w:val="24"/>
          <w:szCs w:val="24"/>
          <w:lang w:val="en-US" w:eastAsia="zh-CN"/>
        </w:rPr>
        <w:t>4</w:t>
      </w:r>
      <w:r>
        <w:rPr>
          <w:rFonts w:hint="eastAsia"/>
          <w:b/>
          <w:bCs w:val="0"/>
          <w:sz w:val="24"/>
          <w:szCs w:val="24"/>
        </w:rPr>
        <w:t>.100G光放大器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29对、非核心产品）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 w:val="24"/>
              </w:rPr>
            </w:pPr>
            <w:r>
              <w:rPr>
                <w:rFonts w:hint="eastAsia" w:ascii="宋体" w:hAnsi="宋体" w:cs="宋体"/>
                <w:b/>
                <w:bCs/>
                <w:sz w:val="24"/>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 w:val="24"/>
              </w:rPr>
            </w:pPr>
            <w:r>
              <w:rPr>
                <w:rFonts w:hint="eastAsia" w:ascii="宋体" w:hAnsi="宋体" w:cs="宋体"/>
                <w:b/>
                <w:bCs/>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blHeader/>
          <w:jc w:val="center"/>
        </w:trPr>
        <w:tc>
          <w:tcPr>
            <w:tcW w:w="1191" w:type="dxa"/>
            <w:vMerge w:val="restart"/>
            <w:vAlign w:val="center"/>
          </w:tcPr>
          <w:p>
            <w:pPr>
              <w:rPr>
                <w:rFonts w:ascii="宋体" w:hAnsi="宋体" w:cs="宋体"/>
                <w:sz w:val="24"/>
              </w:rPr>
            </w:pPr>
            <w:r>
              <w:rPr>
                <w:rFonts w:hint="eastAsia" w:ascii="宋体" w:hAnsi="宋体" w:cs="宋体"/>
                <w:sz w:val="24"/>
              </w:rPr>
              <w:t>100G光放大器</w:t>
            </w:r>
          </w:p>
        </w:tc>
        <w:tc>
          <w:tcPr>
            <w:tcW w:w="7370" w:type="dxa"/>
            <w:vAlign w:val="center"/>
          </w:tcPr>
          <w:p>
            <w:pPr>
              <w:rPr>
                <w:rFonts w:ascii="宋体" w:hAnsi="宋体" w:cs="宋体"/>
                <w:sz w:val="24"/>
              </w:rPr>
            </w:pPr>
            <w:r>
              <w:rPr>
                <w:rFonts w:hint="eastAsia" w:ascii="宋体" w:hAnsi="宋体" w:cs="宋体"/>
                <w:sz w:val="24"/>
              </w:rPr>
              <w:t>用于放大光强；设备采用热空气对流原理，机箱散热性能优良，双电源冗余备份，并可通过网管和面板上的指示灯查看当前电源供电情况，最多支持 8 通道，可灵活配置为 2、4、6、8 通道 SOA，支持 LAN WDM 传输网络应用，对输入/输出光功率、放大器温度与信号增益等关键信息实时监测，网管接口可支持串口和以太网口，通过串口可进行本地网管，通过以太网口可进行本地和远程网管，方便对设备的管理、维护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blHeader/>
          <w:jc w:val="center"/>
        </w:trPr>
        <w:tc>
          <w:tcPr>
            <w:tcW w:w="1191" w:type="dxa"/>
            <w:vMerge w:val="continue"/>
            <w:vAlign w:val="center"/>
          </w:tcPr>
          <w:p>
            <w:pPr>
              <w:rPr>
                <w:rFonts w:ascii="宋体" w:hAnsi="宋体" w:cs="宋体"/>
                <w:sz w:val="24"/>
              </w:rPr>
            </w:pPr>
          </w:p>
        </w:tc>
        <w:tc>
          <w:tcPr>
            <w:tcW w:w="7370" w:type="dxa"/>
            <w:vAlign w:val="center"/>
          </w:tcPr>
          <w:p>
            <w:pPr>
              <w:rPr>
                <w:rFonts w:ascii="宋体" w:hAnsi="宋体" w:cs="宋体"/>
                <w:sz w:val="24"/>
              </w:rPr>
            </w:pPr>
            <w:r>
              <w:rPr>
                <w:rFonts w:hint="eastAsia" w:ascii="宋体" w:hAnsi="宋体" w:cs="宋体"/>
                <w:sz w:val="24"/>
              </w:rPr>
              <w:t>符合电信级运营要求，电信级双路主备- 48V 直流供电，提供电源 1：1 保护。输入功率范围-40～-10dBm，增益-40dBm&gt;30dB&gt;35dB，噪声指数，-20dBm～4.3dB，工作波长1310nm～1563nm，输入/输出隔离度30dB，偏振相关增益0.3dB，偏振模色散0.3ps</w:t>
            </w:r>
          </w:p>
        </w:tc>
      </w:tr>
    </w:tbl>
    <w:p>
      <w:pPr>
        <w:rPr>
          <w:sz w:val="24"/>
        </w:rPr>
      </w:pPr>
    </w:p>
    <w:p>
      <w:pPr>
        <w:pStyle w:val="6"/>
        <w:ind w:firstLine="482" w:firstLineChars="200"/>
        <w:rPr>
          <w:b/>
          <w:bCs w:val="0"/>
          <w:sz w:val="24"/>
          <w:szCs w:val="24"/>
        </w:rPr>
      </w:pPr>
      <w:r>
        <w:rPr>
          <w:rFonts w:hint="eastAsia"/>
          <w:b/>
          <w:bCs w:val="0"/>
          <w:sz w:val="24"/>
          <w:szCs w:val="24"/>
        </w:rPr>
        <w:t>2</w:t>
      </w:r>
      <w:r>
        <w:rPr>
          <w:rFonts w:hint="eastAsia"/>
          <w:b/>
          <w:bCs w:val="0"/>
          <w:sz w:val="24"/>
          <w:szCs w:val="24"/>
          <w:lang w:val="en-US" w:eastAsia="zh-CN"/>
        </w:rPr>
        <w:t>5</w:t>
      </w:r>
      <w:r>
        <w:rPr>
          <w:rFonts w:hint="eastAsia"/>
          <w:b/>
          <w:bCs w:val="0"/>
          <w:sz w:val="24"/>
          <w:szCs w:val="24"/>
        </w:rPr>
        <w:t>.千兆光电转换器</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4对、非核心产品）</w:t>
      </w:r>
    </w:p>
    <w:tbl>
      <w:tblPr>
        <w:tblStyle w:val="22"/>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指标项</w:t>
            </w:r>
          </w:p>
        </w:tc>
        <w:tc>
          <w:tcPr>
            <w:tcW w:w="737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ascii="宋体" w:hAnsi="宋体" w:cs="宋体"/>
                <w:b/>
                <w:bCs/>
                <w:szCs w:val="21"/>
              </w:rPr>
            </w:pPr>
            <w:r>
              <w:rPr>
                <w:rFonts w:hint="eastAsia" w:ascii="宋体" w:hAnsi="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1191" w:type="dxa"/>
            <w:vAlign w:val="center"/>
          </w:tcPr>
          <w:p>
            <w:pPr>
              <w:rPr>
                <w:rFonts w:ascii="宋体" w:hAnsi="宋体" w:cs="宋体"/>
                <w:szCs w:val="21"/>
              </w:rPr>
            </w:pPr>
            <w:r>
              <w:rPr>
                <w:rFonts w:hint="eastAsia" w:ascii="宋体" w:hAnsi="宋体" w:cs="宋体"/>
                <w:szCs w:val="21"/>
              </w:rPr>
              <w:t>千兆光电转换器</w:t>
            </w:r>
          </w:p>
        </w:tc>
        <w:tc>
          <w:tcPr>
            <w:tcW w:w="7370" w:type="dxa"/>
            <w:vAlign w:val="center"/>
          </w:tcPr>
          <w:p>
            <w:pPr>
              <w:rPr>
                <w:rFonts w:ascii="宋体" w:hAnsi="宋体" w:cs="宋体"/>
                <w:szCs w:val="21"/>
              </w:rPr>
            </w:pPr>
            <w:r>
              <w:rPr>
                <w:rFonts w:hint="eastAsia" w:ascii="宋体" w:hAnsi="宋体" w:cs="宋体"/>
                <w:szCs w:val="21"/>
              </w:rPr>
              <w:t>桌面式，千兆1光1电单纤双向光电转换器，波长1310/1550nm，接收灵敏度-3~-25dbm，发送＞0，LC接口</w:t>
            </w:r>
          </w:p>
        </w:tc>
      </w:tr>
    </w:tbl>
    <w:p>
      <w:pPr>
        <w:spacing w:line="360" w:lineRule="auto"/>
        <w:ind w:firstLine="480" w:firstLineChars="200"/>
        <w:rPr>
          <w:rFonts w:asciiTheme="minorEastAsia" w:hAnsiTheme="minorEastAsia" w:eastAsiaTheme="minorEastAsia"/>
          <w:bCs/>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根据《政府采购货物和服务招标投标管理办法》（财政部令第87号）第三十一条要求，本次招标将数据存储服务器、检索服务器、计算服务器、数据治理及处理服务器、数据平台服务器、应用服务器、数据库服务器、多媒体处理服务器、核心交换机、大数据智能安全管理平台作为核心产品。</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其他要求：</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1.所有设备最终用户为本项目采购人，并可以通过设备序列号在生产厂商官方网站或生产厂商400/800电话中进行验证，并可查询维保期限。</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2.投标人需保证所提供货物是全新的、未使用过的。货物到达用户指定的现场后，由投标人与用户共核对装箱单，共同开箱（若有争议，请质检机构检验确定），依照合同的货物清单清点，并进行签字确认。</w:t>
      </w:r>
    </w:p>
    <w:p>
      <w:pPr>
        <w:pStyle w:val="8"/>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w:t>
      </w:r>
      <w:r>
        <w:rPr>
          <w:rFonts w:hint="eastAsia" w:asciiTheme="minorEastAsia" w:hAnsiTheme="minorEastAsia" w:eastAsiaTheme="minorEastAsia"/>
          <w:b/>
          <w:sz w:val="24"/>
        </w:rPr>
        <w:t>商务需求</w:t>
      </w:r>
    </w:p>
    <w:p>
      <w:pPr>
        <w:pStyle w:val="11"/>
        <w:snapToGrid w:val="0"/>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sz w:val="24"/>
        </w:rPr>
        <w:t>（一）质保期：</w:t>
      </w:r>
      <w:r>
        <w:rPr>
          <w:rFonts w:hint="eastAsia" w:asciiTheme="minorEastAsia" w:hAnsiTheme="minorEastAsia" w:eastAsiaTheme="minorEastAsia"/>
          <w:bCs/>
          <w:sz w:val="24"/>
        </w:rPr>
        <w:t>提供至少3年免费质保，保修期自终验合格之日起计算。中标后签订合同前七个工作日内提供原厂商针对本项目的原厂服务承诺函（原件）。</w:t>
      </w:r>
    </w:p>
    <w:p>
      <w:pPr>
        <w:pStyle w:val="11"/>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（二）交货时间及地点：</w:t>
      </w:r>
    </w:p>
    <w:p>
      <w:pPr>
        <w:pStyle w:val="11"/>
        <w:snapToGrid w:val="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交货时间：</w:t>
      </w:r>
      <w:r>
        <w:rPr>
          <w:rFonts w:hint="eastAsia" w:cs="Arial" w:asciiTheme="minorEastAsia" w:hAnsiTheme="minorEastAsia"/>
          <w:kern w:val="0"/>
          <w:sz w:val="24"/>
          <w:szCs w:val="21"/>
        </w:rPr>
        <w:t>合同生效之日起</w:t>
      </w:r>
      <w:r>
        <w:rPr>
          <w:rFonts w:cs="Arial" w:asciiTheme="minorEastAsia" w:hAnsiTheme="minorEastAsia"/>
          <w:kern w:val="0"/>
          <w:sz w:val="24"/>
          <w:szCs w:val="21"/>
        </w:rPr>
        <w:t>9</w:t>
      </w:r>
      <w:r>
        <w:rPr>
          <w:rFonts w:hint="eastAsia" w:cs="Arial" w:asciiTheme="minorEastAsia" w:hAnsiTheme="minorEastAsia"/>
          <w:kern w:val="0"/>
          <w:sz w:val="24"/>
          <w:szCs w:val="21"/>
        </w:rPr>
        <w:t>0天内，完成供货、安装、调试并试运行</w:t>
      </w:r>
      <w:r>
        <w:rPr>
          <w:rFonts w:hint="eastAsia" w:asciiTheme="minorEastAsia" w:hAnsiTheme="minorEastAsia" w:eastAsiaTheme="minorEastAsia"/>
          <w:bCs/>
          <w:kern w:val="0"/>
          <w:sz w:val="24"/>
        </w:rPr>
        <w:t>。</w:t>
      </w:r>
    </w:p>
    <w:p>
      <w:pPr>
        <w:pStyle w:val="11"/>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bCs/>
          <w:kern w:val="0"/>
          <w:sz w:val="24"/>
        </w:rPr>
        <w:t>交货地点：台州市公安局指定地点。</w:t>
      </w:r>
    </w:p>
    <w:p>
      <w:pPr>
        <w:pStyle w:val="11"/>
        <w:snapToGrid w:val="0"/>
        <w:spacing w:line="360" w:lineRule="auto"/>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kern w:val="0"/>
          <w:sz w:val="24"/>
        </w:rPr>
        <w:t>（三）</w:t>
      </w:r>
      <w:r>
        <w:rPr>
          <w:rFonts w:hint="eastAsia" w:asciiTheme="minorEastAsia" w:hAnsiTheme="minorEastAsia" w:eastAsiaTheme="minorEastAsia"/>
          <w:b/>
          <w:sz w:val="24"/>
        </w:rPr>
        <w:t>付款条件：</w:t>
      </w:r>
      <w:r>
        <w:rPr>
          <w:rFonts w:hint="eastAsia" w:asciiTheme="minorEastAsia" w:hAnsiTheme="minorEastAsia" w:eastAsiaTheme="minorEastAsia"/>
          <w:bCs/>
          <w:sz w:val="24"/>
        </w:rPr>
        <w:t>合同生效以及具备实施条件后</w:t>
      </w:r>
      <w:r>
        <w:rPr>
          <w:rFonts w:hint="eastAsia" w:asciiTheme="minorEastAsia" w:hAnsiTheme="minorEastAsia" w:eastAsiaTheme="minorEastAsia"/>
          <w:kern w:val="0"/>
          <w:sz w:val="24"/>
        </w:rPr>
        <w:t>15日内预付合同款项的30%，完成供货、安装、调试初验合格后15 日内支付合同款项的40%，试运行3个月并完成终验后支付合同款项的30%。</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（四）费用要求：</w:t>
      </w:r>
      <w:r>
        <w:rPr>
          <w:rFonts w:hint="eastAsia" w:asciiTheme="minorEastAsia" w:hAnsiTheme="minorEastAsia" w:eastAsiaTheme="minorEastAsia"/>
          <w:bCs/>
          <w:sz w:val="24"/>
        </w:rPr>
        <w:t>投标人针对本项目包含的所有产品，提供免费的软硬件设备安装调试及故障处理服务；投标人报价应包含以上项目清单中所有内容、设备运输、安装、调试费、后期维护费、装修配合费、税费及一切费用。中标投标人有义务保证采购人系统的完整性，如项目实施过程中因缺少设备、配件及服务导致采购人工作无法正常进行的，成交方必须无条件承诺并提供。</w:t>
      </w:r>
    </w:p>
    <w:p>
      <w:pPr>
        <w:snapToGrid w:val="0"/>
        <w:spacing w:line="360" w:lineRule="auto"/>
        <w:ind w:firstLine="482" w:firstLineChars="200"/>
      </w:pPr>
      <w:r>
        <w:rPr>
          <w:rFonts w:hint="eastAsia" w:asciiTheme="minorEastAsia" w:hAnsiTheme="minorEastAsia" w:eastAsiaTheme="minorEastAsia"/>
          <w:b/>
          <w:sz w:val="24"/>
        </w:rPr>
        <w:t>（五）培训服务：</w:t>
      </w:r>
      <w:r>
        <w:rPr>
          <w:rFonts w:hint="eastAsia" w:cs="Arial" w:asciiTheme="minorEastAsia" w:hAnsiTheme="minorEastAsia"/>
          <w:kern w:val="0"/>
          <w:sz w:val="24"/>
          <w:szCs w:val="21"/>
        </w:rPr>
        <w:t>投标人负责向采购人指定的技术人员培训设备的使用操作和简单维护，以保障用户顺利工作。</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（六）售后服务：</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系统运行维护将由投标人针对本项目提供三年免费维护，包括故障排除、性能调优、技术咨询等。</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系统运行维护周期内，需要提供电话技术服务，现场支持服务，质保期内均提供免费上门服务等：</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1.电话技术服务：7*24小时电话响应；投标人维护团队指定服务电话，由维护组成员直接接听并响应；电话响应后如有故障需解决，可根据用户需要，到现场进行问题排查并解决。</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2.现场支持服务：对于无法远程解决的问题，要求投标人安排专业的实施和开发人员，进行现场问题排查以及处理。承诺对于故障在1小时内响应，3小时内到达现场，5小时以内提出问题解决方案。</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pStyle w:val="11"/>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6"/>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 10 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9"/>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给予6%-10%的扣除，用扣除后的价格计算评标基准价和投标报价。联合体各方均为小微企业的，联合体视同为小微企业，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给予6%-10%的扣除；联合协议或者分包意向协议约定小微企业的合同份额占到合同总金额30%以上的，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给予2%</w:t>
      </w:r>
      <w:r>
        <w:rPr>
          <w:rFonts w:hint="eastAsia" w:ascii="宋体"/>
          <w:color w:val="000000"/>
          <w:sz w:val="24"/>
        </w:rPr>
        <w:t>-3%</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1"/>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lang w:eastAsia="zh-CN"/>
                <w14:textFill>
                  <w14:solidFill>
                    <w14:schemeClr w14:val="tx1"/>
                  </w14:solidFill>
                </w14:textFill>
              </w:rPr>
              <w:t>（根据附件</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授权委托书</w:t>
            </w:r>
            <w:r>
              <w:rPr>
                <w:rFonts w:hint="eastAsia" w:ascii="宋体" w:hAnsi="宋体" w:eastAsia="宋体" w:cs="宋体"/>
                <w:color w:val="000000" w:themeColor="text1"/>
                <w:lang w:val="en-US" w:eastAsia="zh-CN"/>
                <w14:textFill>
                  <w14:solidFill>
                    <w14:schemeClr w14:val="tx1"/>
                  </w14:solidFill>
                </w14:textFill>
              </w:rPr>
              <w:t>》填报</w:t>
            </w:r>
            <w:r>
              <w:rPr>
                <w:rFonts w:hint="eastAsia" w:ascii="宋体" w:hAnsi="宋体" w:eastAsia="宋体" w:cs="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按投标文件格式填报设备及专业技术能力情况（根据附件</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《投标人基本情况表》和附件</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提供</w:t>
            </w:r>
            <w:r>
              <w:rPr>
                <w:rFonts w:hint="eastAsia" w:ascii="宋体" w:hAnsi="宋体" w:eastAsia="宋体" w:cs="宋体"/>
                <w:color w:val="000000" w:themeColor="text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参加</w:t>
            </w:r>
            <w:r>
              <w:rPr>
                <w:rFonts w:hint="eastAsia" w:ascii="宋体" w:hAnsi="宋体" w:eastAsia="宋体" w:cs="宋体"/>
                <w:color w:val="000000" w:themeColor="text1"/>
                <w:lang w:eastAsia="zh-CN"/>
                <w14:textFill>
                  <w14:solidFill>
                    <w14:schemeClr w14:val="tx1"/>
                  </w14:solidFill>
                </w14:textFill>
              </w:rPr>
              <w:t>本次</w:t>
            </w:r>
            <w:r>
              <w:rPr>
                <w:rFonts w:hint="eastAsia" w:ascii="宋体" w:hAnsi="宋体" w:eastAsia="宋体" w:cs="宋体"/>
                <w:color w:val="000000" w:themeColor="text1"/>
                <w14:textFill>
                  <w14:solidFill>
                    <w14:schemeClr w14:val="tx1"/>
                  </w14:solidFill>
                </w14:textFill>
              </w:rPr>
              <w:t>采购活动前3年内，在经营活动中没有重大违法记录</w:t>
            </w:r>
            <w:r>
              <w:rPr>
                <w:rFonts w:hint="eastAsia" w:ascii="宋体" w:hAnsi="宋体" w:eastAsia="宋体" w:cs="宋体"/>
                <w:color w:val="000000" w:themeColor="text1"/>
                <w:lang w:eastAsia="zh-CN"/>
                <w14:textFill>
                  <w14:solidFill>
                    <w14:schemeClr w14:val="tx1"/>
                  </w14:solidFill>
                </w14:textFill>
              </w:rPr>
              <w:t>（根据附件</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投标声明书</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若</w:t>
            </w:r>
            <w:r>
              <w:rPr>
                <w:rFonts w:hint="eastAsia" w:ascii="宋体" w:hAnsi="宋体" w:eastAsia="宋体" w:cs="宋体"/>
                <w:color w:val="000000" w:themeColor="text1"/>
                <w14:textFill>
                  <w14:solidFill>
                    <w14:schemeClr w14:val="tx1"/>
                  </w14:solidFill>
                </w14:textFill>
              </w:rPr>
              <w:t>以联合体形式投标时，</w:t>
            </w:r>
            <w:r>
              <w:rPr>
                <w:rFonts w:hint="eastAsia" w:ascii="宋体" w:hAnsi="宋体" w:eastAsia="宋体" w:cs="宋体"/>
                <w:color w:val="000000" w:themeColor="text1"/>
                <w:lang w:eastAsia="zh-CN"/>
                <w14:textFill>
                  <w14:solidFill>
                    <w14:schemeClr w14:val="tx1"/>
                  </w14:solidFill>
                </w14:textFill>
              </w:rPr>
              <w:t>需将</w:t>
            </w:r>
            <w:r>
              <w:rPr>
                <w:rFonts w:hint="eastAsia" w:ascii="宋体" w:hAnsi="宋体" w:eastAsia="宋体" w:cs="宋体"/>
                <w:color w:val="000000" w:themeColor="text1"/>
                <w14:textFill>
                  <w14:solidFill>
                    <w14:schemeClr w14:val="tx1"/>
                  </w14:solidFill>
                </w14:textFill>
              </w:rPr>
              <w:t>《联合体共同投标协议书》</w:t>
            </w:r>
            <w:r>
              <w:rPr>
                <w:rFonts w:hint="eastAsia" w:ascii="宋体" w:hAnsi="宋体" w:eastAsia="宋体" w:cs="宋体"/>
                <w:color w:val="000000" w:themeColor="text1"/>
                <w:lang w:eastAsia="zh-CN"/>
                <w14:textFill>
                  <w14:solidFill>
                    <w14:schemeClr w14:val="tx1"/>
                  </w14:solidFill>
                </w14:textFill>
              </w:rPr>
              <w:t>作入标书</w:t>
            </w:r>
            <w:r>
              <w:rPr>
                <w:rFonts w:hint="eastAsia" w:ascii="宋体" w:hAnsi="宋体" w:eastAsia="宋体" w:cs="宋体"/>
                <w:color w:val="000000" w:themeColor="text1"/>
                <w14:textFill>
                  <w14:solidFill>
                    <w14:schemeClr w14:val="tx1"/>
                  </w14:solidFill>
                </w14:textFill>
              </w:rPr>
              <w:t>。</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投标文件未含有采购人不可接受的附加条件。</w:t>
            </w:r>
          </w:p>
        </w:tc>
      </w:tr>
    </w:tbl>
    <w:p>
      <w:pPr>
        <w:pStyle w:val="9"/>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 1 </w:t>
      </w:r>
      <w:r>
        <w:rPr>
          <w:rFonts w:hint="eastAsia" w:asciiTheme="minorEastAsia" w:hAnsiTheme="minorEastAsia" w:eastAsiaTheme="minorEastAsia"/>
          <w:kern w:val="0"/>
          <w:sz w:val="24"/>
        </w:rPr>
        <w:t>标项项目评标方法为综合评分法，总计100分，评标按以下标准及要求进行：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188"/>
        <w:gridCol w:w="573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BEBEBE" w:themeFill="background1" w:themeFillShade="BF"/>
            <w:vAlign w:val="center"/>
          </w:tcPr>
          <w:p>
            <w:pPr>
              <w:jc w:val="center"/>
              <w:rPr>
                <w:b/>
                <w:szCs w:val="18"/>
              </w:rPr>
            </w:pPr>
            <w:r>
              <w:rPr>
                <w:rFonts w:hint="eastAsia"/>
                <w:b/>
                <w:szCs w:val="18"/>
              </w:rPr>
              <w:t>评分项目</w:t>
            </w:r>
          </w:p>
        </w:tc>
        <w:tc>
          <w:tcPr>
            <w:tcW w:w="6918" w:type="dxa"/>
            <w:gridSpan w:val="2"/>
            <w:shd w:val="clear" w:color="auto" w:fill="BEBEBE" w:themeFill="background1" w:themeFillShade="BF"/>
            <w:vAlign w:val="center"/>
          </w:tcPr>
          <w:p>
            <w:pPr>
              <w:jc w:val="center"/>
              <w:rPr>
                <w:b/>
                <w:szCs w:val="18"/>
              </w:rPr>
            </w:pPr>
            <w:r>
              <w:rPr>
                <w:rFonts w:hint="eastAsia"/>
                <w:b/>
                <w:szCs w:val="18"/>
              </w:rPr>
              <w:t>评分细则</w:t>
            </w:r>
          </w:p>
        </w:tc>
        <w:tc>
          <w:tcPr>
            <w:tcW w:w="814" w:type="dxa"/>
            <w:shd w:val="clear" w:color="auto" w:fill="BEBEBE" w:themeFill="background1" w:themeFillShade="BF"/>
            <w:vAlign w:val="center"/>
          </w:tcPr>
          <w:p>
            <w:pPr>
              <w:jc w:val="center"/>
              <w:rPr>
                <w:b/>
                <w:szCs w:val="18"/>
              </w:rPr>
            </w:pPr>
            <w:r>
              <w:rPr>
                <w:rFonts w:hint="eastAsia"/>
                <w:b/>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6" w:type="dxa"/>
            <w:vMerge w:val="restart"/>
            <w:vAlign w:val="center"/>
          </w:tcPr>
          <w:p>
            <w:pPr>
              <w:pStyle w:val="8"/>
              <w:ind w:firstLine="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技术性能</w:t>
            </w:r>
          </w:p>
          <w:p>
            <w:pPr>
              <w:jc w:val="center"/>
              <w:rPr>
                <w:rFonts w:ascii="宋体" w:hAnsi="宋体" w:cs="宋体"/>
                <w:b/>
                <w:bCs/>
                <w:szCs w:val="21"/>
              </w:rPr>
            </w:pPr>
            <w:r>
              <w:rPr>
                <w:rFonts w:hint="eastAsia" w:ascii="宋体" w:hAnsi="宋体" w:cs="宋体"/>
                <w:b/>
                <w:bCs/>
                <w:szCs w:val="21"/>
              </w:rPr>
              <w:t>59分</w:t>
            </w:r>
          </w:p>
        </w:tc>
        <w:tc>
          <w:tcPr>
            <w:tcW w:w="1188" w:type="dxa"/>
            <w:vAlign w:val="center"/>
          </w:tcPr>
          <w:p>
            <w:pPr>
              <w:rPr>
                <w:rFonts w:ascii="宋体" w:hAnsi="宋体" w:cs="宋体"/>
                <w:szCs w:val="21"/>
              </w:rPr>
            </w:pPr>
            <w:r>
              <w:rPr>
                <w:rFonts w:hint="eastAsia" w:ascii="宋体" w:hAnsi="宋体" w:cs="宋体"/>
                <w:b/>
                <w:bCs/>
                <w:szCs w:val="21"/>
              </w:rPr>
              <w:t>方案的科学性和完整性</w:t>
            </w:r>
          </w:p>
        </w:tc>
        <w:tc>
          <w:tcPr>
            <w:tcW w:w="5730" w:type="dxa"/>
            <w:vAlign w:val="center"/>
          </w:tcPr>
          <w:p>
            <w:pPr>
              <w:jc w:val="left"/>
              <w:rPr>
                <w:rFonts w:ascii="宋体" w:hAnsi="宋体" w:cs="宋体"/>
                <w:szCs w:val="21"/>
              </w:rPr>
            </w:pPr>
            <w:r>
              <w:rPr>
                <w:rFonts w:hint="eastAsia" w:ascii="宋体" w:hAnsi="宋体" w:cs="宋体"/>
                <w:szCs w:val="21"/>
              </w:rPr>
              <w:t>针对单位用户的需求，</w:t>
            </w:r>
            <w:r>
              <w:rPr>
                <w:rFonts w:hint="eastAsia" w:ascii="宋体" w:hAnsi="宋体" w:cs="宋体"/>
                <w:szCs w:val="21"/>
                <w:lang w:val="en-US" w:eastAsia="zh-CN"/>
              </w:rPr>
              <w:t>需要</w:t>
            </w:r>
            <w:r>
              <w:rPr>
                <w:rFonts w:hint="eastAsia" w:ascii="宋体" w:hAnsi="宋体" w:cs="宋体"/>
                <w:szCs w:val="21"/>
              </w:rPr>
              <w:t>在投标方案中详细描述业务现状：包括网络现状、基础设施现状、存在的问题和差距和可利旧的资源，并且提供准确的现有的网络拓扑图、设备网络连接图、目前客户正在使用的设备清单和可利旧设备的配置清单（采购人统一组织现场勘察时获取）。根据投标人对使用单位需求与应用的理解程度及方案设计等进行综合打分：</w:t>
            </w:r>
          </w:p>
          <w:p>
            <w:pPr>
              <w:jc w:val="left"/>
              <w:rPr>
                <w:rFonts w:ascii="宋体" w:hAnsi="宋体" w:cs="宋体"/>
                <w:szCs w:val="21"/>
              </w:rPr>
            </w:pPr>
            <w:r>
              <w:rPr>
                <w:rFonts w:hint="eastAsia" w:ascii="宋体" w:hAnsi="宋体" w:cs="宋体"/>
                <w:szCs w:val="21"/>
              </w:rPr>
              <w:t>①对需求与应用理解深刻、方案设计详实的，得16-12分；</w:t>
            </w:r>
          </w:p>
          <w:p>
            <w:pPr>
              <w:jc w:val="left"/>
              <w:rPr>
                <w:rFonts w:ascii="宋体" w:hAnsi="宋体" w:cs="宋体"/>
                <w:szCs w:val="21"/>
              </w:rPr>
            </w:pPr>
            <w:r>
              <w:rPr>
                <w:rFonts w:hint="eastAsia" w:ascii="宋体" w:hAnsi="宋体" w:cs="宋体"/>
                <w:szCs w:val="21"/>
              </w:rPr>
              <w:t>②对需求与应用理解较好、方案设计合理的，得11.9-8分；</w:t>
            </w:r>
          </w:p>
          <w:p>
            <w:pPr>
              <w:jc w:val="left"/>
            </w:pPr>
            <w:r>
              <w:rPr>
                <w:rFonts w:hint="eastAsia" w:ascii="宋体" w:hAnsi="宋体" w:cs="宋体"/>
                <w:szCs w:val="21"/>
              </w:rPr>
              <w:t>③对需求与应用理解一般、方案设计一般的，得7.9-4分；</w:t>
            </w:r>
          </w:p>
          <w:p>
            <w:pPr>
              <w:jc w:val="left"/>
              <w:rPr>
                <w:rFonts w:ascii="宋体" w:hAnsi="宋体" w:cs="宋体"/>
                <w:szCs w:val="21"/>
              </w:rPr>
            </w:pPr>
            <w:r>
              <w:rPr>
                <w:rFonts w:hint="eastAsia" w:ascii="宋体" w:hAnsi="宋体" w:cs="宋体"/>
                <w:szCs w:val="21"/>
              </w:rPr>
              <w:t>④对需求与应用理解偏弱、方案设计粗糙的，得3.9-1分；</w:t>
            </w:r>
          </w:p>
          <w:p>
            <w:pPr>
              <w:jc w:val="left"/>
              <w:rPr>
                <w:rFonts w:ascii="宋体" w:hAnsi="宋体" w:cs="宋体"/>
                <w:szCs w:val="21"/>
              </w:rPr>
            </w:pPr>
            <w:r>
              <w:rPr>
                <w:rFonts w:hint="eastAsia" w:ascii="宋体" w:hAnsi="宋体" w:cs="宋体"/>
                <w:szCs w:val="21"/>
              </w:rPr>
              <w:t>⑤不了解项目的建设内容得0.9-0分。（如果不能提供上述网络拓扑图、设备网络连接图、目前客户正在使用的设备清单和可利旧设备的配置清单，将视为不了解项目需求，此项得0分）</w:t>
            </w:r>
          </w:p>
        </w:tc>
        <w:tc>
          <w:tcPr>
            <w:tcW w:w="814" w:type="dxa"/>
            <w:vAlign w:val="center"/>
          </w:tcPr>
          <w:p>
            <w:pPr>
              <w:jc w:val="center"/>
              <w:rPr>
                <w:rFonts w:ascii="宋体" w:hAnsi="宋体" w:cs="宋体"/>
                <w:szCs w:val="21"/>
              </w:rPr>
            </w:pPr>
            <w:r>
              <w:rPr>
                <w:rFonts w:hint="eastAsia" w:ascii="宋体" w:hAnsi="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6" w:type="dxa"/>
            <w:vMerge w:val="continue"/>
            <w:vAlign w:val="center"/>
          </w:tcPr>
          <w:p>
            <w:pPr>
              <w:jc w:val="center"/>
            </w:pPr>
          </w:p>
        </w:tc>
        <w:tc>
          <w:tcPr>
            <w:tcW w:w="1188" w:type="dxa"/>
            <w:vAlign w:val="center"/>
          </w:tcPr>
          <w:p>
            <w:pPr>
              <w:rPr>
                <w:rFonts w:ascii="宋体" w:hAnsi="宋体" w:cs="宋体"/>
                <w:b/>
                <w:bCs/>
                <w:szCs w:val="21"/>
              </w:rPr>
            </w:pPr>
            <w:r>
              <w:rPr>
                <w:rFonts w:hint="eastAsia" w:ascii="宋体" w:hAnsi="宋体" w:cs="宋体"/>
                <w:b/>
                <w:bCs/>
                <w:szCs w:val="21"/>
              </w:rPr>
              <w:t>实施方案</w:t>
            </w:r>
          </w:p>
        </w:tc>
        <w:tc>
          <w:tcPr>
            <w:tcW w:w="5730" w:type="dxa"/>
            <w:vAlign w:val="center"/>
          </w:tcPr>
          <w:p>
            <w:pPr>
              <w:jc w:val="left"/>
              <w:rPr>
                <w:rFonts w:ascii="宋体" w:hAnsi="宋体" w:cs="宋体"/>
                <w:szCs w:val="21"/>
              </w:rPr>
            </w:pPr>
            <w:r>
              <w:rPr>
                <w:rFonts w:hint="eastAsia" w:ascii="宋体" w:hAnsi="宋体" w:cs="宋体"/>
                <w:szCs w:val="21"/>
              </w:rPr>
              <w:t>根据投标人提供的组织实施方案，包括产品供货、验货、安装调试、试运行、测试、调优、验收等内容进行综合打分：</w:t>
            </w:r>
          </w:p>
          <w:p>
            <w:pPr>
              <w:jc w:val="left"/>
              <w:rPr>
                <w:rFonts w:ascii="宋体" w:hAnsi="宋体" w:cs="宋体"/>
                <w:szCs w:val="21"/>
              </w:rPr>
            </w:pPr>
            <w:r>
              <w:rPr>
                <w:rFonts w:hint="eastAsia" w:ascii="宋体" w:hAnsi="宋体" w:cs="宋体"/>
                <w:szCs w:val="21"/>
              </w:rPr>
              <w:t>①方案详实、</w:t>
            </w:r>
            <w:r>
              <w:rPr>
                <w:rFonts w:hint="eastAsia" w:ascii="宋体" w:hAnsi="宋体"/>
                <w:color w:val="000000" w:themeColor="text1"/>
                <w:kern w:val="0"/>
                <w:szCs w:val="21"/>
                <w14:textFill>
                  <w14:solidFill>
                    <w14:schemeClr w14:val="tx1"/>
                  </w14:solidFill>
                </w14:textFill>
              </w:rPr>
              <w:t>内容完整、供货安排操作性强</w:t>
            </w:r>
            <w:r>
              <w:rPr>
                <w:rFonts w:hint="eastAsia" w:ascii="宋体" w:hAnsi="宋体" w:cs="宋体"/>
                <w:szCs w:val="21"/>
              </w:rPr>
              <w:t>，进度详细有保障，验收标准符合行业标准且有针对性的得3-2分；</w:t>
            </w:r>
          </w:p>
          <w:p>
            <w:pPr>
              <w:jc w:val="left"/>
              <w:rPr>
                <w:rFonts w:ascii="宋体" w:hAnsi="宋体" w:cs="宋体"/>
                <w:szCs w:val="21"/>
              </w:rPr>
            </w:pPr>
            <w:r>
              <w:rPr>
                <w:rFonts w:hint="eastAsia" w:ascii="宋体" w:hAnsi="宋体" w:cs="宋体"/>
                <w:szCs w:val="21"/>
              </w:rPr>
              <w:t>②方案合理、</w:t>
            </w:r>
            <w:r>
              <w:rPr>
                <w:rFonts w:hint="eastAsia" w:ascii="宋体" w:hAnsi="宋体"/>
                <w:color w:val="000000" w:themeColor="text1"/>
                <w:kern w:val="0"/>
                <w:szCs w:val="21"/>
                <w14:textFill>
                  <w14:solidFill>
                    <w14:schemeClr w14:val="tx1"/>
                  </w14:solidFill>
                </w14:textFill>
              </w:rPr>
              <w:t>内容常规、供货安排操作性一般</w:t>
            </w:r>
            <w:r>
              <w:rPr>
                <w:rFonts w:hint="eastAsia" w:ascii="宋体" w:hAnsi="宋体" w:cs="宋体"/>
                <w:szCs w:val="21"/>
              </w:rPr>
              <w:t>，验收标准缺乏针对性的得1.9-1分；</w:t>
            </w:r>
          </w:p>
          <w:p>
            <w:pPr>
              <w:jc w:val="left"/>
              <w:rPr>
                <w:rFonts w:ascii="宋体" w:hAnsi="宋体" w:cs="宋体"/>
                <w:szCs w:val="21"/>
              </w:rPr>
            </w:pPr>
            <w:r>
              <w:rPr>
                <w:rFonts w:hint="eastAsia" w:ascii="宋体" w:hAnsi="宋体" w:cs="宋体"/>
                <w:szCs w:val="21"/>
              </w:rPr>
              <w:t>③方案粗糙、</w:t>
            </w:r>
            <w:r>
              <w:rPr>
                <w:rFonts w:hint="eastAsia" w:ascii="宋体" w:hAnsi="宋体"/>
                <w:color w:val="000000" w:themeColor="text1"/>
                <w:kern w:val="0"/>
                <w:szCs w:val="21"/>
                <w14:textFill>
                  <w14:solidFill>
                    <w14:schemeClr w14:val="tx1"/>
                  </w14:solidFill>
                </w14:textFill>
              </w:rPr>
              <w:t>内容缺漏、供货安排操作性差</w:t>
            </w:r>
            <w:r>
              <w:rPr>
                <w:rFonts w:hint="eastAsia" w:ascii="宋体" w:hAnsi="宋体" w:cs="宋体"/>
                <w:szCs w:val="21"/>
              </w:rPr>
              <w:t>，无保障性和合理性的得0.9-0分；</w:t>
            </w:r>
          </w:p>
          <w:p>
            <w:pPr>
              <w:jc w:val="left"/>
              <w:rPr>
                <w:rFonts w:ascii="宋体" w:hAnsi="宋体" w:cs="宋体"/>
                <w:szCs w:val="21"/>
              </w:rPr>
            </w:pPr>
            <w:r>
              <w:rPr>
                <w:rFonts w:hint="eastAsia" w:ascii="宋体" w:hAnsi="宋体" w:cs="宋体"/>
                <w:szCs w:val="21"/>
              </w:rPr>
              <w:t>④未提及的不得分。</w:t>
            </w:r>
          </w:p>
        </w:tc>
        <w:tc>
          <w:tcPr>
            <w:tcW w:w="814"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6" w:type="dxa"/>
            <w:vMerge w:val="continue"/>
            <w:vAlign w:val="center"/>
          </w:tcPr>
          <w:p>
            <w:pPr>
              <w:jc w:val="center"/>
              <w:rPr>
                <w:rFonts w:ascii="宋体" w:hAnsi="宋体" w:cs="宋体"/>
                <w:szCs w:val="21"/>
              </w:rPr>
            </w:pPr>
          </w:p>
        </w:tc>
        <w:tc>
          <w:tcPr>
            <w:tcW w:w="1188" w:type="dxa"/>
            <w:vMerge w:val="restart"/>
            <w:vAlign w:val="center"/>
          </w:tcPr>
          <w:p>
            <w:pPr>
              <w:rPr>
                <w:rFonts w:ascii="宋体" w:hAnsi="宋体" w:cs="宋体"/>
                <w:b/>
                <w:bCs/>
                <w:szCs w:val="21"/>
              </w:rPr>
            </w:pPr>
            <w:r>
              <w:rPr>
                <w:rFonts w:hint="eastAsia" w:ascii="宋体" w:hAnsi="宋体" w:cs="宋体"/>
                <w:b/>
                <w:bCs/>
                <w:szCs w:val="21"/>
              </w:rPr>
              <w:t>技术参数响应</w:t>
            </w:r>
          </w:p>
        </w:tc>
        <w:tc>
          <w:tcPr>
            <w:tcW w:w="5730" w:type="dxa"/>
            <w:vAlign w:val="center"/>
          </w:tcPr>
          <w:p>
            <w:pPr>
              <w:jc w:val="left"/>
              <w:rPr>
                <w:rFonts w:ascii="宋体" w:hAnsi="宋体" w:cs="宋体"/>
                <w:szCs w:val="21"/>
              </w:rPr>
            </w:pPr>
            <w:r>
              <w:rPr>
                <w:rFonts w:hint="eastAsia" w:ascii="宋体" w:hAnsi="宋体" w:cs="宋体"/>
                <w:szCs w:val="21"/>
              </w:rPr>
              <w:t>根据所投产品</w:t>
            </w:r>
            <w:r>
              <w:rPr>
                <w:rFonts w:hint="eastAsia" w:ascii="宋体" w:hAnsi="宋体" w:cs="宋体"/>
                <w:szCs w:val="21"/>
                <w:lang w:val="en-US" w:eastAsia="zh-CN"/>
              </w:rPr>
              <w:t>中核心产品的</w:t>
            </w:r>
            <w:r>
              <w:rPr>
                <w:rFonts w:hint="eastAsia" w:ascii="宋体" w:hAnsi="宋体" w:cs="宋体"/>
                <w:szCs w:val="21"/>
              </w:rPr>
              <w:t>技术参数和配置的偏离情况进行打分：</w:t>
            </w:r>
          </w:p>
          <w:p>
            <w:pPr>
              <w:jc w:val="left"/>
              <w:rPr>
                <w:rFonts w:ascii="宋体" w:hAnsi="宋体" w:cs="宋体"/>
                <w:color w:val="auto"/>
                <w:szCs w:val="21"/>
              </w:rPr>
            </w:pPr>
            <w:r>
              <w:rPr>
                <w:rFonts w:hint="eastAsia" w:ascii="宋体" w:hAnsi="宋体" w:cs="宋体"/>
                <w:szCs w:val="21"/>
              </w:rPr>
              <w:t>1.完全满足或高于招标文件要求的，得</w:t>
            </w:r>
            <w:r>
              <w:rPr>
                <w:rFonts w:hint="eastAsia" w:ascii="宋体" w:hAnsi="宋体" w:cs="宋体"/>
                <w:szCs w:val="21"/>
                <w:lang w:val="en-US" w:eastAsia="zh-CN"/>
              </w:rPr>
              <w:t>3</w:t>
            </w:r>
            <w:r>
              <w:rPr>
                <w:rFonts w:hint="eastAsia" w:ascii="宋体" w:hAnsi="宋体" w:cs="宋体"/>
                <w:szCs w:val="21"/>
              </w:rPr>
              <w:t>0</w:t>
            </w:r>
            <w:r>
              <w:rPr>
                <w:rFonts w:hint="eastAsia" w:ascii="宋体" w:hAnsi="宋体" w:cs="宋体"/>
                <w:color w:val="auto"/>
                <w:szCs w:val="21"/>
              </w:rPr>
              <w:t>分；</w:t>
            </w:r>
          </w:p>
          <w:p>
            <w:pPr>
              <w:jc w:val="left"/>
              <w:rPr>
                <w:rFonts w:hint="default" w:ascii="宋体" w:hAnsi="宋体" w:eastAsia="宋体" w:cs="宋体"/>
                <w:szCs w:val="21"/>
                <w:lang w:val="en-US" w:eastAsia="zh-CN"/>
              </w:rPr>
            </w:pPr>
            <w:r>
              <w:rPr>
                <w:rFonts w:hint="eastAsia" w:ascii="宋体" w:hAnsi="宋体" w:cs="宋体"/>
                <w:color w:val="auto"/>
                <w:szCs w:val="21"/>
                <w:lang w:val="en-US" w:eastAsia="zh-CN"/>
              </w:rPr>
              <w:t>2.</w:t>
            </w:r>
            <w:r>
              <w:rPr>
                <w:rFonts w:hint="eastAsia" w:ascii="宋体" w:hAnsi="宋体" w:cs="宋体"/>
                <w:color w:val="auto"/>
                <w:szCs w:val="21"/>
              </w:rPr>
              <w:t>重要性能指标（★）中，每有一项负偏离的扣</w:t>
            </w:r>
            <w:r>
              <w:rPr>
                <w:rFonts w:hint="eastAsia" w:ascii="宋体" w:hAnsi="宋体" w:cs="宋体"/>
                <w:color w:val="auto"/>
                <w:szCs w:val="21"/>
                <w:lang w:val="en-US" w:eastAsia="zh-CN"/>
              </w:rPr>
              <w:t>2</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负偏离10项（含）以上的为无效标</w:t>
            </w:r>
            <w:r>
              <w:rPr>
                <w:rFonts w:hint="eastAsia" w:ascii="宋体" w:hAnsi="宋体" w:cs="宋体"/>
                <w:color w:val="auto"/>
                <w:szCs w:val="21"/>
                <w:lang w:eastAsia="zh-CN"/>
              </w:rPr>
              <w:t>）</w:t>
            </w:r>
            <w:r>
              <w:rPr>
                <w:rFonts w:hint="eastAsia" w:ascii="宋体" w:hAnsi="宋体" w:cs="宋体"/>
                <w:color w:val="auto"/>
                <w:szCs w:val="21"/>
              </w:rPr>
              <w:t>，其他性能指标中，每有一项负偏离或未响应的扣</w:t>
            </w:r>
            <w:r>
              <w:rPr>
                <w:rFonts w:hint="eastAsia" w:ascii="宋体" w:hAnsi="宋体" w:cs="宋体"/>
                <w:color w:val="auto"/>
                <w:szCs w:val="21"/>
                <w:lang w:val="en-US" w:eastAsia="zh-CN"/>
              </w:rPr>
              <w:t>1</w:t>
            </w:r>
            <w:r>
              <w:rPr>
                <w:rFonts w:hint="eastAsia" w:ascii="宋体" w:hAnsi="宋体" w:cs="宋体"/>
                <w:color w:val="auto"/>
                <w:szCs w:val="21"/>
              </w:rPr>
              <w:t>分，扣完为止。</w:t>
            </w:r>
          </w:p>
        </w:tc>
        <w:tc>
          <w:tcPr>
            <w:tcW w:w="814"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6" w:type="dxa"/>
            <w:vMerge w:val="continue"/>
            <w:vAlign w:val="center"/>
          </w:tcPr>
          <w:p>
            <w:pPr>
              <w:jc w:val="center"/>
              <w:rPr>
                <w:rFonts w:ascii="宋体" w:hAnsi="宋体" w:cs="宋体"/>
                <w:szCs w:val="21"/>
              </w:rPr>
            </w:pPr>
          </w:p>
        </w:tc>
        <w:tc>
          <w:tcPr>
            <w:tcW w:w="1188" w:type="dxa"/>
            <w:vMerge w:val="continue"/>
            <w:vAlign w:val="center"/>
          </w:tcPr>
          <w:p>
            <w:pPr>
              <w:rPr>
                <w:rFonts w:ascii="宋体" w:hAnsi="宋体" w:cs="宋体"/>
                <w:b/>
                <w:bCs/>
                <w:szCs w:val="21"/>
              </w:rPr>
            </w:pPr>
          </w:p>
        </w:tc>
        <w:tc>
          <w:tcPr>
            <w:tcW w:w="5730" w:type="dxa"/>
            <w:vAlign w:val="center"/>
          </w:tcPr>
          <w:p>
            <w:pPr>
              <w:jc w:val="left"/>
              <w:rPr>
                <w:rFonts w:ascii="宋体" w:hAnsi="宋体" w:cs="宋体"/>
                <w:szCs w:val="21"/>
              </w:rPr>
            </w:pPr>
            <w:r>
              <w:rPr>
                <w:rFonts w:hint="eastAsia" w:ascii="宋体" w:hAnsi="宋体" w:cs="宋体"/>
                <w:szCs w:val="21"/>
              </w:rPr>
              <w:t>根据所投产品</w:t>
            </w:r>
            <w:r>
              <w:rPr>
                <w:rFonts w:hint="eastAsia" w:ascii="宋体" w:hAnsi="宋体" w:cs="宋体"/>
                <w:szCs w:val="21"/>
                <w:lang w:val="en-US" w:eastAsia="zh-CN"/>
              </w:rPr>
              <w:t>中非核心产品的</w:t>
            </w:r>
            <w:r>
              <w:rPr>
                <w:rFonts w:hint="eastAsia" w:ascii="宋体" w:hAnsi="宋体" w:cs="宋体"/>
                <w:szCs w:val="21"/>
              </w:rPr>
              <w:t>技术参数和配置的偏离情况进行打分：</w:t>
            </w:r>
          </w:p>
          <w:p>
            <w:pPr>
              <w:jc w:val="left"/>
              <w:rPr>
                <w:rFonts w:ascii="宋体" w:hAnsi="宋体" w:cs="宋体"/>
                <w:szCs w:val="21"/>
              </w:rPr>
            </w:pPr>
            <w:r>
              <w:rPr>
                <w:rFonts w:hint="eastAsia" w:ascii="宋体" w:hAnsi="宋体" w:cs="宋体"/>
                <w:szCs w:val="21"/>
              </w:rPr>
              <w:t>1.完全满足或高于招标文件要求的，得</w:t>
            </w:r>
            <w:r>
              <w:rPr>
                <w:rFonts w:hint="eastAsia" w:ascii="宋体" w:hAnsi="宋体" w:cs="宋体"/>
                <w:szCs w:val="21"/>
                <w:lang w:val="en-US" w:eastAsia="zh-CN"/>
              </w:rPr>
              <w:t>1</w:t>
            </w:r>
            <w:r>
              <w:rPr>
                <w:rFonts w:hint="eastAsia" w:ascii="宋体" w:hAnsi="宋体" w:cs="宋体"/>
                <w:szCs w:val="21"/>
              </w:rPr>
              <w:t>0分；</w:t>
            </w:r>
          </w:p>
          <w:p>
            <w:pPr>
              <w:jc w:val="left"/>
              <w:rPr>
                <w:rFonts w:ascii="宋体" w:hAnsi="宋体" w:cs="宋体"/>
                <w:szCs w:val="21"/>
              </w:rPr>
            </w:pPr>
            <w:r>
              <w:rPr>
                <w:rFonts w:hint="eastAsia" w:ascii="宋体" w:hAnsi="宋体" w:cs="宋体"/>
                <w:szCs w:val="21"/>
              </w:rPr>
              <w:t>2.每有一项负偏离或未响应的扣</w:t>
            </w:r>
            <w:r>
              <w:rPr>
                <w:rFonts w:hint="eastAsia" w:ascii="宋体" w:hAnsi="宋体" w:cs="宋体"/>
                <w:szCs w:val="21"/>
                <w:lang w:val="en-US" w:eastAsia="zh-CN"/>
              </w:rPr>
              <w:t>0.5</w:t>
            </w:r>
            <w:r>
              <w:rPr>
                <w:rFonts w:hint="eastAsia" w:ascii="宋体" w:hAnsi="宋体" w:cs="宋体"/>
                <w:szCs w:val="21"/>
              </w:rPr>
              <w:t>分，扣完为止。</w:t>
            </w:r>
          </w:p>
        </w:tc>
        <w:tc>
          <w:tcPr>
            <w:tcW w:w="814" w:type="dxa"/>
            <w:vAlign w:val="center"/>
          </w:tcPr>
          <w:p>
            <w:pPr>
              <w:jc w:val="center"/>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86" w:type="dxa"/>
            <w:vMerge w:val="restart"/>
            <w:vAlign w:val="center"/>
          </w:tcPr>
          <w:p>
            <w:pPr>
              <w:pStyle w:val="8"/>
              <w:ind w:firstLine="0"/>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实力信誉及业绩</w:t>
            </w:r>
          </w:p>
          <w:p>
            <w:pPr>
              <w:adjustRightInd w:val="0"/>
              <w:snapToGrid w:val="0"/>
              <w:jc w:val="center"/>
              <w:rPr>
                <w:rFonts w:ascii="宋体" w:hAnsi="宋体" w:cs="Arial"/>
                <w:b/>
                <w:bCs/>
                <w:szCs w:val="21"/>
              </w:rPr>
            </w:pPr>
            <w:r>
              <w:rPr>
                <w:rFonts w:hint="eastAsia" w:ascii="宋体" w:hAnsi="宋体" w:cs="Arial"/>
                <w:b/>
                <w:bCs/>
                <w:szCs w:val="21"/>
              </w:rPr>
              <w:t>5分</w:t>
            </w:r>
          </w:p>
        </w:tc>
        <w:tc>
          <w:tcPr>
            <w:tcW w:w="1188" w:type="dxa"/>
            <w:vAlign w:val="center"/>
          </w:tcPr>
          <w:p>
            <w:pPr>
              <w:rPr>
                <w:rFonts w:ascii="宋体" w:hAnsi="宋体" w:cs="宋体"/>
                <w:b/>
                <w:bCs/>
                <w:szCs w:val="21"/>
              </w:rPr>
            </w:pPr>
            <w:r>
              <w:rPr>
                <w:rFonts w:hint="eastAsia" w:ascii="宋体" w:hAnsi="宋体" w:cs="宋体"/>
                <w:b/>
                <w:bCs/>
                <w:szCs w:val="21"/>
              </w:rPr>
              <w:t>投标人资质</w:t>
            </w:r>
          </w:p>
        </w:tc>
        <w:tc>
          <w:tcPr>
            <w:tcW w:w="5730" w:type="dxa"/>
            <w:vAlign w:val="center"/>
          </w:tcPr>
          <w:p>
            <w:pPr>
              <w:rPr>
                <w:rFonts w:ascii="宋体" w:hAnsi="宋体" w:cs="宋体"/>
                <w:szCs w:val="21"/>
              </w:rPr>
            </w:pPr>
            <w:r>
              <w:rPr>
                <w:rFonts w:hint="eastAsia" w:ascii="宋体" w:hAnsi="宋体" w:cs="宋体"/>
                <w:szCs w:val="21"/>
              </w:rPr>
              <w:t>投标人具有有效的信息安全管理体系认证证书的得2分，需提供证明材料。</w:t>
            </w:r>
          </w:p>
        </w:tc>
        <w:tc>
          <w:tcPr>
            <w:tcW w:w="814"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86" w:type="dxa"/>
            <w:vMerge w:val="continue"/>
            <w:vAlign w:val="center"/>
          </w:tcPr>
          <w:p>
            <w:pPr>
              <w:jc w:val="left"/>
            </w:pPr>
          </w:p>
        </w:tc>
        <w:tc>
          <w:tcPr>
            <w:tcW w:w="1188" w:type="dxa"/>
            <w:vAlign w:val="center"/>
          </w:tcPr>
          <w:p>
            <w:pPr>
              <w:rPr>
                <w:rFonts w:ascii="宋体" w:hAnsi="宋体" w:cs="宋体"/>
                <w:b/>
                <w:bCs/>
                <w:szCs w:val="21"/>
              </w:rPr>
            </w:pPr>
            <w:r>
              <w:rPr>
                <w:rFonts w:hint="eastAsia" w:ascii="宋体" w:hAnsi="宋体" w:cs="宋体"/>
                <w:b/>
                <w:bCs/>
                <w:szCs w:val="21"/>
              </w:rPr>
              <w:t>项目业绩</w:t>
            </w:r>
          </w:p>
        </w:tc>
        <w:tc>
          <w:tcPr>
            <w:tcW w:w="5730" w:type="dxa"/>
            <w:vAlign w:val="center"/>
          </w:tcPr>
          <w:p>
            <w:pPr>
              <w:rPr>
                <w:rFonts w:ascii="宋体" w:hAnsi="宋体" w:cs="宋体"/>
                <w:szCs w:val="21"/>
              </w:rPr>
            </w:pPr>
            <w:r>
              <w:rPr>
                <w:rFonts w:hint="eastAsia" w:ascii="宋体" w:hAnsi="宋体" w:cs="宋体"/>
                <w:szCs w:val="21"/>
              </w:rPr>
              <w:t>投标人自201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3</w:t>
            </w:r>
            <w:r>
              <w:rPr>
                <w:rFonts w:hint="eastAsia" w:ascii="宋体" w:hAnsi="宋体" w:cs="宋体"/>
                <w:szCs w:val="21"/>
              </w:rPr>
              <w:t>月以来（以合同签订时间为准），具有类似项目建设经验，每个合同得1分，最高得3分。提供合同扫描件并加盖公章，否则不得分。</w:t>
            </w:r>
          </w:p>
        </w:tc>
        <w:tc>
          <w:tcPr>
            <w:tcW w:w="814"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86" w:type="dxa"/>
            <w:vMerge w:val="restart"/>
            <w:vAlign w:val="center"/>
          </w:tcPr>
          <w:p>
            <w:pPr>
              <w:pStyle w:val="8"/>
              <w:ind w:firstLine="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售后服务承诺</w:t>
            </w:r>
          </w:p>
          <w:p>
            <w:pPr>
              <w:adjustRightInd w:val="0"/>
              <w:snapToGrid w:val="0"/>
              <w:jc w:val="center"/>
              <w:rPr>
                <w:rFonts w:ascii="宋体" w:hAnsi="宋体" w:cs="Arial"/>
                <w:b/>
                <w:bCs/>
                <w:szCs w:val="21"/>
              </w:rPr>
            </w:pPr>
            <w:r>
              <w:rPr>
                <w:rFonts w:hint="eastAsia" w:ascii="宋体" w:hAnsi="宋体" w:cs="Arial"/>
                <w:b/>
                <w:bCs/>
                <w:szCs w:val="21"/>
              </w:rPr>
              <w:t>6分</w:t>
            </w:r>
          </w:p>
        </w:tc>
        <w:tc>
          <w:tcPr>
            <w:tcW w:w="1188" w:type="dxa"/>
            <w:vAlign w:val="center"/>
          </w:tcPr>
          <w:p>
            <w:pPr>
              <w:rPr>
                <w:rFonts w:ascii="宋体" w:hAnsi="宋体" w:cs="宋体"/>
                <w:b/>
                <w:bCs/>
                <w:szCs w:val="21"/>
              </w:rPr>
            </w:pPr>
            <w:r>
              <w:rPr>
                <w:rFonts w:hint="eastAsia" w:ascii="宋体" w:hAnsi="宋体" w:cs="宋体"/>
                <w:b/>
                <w:bCs/>
                <w:szCs w:val="21"/>
              </w:rPr>
              <w:t>售后服务方案</w:t>
            </w:r>
          </w:p>
        </w:tc>
        <w:tc>
          <w:tcPr>
            <w:tcW w:w="5730" w:type="dxa"/>
            <w:vAlign w:val="center"/>
          </w:tcPr>
          <w:p>
            <w:pPr>
              <w:pStyle w:val="10"/>
              <w:spacing w:line="240" w:lineRule="auto"/>
              <w:rPr>
                <w:rFonts w:ascii="宋体" w:hAnsi="宋体" w:cs="宋体"/>
                <w:sz w:val="21"/>
                <w:szCs w:val="21"/>
              </w:rPr>
            </w:pPr>
            <w:r>
              <w:rPr>
                <w:rFonts w:hint="eastAsia" w:ascii="宋体" w:hAnsi="宋体" w:cs="宋体"/>
                <w:sz w:val="21"/>
                <w:szCs w:val="21"/>
              </w:rPr>
              <w:t>根据投标人提供的售后服务方案（包括各类报修、保障流程、服务岗位职责，重大活动支持、例行巡检频率等内容）、服务承诺、维修响应时间及到达现场解决故障情况进行综合打分：</w:t>
            </w:r>
          </w:p>
          <w:p>
            <w:pPr>
              <w:pStyle w:val="10"/>
              <w:spacing w:line="240" w:lineRule="auto"/>
              <w:rPr>
                <w:rFonts w:ascii="宋体" w:hAnsi="宋体" w:cs="宋体"/>
                <w:sz w:val="21"/>
                <w:szCs w:val="21"/>
              </w:rPr>
            </w:pPr>
            <w:r>
              <w:rPr>
                <w:rFonts w:hint="eastAsia" w:ascii="宋体" w:hAnsi="宋体" w:cs="宋体"/>
                <w:sz w:val="21"/>
                <w:szCs w:val="21"/>
              </w:rPr>
              <w:t>①售后服务方案完善，科学合理、维修响应时间及到达现场解决故障时间及时的，应急方案全面的得 3-2分；</w:t>
            </w:r>
          </w:p>
          <w:p>
            <w:pPr>
              <w:pStyle w:val="10"/>
              <w:spacing w:line="240" w:lineRule="auto"/>
              <w:rPr>
                <w:rFonts w:ascii="宋体" w:hAnsi="宋体" w:cs="宋体"/>
                <w:sz w:val="21"/>
                <w:szCs w:val="21"/>
              </w:rPr>
            </w:pPr>
            <w:r>
              <w:rPr>
                <w:rFonts w:hint="eastAsia" w:ascii="宋体" w:hAnsi="宋体" w:cs="宋体"/>
                <w:sz w:val="21"/>
                <w:szCs w:val="21"/>
              </w:rPr>
              <w:t>②售后服务方案较具体合理、维修响应时间及到达现场解决故障时间一般的得1.9-1分；</w:t>
            </w:r>
          </w:p>
          <w:p>
            <w:pPr>
              <w:pStyle w:val="10"/>
              <w:spacing w:line="240" w:lineRule="auto"/>
              <w:rPr>
                <w:rFonts w:ascii="宋体" w:hAnsi="宋体" w:cs="宋体"/>
                <w:sz w:val="21"/>
                <w:szCs w:val="21"/>
              </w:rPr>
            </w:pPr>
            <w:r>
              <w:rPr>
                <w:rFonts w:hint="eastAsia" w:ascii="宋体" w:hAnsi="宋体" w:cs="宋体"/>
                <w:sz w:val="21"/>
                <w:szCs w:val="21"/>
              </w:rPr>
              <w:t>③售后服务方案不够具体合理、响应时间较慢的，得0.9-0分；</w:t>
            </w:r>
          </w:p>
          <w:p>
            <w:pPr>
              <w:pStyle w:val="10"/>
              <w:spacing w:line="240" w:lineRule="auto"/>
              <w:rPr>
                <w:rFonts w:ascii="宋体" w:hAnsi="宋体" w:cs="宋体"/>
                <w:sz w:val="21"/>
                <w:szCs w:val="21"/>
              </w:rPr>
            </w:pPr>
            <w:r>
              <w:rPr>
                <w:rFonts w:hint="eastAsia" w:ascii="宋体" w:hAnsi="宋体" w:cs="宋体"/>
                <w:sz w:val="21"/>
                <w:szCs w:val="21"/>
              </w:rPr>
              <w:t>④未提供的不得分。</w:t>
            </w:r>
          </w:p>
        </w:tc>
        <w:tc>
          <w:tcPr>
            <w:tcW w:w="814"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86" w:type="dxa"/>
            <w:vMerge w:val="continue"/>
            <w:vAlign w:val="center"/>
          </w:tcPr>
          <w:p>
            <w:pPr>
              <w:jc w:val="left"/>
            </w:pPr>
          </w:p>
        </w:tc>
        <w:tc>
          <w:tcPr>
            <w:tcW w:w="1188" w:type="dxa"/>
            <w:vAlign w:val="center"/>
          </w:tcPr>
          <w:p>
            <w:pPr>
              <w:rPr>
                <w:rFonts w:ascii="宋体" w:hAnsi="宋体" w:cs="宋体"/>
                <w:b/>
                <w:bCs/>
                <w:szCs w:val="21"/>
              </w:rPr>
            </w:pPr>
            <w:r>
              <w:rPr>
                <w:rFonts w:hint="eastAsia" w:ascii="宋体" w:hAnsi="宋体" w:cs="宋体"/>
                <w:b/>
                <w:bCs/>
                <w:szCs w:val="21"/>
              </w:rPr>
              <w:t>培训方案</w:t>
            </w:r>
          </w:p>
        </w:tc>
        <w:tc>
          <w:tcPr>
            <w:tcW w:w="5730" w:type="dxa"/>
            <w:vAlign w:val="center"/>
          </w:tcPr>
          <w:p>
            <w:pPr>
              <w:pStyle w:val="10"/>
              <w:spacing w:line="240" w:lineRule="auto"/>
              <w:rPr>
                <w:rFonts w:ascii="宋体" w:hAnsi="宋体" w:cs="宋体"/>
                <w:sz w:val="21"/>
                <w:szCs w:val="21"/>
              </w:rPr>
            </w:pPr>
            <w:r>
              <w:rPr>
                <w:rFonts w:hint="eastAsia" w:ascii="宋体" w:hAnsi="宋体" w:cs="宋体"/>
                <w:sz w:val="21"/>
                <w:szCs w:val="21"/>
              </w:rPr>
              <w:t>根据投标人针对本项目制定的培训方案的合理性、科学性、可行性等情况进行综合打分：</w:t>
            </w:r>
          </w:p>
          <w:p>
            <w:pPr>
              <w:pStyle w:val="10"/>
              <w:spacing w:line="240" w:lineRule="auto"/>
              <w:rPr>
                <w:rFonts w:ascii="宋体" w:hAnsi="宋体" w:cs="宋体"/>
                <w:sz w:val="21"/>
                <w:szCs w:val="21"/>
              </w:rPr>
            </w:pPr>
            <w:r>
              <w:rPr>
                <w:rFonts w:hint="eastAsia" w:ascii="宋体" w:hAnsi="宋体" w:cs="宋体"/>
                <w:sz w:val="21"/>
                <w:szCs w:val="21"/>
              </w:rPr>
              <w:t>①培训内容齐全，方式可操作性强的得3-2分；</w:t>
            </w:r>
          </w:p>
          <w:p>
            <w:pPr>
              <w:pStyle w:val="10"/>
              <w:spacing w:line="240" w:lineRule="auto"/>
              <w:rPr>
                <w:rFonts w:ascii="宋体" w:hAnsi="宋体" w:cs="宋体"/>
                <w:sz w:val="21"/>
                <w:szCs w:val="21"/>
              </w:rPr>
            </w:pPr>
            <w:r>
              <w:rPr>
                <w:rFonts w:hint="eastAsia" w:ascii="宋体" w:hAnsi="宋体" w:cs="宋体"/>
                <w:sz w:val="21"/>
                <w:szCs w:val="21"/>
              </w:rPr>
              <w:t>②培训方案一般，可操作性一般的得1.9-1分；</w:t>
            </w:r>
          </w:p>
          <w:p>
            <w:pPr>
              <w:pStyle w:val="10"/>
              <w:spacing w:line="240" w:lineRule="auto"/>
              <w:rPr>
                <w:rFonts w:ascii="宋体" w:hAnsi="宋体" w:cs="宋体"/>
                <w:sz w:val="21"/>
                <w:szCs w:val="21"/>
              </w:rPr>
            </w:pPr>
            <w:r>
              <w:rPr>
                <w:rFonts w:hint="eastAsia" w:ascii="宋体" w:hAnsi="宋体" w:cs="宋体"/>
                <w:sz w:val="21"/>
                <w:szCs w:val="21"/>
              </w:rPr>
              <w:t>③方案考虑不够周全、可操作性较差的得0.9-0分；</w:t>
            </w:r>
          </w:p>
          <w:p>
            <w:pPr>
              <w:pStyle w:val="10"/>
              <w:spacing w:line="240" w:lineRule="auto"/>
              <w:rPr>
                <w:rFonts w:ascii="宋体" w:hAnsi="宋体" w:cs="宋体"/>
                <w:sz w:val="21"/>
                <w:szCs w:val="21"/>
              </w:rPr>
            </w:pPr>
            <w:r>
              <w:rPr>
                <w:rFonts w:hint="eastAsia" w:ascii="宋体" w:hAnsi="宋体" w:cs="宋体"/>
                <w:sz w:val="21"/>
                <w:szCs w:val="21"/>
              </w:rPr>
              <w:t>④未提供的不得分。</w:t>
            </w:r>
          </w:p>
        </w:tc>
        <w:tc>
          <w:tcPr>
            <w:tcW w:w="814"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86" w:type="dxa"/>
            <w:vAlign w:val="center"/>
          </w:tcPr>
          <w:p>
            <w:pPr>
              <w:widowControl/>
              <w:jc w:val="center"/>
              <w:rPr>
                <w:rFonts w:ascii="宋体" w:hAnsi="宋体" w:cs="宋体"/>
                <w:b/>
                <w:bCs/>
                <w:szCs w:val="21"/>
              </w:rPr>
            </w:pPr>
            <w:r>
              <w:rPr>
                <w:rFonts w:hint="eastAsia" w:ascii="宋体" w:hAnsi="宋体" w:cs="Arial"/>
                <w:b/>
                <w:bCs/>
                <w:color w:val="000000" w:themeColor="text1"/>
                <w:szCs w:val="21"/>
                <w14:textFill>
                  <w14:solidFill>
                    <w14:schemeClr w14:val="tx1"/>
                  </w14:solidFill>
                </w14:textFill>
              </w:rPr>
              <w:t>价格</w:t>
            </w:r>
            <w:r>
              <w:rPr>
                <w:rFonts w:hint="eastAsia" w:ascii="宋体" w:hAnsi="宋体" w:cs="宋体"/>
                <w:b/>
                <w:szCs w:val="21"/>
              </w:rPr>
              <w:t>30分</w:t>
            </w:r>
          </w:p>
        </w:tc>
        <w:tc>
          <w:tcPr>
            <w:tcW w:w="6918" w:type="dxa"/>
            <w:gridSpan w:val="2"/>
            <w:vAlign w:val="center"/>
          </w:tcPr>
          <w:p>
            <w:pPr>
              <w:jc w:val="left"/>
              <w:rPr>
                <w:rFonts w:ascii="宋体" w:hAnsi="宋体" w:cs="宋体" w:eastAsiaTheme="minorEastAsia"/>
                <w:szCs w:val="21"/>
              </w:rPr>
            </w:pPr>
            <w:r>
              <w:rPr>
                <w:rFonts w:hint="eastAsia" w:ascii="宋体" w:hAnsi="宋体" w:cs="宋体"/>
                <w:szCs w:val="21"/>
              </w:rPr>
              <w:t>以合格投标人有效投标总报价中的最低价为基准价，基准价为30分。投标报价得分＝（评标基准价/投标报价）×</w:t>
            </w:r>
            <w:r>
              <w:rPr>
                <w:rFonts w:hint="eastAsia" w:ascii="宋体" w:hAnsi="宋体" w:cs="宋体"/>
                <w:kern w:val="0"/>
                <w:szCs w:val="21"/>
              </w:rPr>
              <w:t>30%</w:t>
            </w:r>
            <w:r>
              <w:rPr>
                <w:rFonts w:hint="eastAsia" w:ascii="宋体" w:hAnsi="宋体" w:cs="宋体"/>
                <w:szCs w:val="21"/>
              </w:rPr>
              <w:t>×</w:t>
            </w:r>
            <w:r>
              <w:rPr>
                <w:rFonts w:hint="eastAsia" w:ascii="宋体" w:hAnsi="宋体" w:cs="宋体"/>
                <w:kern w:val="0"/>
                <w:szCs w:val="21"/>
              </w:rPr>
              <w:t>100</w:t>
            </w:r>
            <w:r>
              <w:rPr>
                <w:rFonts w:hint="eastAsia" w:ascii="宋体" w:hAnsi="宋体" w:cs="宋体"/>
                <w:szCs w:val="21"/>
              </w:rPr>
              <w:t>（小数点后保留2位小数）。</w:t>
            </w:r>
            <w:r>
              <w:rPr>
                <w:rFonts w:hint="eastAsia" w:ascii="宋体" w:hAnsi="宋体" w:cs="宋体"/>
                <w:color w:val="000000" w:themeColor="text1"/>
                <w:szCs w:val="21"/>
                <w14:textFill>
                  <w14:solidFill>
                    <w14:schemeClr w14:val="tx1"/>
                  </w14:solidFill>
                </w14:textFill>
              </w:rPr>
              <w:t>注：</w:t>
            </w:r>
            <w:r>
              <w:rPr>
                <w:rFonts w:hint="eastAsia" w:ascii="宋体" w:hAnsi="宋体" w:cs="宋体"/>
                <w:szCs w:val="21"/>
              </w:rPr>
              <w:t>符合本章第八点政府采购政策的，对报价给予</w:t>
            </w:r>
            <w:r>
              <w:rPr>
                <w:rFonts w:hint="eastAsia" w:ascii="宋体" w:hAnsi="宋体" w:cs="宋体"/>
                <w:szCs w:val="21"/>
                <w:u w:val="single"/>
              </w:rPr>
              <w:t xml:space="preserve"> </w:t>
            </w:r>
            <w:r>
              <w:rPr>
                <w:rFonts w:hint="eastAsia" w:ascii="宋体" w:hAnsi="宋体" w:cs="宋体"/>
                <w:szCs w:val="21"/>
                <w:u w:val="single"/>
                <w:lang w:val="en-US" w:eastAsia="zh-CN"/>
              </w:rPr>
              <w:t>10</w:t>
            </w:r>
            <w:r>
              <w:rPr>
                <w:rFonts w:hint="eastAsia" w:ascii="宋体" w:hAnsi="宋体" w:cs="宋体"/>
                <w:szCs w:val="21"/>
                <w:u w:val="single"/>
              </w:rPr>
              <w:t xml:space="preserve">% </w:t>
            </w:r>
            <w:r>
              <w:rPr>
                <w:rFonts w:hint="eastAsia" w:ascii="宋体" w:hAnsi="宋体" w:cs="宋体"/>
                <w:szCs w:val="21"/>
              </w:rPr>
              <w:t>的价格扣除，用扣除后的价格参与评审。</w:t>
            </w:r>
          </w:p>
        </w:tc>
        <w:tc>
          <w:tcPr>
            <w:tcW w:w="814" w:type="dxa"/>
            <w:vAlign w:val="center"/>
          </w:tcPr>
          <w:p>
            <w:pPr>
              <w:autoSpaceDE w:val="0"/>
              <w:autoSpaceDN w:val="0"/>
              <w:adjustRightInd w:val="0"/>
              <w:jc w:val="center"/>
              <w:rPr>
                <w:rFonts w:ascii="宋体" w:hAnsi="宋体" w:cs="宋体"/>
                <w:szCs w:val="21"/>
              </w:rPr>
            </w:pPr>
            <w:r>
              <w:rPr>
                <w:rFonts w:hint="eastAsia" w:ascii="宋体" w:hAnsi="宋体" w:cs="宋体"/>
                <w:szCs w:val="21"/>
              </w:rPr>
              <w:t>30</w:t>
            </w:r>
          </w:p>
        </w:tc>
      </w:tr>
    </w:tbl>
    <w:p>
      <w:pPr>
        <w:spacing w:line="360" w:lineRule="auto"/>
        <w:rPr>
          <w:rFonts w:asciiTheme="minorEastAsia" w:hAnsiTheme="minorEastAsia" w:eastAsiaTheme="minorEastAsia"/>
          <w:b/>
          <w:sz w:val="24"/>
        </w:rPr>
      </w:pPr>
      <w:r>
        <w:rPr>
          <w:rFonts w:hint="eastAsia"/>
        </w:rPr>
        <w:t>注：请扫描上传合同、证书、报告及其他相关证明材料的原件至投标文件，并加盖公章。</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7" w:name="_Toc27944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7"/>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1"/>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1"/>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 xml:space="preserve">一、合同文件：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1"/>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1"/>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1"/>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cs="宋体"/>
          <w:color w:val="111F2C"/>
          <w:szCs w:val="21"/>
          <w:shd w:val="clear" w:color="auto" w:fill="FFFFFF"/>
        </w:rPr>
        <w:t>中华人民共和国民法典</w:t>
      </w:r>
      <w:r>
        <w:rPr>
          <w:rFonts w:asciiTheme="minorEastAsia" w:hAnsiTheme="minorEastAsia" w:eastAsiaTheme="minorEastAsia"/>
        </w:rPr>
        <w:t>》有关条文执行。</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pStyle w:val="27"/>
        <w:rPr>
          <w:rFonts w:asciiTheme="majorEastAsia" w:hAnsiTheme="majorEastAsia" w:eastAsiaTheme="majorEastAsia"/>
          <w:sz w:val="28"/>
          <w:szCs w:val="28"/>
        </w:rPr>
      </w:pPr>
    </w:p>
    <w:p>
      <w:pPr>
        <w:rPr>
          <w:rFonts w:asciiTheme="minorEastAsia" w:hAnsiTheme="minorEastAsia" w:eastAsiaTheme="minorEastAsia"/>
          <w:b/>
          <w:sz w:val="36"/>
          <w:szCs w:val="36"/>
        </w:rPr>
      </w:pPr>
      <w:bookmarkStart w:id="38" w:name="_Toc5481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8"/>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9" w:name="_Toc4956_WPSOffice_Level1"/>
      <w:bookmarkStart w:id="40" w:name="_Toc32372_WPSOffice_Level1"/>
      <w:bookmarkStart w:id="41" w:name="_Toc19093_WPSOffice_Level1"/>
      <w:r>
        <w:rPr>
          <w:rFonts w:hint="eastAsia"/>
          <w:sz w:val="52"/>
          <w:szCs w:val="52"/>
        </w:rPr>
        <w:t>项目名称</w:t>
      </w:r>
      <w:bookmarkEnd w:id="39"/>
      <w:bookmarkEnd w:id="40"/>
      <w:bookmarkEnd w:id="41"/>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b/>
          <w:bCs/>
          <w:sz w:val="36"/>
          <w:szCs w:val="36"/>
        </w:rPr>
      </w:pPr>
      <w:r>
        <w:rPr>
          <w:rFonts w:hint="eastAsia"/>
          <w:b/>
          <w:bCs/>
          <w:sz w:val="36"/>
          <w:szCs w:val="36"/>
        </w:rPr>
        <w:t>资格证明文件目录</w:t>
      </w:r>
    </w:p>
    <w:p>
      <w:pPr>
        <w:pStyle w:val="8"/>
      </w:pPr>
    </w:p>
    <w:p/>
    <w:p>
      <w:pPr>
        <w:numPr>
          <w:ilvl w:val="0"/>
          <w:numId w:val="5"/>
        </w:numPr>
        <w:spacing w:line="360" w:lineRule="auto"/>
        <w:ind w:hanging="5"/>
        <w:rPr>
          <w:sz w:val="28"/>
          <w:szCs w:val="36"/>
        </w:rPr>
      </w:pPr>
      <w:bookmarkStart w:id="42" w:name="_Toc12587_WPSOffice_Level1"/>
      <w:bookmarkStart w:id="43" w:name="_Toc27049_WPSOffice_Level1"/>
      <w:r>
        <w:rPr>
          <w:rFonts w:hint="eastAsia"/>
          <w:sz w:val="28"/>
          <w:szCs w:val="36"/>
        </w:rPr>
        <w:t>投标声明书（附件1）</w:t>
      </w:r>
      <w:bookmarkEnd w:id="42"/>
      <w:bookmarkEnd w:id="43"/>
    </w:p>
    <w:p>
      <w:pPr>
        <w:numPr>
          <w:ilvl w:val="0"/>
          <w:numId w:val="5"/>
        </w:numPr>
        <w:spacing w:line="360" w:lineRule="auto"/>
        <w:ind w:hanging="5"/>
        <w:rPr>
          <w:sz w:val="28"/>
          <w:szCs w:val="36"/>
        </w:rPr>
      </w:pPr>
      <w:bookmarkStart w:id="44" w:name="_Toc25574_WPSOffice_Level1"/>
      <w:bookmarkStart w:id="45" w:name="_Toc28306_WPSOffice_Level1"/>
      <w:r>
        <w:rPr>
          <w:rFonts w:hint="eastAsia"/>
          <w:sz w:val="28"/>
          <w:szCs w:val="36"/>
        </w:rPr>
        <w:t>授权委托书（法定代表人办理投标事宜的，则无需提交）（附件2）</w:t>
      </w:r>
      <w:bookmarkEnd w:id="44"/>
      <w:bookmarkEnd w:id="45"/>
    </w:p>
    <w:p>
      <w:pPr>
        <w:numPr>
          <w:ilvl w:val="0"/>
          <w:numId w:val="5"/>
        </w:numPr>
        <w:spacing w:line="360" w:lineRule="auto"/>
        <w:ind w:hanging="5"/>
        <w:rPr>
          <w:sz w:val="28"/>
          <w:szCs w:val="36"/>
        </w:rPr>
      </w:pPr>
      <w:bookmarkStart w:id="46" w:name="_Toc29616_WPSOffice_Level1"/>
      <w:bookmarkStart w:id="47" w:name="_Toc32100_WPSOffice_Level1"/>
      <w:r>
        <w:rPr>
          <w:rFonts w:hint="eastAsia"/>
          <w:sz w:val="28"/>
          <w:szCs w:val="36"/>
        </w:rPr>
        <w:t>法人或者其他组织的营业执照等证明文件、自然人的身份证明</w:t>
      </w:r>
      <w:bookmarkEnd w:id="46"/>
      <w:bookmarkEnd w:id="47"/>
    </w:p>
    <w:p>
      <w:pPr>
        <w:numPr>
          <w:ilvl w:val="0"/>
          <w:numId w:val="5"/>
        </w:numPr>
        <w:spacing w:line="360" w:lineRule="auto"/>
        <w:ind w:hanging="5"/>
        <w:rPr>
          <w:sz w:val="28"/>
          <w:szCs w:val="36"/>
        </w:rPr>
      </w:pPr>
      <w:bookmarkStart w:id="48" w:name="_Toc2696_WPSOffice_Level1"/>
      <w:bookmarkStart w:id="49" w:name="_Toc30751_WPSOffice_Level1"/>
      <w:r>
        <w:rPr>
          <w:rFonts w:hint="eastAsia"/>
          <w:sz w:val="28"/>
          <w:szCs w:val="36"/>
        </w:rPr>
        <w:t>符合参与政府采购活动的资格条件并且没有税收缴纳、社会保障等方面的失信记录的承诺函</w:t>
      </w:r>
    </w:p>
    <w:p>
      <w:pPr>
        <w:numPr>
          <w:ilvl w:val="0"/>
          <w:numId w:val="5"/>
        </w:numPr>
        <w:spacing w:line="360" w:lineRule="auto"/>
        <w:ind w:hanging="5"/>
        <w:rPr>
          <w:sz w:val="28"/>
          <w:szCs w:val="36"/>
        </w:rPr>
      </w:pPr>
      <w:r>
        <w:rPr>
          <w:rFonts w:hint="eastAsia"/>
          <w:sz w:val="28"/>
          <w:szCs w:val="36"/>
        </w:rPr>
        <w:t>具备履行合同所必需的设备和专业技术能力的证明材料</w:t>
      </w:r>
      <w:bookmarkEnd w:id="48"/>
      <w:bookmarkEnd w:id="49"/>
    </w:p>
    <w:p>
      <w:pPr>
        <w:numPr>
          <w:ilvl w:val="0"/>
          <w:numId w:val="5"/>
        </w:numPr>
        <w:spacing w:line="360" w:lineRule="auto"/>
        <w:ind w:hanging="5"/>
        <w:rPr>
          <w:sz w:val="28"/>
          <w:szCs w:val="36"/>
        </w:rPr>
      </w:pPr>
      <w:bookmarkStart w:id="50" w:name="_Toc4587_WPSOffice_Level1"/>
      <w:bookmarkStart w:id="51" w:name="_Toc14150_WPSOffice_Level1"/>
      <w:r>
        <w:rPr>
          <w:rFonts w:hint="eastAsia"/>
          <w:sz w:val="28"/>
          <w:szCs w:val="36"/>
        </w:rPr>
        <w:t>本项目要求的特定资质证书</w:t>
      </w:r>
      <w:bookmarkEnd w:id="50"/>
      <w:bookmarkEnd w:id="51"/>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2" w:name="_Toc31708_WPSOffice_Level1"/>
      <w:bookmarkStart w:id="53" w:name="_Toc30723_WPSOffice_Level1"/>
      <w:r>
        <w:rPr>
          <w:rFonts w:hint="eastAsia" w:ascii="宋体" w:hAnsi="宋体"/>
          <w:b/>
          <w:kern w:val="0"/>
          <w:sz w:val="32"/>
          <w:szCs w:val="32"/>
          <w:lang w:val="zh-CN"/>
        </w:rPr>
        <w:t>投标声明书</w:t>
      </w:r>
      <w:bookmarkEnd w:id="52"/>
      <w:bookmarkEnd w:id="53"/>
    </w:p>
    <w:p>
      <w:pPr>
        <w:snapToGrid w:val="0"/>
        <w:spacing w:before="120"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6"/>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6"/>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6"/>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6"/>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6"/>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6"/>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54" w:name="_Toc6870_WPSOffice_Level1"/>
      <w:bookmarkStart w:id="55" w:name="_Toc24373_WPSOffice_Level1"/>
      <w:r>
        <w:rPr>
          <w:b/>
          <w:sz w:val="32"/>
          <w:szCs w:val="32"/>
        </w:rPr>
        <w:t>授权</w:t>
      </w:r>
      <w:r>
        <w:rPr>
          <w:rFonts w:hint="eastAsia"/>
          <w:b/>
          <w:sz w:val="32"/>
          <w:szCs w:val="32"/>
        </w:rPr>
        <w:t>委托</w:t>
      </w:r>
      <w:r>
        <w:rPr>
          <w:b/>
          <w:sz w:val="32"/>
          <w:szCs w:val="32"/>
        </w:rPr>
        <w:t>书</w:t>
      </w:r>
      <w:bookmarkEnd w:id="54"/>
      <w:bookmarkEnd w:id="55"/>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sz w:val="52"/>
          <w:szCs w:val="52"/>
        </w:rPr>
      </w:pPr>
      <w:bookmarkStart w:id="56" w:name="_Toc12331_WPSOffice_Level1"/>
      <w:bookmarkStart w:id="57" w:name="_Toc26389_WPSOffice_Level1"/>
      <w:bookmarkStart w:id="58" w:name="_Toc16825_WPSOffice_Level1"/>
    </w:p>
    <w:p>
      <w:pPr>
        <w:jc w:val="center"/>
        <w:rPr>
          <w:sz w:val="52"/>
          <w:szCs w:val="52"/>
        </w:rPr>
      </w:pPr>
    </w:p>
    <w:p>
      <w:pPr>
        <w:jc w:val="center"/>
        <w:rPr>
          <w:sz w:val="52"/>
          <w:szCs w:val="52"/>
        </w:rPr>
      </w:pPr>
    </w:p>
    <w:p>
      <w:pPr>
        <w:jc w:val="center"/>
        <w:rPr>
          <w:sz w:val="52"/>
          <w:szCs w:val="52"/>
        </w:rPr>
      </w:pPr>
      <w:r>
        <w:rPr>
          <w:rFonts w:hint="eastAsia"/>
          <w:sz w:val="52"/>
          <w:szCs w:val="52"/>
        </w:rPr>
        <w:t>项目名称</w:t>
      </w:r>
      <w:bookmarkEnd w:id="56"/>
      <w:bookmarkEnd w:id="57"/>
      <w:bookmarkEnd w:id="58"/>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
      </w:pP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sz w:val="28"/>
          <w:szCs w:val="28"/>
        </w:rPr>
      </w:pPr>
      <w:bookmarkStart w:id="59" w:name="_Toc5889_WPSOffice_Level1"/>
      <w:bookmarkStart w:id="60" w:name="_Toc11308_WPSOffice_Level1"/>
      <w:r>
        <w:rPr>
          <w:rFonts w:hint="eastAsia"/>
          <w:b/>
          <w:bCs/>
          <w:sz w:val="36"/>
          <w:szCs w:val="36"/>
          <w:lang w:val="zh-CN"/>
        </w:rPr>
        <w:t>商务与技术文件目录</w:t>
      </w:r>
      <w:bookmarkEnd w:id="59"/>
      <w:bookmarkEnd w:id="60"/>
    </w:p>
    <w:p>
      <w:pPr>
        <w:spacing w:line="360" w:lineRule="auto"/>
        <w:ind w:firstLine="562" w:firstLineChars="200"/>
        <w:rPr>
          <w:b/>
          <w:bCs/>
          <w:sz w:val="28"/>
          <w:szCs w:val="28"/>
        </w:rPr>
      </w:pPr>
      <w:bookmarkStart w:id="61" w:name="_Toc20529_WPSOffice_Level1"/>
      <w:bookmarkStart w:id="62" w:name="_Toc21250_WPSOffice_Level1"/>
      <w:r>
        <w:rPr>
          <w:rFonts w:hint="eastAsia"/>
          <w:b/>
          <w:bCs/>
          <w:sz w:val="28"/>
          <w:szCs w:val="28"/>
        </w:rPr>
        <w:t>第一部分  技术方案描述部分</w:t>
      </w:r>
      <w:bookmarkEnd w:id="61"/>
      <w:bookmarkEnd w:id="62"/>
    </w:p>
    <w:p>
      <w:pPr>
        <w:numPr>
          <w:ilvl w:val="0"/>
          <w:numId w:val="7"/>
        </w:numPr>
        <w:spacing w:line="360" w:lineRule="auto"/>
        <w:ind w:left="405" w:firstLine="15"/>
        <w:rPr>
          <w:sz w:val="28"/>
          <w:szCs w:val="28"/>
        </w:rPr>
      </w:pPr>
      <w:r>
        <w:rPr>
          <w:rFonts w:hint="eastAsia"/>
          <w:sz w:val="28"/>
          <w:szCs w:val="28"/>
        </w:rPr>
        <w:t>投标人情况介绍（附件3）</w:t>
      </w:r>
    </w:p>
    <w:p>
      <w:pPr>
        <w:numPr>
          <w:ilvl w:val="0"/>
          <w:numId w:val="7"/>
        </w:numPr>
        <w:spacing w:line="360" w:lineRule="auto"/>
        <w:ind w:left="405" w:firstLine="15"/>
        <w:rPr>
          <w:sz w:val="28"/>
          <w:szCs w:val="28"/>
        </w:rPr>
      </w:pPr>
      <w:r>
        <w:rPr>
          <w:rFonts w:hint="eastAsia"/>
          <w:sz w:val="28"/>
          <w:szCs w:val="28"/>
        </w:rPr>
        <w:t>项目需求的理解与分析</w:t>
      </w:r>
    </w:p>
    <w:p>
      <w:pPr>
        <w:numPr>
          <w:ilvl w:val="0"/>
          <w:numId w:val="7"/>
        </w:numPr>
        <w:spacing w:line="360" w:lineRule="auto"/>
        <w:ind w:left="405" w:firstLine="15"/>
        <w:rPr>
          <w:sz w:val="28"/>
          <w:szCs w:val="28"/>
        </w:rPr>
      </w:pPr>
      <w:r>
        <w:rPr>
          <w:rFonts w:hint="eastAsia"/>
          <w:sz w:val="28"/>
          <w:szCs w:val="28"/>
        </w:rPr>
        <w:t>项目组织实施方案（可视情选用附件4、附件5）</w:t>
      </w:r>
    </w:p>
    <w:p>
      <w:pPr>
        <w:numPr>
          <w:ilvl w:val="0"/>
          <w:numId w:val="7"/>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63" w:name="_Toc6008_WPSOffice_Level1"/>
      <w:bookmarkStart w:id="64" w:name="_Toc12004_WPSOffice_Level1"/>
      <w:r>
        <w:rPr>
          <w:rFonts w:hint="eastAsia"/>
          <w:b/>
          <w:bCs/>
          <w:sz w:val="28"/>
          <w:szCs w:val="28"/>
        </w:rPr>
        <w:t>第二部分  投标产品描述部分</w:t>
      </w:r>
      <w:bookmarkEnd w:id="63"/>
      <w:bookmarkEnd w:id="64"/>
    </w:p>
    <w:p>
      <w:pPr>
        <w:numPr>
          <w:ilvl w:val="0"/>
          <w:numId w:val="8"/>
        </w:numPr>
        <w:spacing w:line="360" w:lineRule="auto"/>
        <w:ind w:hanging="5"/>
        <w:rPr>
          <w:sz w:val="28"/>
          <w:szCs w:val="28"/>
        </w:rPr>
      </w:pPr>
      <w:r>
        <w:rPr>
          <w:rFonts w:hint="eastAsia"/>
          <w:sz w:val="28"/>
          <w:szCs w:val="28"/>
        </w:rPr>
        <w:t>投标产品描述及相关资料（可视情选用附件6）</w:t>
      </w:r>
    </w:p>
    <w:p>
      <w:pPr>
        <w:numPr>
          <w:ilvl w:val="0"/>
          <w:numId w:val="8"/>
        </w:numPr>
        <w:spacing w:line="360" w:lineRule="auto"/>
        <w:ind w:hanging="5"/>
        <w:rPr>
          <w:sz w:val="28"/>
          <w:szCs w:val="28"/>
        </w:rPr>
      </w:pPr>
      <w:r>
        <w:rPr>
          <w:rFonts w:hint="eastAsia"/>
          <w:sz w:val="28"/>
          <w:szCs w:val="28"/>
        </w:rPr>
        <w:t>技术需求响应表（附件7）</w:t>
      </w:r>
    </w:p>
    <w:p>
      <w:pPr>
        <w:numPr>
          <w:ilvl w:val="0"/>
          <w:numId w:val="8"/>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5" w:name="_Toc30029_WPSOffice_Level1"/>
      <w:bookmarkStart w:id="66" w:name="_Toc20986_WPSOffice_Level1"/>
      <w:r>
        <w:rPr>
          <w:rFonts w:hint="eastAsia"/>
          <w:b/>
          <w:bCs/>
          <w:sz w:val="28"/>
          <w:szCs w:val="28"/>
        </w:rPr>
        <w:t>第三部分  商务及其他部分</w:t>
      </w:r>
      <w:bookmarkEnd w:id="65"/>
      <w:bookmarkEnd w:id="66"/>
    </w:p>
    <w:p>
      <w:pPr>
        <w:numPr>
          <w:ilvl w:val="0"/>
          <w:numId w:val="9"/>
        </w:numPr>
        <w:spacing w:line="360" w:lineRule="auto"/>
        <w:ind w:hanging="5"/>
        <w:rPr>
          <w:sz w:val="28"/>
          <w:szCs w:val="28"/>
        </w:rPr>
      </w:pPr>
      <w:r>
        <w:rPr>
          <w:rFonts w:hint="eastAsia"/>
          <w:sz w:val="28"/>
          <w:szCs w:val="28"/>
        </w:rPr>
        <w:t>证书一览表（附件8）</w:t>
      </w:r>
    </w:p>
    <w:p>
      <w:pPr>
        <w:numPr>
          <w:ilvl w:val="0"/>
          <w:numId w:val="9"/>
        </w:numPr>
        <w:spacing w:line="360" w:lineRule="auto"/>
        <w:ind w:hanging="5"/>
        <w:rPr>
          <w:sz w:val="28"/>
          <w:szCs w:val="28"/>
        </w:rPr>
      </w:pPr>
      <w:r>
        <w:rPr>
          <w:rFonts w:hint="eastAsia"/>
          <w:sz w:val="28"/>
          <w:szCs w:val="28"/>
        </w:rPr>
        <w:t>近三年来类似项目的成功案例（附件9）</w:t>
      </w:r>
    </w:p>
    <w:p>
      <w:pPr>
        <w:numPr>
          <w:ilvl w:val="0"/>
          <w:numId w:val="9"/>
        </w:numPr>
        <w:spacing w:line="360" w:lineRule="auto"/>
        <w:ind w:hanging="5"/>
        <w:rPr>
          <w:sz w:val="28"/>
          <w:szCs w:val="28"/>
        </w:rPr>
      </w:pPr>
      <w:r>
        <w:rPr>
          <w:rFonts w:hint="eastAsia"/>
          <w:sz w:val="28"/>
          <w:szCs w:val="28"/>
        </w:rPr>
        <w:t>售后服务描述及承诺（可视情选用附件10，附件11）</w:t>
      </w:r>
    </w:p>
    <w:p>
      <w:pPr>
        <w:numPr>
          <w:ilvl w:val="0"/>
          <w:numId w:val="9"/>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9"/>
        </w:numPr>
        <w:spacing w:line="360" w:lineRule="auto"/>
        <w:ind w:hanging="5"/>
        <w:rPr>
          <w:sz w:val="28"/>
          <w:szCs w:val="28"/>
        </w:rPr>
      </w:pPr>
      <w:r>
        <w:rPr>
          <w:rFonts w:hint="eastAsia"/>
          <w:sz w:val="28"/>
          <w:szCs w:val="28"/>
        </w:rPr>
        <w:t>主要货物用材响应表（类似家具类货物采用，附件12）</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b/>
          <w:sz w:val="28"/>
        </w:rPr>
      </w:pPr>
      <w:r>
        <w:rPr>
          <w:rFonts w:hint="eastAsia"/>
          <w:b/>
          <w:sz w:val="28"/>
        </w:rPr>
        <w:t>附件3</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7" w:name="_Toc14261_WPSOffice_Level1"/>
      <w:bookmarkStart w:id="68" w:name="_Toc13307_WPSOffice_Level1"/>
      <w:r>
        <w:rPr>
          <w:rFonts w:hint="eastAsia"/>
          <w:b/>
          <w:sz w:val="32"/>
          <w:szCs w:val="32"/>
        </w:rPr>
        <w:t>投标</w:t>
      </w:r>
      <w:r>
        <w:rPr>
          <w:rFonts w:hint="eastAsia"/>
          <w:b/>
          <w:bCs/>
          <w:sz w:val="32"/>
          <w:szCs w:val="32"/>
        </w:rPr>
        <w:t>人基本情况表</w:t>
      </w:r>
      <w:bookmarkEnd w:id="67"/>
      <w:bookmarkEnd w:id="68"/>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8"/>
        </w:rPr>
        <w:t>附件4</w:t>
      </w:r>
    </w:p>
    <w:p>
      <w:pPr>
        <w:snapToGrid w:val="0"/>
        <w:spacing w:before="120" w:beforeLines="50" w:after="50" w:line="360" w:lineRule="auto"/>
        <w:jc w:val="center"/>
        <w:rPr>
          <w:rFonts w:ascii="宋体" w:hAnsi="宋体"/>
          <w:b/>
          <w:sz w:val="36"/>
          <w:szCs w:val="36"/>
        </w:rPr>
      </w:pPr>
      <w:bookmarkStart w:id="69" w:name="_Toc23671_WPSOffice_Level1"/>
      <w:bookmarkStart w:id="70" w:name="_Toc20569_WPSOffice_Level1"/>
      <w:r>
        <w:rPr>
          <w:rFonts w:hint="eastAsia" w:ascii="宋体" w:hAnsi="宋体"/>
          <w:b/>
          <w:sz w:val="32"/>
          <w:szCs w:val="32"/>
        </w:rPr>
        <w:t>项目实施人员一览表</w:t>
      </w:r>
      <w:bookmarkEnd w:id="69"/>
      <w:bookmarkEnd w:id="70"/>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w:t>
      </w:r>
      <w:r>
        <w:rPr>
          <w:rFonts w:hint="eastAsia" w:ascii="宋体" w:hAnsi="宋体"/>
          <w:szCs w:val="21"/>
        </w:rPr>
        <w:t>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rPr>
      </w:pPr>
      <w:r>
        <w:rPr>
          <w:rFonts w:hint="eastAsia" w:ascii="宋体" w:hAnsi="宋体"/>
          <w:b/>
          <w:sz w:val="28"/>
        </w:rPr>
        <w:t>附件5</w:t>
      </w:r>
    </w:p>
    <w:p>
      <w:pPr>
        <w:spacing w:before="120" w:beforeLines="50" w:after="120" w:afterLines="50" w:line="360" w:lineRule="auto"/>
        <w:ind w:right="-10"/>
        <w:jc w:val="center"/>
        <w:rPr>
          <w:rFonts w:ascii="宋体" w:hAnsi="宋体"/>
          <w:b/>
          <w:bCs/>
          <w:sz w:val="32"/>
          <w:szCs w:val="32"/>
        </w:rPr>
      </w:pPr>
      <w:bookmarkStart w:id="71" w:name="_Toc23055_WPSOffice_Level1"/>
      <w:bookmarkStart w:id="72" w:name="_Toc12710_WPSOffice_Level1"/>
      <w:r>
        <w:rPr>
          <w:rFonts w:hint="eastAsia" w:ascii="宋体" w:hAnsi="宋体"/>
          <w:b/>
          <w:bCs/>
          <w:sz w:val="32"/>
          <w:szCs w:val="32"/>
        </w:rPr>
        <w:t>项目负责人资格情况表</w:t>
      </w:r>
      <w:bookmarkEnd w:id="71"/>
      <w:bookmarkEnd w:id="72"/>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ascii="宋体" w:hAnsi="宋体"/>
          <w:b/>
          <w:sz w:val="28"/>
        </w:rPr>
      </w:pPr>
      <w:r>
        <w:rPr>
          <w:rFonts w:hint="eastAsia" w:ascii="宋体" w:hAnsi="宋体"/>
          <w:b/>
          <w:sz w:val="28"/>
        </w:rPr>
        <w:t>附件6</w:t>
      </w:r>
    </w:p>
    <w:p>
      <w:pPr>
        <w:spacing w:line="360" w:lineRule="auto"/>
        <w:ind w:left="-2"/>
        <w:jc w:val="center"/>
        <w:rPr>
          <w:rFonts w:ascii="宋体" w:hAnsi="宋体"/>
          <w:sz w:val="24"/>
        </w:rPr>
      </w:pPr>
      <w:bookmarkStart w:id="73" w:name="_Toc3591_WPSOffice_Level1"/>
      <w:bookmarkStart w:id="74" w:name="_Toc32718_WPSOffice_Level1"/>
      <w:r>
        <w:rPr>
          <w:rFonts w:hint="eastAsia" w:ascii="宋体" w:hAnsi="宋体"/>
          <w:b/>
          <w:sz w:val="32"/>
          <w:szCs w:val="32"/>
        </w:rPr>
        <w:t>供货</w:t>
      </w:r>
      <w:r>
        <w:rPr>
          <w:rFonts w:ascii="宋体" w:hAnsi="宋体"/>
          <w:b/>
          <w:sz w:val="32"/>
          <w:szCs w:val="32"/>
        </w:rPr>
        <w:t>清单</w:t>
      </w:r>
      <w:bookmarkEnd w:id="73"/>
      <w:bookmarkEnd w:id="74"/>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0"/>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0"/>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附件7</w:t>
      </w:r>
    </w:p>
    <w:p>
      <w:pPr>
        <w:spacing w:line="360" w:lineRule="auto"/>
        <w:ind w:left="480"/>
        <w:jc w:val="center"/>
        <w:rPr>
          <w:rFonts w:ascii="宋体" w:hAnsi="宋体"/>
          <w:b/>
          <w:sz w:val="32"/>
          <w:szCs w:val="32"/>
        </w:rPr>
      </w:pPr>
      <w:bookmarkStart w:id="75" w:name="_Toc12856_WPSOffice_Level1"/>
      <w:bookmarkStart w:id="76"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5"/>
      <w:bookmarkEnd w:id="76"/>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ascii="宋体" w:hAnsi="宋体"/>
          <w:b/>
          <w:sz w:val="28"/>
        </w:rPr>
      </w:pPr>
      <w:r>
        <w:rPr>
          <w:rFonts w:hint="eastAsia" w:ascii="宋体" w:hAnsi="宋体"/>
          <w:b/>
          <w:sz w:val="28"/>
        </w:rPr>
        <w:t>附件8</w:t>
      </w:r>
    </w:p>
    <w:p>
      <w:pPr>
        <w:pStyle w:val="35"/>
        <w:spacing w:line="360" w:lineRule="auto"/>
        <w:jc w:val="center"/>
        <w:rPr>
          <w:rFonts w:ascii="宋体" w:hAnsi="宋体"/>
          <w:b/>
          <w:sz w:val="32"/>
          <w:szCs w:val="32"/>
        </w:rPr>
      </w:pPr>
      <w:bookmarkStart w:id="77" w:name="_Toc11030_WPSOffice_Level1"/>
      <w:bookmarkStart w:id="78" w:name="_Toc17604_WPSOffice_Level1"/>
      <w:r>
        <w:rPr>
          <w:rFonts w:hint="eastAsia" w:ascii="宋体" w:hAnsi="宋体"/>
          <w:b/>
          <w:sz w:val="32"/>
          <w:szCs w:val="32"/>
        </w:rPr>
        <w:t>证书一览表</w:t>
      </w:r>
      <w:bookmarkEnd w:id="77"/>
      <w:bookmarkEnd w:id="78"/>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附件9</w:t>
      </w:r>
    </w:p>
    <w:p>
      <w:pPr>
        <w:pStyle w:val="34"/>
        <w:spacing w:line="360" w:lineRule="auto"/>
        <w:jc w:val="center"/>
        <w:rPr>
          <w:rFonts w:ascii="仿宋_GB2312" w:eastAsia="仿宋_GB2312"/>
          <w:b/>
          <w:sz w:val="28"/>
          <w:szCs w:val="28"/>
        </w:rPr>
      </w:pPr>
      <w:bookmarkStart w:id="79" w:name="_Toc19231_WPSOffice_Level1"/>
      <w:bookmarkStart w:id="80" w:name="_Toc7134_WPSOffice_Level1"/>
      <w:r>
        <w:rPr>
          <w:rFonts w:hint="eastAsia" w:ascii="宋体" w:hAnsi="宋体"/>
          <w:b/>
          <w:sz w:val="32"/>
          <w:szCs w:val="32"/>
        </w:rPr>
        <w:t>投标人类似项目实施情况一览表</w:t>
      </w:r>
      <w:bookmarkEnd w:id="79"/>
      <w:bookmarkEnd w:id="80"/>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ascii="仿宋_GB2312" w:hAnsi="宋体"/>
          <w:sz w:val="24"/>
        </w:rPr>
      </w:pPr>
      <w:r>
        <w:rPr>
          <w:rFonts w:hint="eastAsia" w:ascii="宋体" w:hAnsi="宋体"/>
          <w:b/>
          <w:sz w:val="28"/>
        </w:rPr>
        <w:t>附件10</w:t>
      </w:r>
    </w:p>
    <w:p>
      <w:pPr>
        <w:spacing w:line="360" w:lineRule="auto"/>
        <w:ind w:hanging="9"/>
        <w:jc w:val="center"/>
        <w:rPr>
          <w:rFonts w:ascii="宋体" w:hAnsi="宋体"/>
          <w:b/>
          <w:sz w:val="18"/>
          <w:szCs w:val="18"/>
        </w:rPr>
      </w:pPr>
      <w:bookmarkStart w:id="81" w:name="_Toc21582_WPSOffice_Level1"/>
      <w:bookmarkStart w:id="82" w:name="_Toc3068_WPSOffice_Level1"/>
      <w:r>
        <w:rPr>
          <w:rFonts w:hint="eastAsia" w:ascii="宋体" w:hAnsi="宋体"/>
          <w:b/>
          <w:sz w:val="32"/>
          <w:szCs w:val="32"/>
        </w:rPr>
        <w:t>商务需求响应表</w:t>
      </w:r>
      <w:bookmarkEnd w:id="81"/>
      <w:bookmarkEnd w:id="82"/>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附件11</w:t>
      </w:r>
      <w:r>
        <w:rPr>
          <w:rFonts w:ascii="宋体" w:hAnsi="宋体"/>
          <w:b/>
          <w:sz w:val="28"/>
        </w:rPr>
        <w:tab/>
      </w:r>
    </w:p>
    <w:p>
      <w:pPr>
        <w:spacing w:line="360" w:lineRule="auto"/>
        <w:jc w:val="center"/>
        <w:rPr>
          <w:rFonts w:ascii="宋体" w:hAnsi="宋体"/>
          <w:b/>
          <w:sz w:val="24"/>
        </w:rPr>
      </w:pPr>
      <w:bookmarkStart w:id="83" w:name="_Toc29652_WPSOffice_Level1"/>
      <w:bookmarkStart w:id="84" w:name="_Toc3463_WPSOffice_Level1"/>
      <w:r>
        <w:rPr>
          <w:rFonts w:hint="eastAsia" w:ascii="宋体" w:hAnsi="宋体"/>
          <w:b/>
          <w:sz w:val="32"/>
          <w:szCs w:val="32"/>
        </w:rPr>
        <w:t>售后服务情况表</w:t>
      </w:r>
      <w:bookmarkEnd w:id="83"/>
      <w:bookmarkEnd w:id="84"/>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7"/>
        <w:spacing w:line="360" w:lineRule="auto"/>
        <w:rPr>
          <w:rFonts w:hAnsi="宋体"/>
          <w:b/>
          <w:sz w:val="28"/>
          <w:szCs w:val="28"/>
        </w:rPr>
      </w:pPr>
      <w:r>
        <w:rPr>
          <w:rFonts w:hint="eastAsia" w:hAnsi="宋体"/>
          <w:b/>
          <w:sz w:val="28"/>
          <w:szCs w:val="28"/>
        </w:rPr>
        <w:t>附件12</w:t>
      </w:r>
    </w:p>
    <w:p>
      <w:pPr>
        <w:pStyle w:val="37"/>
        <w:spacing w:line="360" w:lineRule="auto"/>
        <w:jc w:val="center"/>
        <w:rPr>
          <w:rFonts w:hAnsi="宋体"/>
          <w:b/>
          <w:sz w:val="32"/>
          <w:szCs w:val="32"/>
          <w:lang w:val="en-GB"/>
        </w:rPr>
      </w:pPr>
      <w:bookmarkStart w:id="85" w:name="_Toc15536_WPSOffice_Level1"/>
      <w:bookmarkStart w:id="86" w:name="_Toc16175_WPSOffice_Level1"/>
      <w:r>
        <w:rPr>
          <w:rFonts w:hint="eastAsia" w:hAnsi="宋体"/>
          <w:b/>
          <w:sz w:val="32"/>
          <w:szCs w:val="32"/>
        </w:rPr>
        <w:t>主要货物用材响应表(类似家具类货物采用)</w:t>
      </w:r>
      <w:bookmarkEnd w:id="85"/>
      <w:bookmarkEnd w:id="86"/>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sz w:val="52"/>
          <w:szCs w:val="52"/>
        </w:rPr>
      </w:pPr>
      <w:bookmarkStart w:id="87" w:name="_Toc30468_WPSOffice_Level1"/>
      <w:bookmarkStart w:id="88" w:name="_Toc21322_WPSOffice_Level1"/>
      <w:bookmarkStart w:id="89" w:name="_Toc4615_WPSOffice_Level1"/>
    </w:p>
    <w:p>
      <w:pPr>
        <w:pStyle w:val="2"/>
      </w:pPr>
    </w:p>
    <w:p>
      <w:pPr>
        <w:jc w:val="center"/>
        <w:rPr>
          <w:sz w:val="52"/>
          <w:szCs w:val="52"/>
        </w:rPr>
      </w:pPr>
    </w:p>
    <w:p>
      <w:pPr>
        <w:jc w:val="center"/>
        <w:rPr>
          <w:sz w:val="52"/>
          <w:szCs w:val="52"/>
        </w:rPr>
      </w:pPr>
      <w:r>
        <w:rPr>
          <w:rFonts w:hint="eastAsia"/>
          <w:sz w:val="52"/>
          <w:szCs w:val="52"/>
        </w:rPr>
        <w:t>项目名称</w:t>
      </w:r>
      <w:bookmarkEnd w:id="87"/>
      <w:bookmarkEnd w:id="88"/>
      <w:bookmarkEnd w:id="89"/>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rPr>
      </w:pPr>
      <w:bookmarkStart w:id="90" w:name="_Toc9453_WPSOffice_Level1"/>
      <w:bookmarkStart w:id="91" w:name="_Toc8885_WPSOffice_Level1"/>
      <w:r>
        <w:rPr>
          <w:rFonts w:hint="eastAsia"/>
          <w:sz w:val="84"/>
          <w:szCs w:val="84"/>
        </w:rPr>
        <w:t>报</w:t>
      </w:r>
      <w:bookmarkEnd w:id="90"/>
      <w:bookmarkEnd w:id="91"/>
    </w:p>
    <w:p>
      <w:pPr>
        <w:jc w:val="center"/>
        <w:rPr>
          <w:sz w:val="84"/>
          <w:szCs w:val="84"/>
        </w:rPr>
      </w:pPr>
      <w:bookmarkStart w:id="92" w:name="_Toc10910_WPSOffice_Level1"/>
      <w:bookmarkStart w:id="93" w:name="_Toc7485_WPSOffice_Level1"/>
      <w:r>
        <w:rPr>
          <w:rFonts w:hint="eastAsia"/>
          <w:sz w:val="84"/>
          <w:szCs w:val="84"/>
        </w:rPr>
        <w:t>价</w:t>
      </w:r>
      <w:bookmarkEnd w:id="92"/>
      <w:bookmarkEnd w:id="93"/>
    </w:p>
    <w:p>
      <w:pPr>
        <w:jc w:val="center"/>
        <w:rPr>
          <w:sz w:val="84"/>
          <w:szCs w:val="84"/>
        </w:rPr>
      </w:pPr>
      <w:bookmarkStart w:id="94" w:name="_Toc3932_WPSOffice_Level1"/>
      <w:bookmarkStart w:id="95" w:name="_Toc14572_WPSOffice_Level1"/>
      <w:r>
        <w:rPr>
          <w:rFonts w:hint="eastAsia"/>
          <w:sz w:val="84"/>
          <w:szCs w:val="84"/>
        </w:rPr>
        <w:t>文</w:t>
      </w:r>
      <w:bookmarkEnd w:id="94"/>
      <w:bookmarkEnd w:id="95"/>
    </w:p>
    <w:p>
      <w:pPr>
        <w:jc w:val="center"/>
        <w:rPr>
          <w:sz w:val="84"/>
          <w:szCs w:val="84"/>
        </w:rPr>
      </w:pPr>
      <w:bookmarkStart w:id="96" w:name="_Toc16973_WPSOffice_Level1"/>
      <w:bookmarkStart w:id="97" w:name="_Toc7562_WPSOffice_Level1"/>
      <w:r>
        <w:rPr>
          <w:rFonts w:hint="eastAsia"/>
          <w:sz w:val="84"/>
          <w:szCs w:val="84"/>
        </w:rPr>
        <w:t>件</w:t>
      </w:r>
      <w:bookmarkEnd w:id="96"/>
      <w:bookmarkEnd w:id="97"/>
    </w:p>
    <w:p>
      <w:pPr>
        <w:spacing w:line="360" w:lineRule="auto"/>
        <w:ind w:right="532"/>
        <w:rPr>
          <w:rFonts w:ascii="宋体" w:hAnsi="宋体"/>
          <w:sz w:val="36"/>
          <w:szCs w:val="36"/>
        </w:rPr>
      </w:pPr>
    </w:p>
    <w:p>
      <w:pPr>
        <w:pStyle w:val="2"/>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8" w:name="_Toc26700_WPSOffice_Level1"/>
      <w:bookmarkStart w:id="99" w:name="_Toc4603_WPSOffice_Level1"/>
      <w:r>
        <w:rPr>
          <w:rFonts w:hint="eastAsia" w:ascii="宋体" w:hAnsi="宋体"/>
          <w:sz w:val="36"/>
          <w:szCs w:val="36"/>
        </w:rPr>
        <w:t>投标人全称（公章）：</w:t>
      </w:r>
      <w:bookmarkEnd w:id="98"/>
      <w:bookmarkEnd w:id="99"/>
    </w:p>
    <w:p>
      <w:pPr>
        <w:spacing w:line="360" w:lineRule="auto"/>
        <w:ind w:right="-108" w:firstLine="720" w:firstLineChars="200"/>
        <w:rPr>
          <w:rFonts w:ascii="宋体" w:hAnsi="宋体"/>
          <w:sz w:val="36"/>
          <w:szCs w:val="36"/>
        </w:rPr>
      </w:pPr>
      <w:bookmarkStart w:id="100" w:name="_Toc32593_WPSOffice_Level1"/>
      <w:bookmarkStart w:id="101" w:name="_Toc1391_WPSOffice_Level1"/>
      <w:r>
        <w:rPr>
          <w:rFonts w:hint="eastAsia" w:ascii="宋体" w:hAnsi="宋体"/>
          <w:sz w:val="36"/>
          <w:szCs w:val="36"/>
        </w:rPr>
        <w:t>地    址：</w:t>
      </w:r>
      <w:bookmarkEnd w:id="100"/>
      <w:bookmarkEnd w:id="101"/>
    </w:p>
    <w:p>
      <w:pPr>
        <w:spacing w:line="360" w:lineRule="auto"/>
        <w:ind w:right="-108" w:firstLine="720" w:firstLineChars="200"/>
        <w:rPr>
          <w:rFonts w:ascii="宋体" w:hAnsi="宋体"/>
          <w:sz w:val="36"/>
          <w:szCs w:val="36"/>
        </w:rPr>
      </w:pPr>
      <w:bookmarkStart w:id="102" w:name="_Toc20938_WPSOffice_Level1"/>
      <w:bookmarkStart w:id="103" w:name="_Toc3791_WPSOffice_Level1"/>
      <w:r>
        <w:rPr>
          <w:rFonts w:hint="eastAsia" w:ascii="宋体" w:hAnsi="宋体"/>
          <w:sz w:val="36"/>
          <w:szCs w:val="36"/>
        </w:rPr>
        <w:t>时    间：</w:t>
      </w:r>
      <w:bookmarkEnd w:id="102"/>
      <w:bookmarkEnd w:id="103"/>
    </w:p>
    <w:p>
      <w:pPr>
        <w:spacing w:line="360" w:lineRule="auto"/>
        <w:ind w:right="-108"/>
        <w:jc w:val="center"/>
        <w:rPr>
          <w:rFonts w:ascii="仿宋_GB2312" w:hAnsi="宋体" w:eastAsia="仿宋_GB2312"/>
          <w:b/>
          <w:sz w:val="36"/>
          <w:szCs w:val="36"/>
        </w:rPr>
      </w:pPr>
    </w:p>
    <w:p>
      <w:pPr>
        <w:pStyle w:val="2"/>
      </w:pPr>
    </w:p>
    <w:p>
      <w:pPr>
        <w:pStyle w:val="2"/>
      </w:pPr>
    </w:p>
    <w:p>
      <w:pPr>
        <w:pStyle w:val="2"/>
      </w:pPr>
    </w:p>
    <w:p>
      <w:pPr>
        <w:pStyle w:val="8"/>
        <w:ind w:firstLine="0"/>
        <w:rPr>
          <w:rFonts w:ascii="仿宋_GB2312" w:hAnsi="宋体" w:eastAsia="仿宋_GB2312"/>
          <w:b/>
          <w:sz w:val="36"/>
          <w:szCs w:val="36"/>
        </w:rPr>
      </w:pPr>
    </w:p>
    <w:p>
      <w:pPr>
        <w:pStyle w:val="8"/>
        <w:ind w:firstLine="0"/>
        <w:rPr>
          <w:rFonts w:ascii="仿宋_GB2312" w:hAnsi="宋体" w:eastAsia="仿宋_GB2312"/>
          <w:b/>
          <w:sz w:val="36"/>
          <w:szCs w:val="36"/>
        </w:rPr>
      </w:pPr>
    </w:p>
    <w:p>
      <w:pPr>
        <w:spacing w:line="480" w:lineRule="auto"/>
        <w:jc w:val="center"/>
        <w:rPr>
          <w:rFonts w:ascii="宋体" w:hAnsi="宋体"/>
          <w:b/>
          <w:bCs/>
          <w:sz w:val="36"/>
          <w:szCs w:val="36"/>
        </w:rPr>
      </w:pPr>
      <w:bookmarkStart w:id="104" w:name="_Toc19972_WPSOffice_Level1"/>
      <w:bookmarkStart w:id="105" w:name="_Toc29537_WPSOffice_Level1"/>
      <w:r>
        <w:rPr>
          <w:rFonts w:hint="eastAsia" w:ascii="宋体" w:hAnsi="宋体"/>
          <w:b/>
          <w:bCs/>
          <w:sz w:val="36"/>
          <w:szCs w:val="36"/>
        </w:rPr>
        <w:t>报价文件目录</w:t>
      </w:r>
      <w:bookmarkEnd w:id="104"/>
      <w:bookmarkEnd w:id="105"/>
    </w:p>
    <w:p>
      <w:pPr>
        <w:pStyle w:val="2"/>
      </w:pPr>
    </w:p>
    <w:p>
      <w:pPr>
        <w:spacing w:line="360" w:lineRule="auto"/>
        <w:ind w:firstLine="480" w:firstLineChars="200"/>
        <w:rPr>
          <w:sz w:val="24"/>
        </w:rPr>
      </w:pPr>
    </w:p>
    <w:p>
      <w:pPr>
        <w:numPr>
          <w:ilvl w:val="0"/>
          <w:numId w:val="11"/>
        </w:numPr>
        <w:spacing w:line="360" w:lineRule="auto"/>
        <w:rPr>
          <w:rFonts w:asciiTheme="minorEastAsia" w:hAnsiTheme="minorEastAsia" w:eastAsiaTheme="minorEastAsia" w:cstheme="minorEastAsia"/>
          <w:sz w:val="28"/>
          <w:szCs w:val="28"/>
        </w:rPr>
      </w:pPr>
      <w:bookmarkStart w:id="106" w:name="_Toc6778_WPSOffice_Level1"/>
      <w:bookmarkStart w:id="107" w:name="_Toc29988_WPSOffice_Level1"/>
      <w:r>
        <w:rPr>
          <w:rFonts w:hint="eastAsia" w:asciiTheme="minorEastAsia" w:hAnsiTheme="minorEastAsia" w:eastAsiaTheme="minorEastAsia" w:cstheme="minorEastAsia"/>
          <w:sz w:val="28"/>
          <w:szCs w:val="28"/>
        </w:rPr>
        <w:t>开标一览表（附件13）</w:t>
      </w:r>
      <w:bookmarkEnd w:id="106"/>
      <w:bookmarkEnd w:id="107"/>
    </w:p>
    <w:p>
      <w:pPr>
        <w:numPr>
          <w:ilvl w:val="0"/>
          <w:numId w:val="11"/>
        </w:numPr>
        <w:spacing w:line="360" w:lineRule="auto"/>
        <w:rPr>
          <w:rFonts w:asciiTheme="minorEastAsia" w:hAnsiTheme="minorEastAsia" w:eastAsiaTheme="minorEastAsia" w:cstheme="minorEastAsia"/>
          <w:sz w:val="28"/>
          <w:szCs w:val="28"/>
        </w:rPr>
      </w:pPr>
      <w:bookmarkStart w:id="108" w:name="_Toc11601_WPSOffice_Level1"/>
      <w:bookmarkStart w:id="109" w:name="_Toc15601_WPSOffice_Level1"/>
      <w:r>
        <w:rPr>
          <w:rFonts w:hint="eastAsia" w:asciiTheme="minorEastAsia" w:hAnsiTheme="minorEastAsia" w:eastAsiaTheme="minorEastAsia" w:cstheme="minorEastAsia"/>
          <w:sz w:val="28"/>
          <w:szCs w:val="28"/>
        </w:rPr>
        <w:t>报价明细表（附件14）</w:t>
      </w:r>
      <w:bookmarkEnd w:id="108"/>
      <w:bookmarkEnd w:id="109"/>
    </w:p>
    <w:p>
      <w:pPr>
        <w:numPr>
          <w:ilvl w:val="0"/>
          <w:numId w:val="11"/>
        </w:numPr>
        <w:spacing w:line="360" w:lineRule="auto"/>
        <w:rPr>
          <w:rFonts w:asciiTheme="minorEastAsia" w:hAnsiTheme="minorEastAsia" w:eastAsiaTheme="minorEastAsia" w:cstheme="minorEastAsia"/>
          <w:sz w:val="28"/>
          <w:szCs w:val="28"/>
        </w:rPr>
      </w:pPr>
      <w:bookmarkStart w:id="110" w:name="_Toc17543_WPSOffice_Level1"/>
      <w:bookmarkStart w:id="111" w:name="_Toc45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（附件15）</w:t>
      </w:r>
      <w:bookmarkEnd w:id="110"/>
      <w:bookmarkEnd w:id="111"/>
    </w:p>
    <w:p>
      <w:pPr>
        <w:numPr>
          <w:ilvl w:val="0"/>
          <w:numId w:val="11"/>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附件13</w:t>
      </w:r>
    </w:p>
    <w:p>
      <w:pPr>
        <w:spacing w:line="360" w:lineRule="auto"/>
        <w:ind w:left="-2" w:hanging="2"/>
        <w:jc w:val="center"/>
        <w:rPr>
          <w:rFonts w:ascii="宋体" w:hAnsi="宋体"/>
          <w:b/>
          <w:sz w:val="32"/>
          <w:szCs w:val="32"/>
        </w:rPr>
      </w:pPr>
      <w:bookmarkStart w:id="112" w:name="_Toc30363_WPSOffice_Level1"/>
      <w:bookmarkStart w:id="113" w:name="_Toc16144_WPSOffice_Level1"/>
      <w:r>
        <w:rPr>
          <w:rFonts w:hint="eastAsia" w:ascii="宋体" w:hAnsi="宋体"/>
          <w:b/>
          <w:sz w:val="32"/>
          <w:szCs w:val="32"/>
        </w:rPr>
        <w:t>开标一览表</w:t>
      </w:r>
      <w:bookmarkEnd w:id="112"/>
      <w:bookmarkEnd w:id="113"/>
    </w:p>
    <w:p>
      <w:pPr>
        <w:pStyle w:val="2"/>
      </w:pP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sz w:val="24"/>
        </w:rPr>
      </w:pPr>
      <w:r>
        <w:rPr>
          <w:rFonts w:hint="eastAsia" w:ascii="宋体" w:hAnsi="宋体"/>
          <w:b/>
          <w:szCs w:val="21"/>
        </w:rPr>
        <w:t>填报要求：</w:t>
      </w:r>
      <w:r>
        <w:rPr>
          <w:rFonts w:hint="eastAsia" w:ascii="宋体" w:hAnsi="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jc w:val="center"/>
        <w:rPr>
          <w:rFonts w:ascii="宋体" w:hAnsi="宋体"/>
          <w:sz w:val="24"/>
        </w:rPr>
      </w:pPr>
      <w:bookmarkStart w:id="114" w:name="_Toc8975_WPSOffice_Level1"/>
      <w:bookmarkStart w:id="115" w:name="_Toc22412_WPSOffice_Level1"/>
      <w:r>
        <w:rPr>
          <w:rFonts w:hint="eastAsia" w:ascii="宋体" w:hAnsi="宋体"/>
          <w:b/>
          <w:sz w:val="32"/>
          <w:szCs w:val="32"/>
        </w:rPr>
        <w:t>报价明细表</w:t>
      </w:r>
      <w:bookmarkEnd w:id="114"/>
      <w:bookmarkEnd w:id="115"/>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120" w:beforeLines="50" w:after="50" w:line="360" w:lineRule="auto"/>
        <w:rPr>
          <w:rFonts w:ascii="宋体" w:hAnsi="宋体"/>
          <w:b/>
          <w:sz w:val="28"/>
          <w:szCs w:val="28"/>
        </w:rPr>
      </w:pPr>
      <w:r>
        <w:rPr>
          <w:rFonts w:hint="eastAsia" w:ascii="宋体" w:hAnsi="宋体"/>
          <w:b/>
          <w:sz w:val="28"/>
        </w:rPr>
        <w:t>附件15</w:t>
      </w:r>
    </w:p>
    <w:p>
      <w:pPr>
        <w:pStyle w:val="8"/>
        <w:spacing w:line="360" w:lineRule="auto"/>
        <w:ind w:firstLine="0"/>
        <w:jc w:val="center"/>
        <w:rPr>
          <w:rFonts w:ascii="宋体" w:hAnsi="宋体" w:cs="宋体"/>
          <w:b/>
          <w:sz w:val="32"/>
          <w:szCs w:val="32"/>
        </w:rPr>
      </w:pPr>
      <w:bookmarkStart w:id="116" w:name="_Toc29357_WPSOffice_Level1"/>
      <w:bookmarkStart w:id="117" w:name="_Toc12654_WPSOffice_Level1"/>
      <w:r>
        <w:rPr>
          <w:rFonts w:hint="eastAsia" w:ascii="宋体" w:hAnsi="宋体" w:cs="宋体"/>
          <w:b/>
          <w:sz w:val="32"/>
          <w:szCs w:val="32"/>
        </w:rPr>
        <w:t>中小企业声明函（货物）</w:t>
      </w:r>
      <w:bookmarkEnd w:id="116"/>
      <w:bookmarkEnd w:id="117"/>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18" w:name="_Toc17646_WPSOffice_Level1"/>
      <w:bookmarkStart w:id="119" w:name="_Toc27483_WPSOffice_Level1"/>
      <w:r>
        <w:rPr>
          <w:rFonts w:hint="eastAsia" w:hAnsi="宋体" w:cs="宋体"/>
          <w:b/>
          <w:sz w:val="32"/>
          <w:szCs w:val="32"/>
          <w:lang w:val="en-GB"/>
        </w:rPr>
        <w:t>残疾人福利性单位声明函</w:t>
      </w:r>
      <w:bookmarkEnd w:id="118"/>
      <w:bookmarkEnd w:id="119"/>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台州市政府采购中心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r>
      <w:rPr>
        <w:b/>
        <w:i/>
        <w:color w:val="000000" w:themeColor="text1"/>
        <w:spacing w:val="-20"/>
        <w:kern w:val="0"/>
        <w:sz w:val="18"/>
        <w:u w:val="single"/>
        <w14:textFill>
          <w14:solidFill>
            <w14:schemeClr w14:val="tx1"/>
          </w14:solidFill>
        </w14:textFill>
      </w:rPr>
      <w:t xml:space="preserve">    </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FA37827"/>
    <w:multiLevelType w:val="singleLevel"/>
    <w:tmpl w:val="8FA37827"/>
    <w:lvl w:ilvl="0" w:tentative="0">
      <w:start w:val="1"/>
      <w:numFmt w:val="decimal"/>
      <w:lvlText w:val="%1."/>
      <w:lvlJc w:val="left"/>
      <w:pPr>
        <w:ind w:left="425" w:hanging="425"/>
      </w:pPr>
      <w:rPr>
        <w:rFonts w:hint="default"/>
      </w:rPr>
    </w:lvl>
  </w:abstractNum>
  <w:abstractNum w:abstractNumId="2">
    <w:nsid w:val="B778F772"/>
    <w:multiLevelType w:val="singleLevel"/>
    <w:tmpl w:val="B778F772"/>
    <w:lvl w:ilvl="0" w:tentative="0">
      <w:start w:val="1"/>
      <w:numFmt w:val="decimal"/>
      <w:lvlText w:val="%1."/>
      <w:lvlJc w:val="left"/>
      <w:pPr>
        <w:tabs>
          <w:tab w:val="left" w:pos="312"/>
        </w:tabs>
      </w:pPr>
    </w:lvl>
  </w:abstractNum>
  <w:abstractNum w:abstractNumId="3">
    <w:nsid w:val="FF4D4BA8"/>
    <w:multiLevelType w:val="singleLevel"/>
    <w:tmpl w:val="FF4D4BA8"/>
    <w:lvl w:ilvl="0" w:tentative="0">
      <w:start w:val="1"/>
      <w:numFmt w:val="decimal"/>
      <w:lvlText w:val="%1."/>
      <w:lvlJc w:val="left"/>
      <w:pPr>
        <w:ind w:left="425" w:hanging="425"/>
      </w:pPr>
      <w:rPr>
        <w:rFonts w:hint="default"/>
      </w:rPr>
    </w:lvl>
  </w:abstractNum>
  <w:abstractNum w:abstractNumId="4">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5">
    <w:nsid w:val="289F1F1C"/>
    <w:multiLevelType w:val="singleLevel"/>
    <w:tmpl w:val="289F1F1C"/>
    <w:lvl w:ilvl="0" w:tentative="0">
      <w:start w:val="1"/>
      <w:numFmt w:val="decimal"/>
      <w:lvlText w:val="%1."/>
      <w:lvlJc w:val="left"/>
      <w:pPr>
        <w:ind w:left="425" w:hanging="425"/>
      </w:pPr>
      <w:rPr>
        <w:rFonts w:hint="default"/>
      </w:rPr>
    </w:lvl>
  </w:abstractNum>
  <w:abstractNum w:abstractNumId="6">
    <w:nsid w:val="461E5E94"/>
    <w:multiLevelType w:val="singleLevel"/>
    <w:tmpl w:val="461E5E94"/>
    <w:lvl w:ilvl="0" w:tentative="0">
      <w:start w:val="2"/>
      <w:numFmt w:val="chineseCounting"/>
      <w:suff w:val="space"/>
      <w:lvlText w:val="第%1章"/>
      <w:lvlJc w:val="left"/>
      <w:rPr>
        <w:rFonts w:hint="eastAsia"/>
      </w:rPr>
    </w:lvl>
  </w:abstractNum>
  <w:abstractNum w:abstractNumId="7">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8">
    <w:nsid w:val="66DDD653"/>
    <w:multiLevelType w:val="singleLevel"/>
    <w:tmpl w:val="66DDD653"/>
    <w:lvl w:ilvl="0" w:tentative="0">
      <w:start w:val="1"/>
      <w:numFmt w:val="chineseCounting"/>
      <w:suff w:val="space"/>
      <w:lvlText w:val="第%1章"/>
      <w:lvlJc w:val="left"/>
      <w:rPr>
        <w:rFonts w:hint="eastAsia"/>
      </w:rPr>
    </w:lvl>
  </w:abstractNum>
  <w:abstractNum w:abstractNumId="9">
    <w:nsid w:val="7488A27B"/>
    <w:multiLevelType w:val="singleLevel"/>
    <w:tmpl w:val="7488A27B"/>
    <w:lvl w:ilvl="0" w:tentative="0">
      <w:start w:val="1"/>
      <w:numFmt w:val="decimal"/>
      <w:lvlText w:val="%1."/>
      <w:lvlJc w:val="left"/>
      <w:pPr>
        <w:ind w:left="425" w:hanging="425"/>
      </w:pPr>
      <w:rPr>
        <w:rFonts w:hint="default"/>
      </w:rPr>
    </w:lvl>
  </w:abstractNum>
  <w:abstractNum w:abstractNumId="10">
    <w:nsid w:val="7E92F494"/>
    <w:multiLevelType w:val="singleLevel"/>
    <w:tmpl w:val="7E92F494"/>
    <w:lvl w:ilvl="0" w:tentative="0">
      <w:start w:val="1"/>
      <w:numFmt w:val="decimal"/>
      <w:lvlText w:val="%1."/>
      <w:lvlJc w:val="left"/>
      <w:pPr>
        <w:ind w:left="425" w:hanging="425"/>
      </w:pPr>
      <w:rPr>
        <w:rFonts w:hint="default"/>
      </w:rPr>
    </w:lvl>
  </w:abstractNum>
  <w:num w:numId="1">
    <w:abstractNumId w:val="7"/>
  </w:num>
  <w:num w:numId="2">
    <w:abstractNumId w:val="4"/>
  </w:num>
  <w:num w:numId="3">
    <w:abstractNumId w:val="8"/>
  </w:num>
  <w:num w:numId="4">
    <w:abstractNumId w:val="6"/>
  </w:num>
  <w:num w:numId="5">
    <w:abstractNumId w:val="0"/>
  </w:num>
  <w:num w:numId="6">
    <w:abstractNumId w:val="10"/>
  </w:num>
  <w:num w:numId="7">
    <w:abstractNumId w:val="9"/>
  </w:num>
  <w:num w:numId="8">
    <w:abstractNumId w:val="1"/>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2799D"/>
    <w:rsid w:val="00037F4A"/>
    <w:rsid w:val="00072A3F"/>
    <w:rsid w:val="000E538F"/>
    <w:rsid w:val="000F2499"/>
    <w:rsid w:val="001136A2"/>
    <w:rsid w:val="00117133"/>
    <w:rsid w:val="001B51C8"/>
    <w:rsid w:val="001C4F91"/>
    <w:rsid w:val="001E6CF9"/>
    <w:rsid w:val="001F0CA2"/>
    <w:rsid w:val="00242A20"/>
    <w:rsid w:val="002A4418"/>
    <w:rsid w:val="00312C7C"/>
    <w:rsid w:val="00315916"/>
    <w:rsid w:val="003201FA"/>
    <w:rsid w:val="00330F75"/>
    <w:rsid w:val="003C4BB8"/>
    <w:rsid w:val="003E7404"/>
    <w:rsid w:val="00401AC8"/>
    <w:rsid w:val="00494691"/>
    <w:rsid w:val="005240D4"/>
    <w:rsid w:val="00565F77"/>
    <w:rsid w:val="005A0149"/>
    <w:rsid w:val="005B7FA6"/>
    <w:rsid w:val="00615A7D"/>
    <w:rsid w:val="00616DD9"/>
    <w:rsid w:val="00623A21"/>
    <w:rsid w:val="00627077"/>
    <w:rsid w:val="00627D71"/>
    <w:rsid w:val="0066350B"/>
    <w:rsid w:val="006F24A9"/>
    <w:rsid w:val="006F679D"/>
    <w:rsid w:val="0072317A"/>
    <w:rsid w:val="007E4962"/>
    <w:rsid w:val="0093255C"/>
    <w:rsid w:val="00987EDA"/>
    <w:rsid w:val="00A8325C"/>
    <w:rsid w:val="00A921FD"/>
    <w:rsid w:val="00A97E75"/>
    <w:rsid w:val="00AA020C"/>
    <w:rsid w:val="00AB49B7"/>
    <w:rsid w:val="00AF13B3"/>
    <w:rsid w:val="00B023A2"/>
    <w:rsid w:val="00B44061"/>
    <w:rsid w:val="00BD378A"/>
    <w:rsid w:val="00C4791F"/>
    <w:rsid w:val="00CF313F"/>
    <w:rsid w:val="00CF3329"/>
    <w:rsid w:val="00D00C48"/>
    <w:rsid w:val="00D0546E"/>
    <w:rsid w:val="00D07E9B"/>
    <w:rsid w:val="00DB1E3F"/>
    <w:rsid w:val="00DC1336"/>
    <w:rsid w:val="00DF5BD5"/>
    <w:rsid w:val="00E23C0E"/>
    <w:rsid w:val="00E32B23"/>
    <w:rsid w:val="00E36888"/>
    <w:rsid w:val="00E41EBA"/>
    <w:rsid w:val="00E448AC"/>
    <w:rsid w:val="00E66CDC"/>
    <w:rsid w:val="00EC04A9"/>
    <w:rsid w:val="00EF43FF"/>
    <w:rsid w:val="00F171E8"/>
    <w:rsid w:val="00F26F1C"/>
    <w:rsid w:val="010742D5"/>
    <w:rsid w:val="01077B6C"/>
    <w:rsid w:val="011C2867"/>
    <w:rsid w:val="011E4134"/>
    <w:rsid w:val="012355F0"/>
    <w:rsid w:val="012B6D61"/>
    <w:rsid w:val="015C2A86"/>
    <w:rsid w:val="015F789E"/>
    <w:rsid w:val="01851778"/>
    <w:rsid w:val="01AE11E6"/>
    <w:rsid w:val="01B70CE3"/>
    <w:rsid w:val="01D10A61"/>
    <w:rsid w:val="01D61DCE"/>
    <w:rsid w:val="01E30258"/>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3F93847"/>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F0EAC"/>
    <w:rsid w:val="053F23D3"/>
    <w:rsid w:val="056B3DBF"/>
    <w:rsid w:val="057D6BFC"/>
    <w:rsid w:val="057E41A9"/>
    <w:rsid w:val="05855B18"/>
    <w:rsid w:val="05B01B1D"/>
    <w:rsid w:val="05BC5BB6"/>
    <w:rsid w:val="05CB2372"/>
    <w:rsid w:val="05E85B4B"/>
    <w:rsid w:val="05FD1629"/>
    <w:rsid w:val="06221E50"/>
    <w:rsid w:val="06653309"/>
    <w:rsid w:val="06653EC4"/>
    <w:rsid w:val="067544C8"/>
    <w:rsid w:val="0682513C"/>
    <w:rsid w:val="06842070"/>
    <w:rsid w:val="0699402C"/>
    <w:rsid w:val="069C64C8"/>
    <w:rsid w:val="06A0112C"/>
    <w:rsid w:val="06AD7687"/>
    <w:rsid w:val="06B864B2"/>
    <w:rsid w:val="06CC773F"/>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47B2B"/>
    <w:rsid w:val="079F3EE7"/>
    <w:rsid w:val="07AE41DE"/>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C73F44"/>
    <w:rsid w:val="08DC3175"/>
    <w:rsid w:val="08F0261B"/>
    <w:rsid w:val="08F81693"/>
    <w:rsid w:val="09060203"/>
    <w:rsid w:val="090A0832"/>
    <w:rsid w:val="094D18F7"/>
    <w:rsid w:val="095406F9"/>
    <w:rsid w:val="0955362C"/>
    <w:rsid w:val="09566590"/>
    <w:rsid w:val="09583EB5"/>
    <w:rsid w:val="095D7A37"/>
    <w:rsid w:val="09875848"/>
    <w:rsid w:val="09B565E4"/>
    <w:rsid w:val="09BB0BBA"/>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E0979BF"/>
    <w:rsid w:val="0E5A014C"/>
    <w:rsid w:val="0E5E4DB8"/>
    <w:rsid w:val="0E5F6E07"/>
    <w:rsid w:val="0E607B1B"/>
    <w:rsid w:val="0E6126CF"/>
    <w:rsid w:val="0E635AF2"/>
    <w:rsid w:val="0E7F77A7"/>
    <w:rsid w:val="0E8405CA"/>
    <w:rsid w:val="0E8D5133"/>
    <w:rsid w:val="0EB1236A"/>
    <w:rsid w:val="0F197C6F"/>
    <w:rsid w:val="0F270991"/>
    <w:rsid w:val="0F3E6F11"/>
    <w:rsid w:val="0F6F7789"/>
    <w:rsid w:val="0FC27645"/>
    <w:rsid w:val="0FDD6C85"/>
    <w:rsid w:val="101F02CE"/>
    <w:rsid w:val="105C5738"/>
    <w:rsid w:val="107907CC"/>
    <w:rsid w:val="10843C5D"/>
    <w:rsid w:val="109909D1"/>
    <w:rsid w:val="10B150A4"/>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63F4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3C63C61"/>
    <w:rsid w:val="140769BE"/>
    <w:rsid w:val="1413430F"/>
    <w:rsid w:val="141613F9"/>
    <w:rsid w:val="14203CB8"/>
    <w:rsid w:val="143A0B7C"/>
    <w:rsid w:val="143C354F"/>
    <w:rsid w:val="144646A7"/>
    <w:rsid w:val="14545F32"/>
    <w:rsid w:val="14596F4E"/>
    <w:rsid w:val="14603EDA"/>
    <w:rsid w:val="146F011F"/>
    <w:rsid w:val="147632A2"/>
    <w:rsid w:val="14872049"/>
    <w:rsid w:val="14936552"/>
    <w:rsid w:val="14C272D2"/>
    <w:rsid w:val="14E463A0"/>
    <w:rsid w:val="14EA3450"/>
    <w:rsid w:val="14F767B6"/>
    <w:rsid w:val="14FB222F"/>
    <w:rsid w:val="14FF79DA"/>
    <w:rsid w:val="150F0D42"/>
    <w:rsid w:val="151C2838"/>
    <w:rsid w:val="153E582F"/>
    <w:rsid w:val="156F5D50"/>
    <w:rsid w:val="159016BB"/>
    <w:rsid w:val="15E5000F"/>
    <w:rsid w:val="16031113"/>
    <w:rsid w:val="16125740"/>
    <w:rsid w:val="16213B9C"/>
    <w:rsid w:val="16674FC6"/>
    <w:rsid w:val="16692CA6"/>
    <w:rsid w:val="16725D01"/>
    <w:rsid w:val="168F227C"/>
    <w:rsid w:val="16F45F36"/>
    <w:rsid w:val="16FC1D97"/>
    <w:rsid w:val="171F0861"/>
    <w:rsid w:val="17372639"/>
    <w:rsid w:val="173D243C"/>
    <w:rsid w:val="17534ECF"/>
    <w:rsid w:val="175F0E7A"/>
    <w:rsid w:val="1767434D"/>
    <w:rsid w:val="17BA77C8"/>
    <w:rsid w:val="17C93C3F"/>
    <w:rsid w:val="17D71645"/>
    <w:rsid w:val="17DD1E28"/>
    <w:rsid w:val="17E01BB1"/>
    <w:rsid w:val="17E21891"/>
    <w:rsid w:val="181011F1"/>
    <w:rsid w:val="181C38B0"/>
    <w:rsid w:val="181E053B"/>
    <w:rsid w:val="18205336"/>
    <w:rsid w:val="184F29B3"/>
    <w:rsid w:val="18810539"/>
    <w:rsid w:val="1889247D"/>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250339"/>
    <w:rsid w:val="1A5A6066"/>
    <w:rsid w:val="1A777345"/>
    <w:rsid w:val="1A7A4184"/>
    <w:rsid w:val="1A8D59A2"/>
    <w:rsid w:val="1A8E3BCD"/>
    <w:rsid w:val="1ABF62DF"/>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C83181"/>
    <w:rsid w:val="1BD162E3"/>
    <w:rsid w:val="1BDE64F1"/>
    <w:rsid w:val="1BEA1EEC"/>
    <w:rsid w:val="1BF657FB"/>
    <w:rsid w:val="1BF8211D"/>
    <w:rsid w:val="1BF868AD"/>
    <w:rsid w:val="1C0503E8"/>
    <w:rsid w:val="1C126363"/>
    <w:rsid w:val="1C2023D8"/>
    <w:rsid w:val="1C766429"/>
    <w:rsid w:val="1C771298"/>
    <w:rsid w:val="1C786858"/>
    <w:rsid w:val="1C800114"/>
    <w:rsid w:val="1C9A155D"/>
    <w:rsid w:val="1CB15134"/>
    <w:rsid w:val="1CC92F95"/>
    <w:rsid w:val="1CFA7EEF"/>
    <w:rsid w:val="1CFB1146"/>
    <w:rsid w:val="1D0E75B6"/>
    <w:rsid w:val="1D1D6931"/>
    <w:rsid w:val="1D2331DE"/>
    <w:rsid w:val="1D312AFC"/>
    <w:rsid w:val="1D325ED3"/>
    <w:rsid w:val="1D37062D"/>
    <w:rsid w:val="1D4105A8"/>
    <w:rsid w:val="1D487EB6"/>
    <w:rsid w:val="1D7B204C"/>
    <w:rsid w:val="1D9D244C"/>
    <w:rsid w:val="1E0A561D"/>
    <w:rsid w:val="1E317170"/>
    <w:rsid w:val="1E331E3B"/>
    <w:rsid w:val="1E4914EC"/>
    <w:rsid w:val="1E561B49"/>
    <w:rsid w:val="1E5B5B74"/>
    <w:rsid w:val="1E622AA6"/>
    <w:rsid w:val="1E8618BB"/>
    <w:rsid w:val="1E925E44"/>
    <w:rsid w:val="1ED9523A"/>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D6552"/>
    <w:rsid w:val="1FE07634"/>
    <w:rsid w:val="1FF5268B"/>
    <w:rsid w:val="1FF829ED"/>
    <w:rsid w:val="20027E74"/>
    <w:rsid w:val="201047BC"/>
    <w:rsid w:val="2019412B"/>
    <w:rsid w:val="2024650C"/>
    <w:rsid w:val="203B492A"/>
    <w:rsid w:val="204E5FD2"/>
    <w:rsid w:val="20703E6E"/>
    <w:rsid w:val="207A428C"/>
    <w:rsid w:val="20835E3C"/>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7334E7"/>
    <w:rsid w:val="22734646"/>
    <w:rsid w:val="22AE1EDE"/>
    <w:rsid w:val="22C23296"/>
    <w:rsid w:val="22D027A5"/>
    <w:rsid w:val="22DD6CC1"/>
    <w:rsid w:val="22EA5D72"/>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76BA1"/>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DD571A"/>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17A2B"/>
    <w:rsid w:val="26CC1B59"/>
    <w:rsid w:val="26D10ECC"/>
    <w:rsid w:val="26EF57DC"/>
    <w:rsid w:val="27083115"/>
    <w:rsid w:val="27142A2D"/>
    <w:rsid w:val="271B4881"/>
    <w:rsid w:val="27214C90"/>
    <w:rsid w:val="272414C7"/>
    <w:rsid w:val="272A2ED5"/>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0721A"/>
    <w:rsid w:val="2AC36155"/>
    <w:rsid w:val="2AF2488D"/>
    <w:rsid w:val="2B1C1A99"/>
    <w:rsid w:val="2B334F71"/>
    <w:rsid w:val="2B50394A"/>
    <w:rsid w:val="2B753191"/>
    <w:rsid w:val="2B7D6E07"/>
    <w:rsid w:val="2B9444D2"/>
    <w:rsid w:val="2BE340CE"/>
    <w:rsid w:val="2BFC3479"/>
    <w:rsid w:val="2C1E1CA1"/>
    <w:rsid w:val="2C214447"/>
    <w:rsid w:val="2C232160"/>
    <w:rsid w:val="2C4D6F1B"/>
    <w:rsid w:val="2C587217"/>
    <w:rsid w:val="2C774E4B"/>
    <w:rsid w:val="2C7A5B1E"/>
    <w:rsid w:val="2C825683"/>
    <w:rsid w:val="2C8D63B1"/>
    <w:rsid w:val="2CBB44E5"/>
    <w:rsid w:val="2CBC77F6"/>
    <w:rsid w:val="2CDB55D6"/>
    <w:rsid w:val="2D1D236A"/>
    <w:rsid w:val="2D840FFA"/>
    <w:rsid w:val="2DAB174B"/>
    <w:rsid w:val="2DAC3053"/>
    <w:rsid w:val="2DB21AB3"/>
    <w:rsid w:val="2DC70AE2"/>
    <w:rsid w:val="2DCA6026"/>
    <w:rsid w:val="2DCD4928"/>
    <w:rsid w:val="2DE96603"/>
    <w:rsid w:val="2E1729D6"/>
    <w:rsid w:val="2E1A0C6A"/>
    <w:rsid w:val="2E347EE6"/>
    <w:rsid w:val="2E374A38"/>
    <w:rsid w:val="2E3A1850"/>
    <w:rsid w:val="2E3C5510"/>
    <w:rsid w:val="2E6305D7"/>
    <w:rsid w:val="2E690638"/>
    <w:rsid w:val="2E875B98"/>
    <w:rsid w:val="2EA37EAA"/>
    <w:rsid w:val="2EBD7031"/>
    <w:rsid w:val="2EF73B32"/>
    <w:rsid w:val="2F011E82"/>
    <w:rsid w:val="2F10241C"/>
    <w:rsid w:val="2F240791"/>
    <w:rsid w:val="2F492921"/>
    <w:rsid w:val="2F4C7446"/>
    <w:rsid w:val="2F540CB5"/>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B97317"/>
    <w:rsid w:val="30C01081"/>
    <w:rsid w:val="30C81567"/>
    <w:rsid w:val="30CD46BC"/>
    <w:rsid w:val="31013135"/>
    <w:rsid w:val="311763B6"/>
    <w:rsid w:val="31257A15"/>
    <w:rsid w:val="31452A71"/>
    <w:rsid w:val="31527289"/>
    <w:rsid w:val="31834561"/>
    <w:rsid w:val="318F2514"/>
    <w:rsid w:val="31983052"/>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77D6D"/>
    <w:rsid w:val="33091096"/>
    <w:rsid w:val="33232830"/>
    <w:rsid w:val="33247F6A"/>
    <w:rsid w:val="33442827"/>
    <w:rsid w:val="33462AFF"/>
    <w:rsid w:val="337E52FC"/>
    <w:rsid w:val="33843CA1"/>
    <w:rsid w:val="338604C2"/>
    <w:rsid w:val="338F2A0F"/>
    <w:rsid w:val="33996246"/>
    <w:rsid w:val="33DC7649"/>
    <w:rsid w:val="340639D6"/>
    <w:rsid w:val="34105AD1"/>
    <w:rsid w:val="3425406E"/>
    <w:rsid w:val="34731AFC"/>
    <w:rsid w:val="347728F4"/>
    <w:rsid w:val="348B54C8"/>
    <w:rsid w:val="34915550"/>
    <w:rsid w:val="349D56AC"/>
    <w:rsid w:val="349D6BA5"/>
    <w:rsid w:val="34A11B7B"/>
    <w:rsid w:val="34A132D5"/>
    <w:rsid w:val="34A6697A"/>
    <w:rsid w:val="34AF7E71"/>
    <w:rsid w:val="34B33A72"/>
    <w:rsid w:val="34BF1760"/>
    <w:rsid w:val="34BF2E0B"/>
    <w:rsid w:val="34D5280E"/>
    <w:rsid w:val="34E20D20"/>
    <w:rsid w:val="350C7DB7"/>
    <w:rsid w:val="3562042D"/>
    <w:rsid w:val="356608C9"/>
    <w:rsid w:val="35850AE6"/>
    <w:rsid w:val="35DE1818"/>
    <w:rsid w:val="35E06871"/>
    <w:rsid w:val="36146F55"/>
    <w:rsid w:val="36787E34"/>
    <w:rsid w:val="36D974F7"/>
    <w:rsid w:val="36E03CF2"/>
    <w:rsid w:val="36E05B33"/>
    <w:rsid w:val="36E77649"/>
    <w:rsid w:val="36EA60E6"/>
    <w:rsid w:val="36FC06E4"/>
    <w:rsid w:val="37002BA5"/>
    <w:rsid w:val="372A57D1"/>
    <w:rsid w:val="373006D6"/>
    <w:rsid w:val="373215AF"/>
    <w:rsid w:val="37395AAC"/>
    <w:rsid w:val="37533A9C"/>
    <w:rsid w:val="37554C2A"/>
    <w:rsid w:val="376C2F8C"/>
    <w:rsid w:val="37733C45"/>
    <w:rsid w:val="3777684B"/>
    <w:rsid w:val="37EA244F"/>
    <w:rsid w:val="3801691A"/>
    <w:rsid w:val="38053C44"/>
    <w:rsid w:val="3816564C"/>
    <w:rsid w:val="382A2A0E"/>
    <w:rsid w:val="383C5D00"/>
    <w:rsid w:val="383F5E4A"/>
    <w:rsid w:val="38622194"/>
    <w:rsid w:val="38684F32"/>
    <w:rsid w:val="38725D9C"/>
    <w:rsid w:val="387A7CA5"/>
    <w:rsid w:val="387E3BF1"/>
    <w:rsid w:val="388E0F50"/>
    <w:rsid w:val="38941E98"/>
    <w:rsid w:val="38983F5E"/>
    <w:rsid w:val="38EC1118"/>
    <w:rsid w:val="38F96580"/>
    <w:rsid w:val="38FD1A72"/>
    <w:rsid w:val="39056352"/>
    <w:rsid w:val="392F5095"/>
    <w:rsid w:val="39413193"/>
    <w:rsid w:val="39465433"/>
    <w:rsid w:val="395B6912"/>
    <w:rsid w:val="39750ACE"/>
    <w:rsid w:val="398A61BC"/>
    <w:rsid w:val="399510E7"/>
    <w:rsid w:val="399B683C"/>
    <w:rsid w:val="399D3FE9"/>
    <w:rsid w:val="39B51F60"/>
    <w:rsid w:val="39BE3B67"/>
    <w:rsid w:val="39E932D4"/>
    <w:rsid w:val="39EA0C0C"/>
    <w:rsid w:val="39F61539"/>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442486"/>
    <w:rsid w:val="3B5410D9"/>
    <w:rsid w:val="3B7A7129"/>
    <w:rsid w:val="3B7D7576"/>
    <w:rsid w:val="3B7F1E8C"/>
    <w:rsid w:val="3B890DAC"/>
    <w:rsid w:val="3BA25DBC"/>
    <w:rsid w:val="3BC76E9C"/>
    <w:rsid w:val="3BCB467A"/>
    <w:rsid w:val="3BE90506"/>
    <w:rsid w:val="3BEB6832"/>
    <w:rsid w:val="3BFA06DC"/>
    <w:rsid w:val="3C2E5ED4"/>
    <w:rsid w:val="3C40766B"/>
    <w:rsid w:val="3C7F621D"/>
    <w:rsid w:val="3C8B47EB"/>
    <w:rsid w:val="3CBB6AC9"/>
    <w:rsid w:val="3CBD35C8"/>
    <w:rsid w:val="3D1456AE"/>
    <w:rsid w:val="3D145DCC"/>
    <w:rsid w:val="3D1C0002"/>
    <w:rsid w:val="3D2962ED"/>
    <w:rsid w:val="3D2D7B94"/>
    <w:rsid w:val="3D340B81"/>
    <w:rsid w:val="3D4E706F"/>
    <w:rsid w:val="3D8311E9"/>
    <w:rsid w:val="3DAA319C"/>
    <w:rsid w:val="3E036111"/>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80FB8"/>
    <w:rsid w:val="3F7E1F67"/>
    <w:rsid w:val="3F83420A"/>
    <w:rsid w:val="3F8F7315"/>
    <w:rsid w:val="3F9A203F"/>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3476AD"/>
    <w:rsid w:val="414562FD"/>
    <w:rsid w:val="414C3B30"/>
    <w:rsid w:val="41563B9A"/>
    <w:rsid w:val="41731331"/>
    <w:rsid w:val="417B7161"/>
    <w:rsid w:val="418579D7"/>
    <w:rsid w:val="418C6B85"/>
    <w:rsid w:val="4196095F"/>
    <w:rsid w:val="419D72A2"/>
    <w:rsid w:val="41A0236E"/>
    <w:rsid w:val="41A96728"/>
    <w:rsid w:val="41AB6899"/>
    <w:rsid w:val="41F95353"/>
    <w:rsid w:val="42076836"/>
    <w:rsid w:val="420F1D94"/>
    <w:rsid w:val="423B1FA8"/>
    <w:rsid w:val="424E4424"/>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53A1F"/>
    <w:rsid w:val="43AB2F4E"/>
    <w:rsid w:val="43AC3F44"/>
    <w:rsid w:val="43B1210D"/>
    <w:rsid w:val="43DC2808"/>
    <w:rsid w:val="43DE77F3"/>
    <w:rsid w:val="43EF7EFB"/>
    <w:rsid w:val="43FA2050"/>
    <w:rsid w:val="4400649E"/>
    <w:rsid w:val="441910A9"/>
    <w:rsid w:val="44500782"/>
    <w:rsid w:val="446871A0"/>
    <w:rsid w:val="4478624B"/>
    <w:rsid w:val="447B6681"/>
    <w:rsid w:val="447D6881"/>
    <w:rsid w:val="4493367B"/>
    <w:rsid w:val="44961F17"/>
    <w:rsid w:val="44A84176"/>
    <w:rsid w:val="44AB74B4"/>
    <w:rsid w:val="44BB301C"/>
    <w:rsid w:val="450A3185"/>
    <w:rsid w:val="450E61CB"/>
    <w:rsid w:val="451037D6"/>
    <w:rsid w:val="451C2B38"/>
    <w:rsid w:val="452905F3"/>
    <w:rsid w:val="45582FC6"/>
    <w:rsid w:val="4568103F"/>
    <w:rsid w:val="45801D53"/>
    <w:rsid w:val="45901ACB"/>
    <w:rsid w:val="45953C03"/>
    <w:rsid w:val="45AE2DF6"/>
    <w:rsid w:val="45F459D1"/>
    <w:rsid w:val="46052F0A"/>
    <w:rsid w:val="460C379B"/>
    <w:rsid w:val="462B2635"/>
    <w:rsid w:val="464A3711"/>
    <w:rsid w:val="466B4F4C"/>
    <w:rsid w:val="467C065E"/>
    <w:rsid w:val="469246C4"/>
    <w:rsid w:val="46977D08"/>
    <w:rsid w:val="46AF3AB5"/>
    <w:rsid w:val="46E25CA4"/>
    <w:rsid w:val="46E37251"/>
    <w:rsid w:val="46F40267"/>
    <w:rsid w:val="47017932"/>
    <w:rsid w:val="47294A71"/>
    <w:rsid w:val="474B3834"/>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A5526"/>
    <w:rsid w:val="48AF592F"/>
    <w:rsid w:val="48DB5184"/>
    <w:rsid w:val="48DC4BB3"/>
    <w:rsid w:val="48F11175"/>
    <w:rsid w:val="48FC5916"/>
    <w:rsid w:val="49035E3C"/>
    <w:rsid w:val="49161A6F"/>
    <w:rsid w:val="491B567A"/>
    <w:rsid w:val="492767FF"/>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DA671C"/>
    <w:rsid w:val="4AFB6678"/>
    <w:rsid w:val="4B0836C7"/>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665C1"/>
    <w:rsid w:val="4CFA5EBA"/>
    <w:rsid w:val="4D0B09F5"/>
    <w:rsid w:val="4D243AE6"/>
    <w:rsid w:val="4D362180"/>
    <w:rsid w:val="4D3C4079"/>
    <w:rsid w:val="4D4152D2"/>
    <w:rsid w:val="4D420722"/>
    <w:rsid w:val="4D5D2973"/>
    <w:rsid w:val="4D670A85"/>
    <w:rsid w:val="4D743D70"/>
    <w:rsid w:val="4D806473"/>
    <w:rsid w:val="4DA27E03"/>
    <w:rsid w:val="4DB87F6B"/>
    <w:rsid w:val="4DE22211"/>
    <w:rsid w:val="4DF25475"/>
    <w:rsid w:val="4DF85FC0"/>
    <w:rsid w:val="4E001052"/>
    <w:rsid w:val="4E152B42"/>
    <w:rsid w:val="4E2B135E"/>
    <w:rsid w:val="4E2F2707"/>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02D37"/>
    <w:rsid w:val="4FFE7F33"/>
    <w:rsid w:val="500E331C"/>
    <w:rsid w:val="500F7F8E"/>
    <w:rsid w:val="5010363B"/>
    <w:rsid w:val="501802EF"/>
    <w:rsid w:val="501A6EB3"/>
    <w:rsid w:val="501C4E89"/>
    <w:rsid w:val="50401C90"/>
    <w:rsid w:val="50520469"/>
    <w:rsid w:val="50705EA7"/>
    <w:rsid w:val="508A0BD0"/>
    <w:rsid w:val="508E4B33"/>
    <w:rsid w:val="50996E21"/>
    <w:rsid w:val="50AB080A"/>
    <w:rsid w:val="50DD3BA3"/>
    <w:rsid w:val="50E61CAB"/>
    <w:rsid w:val="50EE7DC2"/>
    <w:rsid w:val="514136A1"/>
    <w:rsid w:val="514A20B0"/>
    <w:rsid w:val="515463AA"/>
    <w:rsid w:val="517D1FD1"/>
    <w:rsid w:val="51820F0A"/>
    <w:rsid w:val="51B00924"/>
    <w:rsid w:val="51BF1CEA"/>
    <w:rsid w:val="51C55B60"/>
    <w:rsid w:val="51C720FB"/>
    <w:rsid w:val="51D2101C"/>
    <w:rsid w:val="51E441B2"/>
    <w:rsid w:val="51E878B5"/>
    <w:rsid w:val="51EE3F4A"/>
    <w:rsid w:val="52144845"/>
    <w:rsid w:val="522B4481"/>
    <w:rsid w:val="523F3431"/>
    <w:rsid w:val="52433E33"/>
    <w:rsid w:val="52461D9B"/>
    <w:rsid w:val="52556F68"/>
    <w:rsid w:val="526131D0"/>
    <w:rsid w:val="527A0BC1"/>
    <w:rsid w:val="528E5F94"/>
    <w:rsid w:val="52B73817"/>
    <w:rsid w:val="52FE20B8"/>
    <w:rsid w:val="53014F84"/>
    <w:rsid w:val="53081FE2"/>
    <w:rsid w:val="53757657"/>
    <w:rsid w:val="53836E13"/>
    <w:rsid w:val="5399393C"/>
    <w:rsid w:val="53BC34C4"/>
    <w:rsid w:val="53CE29B7"/>
    <w:rsid w:val="5423339D"/>
    <w:rsid w:val="54451376"/>
    <w:rsid w:val="545B0024"/>
    <w:rsid w:val="54623CCF"/>
    <w:rsid w:val="54783F91"/>
    <w:rsid w:val="54B2165A"/>
    <w:rsid w:val="54C52C01"/>
    <w:rsid w:val="54DE257B"/>
    <w:rsid w:val="550F7B26"/>
    <w:rsid w:val="551B052F"/>
    <w:rsid w:val="551F503D"/>
    <w:rsid w:val="552E7B6C"/>
    <w:rsid w:val="55331FD0"/>
    <w:rsid w:val="55356F21"/>
    <w:rsid w:val="553B1566"/>
    <w:rsid w:val="553D5A1E"/>
    <w:rsid w:val="554E66B4"/>
    <w:rsid w:val="55623019"/>
    <w:rsid w:val="55907196"/>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2B2C42"/>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090F90"/>
    <w:rsid w:val="5934326C"/>
    <w:rsid w:val="59471B28"/>
    <w:rsid w:val="59763E82"/>
    <w:rsid w:val="597F5245"/>
    <w:rsid w:val="598A3666"/>
    <w:rsid w:val="59A63822"/>
    <w:rsid w:val="59B8355B"/>
    <w:rsid w:val="59FE08FA"/>
    <w:rsid w:val="5A257E94"/>
    <w:rsid w:val="5A2A02BF"/>
    <w:rsid w:val="5A5106AE"/>
    <w:rsid w:val="5A60741A"/>
    <w:rsid w:val="5A7A608F"/>
    <w:rsid w:val="5A976E36"/>
    <w:rsid w:val="5A9D694A"/>
    <w:rsid w:val="5AA2358A"/>
    <w:rsid w:val="5AA24080"/>
    <w:rsid w:val="5AAD1EF8"/>
    <w:rsid w:val="5ACC5B87"/>
    <w:rsid w:val="5ACF7403"/>
    <w:rsid w:val="5B1E5FDD"/>
    <w:rsid w:val="5B365C08"/>
    <w:rsid w:val="5B46719F"/>
    <w:rsid w:val="5B60313C"/>
    <w:rsid w:val="5B705B09"/>
    <w:rsid w:val="5B9331F3"/>
    <w:rsid w:val="5B983712"/>
    <w:rsid w:val="5B997CCC"/>
    <w:rsid w:val="5B9D7438"/>
    <w:rsid w:val="5BA42A14"/>
    <w:rsid w:val="5BC52ADE"/>
    <w:rsid w:val="5C60141A"/>
    <w:rsid w:val="5C691962"/>
    <w:rsid w:val="5C8D4642"/>
    <w:rsid w:val="5CA70BEA"/>
    <w:rsid w:val="5CFA70E0"/>
    <w:rsid w:val="5CFF3634"/>
    <w:rsid w:val="5D0B0214"/>
    <w:rsid w:val="5D1A0A42"/>
    <w:rsid w:val="5D282771"/>
    <w:rsid w:val="5D3A4C89"/>
    <w:rsid w:val="5D42151C"/>
    <w:rsid w:val="5D4F1710"/>
    <w:rsid w:val="5D5D43F4"/>
    <w:rsid w:val="5D6B70B1"/>
    <w:rsid w:val="5D71045F"/>
    <w:rsid w:val="5D9A4060"/>
    <w:rsid w:val="5DAB19D1"/>
    <w:rsid w:val="5DBE340A"/>
    <w:rsid w:val="5DD263B9"/>
    <w:rsid w:val="5DE41D76"/>
    <w:rsid w:val="5DE555FC"/>
    <w:rsid w:val="5DE73FE0"/>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147120"/>
    <w:rsid w:val="602643C9"/>
    <w:rsid w:val="60273573"/>
    <w:rsid w:val="60276DC2"/>
    <w:rsid w:val="602A54A3"/>
    <w:rsid w:val="60370997"/>
    <w:rsid w:val="604F40FC"/>
    <w:rsid w:val="605A259A"/>
    <w:rsid w:val="6060154E"/>
    <w:rsid w:val="606D0EF6"/>
    <w:rsid w:val="609D30C7"/>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9279AF"/>
    <w:rsid w:val="63944825"/>
    <w:rsid w:val="63AA5864"/>
    <w:rsid w:val="63C77EDB"/>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575029"/>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6FA2C2D"/>
    <w:rsid w:val="671A0D2D"/>
    <w:rsid w:val="67200F9C"/>
    <w:rsid w:val="672252C1"/>
    <w:rsid w:val="67310AD0"/>
    <w:rsid w:val="67340A1D"/>
    <w:rsid w:val="674A4FC0"/>
    <w:rsid w:val="674D101A"/>
    <w:rsid w:val="675249FA"/>
    <w:rsid w:val="67683CFC"/>
    <w:rsid w:val="67B406DA"/>
    <w:rsid w:val="67C75EAB"/>
    <w:rsid w:val="67D13F82"/>
    <w:rsid w:val="67D47556"/>
    <w:rsid w:val="67E83BD3"/>
    <w:rsid w:val="67FA2F67"/>
    <w:rsid w:val="67FE0A51"/>
    <w:rsid w:val="682561EB"/>
    <w:rsid w:val="683021EA"/>
    <w:rsid w:val="6831292C"/>
    <w:rsid w:val="683A5F07"/>
    <w:rsid w:val="683D4EA1"/>
    <w:rsid w:val="68482B4B"/>
    <w:rsid w:val="6857517B"/>
    <w:rsid w:val="685F2B0C"/>
    <w:rsid w:val="68615AEE"/>
    <w:rsid w:val="686465B8"/>
    <w:rsid w:val="686E2F1C"/>
    <w:rsid w:val="686E4CA0"/>
    <w:rsid w:val="686F3D4E"/>
    <w:rsid w:val="6892121B"/>
    <w:rsid w:val="689D1417"/>
    <w:rsid w:val="689E473A"/>
    <w:rsid w:val="68A772BD"/>
    <w:rsid w:val="68AD32C0"/>
    <w:rsid w:val="68B055E0"/>
    <w:rsid w:val="68C163CF"/>
    <w:rsid w:val="68F77559"/>
    <w:rsid w:val="692E620E"/>
    <w:rsid w:val="693053C2"/>
    <w:rsid w:val="6937362E"/>
    <w:rsid w:val="693A49E5"/>
    <w:rsid w:val="69577852"/>
    <w:rsid w:val="696750C8"/>
    <w:rsid w:val="697A46A8"/>
    <w:rsid w:val="69AA61FA"/>
    <w:rsid w:val="69B022B6"/>
    <w:rsid w:val="69B72806"/>
    <w:rsid w:val="69B83AE8"/>
    <w:rsid w:val="69C21FC2"/>
    <w:rsid w:val="69D05774"/>
    <w:rsid w:val="69DD68EF"/>
    <w:rsid w:val="69E7597C"/>
    <w:rsid w:val="69F431E5"/>
    <w:rsid w:val="6A0B12F9"/>
    <w:rsid w:val="6A387A83"/>
    <w:rsid w:val="6A4E3481"/>
    <w:rsid w:val="6A675F84"/>
    <w:rsid w:val="6AB0358F"/>
    <w:rsid w:val="6AC81DFB"/>
    <w:rsid w:val="6ACC4B2B"/>
    <w:rsid w:val="6AD5470C"/>
    <w:rsid w:val="6B156F01"/>
    <w:rsid w:val="6B1823F4"/>
    <w:rsid w:val="6B302155"/>
    <w:rsid w:val="6B5061B8"/>
    <w:rsid w:val="6B5541CC"/>
    <w:rsid w:val="6B594757"/>
    <w:rsid w:val="6B794694"/>
    <w:rsid w:val="6BB10ECA"/>
    <w:rsid w:val="6BB80CD3"/>
    <w:rsid w:val="6BC72B46"/>
    <w:rsid w:val="6BD97443"/>
    <w:rsid w:val="6BE154D6"/>
    <w:rsid w:val="6BFA34BF"/>
    <w:rsid w:val="6C1E27AA"/>
    <w:rsid w:val="6C253A83"/>
    <w:rsid w:val="6C282E9B"/>
    <w:rsid w:val="6C2830F3"/>
    <w:rsid w:val="6C4C1DDE"/>
    <w:rsid w:val="6C60775B"/>
    <w:rsid w:val="6C787CBB"/>
    <w:rsid w:val="6C8A4E5F"/>
    <w:rsid w:val="6C8C5CC8"/>
    <w:rsid w:val="6C9165B6"/>
    <w:rsid w:val="6CA87474"/>
    <w:rsid w:val="6CAE0CBE"/>
    <w:rsid w:val="6CAF6805"/>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5D7020"/>
    <w:rsid w:val="6F634567"/>
    <w:rsid w:val="6F8D6B1D"/>
    <w:rsid w:val="6FAE4748"/>
    <w:rsid w:val="6FD91F90"/>
    <w:rsid w:val="6FE31AA8"/>
    <w:rsid w:val="70045D42"/>
    <w:rsid w:val="704D2ABA"/>
    <w:rsid w:val="706717CB"/>
    <w:rsid w:val="707200F0"/>
    <w:rsid w:val="707663A9"/>
    <w:rsid w:val="707F274F"/>
    <w:rsid w:val="70950CE0"/>
    <w:rsid w:val="709C1CB2"/>
    <w:rsid w:val="709D2458"/>
    <w:rsid w:val="70A2698B"/>
    <w:rsid w:val="70AA312E"/>
    <w:rsid w:val="70C24A2F"/>
    <w:rsid w:val="70CC0C4C"/>
    <w:rsid w:val="70E41087"/>
    <w:rsid w:val="70E65326"/>
    <w:rsid w:val="70E80F60"/>
    <w:rsid w:val="70F11D57"/>
    <w:rsid w:val="71014D29"/>
    <w:rsid w:val="710A2B65"/>
    <w:rsid w:val="710A505E"/>
    <w:rsid w:val="71191A27"/>
    <w:rsid w:val="711F713E"/>
    <w:rsid w:val="71217371"/>
    <w:rsid w:val="712E54D4"/>
    <w:rsid w:val="71321C7C"/>
    <w:rsid w:val="714A1780"/>
    <w:rsid w:val="7170146E"/>
    <w:rsid w:val="71705776"/>
    <w:rsid w:val="717268C8"/>
    <w:rsid w:val="71802D0E"/>
    <w:rsid w:val="71880353"/>
    <w:rsid w:val="718F5890"/>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2E37031"/>
    <w:rsid w:val="73014E33"/>
    <w:rsid w:val="730770A2"/>
    <w:rsid w:val="73197AE0"/>
    <w:rsid w:val="73221860"/>
    <w:rsid w:val="732F2FC7"/>
    <w:rsid w:val="733A4EF6"/>
    <w:rsid w:val="733D0234"/>
    <w:rsid w:val="735F4C52"/>
    <w:rsid w:val="73773239"/>
    <w:rsid w:val="739D4E7F"/>
    <w:rsid w:val="73A52CA9"/>
    <w:rsid w:val="73C82E30"/>
    <w:rsid w:val="73FA14E3"/>
    <w:rsid w:val="73FD29BB"/>
    <w:rsid w:val="740A7F35"/>
    <w:rsid w:val="740B686A"/>
    <w:rsid w:val="74193434"/>
    <w:rsid w:val="741F0BD5"/>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EC0753"/>
    <w:rsid w:val="75FA2F4D"/>
    <w:rsid w:val="76177C7F"/>
    <w:rsid w:val="761E4555"/>
    <w:rsid w:val="7652518B"/>
    <w:rsid w:val="765661CE"/>
    <w:rsid w:val="76612647"/>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B67526"/>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C44E91"/>
    <w:rsid w:val="79D75B18"/>
    <w:rsid w:val="79F9227E"/>
    <w:rsid w:val="7A03141B"/>
    <w:rsid w:val="7A2F5A98"/>
    <w:rsid w:val="7A340EA4"/>
    <w:rsid w:val="7A3F5F0E"/>
    <w:rsid w:val="7A402127"/>
    <w:rsid w:val="7A677819"/>
    <w:rsid w:val="7A75750A"/>
    <w:rsid w:val="7A7C3110"/>
    <w:rsid w:val="7A9E603E"/>
    <w:rsid w:val="7AA5799A"/>
    <w:rsid w:val="7AAE7A48"/>
    <w:rsid w:val="7AE54C7E"/>
    <w:rsid w:val="7AF259C5"/>
    <w:rsid w:val="7B12265C"/>
    <w:rsid w:val="7B4E1237"/>
    <w:rsid w:val="7B557668"/>
    <w:rsid w:val="7B5721B8"/>
    <w:rsid w:val="7B5C6BFD"/>
    <w:rsid w:val="7B7A51C6"/>
    <w:rsid w:val="7B884D33"/>
    <w:rsid w:val="7BA630A7"/>
    <w:rsid w:val="7BBA0C5C"/>
    <w:rsid w:val="7BBB6A08"/>
    <w:rsid w:val="7BCB5994"/>
    <w:rsid w:val="7BED154E"/>
    <w:rsid w:val="7BED6B05"/>
    <w:rsid w:val="7C1946E0"/>
    <w:rsid w:val="7C42078B"/>
    <w:rsid w:val="7C6911AC"/>
    <w:rsid w:val="7C953CBE"/>
    <w:rsid w:val="7C9C6D51"/>
    <w:rsid w:val="7CA326C8"/>
    <w:rsid w:val="7CAA5F0D"/>
    <w:rsid w:val="7CD0684D"/>
    <w:rsid w:val="7D25417D"/>
    <w:rsid w:val="7D470375"/>
    <w:rsid w:val="7D5A124C"/>
    <w:rsid w:val="7D6B3C9C"/>
    <w:rsid w:val="7D6C7837"/>
    <w:rsid w:val="7D87483A"/>
    <w:rsid w:val="7D886B89"/>
    <w:rsid w:val="7D8A3047"/>
    <w:rsid w:val="7D92427A"/>
    <w:rsid w:val="7DA45F74"/>
    <w:rsid w:val="7DA653E8"/>
    <w:rsid w:val="7DAB4450"/>
    <w:rsid w:val="7DAE4568"/>
    <w:rsid w:val="7DC3009F"/>
    <w:rsid w:val="7DC80DDA"/>
    <w:rsid w:val="7DDC30D5"/>
    <w:rsid w:val="7DF509C8"/>
    <w:rsid w:val="7E0B16A2"/>
    <w:rsid w:val="7E12506E"/>
    <w:rsid w:val="7E1B5179"/>
    <w:rsid w:val="7E3610F8"/>
    <w:rsid w:val="7E594E0B"/>
    <w:rsid w:val="7E7C766D"/>
    <w:rsid w:val="7E833262"/>
    <w:rsid w:val="7E8C2E4D"/>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E564B8"/>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spacing w:after="120"/>
      <w:ind w:left="420" w:leftChars="200"/>
    </w:pPr>
  </w:style>
  <w:style w:type="paragraph" w:styleId="7">
    <w:name w:val="List Number"/>
    <w:basedOn w:val="1"/>
    <w:qFormat/>
    <w:uiPriority w:val="0"/>
    <w:pPr>
      <w:numPr>
        <w:ilvl w:val="0"/>
        <w:numId w:val="2"/>
      </w:numPr>
    </w:pPr>
  </w:style>
  <w:style w:type="paragraph" w:styleId="8">
    <w:name w:val="Normal Indent"/>
    <w:basedOn w:val="1"/>
    <w:next w:val="1"/>
    <w:qFormat/>
    <w:uiPriority w:val="0"/>
    <w:pPr>
      <w:ind w:firstLine="420"/>
    </w:pPr>
    <w:rPr>
      <w:szCs w:val="20"/>
    </w:rPr>
  </w:style>
  <w:style w:type="paragraph" w:styleId="9">
    <w:name w:val="annotation text"/>
    <w:basedOn w:val="1"/>
    <w:link w:val="53"/>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toc 8"/>
    <w:basedOn w:val="1"/>
    <w:next w:val="1"/>
    <w:semiHidden/>
    <w:unhideWhenUsed/>
    <w:qFormat/>
    <w:uiPriority w:val="39"/>
    <w:pPr>
      <w:ind w:left="2940" w:leftChars="1400"/>
    </w:pPr>
  </w:style>
  <w:style w:type="paragraph" w:styleId="14">
    <w:name w:val="Balloon Text"/>
    <w:basedOn w:val="1"/>
    <w:link w:val="5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annotation subject"/>
    <w:basedOn w:val="9"/>
    <w:next w:val="9"/>
    <w:link w:val="54"/>
    <w:qFormat/>
    <w:uiPriority w:val="0"/>
    <w:rPr>
      <w:b/>
      <w:bCs/>
    </w:rPr>
  </w:style>
  <w:style w:type="paragraph" w:styleId="20">
    <w:name w:val="Body Text First Indent"/>
    <w:basedOn w:val="1"/>
    <w:qFormat/>
    <w:uiPriority w:val="0"/>
    <w:pPr>
      <w:ind w:firstLine="200" w:firstLineChars="20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4">
    <w:name w:val="FollowedHyperlink"/>
    <w:basedOn w:val="23"/>
    <w:qFormat/>
    <w:uiPriority w:val="0"/>
    <w:rPr>
      <w:color w:val="800080"/>
      <w:u w:val="single"/>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3"/>
    <w:qFormat/>
    <w:uiPriority w:val="0"/>
    <w:rPr>
      <w:rFonts w:eastAsia="宋体"/>
      <w:b/>
      <w:spacing w:val="-2"/>
      <w:sz w:val="24"/>
      <w:lang w:val="en-US" w:eastAsia="zh-CN" w:bidi="ar-SA"/>
    </w:rPr>
  </w:style>
  <w:style w:type="character" w:customStyle="1" w:styleId="50">
    <w:name w:val="批注框文本 字符"/>
    <w:basedOn w:val="23"/>
    <w:link w:val="14"/>
    <w:qFormat/>
    <w:uiPriority w:val="0"/>
    <w:rPr>
      <w:kern w:val="2"/>
      <w:sz w:val="18"/>
      <w:szCs w:val="18"/>
    </w:rPr>
  </w:style>
  <w:style w:type="paragraph" w:customStyle="1" w:styleId="51">
    <w:name w:val="列出段落1"/>
    <w:basedOn w:val="1"/>
    <w:unhideWhenUsed/>
    <w:qFormat/>
    <w:uiPriority w:val="99"/>
    <w:pPr>
      <w:ind w:firstLine="420" w:firstLineChars="200"/>
    </w:pPr>
    <w:rPr>
      <w:szCs w:val="22"/>
    </w:rPr>
  </w:style>
  <w:style w:type="paragraph" w:customStyle="1" w:styleId="5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3">
    <w:name w:val="批注文字 字符"/>
    <w:basedOn w:val="23"/>
    <w:link w:val="9"/>
    <w:qFormat/>
    <w:uiPriority w:val="0"/>
    <w:rPr>
      <w:kern w:val="2"/>
      <w:sz w:val="21"/>
      <w:szCs w:val="24"/>
    </w:rPr>
  </w:style>
  <w:style w:type="character" w:customStyle="1" w:styleId="54">
    <w:name w:val="批注主题 字符"/>
    <w:basedOn w:val="53"/>
    <w:link w:val="1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8168</Words>
  <Characters>46560</Characters>
  <Lines>388</Lines>
  <Paragraphs>109</Paragraphs>
  <TotalTime>1</TotalTime>
  <ScaleCrop>false</ScaleCrop>
  <LinksUpToDate>false</LinksUpToDate>
  <CharactersWithSpaces>54619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cqh</cp:lastModifiedBy>
  <cp:lastPrinted>2021-11-22T01:07:00Z</cp:lastPrinted>
  <dcterms:modified xsi:type="dcterms:W3CDTF">2022-03-15T01:49:31Z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570E49EE669E4672953C588641F6B080</vt:lpwstr>
  </property>
</Properties>
</file>