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TZCG-2022-GK027号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采购项目：考试机房改造建设项目</w:t>
      </w:r>
    </w:p>
    <w:p>
      <w:pPr>
        <w:autoSpaceDE w:val="0"/>
        <w:autoSpaceDN w:val="0"/>
        <w:adjustRightInd w:val="0"/>
        <w:spacing w:line="360" w:lineRule="auto"/>
        <w:jc w:val="center"/>
        <w:rPr>
          <w:rFonts w:ascii="宋体"/>
          <w:kern w:val="0"/>
          <w:sz w:val="28"/>
        </w:rPr>
      </w:pPr>
      <w:r>
        <w:rPr>
          <w:rFonts w:hint="eastAsia" w:ascii="宋体"/>
          <w:kern w:val="0"/>
          <w:sz w:val="28"/>
        </w:rPr>
        <w:t>采 购 人：台州职业技术学院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2022年 10 月</w:t>
      </w:r>
      <w:r>
        <w:rPr>
          <w:rFonts w:hint="eastAsia" w:ascii="宋体" w:hAnsi="宋体" w:cs="宋体"/>
          <w:color w:val="FF0000"/>
          <w:kern w:val="0"/>
          <w:sz w:val="28"/>
          <w:szCs w:val="28"/>
        </w:rPr>
        <w:t xml:space="preserve"> </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 xml:space="preserve"> </w:t>
      </w:r>
      <w:r>
        <w:rPr>
          <w:rFonts w:hint="eastAsia" w:ascii="宋体" w:hAnsi="宋体" w:cs="宋体"/>
          <w:kern w:val="0"/>
          <w:sz w:val="28"/>
          <w:szCs w:val="28"/>
        </w:rPr>
        <w:t>日</w:t>
      </w:r>
    </w:p>
    <w:p>
      <w:pPr>
        <w:spacing w:line="360" w:lineRule="auto"/>
      </w:pPr>
    </w:p>
    <w:p>
      <w:pPr>
        <w:pStyle w:val="20"/>
      </w:pPr>
    </w:p>
    <w:p>
      <w:pPr>
        <w:pStyle w:val="20"/>
      </w:pPr>
    </w:p>
    <w:p>
      <w:pPr>
        <w:pStyle w:val="20"/>
      </w:pPr>
    </w:p>
    <w:p>
      <w:pPr>
        <w:pStyle w:val="20"/>
      </w:pPr>
    </w:p>
    <w:p>
      <w:pPr>
        <w:pStyle w:val="20"/>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rPr>
              <w:rFonts w:ascii="宋体" w:hAnsi="宋体"/>
              <w:kern w:val="0"/>
              <w:sz w:val="28"/>
              <w:szCs w:val="28"/>
            </w:rPr>
          </w:pPr>
          <w:bookmarkStart w:id="0" w:name="_Toc25017_WPSOffice_Type1"/>
        </w:p>
        <w:p>
          <w:pPr>
            <w:pStyle w:val="20"/>
          </w:pPr>
        </w:p>
        <w:p>
          <w:pPr>
            <w:spacing w:line="480" w:lineRule="auto"/>
            <w:jc w:val="center"/>
            <w:rPr>
              <w:rFonts w:ascii="宋体" w:hAnsi="宋体"/>
              <w:b/>
              <w:bCs/>
              <w:sz w:val="36"/>
              <w:szCs w:val="36"/>
            </w:rPr>
          </w:pPr>
          <w:r>
            <w:rPr>
              <w:rFonts w:hint="eastAsia" w:ascii="宋体" w:hAnsi="宋体"/>
              <w:b/>
              <w:bCs/>
              <w:sz w:val="36"/>
              <w:szCs w:val="36"/>
            </w:rPr>
            <w:t>目  录</w:t>
          </w:r>
        </w:p>
        <w:p>
          <w:pPr>
            <w:pStyle w:val="16"/>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5</w:t>
          </w:r>
        </w:p>
        <w:p>
          <w:pPr>
            <w:pStyle w:val="16"/>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w:t>
          </w:r>
          <w:bookmarkEnd w:id="2"/>
          <w:r>
            <w:rPr>
              <w:rFonts w:hint="eastAsia" w:eastAsiaTheme="minorEastAsia" w:cstheme="minorBidi"/>
              <w:sz w:val="28"/>
              <w:szCs w:val="28"/>
            </w:rPr>
            <w:fldChar w:fldCharType="end"/>
          </w:r>
          <w:r>
            <w:rPr>
              <w:rFonts w:hint="eastAsia" w:eastAsiaTheme="minorEastAsia" w:cstheme="minorBidi"/>
              <w:sz w:val="28"/>
              <w:szCs w:val="28"/>
            </w:rPr>
            <w:t>8</w:t>
          </w:r>
        </w:p>
        <w:p>
          <w:pPr>
            <w:pStyle w:val="16"/>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w:t>
          </w:r>
          <w:bookmarkEnd w:id="3"/>
          <w:r>
            <w:rPr>
              <w:rFonts w:hint="eastAsia" w:eastAsiaTheme="minorEastAsia" w:cstheme="minorBidi"/>
              <w:sz w:val="28"/>
              <w:szCs w:val="28"/>
            </w:rPr>
            <w:fldChar w:fldCharType="end"/>
          </w:r>
          <w:r>
            <w:rPr>
              <w:rFonts w:hint="eastAsia" w:eastAsiaTheme="minorEastAsia" w:cstheme="minorBidi"/>
              <w:sz w:val="28"/>
              <w:szCs w:val="28"/>
            </w:rPr>
            <w:t>7</w:t>
          </w:r>
        </w:p>
        <w:p>
          <w:pPr>
            <w:pStyle w:val="16"/>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w:t>
          </w:r>
          <w:bookmarkEnd w:id="4"/>
          <w:r>
            <w:rPr>
              <w:rFonts w:hint="eastAsia" w:eastAsiaTheme="minorEastAsia" w:cstheme="minorBidi"/>
              <w:sz w:val="28"/>
              <w:szCs w:val="28"/>
            </w:rPr>
            <w:fldChar w:fldCharType="end"/>
          </w:r>
          <w:r>
            <w:rPr>
              <w:rFonts w:hint="eastAsia" w:eastAsiaTheme="minorEastAsia" w:cstheme="minorBidi"/>
              <w:sz w:val="28"/>
              <w:szCs w:val="28"/>
            </w:rPr>
            <w:t>2</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cs="宋体"/>
          <w:b/>
          <w:sz w:val="36"/>
          <w:szCs w:val="36"/>
        </w:rPr>
      </w:pPr>
      <w:r>
        <w:rPr>
          <w:rFonts w:hint="eastAsia" w:asciiTheme="majorEastAsia" w:hAnsiTheme="majorEastAsia" w:eastAsiaTheme="majorEastAsia"/>
          <w:b/>
          <w:kern w:val="0"/>
          <w:sz w:val="36"/>
          <w:szCs w:val="36"/>
        </w:rPr>
        <w:br w:type="page"/>
      </w:r>
      <w:bookmarkStart w:id="5" w:name="_Toc4350_WPSOffice_Level1"/>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第一章 投标邀请</w:t>
      </w:r>
      <w:bookmarkEnd w:id="5"/>
    </w:p>
    <w:p>
      <w:pPr>
        <w:pStyle w:val="4"/>
        <w:ind w:firstLine="480" w:firstLineChars="200"/>
        <w:rPr>
          <w:rFonts w:cs="宋体"/>
          <w:b w:val="0"/>
          <w:sz w:val="24"/>
          <w:szCs w:val="24"/>
        </w:rPr>
      </w:pPr>
      <w:bookmarkStart w:id="6" w:name="_Toc35393790"/>
      <w:bookmarkStart w:id="7" w:name="_Toc28359079"/>
      <w:bookmarkStart w:id="8" w:name="_Toc35393621"/>
      <w:bookmarkStart w:id="9" w:name="_Toc28359002"/>
      <w:bookmarkStart w:id="10" w:name="_Hlk24379207"/>
      <w:r>
        <w:rPr>
          <w:rFonts w:hint="eastAsia" w:cs="宋体"/>
          <w:b w:val="0"/>
          <w:sz w:val="24"/>
          <w:szCs w:val="24"/>
        </w:rPr>
        <w:t>台州市政府采购中心受台州职业技术学院委托，就考试机房改造建设项目进行公开招标，欢迎符合资格条件的国内投标人参加投标。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项目编号：TZCG-2022-GK027</w:t>
      </w:r>
      <w:r>
        <w:rPr>
          <w:rFonts w:hint="eastAsia" w:asciiTheme="minorEastAsia" w:hAnsiTheme="minorEastAsia" w:eastAsiaTheme="minorEastAsia" w:cstheme="minorEastAsia"/>
          <w:sz w:val="24"/>
        </w:rPr>
        <w:t>号</w:t>
      </w:r>
    </w:p>
    <w:bookmarkEnd w:id="10"/>
    <w:p>
      <w:pPr>
        <w:spacing w:line="360" w:lineRule="auto"/>
        <w:ind w:firstLine="480" w:firstLineChars="200"/>
        <w:rPr>
          <w:rFonts w:ascii="宋体" w:hAnsi="宋体" w:cs="宋体"/>
          <w:kern w:val="0"/>
          <w:sz w:val="24"/>
        </w:rPr>
      </w:pPr>
      <w:r>
        <w:rPr>
          <w:rFonts w:hint="eastAsia" w:ascii="宋体" w:hAnsi="宋体" w:cs="宋体"/>
          <w:sz w:val="24"/>
        </w:rPr>
        <w:t>项目名称：</w:t>
      </w:r>
      <w:r>
        <w:rPr>
          <w:rFonts w:hint="eastAsia" w:cs="宋体"/>
          <w:sz w:val="24"/>
        </w:rPr>
        <w:t>台州职业技术学院考试机房改造建设</w:t>
      </w:r>
      <w:r>
        <w:rPr>
          <w:rFonts w:hint="eastAsia" w:ascii="宋体" w:hAnsi="宋体" w:cs="宋体"/>
          <w:kern w:val="0"/>
          <w:sz w:val="24"/>
        </w:rPr>
        <w:t>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7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3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585"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2741"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考试机房改造建设</w:t>
            </w:r>
          </w:p>
        </w:tc>
        <w:tc>
          <w:tcPr>
            <w:tcW w:w="9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97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130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600</w:t>
            </w:r>
          </w:p>
        </w:tc>
        <w:tc>
          <w:tcPr>
            <w:tcW w:w="1585"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600</w:t>
            </w:r>
          </w:p>
        </w:tc>
      </w:tr>
    </w:tbl>
    <w:p>
      <w:pPr>
        <w:pStyle w:val="4"/>
        <w:ind w:right="0" w:firstLine="482" w:firstLineChars="200"/>
        <w:rPr>
          <w:rFonts w:cs="宋体"/>
          <w:bCs/>
          <w:sz w:val="24"/>
          <w:szCs w:val="24"/>
        </w:rPr>
      </w:pPr>
      <w:bookmarkStart w:id="11" w:name="_Toc28359080"/>
      <w:bookmarkStart w:id="12" w:name="_Toc35393622"/>
      <w:bookmarkStart w:id="13" w:name="_Toc35393791"/>
      <w:bookmarkStart w:id="14" w:name="_Toc28359003"/>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35393623"/>
      <w:bookmarkStart w:id="16" w:name="_Toc35393792"/>
      <w:bookmarkStart w:id="17" w:name="_Toc28359004"/>
      <w:bookmarkStart w:id="18" w:name="_Toc28359081"/>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（二）本项目的特定资格要求：无。</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ind w:right="0" w:firstLine="482" w:firstLineChars="200"/>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color w:val="auto"/>
          <w:sz w:val="24"/>
        </w:rPr>
      </w:pPr>
      <w:r>
        <w:rPr>
          <w:rFonts w:hint="eastAsia" w:ascii="宋体" w:hAnsi="宋体" w:cs="宋体"/>
          <w:sz w:val="24"/>
        </w:rPr>
        <w:t>（一）时间：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2022年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p>
    <w:p>
      <w:pPr>
        <w:pStyle w:val="27"/>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4"/>
        <w:ind w:right="0" w:firstLine="482" w:firstLineChars="200"/>
        <w:rPr>
          <w:rFonts w:cs="宋体"/>
          <w:bCs/>
          <w:color w:val="auto"/>
          <w:sz w:val="24"/>
          <w:szCs w:val="24"/>
        </w:rPr>
      </w:pPr>
      <w:bookmarkStart w:id="19" w:name="_Toc28359082"/>
      <w:bookmarkStart w:id="20" w:name="_Toc35393624"/>
      <w:bookmarkStart w:id="21" w:name="_Toc35393793"/>
      <w:bookmarkStart w:id="22" w:name="_Toc28359005"/>
      <w:r>
        <w:rPr>
          <w:rFonts w:hint="eastAsia" w:cs="宋体"/>
          <w:bCs/>
          <w:color w:val="auto"/>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28359084"/>
      <w:bookmarkStart w:id="24" w:name="_Toc28359007"/>
      <w:bookmarkStart w:id="25" w:name="_Toc35393794"/>
      <w:bookmarkStart w:id="26" w:name="_Toc35393625"/>
      <w:r>
        <w:rPr>
          <w:rFonts w:hint="eastAsia" w:ascii="宋体" w:hAnsi="宋体" w:cs="宋体"/>
          <w:color w:val="auto"/>
          <w:sz w:val="24"/>
        </w:rPr>
        <w:t>（一）截止时间（开标时间）：</w:t>
      </w:r>
      <w:r>
        <w:rPr>
          <w:rFonts w:hint="eastAsia" w:ascii="宋体" w:hAnsi="宋体" w:cs="宋体"/>
          <w:bCs/>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bCs/>
          <w:color w:val="auto"/>
          <w:sz w:val="24"/>
          <w:u w:val="single"/>
        </w:rPr>
        <w:t>月</w:t>
      </w:r>
      <w:r>
        <w:rPr>
          <w:rFonts w:hint="eastAsia" w:ascii="宋体" w:hAnsi="宋体" w:cs="宋体"/>
          <w:color w:val="auto"/>
          <w:sz w:val="24"/>
          <w:u w:val="single"/>
          <w:lang w:val="en-US" w:eastAsia="zh-CN"/>
        </w:rPr>
        <w:t>8</w:t>
      </w:r>
      <w:r>
        <w:rPr>
          <w:rFonts w:hint="eastAsia" w:ascii="宋体" w:hAnsi="宋体" w:cs="宋体"/>
          <w:bCs/>
          <w:color w:val="auto"/>
          <w:sz w:val="24"/>
          <w:u w:val="single"/>
        </w:rPr>
        <w:t xml:space="preserve">日 </w:t>
      </w:r>
      <w:r>
        <w:rPr>
          <w:rFonts w:hint="eastAsia" w:ascii="宋体" w:hAnsi="宋体" w:cs="宋体"/>
          <w:bCs/>
          <w:color w:val="auto"/>
          <w:sz w:val="24"/>
          <w:u w:val="single"/>
          <w:lang w:val="en-US" w:eastAsia="zh-CN"/>
        </w:rPr>
        <w:t>09</w:t>
      </w:r>
      <w:r>
        <w:rPr>
          <w:rFonts w:hint="eastAsia" w:ascii="宋体" w:hAnsi="宋体" w:cs="宋体"/>
          <w:bCs/>
          <w:color w:val="auto"/>
          <w:sz w:val="24"/>
          <w:u w:val="single"/>
        </w:rPr>
        <w:t>:</w:t>
      </w:r>
      <w:r>
        <w:rPr>
          <w:rFonts w:hint="eastAsia" w:ascii="宋体" w:hAnsi="宋体" w:cs="宋体"/>
          <w:bCs/>
          <w:color w:val="auto"/>
          <w:sz w:val="24"/>
          <w:u w:val="single"/>
          <w:lang w:val="en-US" w:eastAsia="zh-CN"/>
        </w:rPr>
        <w:t>10</w:t>
      </w:r>
      <w:r>
        <w:rPr>
          <w:rFonts w:hint="eastAsia" w:ascii="宋体" w:hAnsi="宋体" w:cs="宋体"/>
          <w:bCs/>
          <w:color w:val="auto"/>
          <w:sz w:val="24"/>
        </w:rPr>
        <w:t>（</w:t>
      </w:r>
      <w:r>
        <w:rPr>
          <w:rFonts w:hint="eastAsia" w:ascii="宋体" w:hAnsi="宋体" w:cs="宋体"/>
          <w:bCs/>
          <w:sz w:val="24"/>
        </w:rPr>
        <w:t>北京时间）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20"/>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9" w:name="_Toc35393796"/>
      <w:bookmarkStart w:id="30" w:name="_Toc28359085"/>
      <w:bookmarkStart w:id="31" w:name="_Toc35393627"/>
      <w:bookmarkStart w:id="32" w:name="_Toc28359008"/>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称：台州职业技术学院</w:t>
      </w:r>
    </w:p>
    <w:p>
      <w:pPr>
        <w:spacing w:line="360" w:lineRule="auto"/>
        <w:ind w:firstLine="480" w:firstLineChars="200"/>
        <w:jc w:val="left"/>
        <w:rPr>
          <w:rFonts w:ascii="宋体" w:hAnsi="宋体" w:cs="宋体"/>
          <w:sz w:val="24"/>
          <w:u w:val="single"/>
        </w:rPr>
      </w:pPr>
      <w:r>
        <w:rPr>
          <w:rFonts w:hint="eastAsia" w:ascii="宋体" w:hAnsi="宋体" w:cs="宋体"/>
          <w:sz w:val="24"/>
        </w:rPr>
        <w:t>地 址：浙江省台州市椒江区学院路788号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bookmarkStart w:id="33" w:name="_Toc28359086"/>
      <w:bookmarkStart w:id="34" w:name="_Toc28359009"/>
      <w:r>
        <w:rPr>
          <w:rFonts w:hint="eastAsia" w:ascii="宋体" w:hAnsi="宋体" w:cs="宋体"/>
          <w:sz w:val="24"/>
        </w:rPr>
        <w:t>何先生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联系电话：0576-88665117</w:t>
      </w:r>
    </w:p>
    <w:bookmarkEnd w:id="33"/>
    <w:bookmarkEnd w:id="34"/>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rPr>
      </w:pPr>
      <w:r>
        <w:rPr>
          <w:rFonts w:hint="eastAsia" w:ascii="宋体" w:hAnsi="宋体" w:cs="宋体"/>
          <w:sz w:val="24"/>
        </w:rPr>
        <w:t>项目联系人：</w:t>
      </w:r>
      <w:bookmarkStart w:id="35" w:name="_Toc28359010"/>
      <w:bookmarkStart w:id="36" w:name="_Toc28359087"/>
      <w:r>
        <w:rPr>
          <w:rFonts w:hint="eastAsia" w:ascii="宋体" w:hAnsi="宋体" w:cs="宋体"/>
          <w:sz w:val="24"/>
        </w:rPr>
        <w:t>陈先生</w:t>
      </w:r>
    </w:p>
    <w:p>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ascii="宋体" w:hAnsi="宋体" w:cs="宋体"/>
          <w:sz w:val="24"/>
        </w:rPr>
      </w:pPr>
      <w:r>
        <w:rPr>
          <w:rFonts w:hint="eastAsia" w:ascii="宋体" w:hAnsi="宋体" w:cs="宋体"/>
          <w:sz w:val="24"/>
        </w:rPr>
        <w:t>技术人员：徐女士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 xml:space="preserve">名 称：台州市财政局政府采购监管处         </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ascii="宋体" w:hAnsi="宋体" w:cs="宋体"/>
          <w:sz w:val="24"/>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联系电话：4008817190</w:t>
      </w:r>
      <w:bookmarkStart w:id="124" w:name="_GoBack"/>
      <w:bookmarkEnd w:id="124"/>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rPr>
        <w:t>台州</w:t>
      </w:r>
      <w:r>
        <w:rPr>
          <w:rFonts w:hint="eastAsia" w:ascii="宋体" w:hAnsi="宋体" w:cs="宋体"/>
          <w:color w:val="auto"/>
          <w:sz w:val="24"/>
          <w:shd w:val="clear" w:color="auto" w:fill="FFFFFF"/>
        </w:rPr>
        <w:t>市政府采购中心</w:t>
      </w:r>
      <w:r>
        <w:rPr>
          <w:rFonts w:hint="eastAsia" w:ascii="宋体" w:hAnsi="宋体" w:cs="宋体"/>
          <w:color w:val="auto"/>
          <w:kern w:val="0"/>
          <w:sz w:val="24"/>
        </w:rPr>
        <w:t xml:space="preserve">  </w:t>
      </w:r>
    </w:p>
    <w:p>
      <w:pPr>
        <w:widowControl/>
        <w:spacing w:line="360" w:lineRule="auto"/>
        <w:jc w:val="right"/>
        <w:rPr>
          <w:rFonts w:ascii="宋体" w:hAnsi="宋体" w:cs="宋体"/>
          <w:color w:val="auto"/>
          <w:kern w:val="0"/>
          <w:sz w:val="24"/>
        </w:r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rPr>
        <w:t>2022年</w:t>
      </w: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17</w:t>
      </w:r>
      <w:r>
        <w:rPr>
          <w:rFonts w:hint="eastAsia" w:asciiTheme="minorEastAsia" w:hAnsiTheme="minorEastAsia" w:eastAsiaTheme="minorEastAsia" w:cstheme="minorEastAsia"/>
          <w:color w:val="auto"/>
          <w:kern w:val="0"/>
          <w:sz w:val="24"/>
        </w:rPr>
        <w:t>日</w:t>
      </w:r>
    </w:p>
    <w:bookmarkEnd w:id="35"/>
    <w:bookmarkEnd w:id="36"/>
    <w:p>
      <w:pP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第二章 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□是（具体清单见招标需求）/☑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kern w:val="0"/>
                <w:szCs w:val="21"/>
              </w:rPr>
            </w:pPr>
            <w:r>
              <w:rPr>
                <w:rFonts w:hint="eastAsia" w:ascii="宋体" w:hAnsi="宋体" w:cs="宋体"/>
                <w:kern w:val="0"/>
                <w:szCs w:val="21"/>
              </w:rPr>
              <w:t>获取招标文件后，各潜在投标人自行联系采购人进行现场勘察，联系人：蒋老师；联系电话：13857655195。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09:10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u w:val="single"/>
              </w:rPr>
              <w:t>09:10</w:t>
            </w:r>
            <w:r>
              <w:rPr>
                <w:rFonts w:hint="eastAsia" w:ascii="宋体" w:hAnsi="宋体" w:cs="宋体"/>
              </w:rPr>
              <w:t>至</w:t>
            </w:r>
            <w:r>
              <w:rPr>
                <w:rFonts w:hint="eastAsia" w:ascii="宋体" w:hAnsi="宋体" w:cs="宋体"/>
                <w:u w:val="single"/>
              </w:rPr>
              <w:t>09:40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10:00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spacing w:line="300" w:lineRule="auto"/>
              <w:ind w:firstLine="0"/>
              <w:jc w:val="center"/>
              <w:rPr>
                <w:rFonts w:ascii="宋体" w:hAnsi="宋体" w:cs="宋体"/>
                <w:szCs w:val="21"/>
              </w:rPr>
            </w:pPr>
            <w:r>
              <w:rPr>
                <w:rFonts w:hint="eastAsia" w:ascii="宋体" w:hAnsi="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7"/>
              <w:spacing w:before="0" w:beforeAutospacing="0" w:after="0" w:afterAutospacing="0" w:line="300" w:lineRule="auto"/>
              <w:ind w:firstLine="420" w:firstLineChars="200"/>
              <w:jc w:val="both"/>
              <w:rPr>
                <w:rFonts w:hint="default" w:cs="宋体"/>
                <w:sz w:val="21"/>
                <w:szCs w:val="21"/>
              </w:rPr>
            </w:pPr>
            <w:r>
              <w:rPr>
                <w:rFonts w:cs="宋体"/>
                <w:sz w:val="21"/>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00" w:lineRule="auto"/>
              <w:ind w:firstLine="420" w:firstLineChars="200"/>
              <w:jc w:val="both"/>
              <w:rPr>
                <w:rFonts w:ascii="宋体" w:hAnsi="宋体" w:cs="宋体"/>
                <w:kern w:val="0"/>
                <w:szCs w:val="21"/>
              </w:rPr>
            </w:pPr>
            <w:r>
              <w:rPr>
                <w:rFonts w:hint="eastAsia" w:ascii="宋体" w:hAnsi="宋体" w:cs="宋体"/>
                <w:kern w:val="0"/>
                <w:szCs w:val="21"/>
              </w:rPr>
              <w:t>本项目无样品递交要求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kern w:val="0"/>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1.评审小组可能向投标人发起远程询标，投标人需提前做好准备。</w:t>
            </w:r>
          </w:p>
          <w:p>
            <w:pPr>
              <w:spacing w:line="300" w:lineRule="auto"/>
              <w:ind w:firstLine="420" w:firstLineChars="200"/>
              <w:rPr>
                <w:rFonts w:ascii="宋体" w:hAnsi="宋体" w:cs="宋体"/>
                <w:szCs w:val="21"/>
              </w:rPr>
            </w:pPr>
            <w:r>
              <w:rPr>
                <w:rFonts w:hint="eastAsia" w:ascii="宋体" w:hAnsi="宋体" w:cs="宋体"/>
                <w:szCs w:val="21"/>
              </w:rPr>
              <w:t>2.本项目是否需要远程在线演示要求详见采购需求。</w:t>
            </w:r>
          </w:p>
          <w:p>
            <w:pPr>
              <w:spacing w:line="300" w:lineRule="auto"/>
              <w:ind w:firstLine="420" w:firstLineChars="200"/>
              <w:rPr>
                <w:rFonts w:ascii="宋体" w:hAnsi="宋体" w:cs="宋体"/>
                <w:szCs w:val="21"/>
              </w:rPr>
            </w:pPr>
            <w:r>
              <w:rPr>
                <w:rFonts w:hint="eastAsia" w:ascii="宋体" w:hAnsi="宋体" w:cs="宋体"/>
                <w:szCs w:val="21"/>
              </w:rPr>
              <w:t>3.远程询标/远程在线演示要求通过“政采云视频讲标系统”进行线上问答，投标人在接到政采云信息推送后登录政采云系统--进入开标大厅--进入本项目进行操作，单方面视频下回答评委询问。</w:t>
            </w:r>
          </w:p>
          <w:p>
            <w:pPr>
              <w:spacing w:line="300" w:lineRule="auto"/>
              <w:ind w:firstLine="420" w:firstLineChars="200"/>
              <w:rPr>
                <w:rFonts w:ascii="宋体" w:hAnsi="宋体" w:cs="宋体"/>
                <w:szCs w:val="21"/>
              </w:rPr>
            </w:pPr>
            <w:r>
              <w:rPr>
                <w:rFonts w:hint="eastAsia" w:ascii="宋体" w:hAnsi="宋体" w:cs="宋体"/>
                <w:szCs w:val="21"/>
              </w:rPr>
              <w:t>4.投标人进行远程在线演示可通过共享桌面来实现，具体操作指南在《政府采购项目电子交易管理操作指南-供应商》2.4.4项。</w:t>
            </w:r>
          </w:p>
          <w:p>
            <w:pPr>
              <w:spacing w:line="300" w:lineRule="auto"/>
              <w:ind w:firstLine="420" w:firstLineChars="200"/>
              <w:rPr>
                <w:rFonts w:ascii="宋体" w:hAnsi="宋体" w:cs="宋体"/>
                <w:kern w:val="0"/>
                <w:szCs w:val="21"/>
              </w:rPr>
            </w:pPr>
            <w:r>
              <w:rPr>
                <w:rFonts w:hint="eastAsia" w:ascii="宋体" w:hAnsi="宋体" w:cs="宋体"/>
                <w:szCs w:val="21"/>
              </w:rPr>
              <w:t>5.“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11"/>
              <w:spacing w:line="300" w:lineRule="auto"/>
              <w:ind w:firstLine="420" w:firstLineChars="200"/>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信用中国（网址：</w:t>
            </w:r>
            <w:r>
              <w:fldChar w:fldCharType="begin"/>
            </w:r>
            <w:r>
              <w:instrText xml:space="preserve"> HYPERLINK "http://www.creditchina.gov.cn" </w:instrText>
            </w:r>
            <w:r>
              <w:fldChar w:fldCharType="separate"/>
            </w:r>
            <w:r>
              <w:rPr>
                <w:rFonts w:hint="eastAsia" w:ascii="宋体" w:hAnsi="宋体" w:cs="宋体"/>
                <w:szCs w:val="21"/>
              </w:rPr>
              <w:t>http://www.creditchina.gov.cn</w:t>
            </w:r>
            <w:r>
              <w:rPr>
                <w:rFonts w:ascii="宋体" w:hAnsi="宋体" w:cs="宋体"/>
                <w:szCs w:val="21"/>
              </w:rPr>
              <w:fldChar w:fldCharType="end"/>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根据《政府采购促进中小企业发展管理办法》（财库〔2020〕46号）文件的规定，本项目(□是 /</w:t>
            </w:r>
            <w:r>
              <w:rPr>
                <w:rFonts w:hint="eastAsia" w:ascii="宋体" w:hAnsi="宋体" w:cs="宋体"/>
              </w:rPr>
              <w:t>☑</w:t>
            </w:r>
            <w:r>
              <w:rPr>
                <w:rFonts w:hint="eastAsia" w:ascii="宋体" w:hAnsi="宋体" w:cs="宋体"/>
                <w:szCs w:val="21"/>
              </w:rPr>
              <w:t xml:space="preserve"> 否</w:t>
            </w:r>
            <w:r>
              <w:rPr>
                <w:rFonts w:hint="eastAsia" w:ascii="宋体" w:hAnsi="宋体" w:cs="宋体"/>
                <w:szCs w:val="21"/>
                <w:shd w:val="clear" w:color="auto" w:fill="FFFFFF"/>
              </w:rPr>
              <w:t>)</w:t>
            </w:r>
            <w:r>
              <w:rPr>
                <w:rFonts w:hint="eastAsia" w:ascii="宋体" w:hAnsi="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pPr>
              <w:spacing w:line="300" w:lineRule="auto"/>
              <w:ind w:firstLine="420" w:firstLineChars="200"/>
              <w:rPr>
                <w:rFonts w:ascii="宋体" w:hAnsi="宋体" w:cs="宋体"/>
                <w:szCs w:val="21"/>
              </w:rPr>
            </w:pPr>
            <w:r>
              <w:rPr>
                <w:rFonts w:hint="eastAsia" w:ascii="宋体" w:hAnsi="宋体" w:cs="宋体"/>
                <w:szCs w:val="21"/>
              </w:rPr>
              <w:t>采购标的：</w:t>
            </w:r>
            <w:r>
              <w:rPr>
                <w:rFonts w:hint="eastAsia" w:ascii="宋体" w:hAnsi="宋体" w:cs="宋体"/>
                <w:szCs w:val="21"/>
                <w:u w:val="single"/>
              </w:rPr>
              <w:t xml:space="preserve"> 考试机房改造建设 </w:t>
            </w:r>
            <w:r>
              <w:rPr>
                <w:rFonts w:hint="eastAsia" w:ascii="宋体" w:hAnsi="宋体" w:cs="宋体"/>
                <w:szCs w:val="21"/>
              </w:rPr>
              <w:t>，所属行业：</w:t>
            </w:r>
            <w:r>
              <w:rPr>
                <w:rFonts w:hint="eastAsia" w:ascii="宋体" w:hAnsi="宋体" w:cs="宋体"/>
                <w:szCs w:val="21"/>
                <w:u w:val="single"/>
              </w:rPr>
              <w:t xml:space="preserve"> 工业 </w:t>
            </w:r>
            <w:r>
              <w:rPr>
                <w:rFonts w:hint="eastAsia" w:ascii="宋体" w:hAnsi="宋体" w:cs="宋体"/>
                <w:szCs w:val="21"/>
              </w:rPr>
              <w:t>。</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14:textFill>
                  <w14:solidFill>
                    <w14:schemeClr w14:val="tx1"/>
                  </w14:solidFill>
                </w14:textFill>
              </w:rPr>
              <w:t>应符合财库</w:t>
            </w:r>
            <w:r>
              <w:rPr>
                <w:rFonts w:hint="eastAsia" w:ascii="宋体" w:hAnsi="宋体" w:cs="宋体"/>
                <w:szCs w:val="21"/>
              </w:rPr>
              <w:t>〔2017〕</w:t>
            </w:r>
            <w:r>
              <w:rPr>
                <w:rFonts w:hint="eastAsia" w:ascii="宋体" w:hAnsi="宋体" w:cs="宋体"/>
                <w:color w:val="000000" w:themeColor="text1"/>
                <w:szCs w:val="21"/>
                <w14:textFill>
                  <w14:solidFill>
                    <w14:schemeClr w14:val="tx1"/>
                  </w14:solidFill>
                </w14:textFill>
              </w:rPr>
              <w:t>141号文件规定，</w:t>
            </w:r>
            <w:r>
              <w:rPr>
                <w:rFonts w:hint="eastAsia" w:ascii="宋体" w:hAnsi="宋体" w:cs="宋体"/>
                <w:szCs w:val="21"/>
              </w:rPr>
              <w:t>视同小型、微型企业，</w:t>
            </w:r>
            <w:r>
              <w:rPr>
                <w:rFonts w:hint="eastAsia" w:ascii="宋体" w:hAnsi="宋体" w:cs="宋体"/>
                <w:color w:val="000000" w:themeColor="text1"/>
                <w:szCs w:val="21"/>
                <w14:textFill>
                  <w14:solidFill>
                    <w14:schemeClr w14:val="tx1"/>
                  </w14:solidFill>
                </w14:textFill>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14:textFill>
                  <w14:solidFill>
                    <w14:schemeClr w14:val="tx1"/>
                  </w14:solidFill>
                </w14:textFill>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color w:val="111F2C"/>
                <w:szCs w:val="21"/>
                <w:shd w:val="clear" w:color="auto" w:fill="FFFFFF"/>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带“★”的条款是</w:t>
            </w:r>
            <w:r>
              <w:rPr>
                <w:rFonts w:hint="eastAsia" w:ascii="宋体" w:hAnsi="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pStyle w:val="20"/>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sz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8"/>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1"/>
        <w:snapToGrid w:val="0"/>
        <w:spacing w:line="360" w:lineRule="auto"/>
        <w:ind w:firstLine="482" w:firstLineChars="200"/>
        <w:rPr>
          <w:rFonts w:hAnsi="宋体" w:cs="宋体"/>
          <w:b/>
          <w:sz w:val="24"/>
        </w:rPr>
      </w:pPr>
      <w:r>
        <w:rPr>
          <w:rFonts w:hint="eastAsia" w:hAnsi="宋体" w:cs="宋体"/>
          <w:b/>
          <w:sz w:val="24"/>
        </w:rPr>
        <w:t>（七）特别说明</w:t>
      </w:r>
    </w:p>
    <w:p>
      <w:pPr>
        <w:pStyle w:val="11"/>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b/>
          <w:sz w:val="24"/>
        </w:rPr>
      </w:pPr>
      <w:r>
        <w:rPr>
          <w:rFonts w:hint="eastAsia" w:ascii="宋体" w:hAnsi="宋体" w:cs="宋体" w:eastAsiaTheme="minorEastAsia"/>
          <w:b/>
          <w:sz w:val="24"/>
        </w:rPr>
        <w:t xml:space="preserve"> </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③项目组织实施方案（包括分包方案、项目工期、确保项目供货的措施或方案、项目实施进度安排、项目实施人员及项目负责人的资质、类似经验及社保证明等）；</w:t>
      </w:r>
    </w:p>
    <w:p>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8"/>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8"/>
        <w:widowControl/>
        <w:adjustRightInd w:val="0"/>
        <w:snapToGrid w:val="0"/>
        <w:spacing w:line="360" w:lineRule="auto"/>
        <w:ind w:firstLine="480" w:firstLineChars="200"/>
        <w:rPr>
          <w:sz w:val="24"/>
        </w:rPr>
      </w:pPr>
      <w:r>
        <w:rPr>
          <w:rFonts w:hint="eastAsia"/>
          <w:sz w:val="24"/>
        </w:rPr>
        <w:t>②技术需求响应表；</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rPr>
        <w:t>；</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7"/>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3"/>
        </w:numPr>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发布中标结果公告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asciiTheme="minorEastAsia" w:hAnsiTheme="minorEastAsia" w:eastAsiaTheme="minorEastAsia"/>
          <w:kern w:val="0"/>
          <w:sz w:val="24"/>
        </w:rPr>
        <w:t>期为1个工</w:t>
      </w:r>
      <w:r>
        <w:rPr>
          <w:sz w:val="24"/>
        </w:rPr>
        <w:t>作日</w:t>
      </w:r>
      <w:r>
        <w:rPr>
          <w:rFonts w:hint="eastAsia" w:ascii="宋体" w:hAnsi="宋体"/>
          <w:kern w:val="0"/>
          <w:sz w:val="24"/>
        </w:rPr>
        <w:t>。</w:t>
      </w:r>
    </w:p>
    <w:p>
      <w:pPr>
        <w:pStyle w:val="9"/>
        <w:numPr>
          <w:ilvl w:val="0"/>
          <w:numId w:val="3"/>
        </w:numPr>
        <w:spacing w:line="360" w:lineRule="auto"/>
        <w:ind w:firstLine="482" w:firstLineChars="200"/>
        <w:jc w:val="both"/>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发放中标通知书</w:t>
      </w:r>
    </w:p>
    <w:p>
      <w:pPr>
        <w:pStyle w:val="9"/>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7"/>
        <w:spacing w:before="0" w:beforeAutospacing="0" w:after="0" w:afterAutospacing="0" w:line="360" w:lineRule="auto"/>
        <w:ind w:firstLine="480" w:firstLineChars="200"/>
        <w:jc w:val="both"/>
        <w:rPr>
          <w:rFonts w:hint="default"/>
        </w:rPr>
      </w:pPr>
      <w:r>
        <w:t>3.中标人无故拖延、拒签合同的，将取消中标资格。</w:t>
      </w:r>
    </w:p>
    <w:p>
      <w:pPr>
        <w:pStyle w:val="17"/>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第三章 招标需求</w:t>
      </w:r>
      <w:bookmarkEnd w:id="3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考试机房改造建设</w:t>
            </w:r>
          </w:p>
        </w:tc>
        <w:tc>
          <w:tcPr>
            <w:tcW w:w="1991"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114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600</w:t>
            </w:r>
          </w:p>
        </w:tc>
        <w:tc>
          <w:tcPr>
            <w:tcW w:w="120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600</w:t>
            </w:r>
          </w:p>
        </w:tc>
      </w:tr>
    </w:tbl>
    <w:p>
      <w:pPr>
        <w:tabs>
          <w:tab w:val="left" w:pos="8280"/>
        </w:tabs>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二、技术需求</w:t>
      </w:r>
    </w:p>
    <w:p>
      <w:pPr>
        <w:pStyle w:val="8"/>
        <w:spacing w:line="360" w:lineRule="auto"/>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（一）建设目标</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采购人处计算机机房门类众多、数量庞大、资源分散，且硬件设备数量巨大、品牌型号不一、性能差异明显，应用软件种类繁多、配置要求各异、使用需求多样，导致实验室管理维护、共建共享难度大，运行成本高，利用效率低，难以实现机房集中、灵活与高效管理服务。通过本次考试机房建设，需实现机房软硬件设施的大幅提升，满足学校日常教学、实训和考试的实际需要。本项目建设主要基于以下几点建设目标：</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1.构建集中统一的机房管理平台，消除管理孤岛</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拟构建集中统一的终端桌面部署、管理和维护平台，实现机房统一管理、全面开放、资源共享。达到管理的集中化和服务内容多样化、开放化的有机统一，提高机房及机房设备的使用效率，从而更好的服务于教学和科研活动。</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2.实现系统及应用环境的快速搭建和部署</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计算机机房是进行各项教学、实训、考试等活动的重要场所，基本上课时安排十分紧凑。而机房搭建各种不同的系统软件环境需要占用大量的时间，需要机房停止使用才能进行搭建和部署，在机房课程安排特别紧张的情况下，这个矛盾十分突出，严重影响机房教学的正常开放。通过本项目建设，拟实现计算机系统环境和应用的快速搭建和部署，以减少停机停课的影响，从而保证教学任务的顺利进行，提高机房使用效率。</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3.构建开放实训环境，满足系统及软件环境的多样化需求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传统模式下，机房管理员需要花费大量的时间和精力，在机房安装和部署多操作系统及软件应用环境，且要求各个系统及教学环境相互独立，互不干扰，便于学生可以精力集中在单纯的使用环境中。本项目的建设力图实现允许每个终端安装不同的软件，像独立的个人计算机一样具有个性化特征，从而满足多种教学实训需求，为学生提供全面开放的计算机实训环境，提高学生的各种技能，以适应新形势的发展。</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4.满足各类考试和培训要求，支持搭建和部署各类应用环境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随着信息技术的不断发展，上机考试的优势正在不断凸显，这几年越来越多的社会考试正朝着机考的方向发展。采购人处承接各类上机考试数量较多，如计算机等级考试、注册会计师考试、银行业专业资格考试、卫生系统人机对话考试等，对计算机软硬件配置的要求也不尽相同。本项目建设需满足绝大部分考试的相关要求，支持本机存储数据，支持对网络访问、USB 存储端口等进行限制或禁用，支持系统开放模式。</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5.实现IP地址及计算机名的自动修改</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本项目需实现云终端计算机名称和IP地址的自动修改，并实现教学用主要应用软件的批量注册激活，从而减轻日常维护工作量。</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考试机房需承担以下功能需求：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（1）承载教师和学生日常教学上课使用的编程、剪辑、制图等软件系统；</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（2）承载考试软件系统的正常运行，考试时保障系统稳定性与流畅性；</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（3）通过制定桌面模版的方式，打造具有教学针对性的标准桌面；</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（4）可通过统一的管理界面管理系统资源、用户账号、桌面权限等；</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（5）系统需支持互联网终端接入桌面云需求；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（6）系统需支持安全架构设计，具有完善的安全防护能力；</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（7）系统支持高可用性、动态迁移等可靠性设计；</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（8）系统支持通过扩容存储与计算资源实现用户平滑扩容。</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（二）项目需要执行的标准、规范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 GB50174-93，《电子计算机机房设计规范》；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 GB/T 2887-2000，《电子计算机场地通用规范》；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 GB9361-88，《计算机场地安全要求》；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 SJ/T30003-93，《电子计算机机房工程施工及验收规范》。</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（三）采购内容一览表</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本项目建设内容主要包括桌面云机房建设23个（终端共计1210个）、普通计算机机房建设3个（终端共计155个）。</w:t>
      </w:r>
    </w:p>
    <w:tbl>
      <w:tblPr>
        <w:tblStyle w:val="22"/>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587"/>
        <w:gridCol w:w="807"/>
        <w:gridCol w:w="862"/>
        <w:gridCol w:w="1255"/>
        <w:gridCol w:w="124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序号</w:t>
            </w:r>
          </w:p>
        </w:tc>
        <w:tc>
          <w:tcPr>
            <w:tcW w:w="2587"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采购内容</w:t>
            </w:r>
          </w:p>
        </w:tc>
        <w:tc>
          <w:tcPr>
            <w:tcW w:w="807"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数量</w:t>
            </w:r>
          </w:p>
        </w:tc>
        <w:tc>
          <w:tcPr>
            <w:tcW w:w="862"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单位</w:t>
            </w:r>
          </w:p>
        </w:tc>
        <w:tc>
          <w:tcPr>
            <w:tcW w:w="125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是否为核心产品</w:t>
            </w:r>
          </w:p>
        </w:tc>
        <w:tc>
          <w:tcPr>
            <w:tcW w:w="124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是否为主要产品</w:t>
            </w:r>
          </w:p>
        </w:tc>
        <w:tc>
          <w:tcPr>
            <w:tcW w:w="1080"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1</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云桌面服务器</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2</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云桌面计算平台</w:t>
            </w:r>
          </w:p>
        </w:tc>
        <w:tc>
          <w:tcPr>
            <w:tcW w:w="807" w:type="dxa"/>
            <w:vAlign w:val="center"/>
          </w:tcPr>
          <w:p>
            <w:pPr>
              <w:jc w:val="center"/>
              <w:rPr>
                <w:rFonts w:ascii="宋体" w:hAnsi="宋体" w:cs="宋体"/>
                <w:bCs/>
                <w:kern w:val="0"/>
                <w:sz w:val="24"/>
              </w:rPr>
            </w:pPr>
            <w:r>
              <w:rPr>
                <w:rFonts w:hint="eastAsia" w:ascii="宋体" w:hAnsi="宋体" w:cs="宋体"/>
                <w:bCs/>
                <w:kern w:val="0"/>
                <w:sz w:val="24"/>
              </w:rPr>
              <w:t>4</w:t>
            </w:r>
          </w:p>
        </w:tc>
        <w:tc>
          <w:tcPr>
            <w:tcW w:w="862" w:type="dxa"/>
            <w:vAlign w:val="center"/>
          </w:tcPr>
          <w:p>
            <w:pPr>
              <w:jc w:val="center"/>
              <w:rPr>
                <w:rFonts w:ascii="宋体" w:hAnsi="宋体" w:cs="宋体"/>
                <w:bCs/>
                <w:kern w:val="0"/>
                <w:sz w:val="24"/>
              </w:rPr>
            </w:pPr>
            <w:r>
              <w:rPr>
                <w:rFonts w:hint="eastAsia" w:ascii="宋体" w:hAnsi="宋体" w:cs="宋体"/>
                <w:bCs/>
                <w:kern w:val="0"/>
                <w:sz w:val="24"/>
              </w:rPr>
              <w:t>个</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3</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IDV桌面云终端</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1210</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4</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终端授权资源</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1210</w:t>
            </w:r>
          </w:p>
        </w:tc>
        <w:tc>
          <w:tcPr>
            <w:tcW w:w="862" w:type="dxa"/>
            <w:vAlign w:val="center"/>
          </w:tcPr>
          <w:p>
            <w:pPr>
              <w:jc w:val="center"/>
              <w:rPr>
                <w:rFonts w:ascii="宋体" w:hAnsi="宋体" w:cs="宋体"/>
                <w:bCs/>
                <w:kern w:val="0"/>
                <w:sz w:val="24"/>
              </w:rPr>
            </w:pPr>
            <w:r>
              <w:rPr>
                <w:rFonts w:hint="eastAsia" w:ascii="宋体" w:hAnsi="宋体" w:cs="宋体"/>
                <w:bCs/>
                <w:kern w:val="0"/>
                <w:sz w:val="24"/>
              </w:rPr>
              <w:t>个</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5</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教学管理软件</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23</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套</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6</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云桌面服务中心平台</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套</w:t>
            </w:r>
          </w:p>
        </w:tc>
        <w:tc>
          <w:tcPr>
            <w:tcW w:w="125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7</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核心交换机</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否</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8</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24口交换机</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26</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否</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9</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48口交换机</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26</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否</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10</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台式计算机</w:t>
            </w:r>
          </w:p>
        </w:tc>
        <w:tc>
          <w:tcPr>
            <w:tcW w:w="807" w:type="dxa"/>
            <w:vAlign w:val="center"/>
          </w:tcPr>
          <w:p>
            <w:pPr>
              <w:jc w:val="center"/>
              <w:rPr>
                <w:rFonts w:ascii="宋体" w:hAnsi="宋体" w:cs="宋体"/>
                <w:bCs/>
                <w:kern w:val="0"/>
                <w:sz w:val="24"/>
              </w:rPr>
            </w:pPr>
            <w:r>
              <w:rPr>
                <w:rFonts w:hint="eastAsia" w:ascii="宋体" w:hAnsi="宋体" w:cs="宋体"/>
                <w:bCs/>
                <w:kern w:val="0"/>
                <w:sz w:val="24"/>
              </w:rPr>
              <w:t>155</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11</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液晶显示器</w:t>
            </w:r>
          </w:p>
        </w:tc>
        <w:tc>
          <w:tcPr>
            <w:tcW w:w="807" w:type="dxa"/>
            <w:vAlign w:val="center"/>
          </w:tcPr>
          <w:p>
            <w:pPr>
              <w:jc w:val="center"/>
              <w:rPr>
                <w:rFonts w:ascii="宋体" w:hAnsi="宋体" w:cs="宋体"/>
                <w:bCs/>
                <w:kern w:val="0"/>
                <w:sz w:val="24"/>
              </w:rPr>
            </w:pPr>
            <w:r>
              <w:rPr>
                <w:rFonts w:hint="eastAsia" w:ascii="宋体" w:hAnsi="宋体" w:cs="宋体"/>
                <w:bCs/>
                <w:kern w:val="0"/>
                <w:sz w:val="24"/>
              </w:rPr>
              <w:t>250</w:t>
            </w:r>
          </w:p>
        </w:tc>
        <w:tc>
          <w:tcPr>
            <w:tcW w:w="862" w:type="dxa"/>
            <w:vAlign w:val="center"/>
          </w:tcPr>
          <w:p>
            <w:pPr>
              <w:jc w:val="center"/>
              <w:rPr>
                <w:rFonts w:ascii="宋体" w:hAnsi="宋体" w:cs="宋体"/>
                <w:bCs/>
                <w:kern w:val="0"/>
                <w:sz w:val="24"/>
              </w:rPr>
            </w:pPr>
            <w:r>
              <w:rPr>
                <w:rFonts w:hint="eastAsia" w:ascii="宋体" w:hAnsi="宋体" w:cs="宋体"/>
                <w:bCs/>
                <w:kern w:val="0"/>
                <w:sz w:val="24"/>
              </w:rPr>
              <w:t>台</w:t>
            </w:r>
          </w:p>
        </w:tc>
        <w:tc>
          <w:tcPr>
            <w:tcW w:w="1255" w:type="dxa"/>
            <w:vAlign w:val="center"/>
          </w:tcPr>
          <w:p>
            <w:pPr>
              <w:jc w:val="center"/>
              <w:rPr>
                <w:rFonts w:ascii="宋体" w:hAnsi="宋体" w:cs="宋体"/>
                <w:bCs/>
                <w:kern w:val="0"/>
                <w:sz w:val="24"/>
              </w:rPr>
            </w:pPr>
          </w:p>
        </w:tc>
        <w:tc>
          <w:tcPr>
            <w:tcW w:w="1245" w:type="dxa"/>
            <w:vAlign w:val="center"/>
          </w:tcPr>
          <w:p>
            <w:pPr>
              <w:jc w:val="center"/>
              <w:rPr>
                <w:rFonts w:ascii="宋体" w:hAnsi="宋体" w:cs="宋体"/>
                <w:bCs/>
                <w:kern w:val="0"/>
                <w:sz w:val="24"/>
              </w:rPr>
            </w:pPr>
            <w:r>
              <w:rPr>
                <w:rFonts w:hint="eastAsia" w:ascii="宋体" w:hAnsi="宋体" w:cs="宋体"/>
                <w:bCs/>
                <w:kern w:val="0"/>
                <w:sz w:val="24"/>
              </w:rPr>
              <w:t>否</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bl>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（四）详细技术参数</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1.云桌面服务器（2台）</w:t>
      </w:r>
    </w:p>
    <w:tbl>
      <w:tblPr>
        <w:tblStyle w:val="21"/>
        <w:tblW w:w="9071" w:type="dxa"/>
        <w:jc w:val="center"/>
        <w:tblLayout w:type="fixed"/>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硬件要求</w:t>
            </w:r>
          </w:p>
        </w:tc>
        <w:tc>
          <w:tcPr>
            <w:tcW w:w="7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服务器要求为19英寸工业标准2U机架式服务器，提供4个USB接口，其中USB 3.0≥3个</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★CPU：配置2颗Intel Xeon 处理器，每颗CPU≥16核心32线程，主频≥2.9Ghz</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★内存：服务器提供≥24个内存插槽，配置≥256G内存；为保证后续服务器扩容性，在配置256G内存后，需具备≥16根内存的扩容能力</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具备≥12个前置硬盘盘位，配置≥3*8T 3.5寸 HDD硬盘，配置≥1*240G SSD硬盘，配置≥1*480G SSD硬盘</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网口：提供≥2个千兆电口，≥2个万兆光口，≥1个千兆管理口</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电源：提供2个电源模块，支持1+1电源冗余</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2.云桌面计算平台（4个）</w:t>
      </w:r>
    </w:p>
    <w:tbl>
      <w:tblPr>
        <w:tblStyle w:val="21"/>
        <w:tblW w:w="9071" w:type="dxa"/>
        <w:jc w:val="center"/>
        <w:tblLayout w:type="autofit"/>
        <w:tblCellMar>
          <w:top w:w="0" w:type="dxa"/>
          <w:left w:w="108" w:type="dxa"/>
          <w:bottom w:w="0" w:type="dxa"/>
          <w:right w:w="108" w:type="dxa"/>
        </w:tblCellMar>
      </w:tblPr>
      <w:tblGrid>
        <w:gridCol w:w="1134"/>
        <w:gridCol w:w="5953"/>
        <w:gridCol w:w="1984"/>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5953" w:type="dxa"/>
            <w:tcBorders>
              <w:top w:val="single" w:color="000000" w:sz="4" w:space="0"/>
              <w:left w:val="nil"/>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c>
          <w:tcPr>
            <w:tcW w:w="1984" w:type="dxa"/>
            <w:tcBorders>
              <w:top w:val="single" w:color="000000" w:sz="4" w:space="0"/>
              <w:left w:val="nil"/>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产品架构</w:t>
            </w:r>
          </w:p>
        </w:tc>
        <w:tc>
          <w:tcPr>
            <w:tcW w:w="5953"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管理平台采用B/S架构，中文图形化操作界面</w:t>
            </w:r>
          </w:p>
        </w:tc>
        <w:tc>
          <w:tcPr>
            <w:tcW w:w="1984"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在统一界面下实现对计算、存储、网络等功能的配置和操作</w:t>
            </w:r>
          </w:p>
        </w:tc>
        <w:tc>
          <w:tcPr>
            <w:tcW w:w="1984" w:type="dxa"/>
            <w:tcBorders>
              <w:top w:val="single" w:color="000000" w:sz="4" w:space="0"/>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要求</w:t>
            </w:r>
            <w:r>
              <w:rPr>
                <w:rFonts w:hint="eastAsia" w:ascii="宋体" w:hAnsi="宋体" w:cs="宋体"/>
                <w:kern w:val="0"/>
                <w:szCs w:val="21"/>
              </w:rPr>
              <w:t>采用超融合架构，</w:t>
            </w:r>
            <w:r>
              <w:rPr>
                <w:rFonts w:hint="eastAsia" w:ascii="宋体" w:hAnsi="宋体" w:cs="宋体"/>
                <w:color w:val="000000"/>
                <w:kern w:val="0"/>
                <w:szCs w:val="21"/>
              </w:rPr>
              <w:t>在同一管理平台内至少包含计算资源、存储资源、网络资源等功能管理模块。所有功能模块需要通过一个厂家的一套软件实现超融合部署，不可以使用多套软件或产品叠加实现</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计算资源</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能够为上层业务平台提供统一的计算、存储、网络资源调度，形成基础计算平台支撑，具有显著的横向扩展能力</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支持将服务器主机节点添加为计算集群，能够在集群中添加、移除服务器主机节点</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终端管理</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通过平台可以实现终端的统筹管理，统管查看终端开关机状态，统一管理与协助</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平台不仅可以接入本次采购的桌面云，还可以接入其他机房的电脑，统管查看终端开关机状态，实现一个入口、一个平台统管所有终端</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★为了简化运维体验， 要求管理平台可以对传统PC实现轻量级纳管，除本次云化的1210台终端外还可以纳管至少2000个PC。可以在云桌面管理平台上对纳管的PC进行状态监看（看是否在线）、远程关机、远程协助等功能。要求提供功能界面截图证明及承诺支持传统PC统一纳入平台管理的承诺书，并加盖公章</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网络资源</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支持创建虚拟交换机</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可创建≥64个虚拟机交换机，每个虚拟交换机默认创建256个端口，可根据需要自动创建/删除端口；最多可创建≥16384个端口‬‬</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日志管理</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支持查询、下载系统管理员的操作日志，日志包括：管理员账号、IP地址，操作时间、操作内容</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配置要求</w:t>
            </w:r>
          </w:p>
        </w:tc>
        <w:tc>
          <w:tcPr>
            <w:tcW w:w="5953"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★要求实配4个CPU授权，以满足所有服务器的使用需求</w:t>
            </w:r>
          </w:p>
        </w:tc>
        <w:tc>
          <w:tcPr>
            <w:tcW w:w="1984" w:type="dxa"/>
            <w:tcBorders>
              <w:top w:val="nil"/>
              <w:left w:val="nil"/>
              <w:bottom w:val="single" w:color="000000" w:sz="4" w:space="0"/>
              <w:right w:val="single" w:color="000000" w:sz="4" w:space="0"/>
            </w:tcBorders>
            <w:shd w:val="clear" w:color="000000" w:fill="FFFFFF"/>
            <w:vAlign w:val="center"/>
          </w:tcPr>
          <w:p>
            <w:pPr>
              <w:widowControl/>
              <w:rPr>
                <w:rFonts w:ascii="宋体" w:hAnsi="宋体" w:cs="宋体"/>
                <w:color w:val="000000"/>
                <w:kern w:val="0"/>
                <w:szCs w:val="21"/>
              </w:rPr>
            </w:pPr>
          </w:p>
        </w:tc>
      </w:tr>
    </w:tbl>
    <w:p>
      <w:pPr>
        <w:tabs>
          <w:tab w:val="left" w:pos="0"/>
        </w:tabs>
        <w:spacing w:line="360" w:lineRule="auto"/>
        <w:ind w:firstLine="480"/>
        <w:rPr>
          <w:rFonts w:ascii="宋体" w:hAnsi="宋体" w:cs="宋体"/>
          <w:b/>
          <w:bCs/>
          <w:kern w:val="0"/>
          <w:szCs w:val="21"/>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3.IDV桌面云终端（1210台，核心产品）</w:t>
      </w:r>
    </w:p>
    <w:tbl>
      <w:tblPr>
        <w:tblStyle w:val="21"/>
        <w:tblW w:w="9071" w:type="dxa"/>
        <w:jc w:val="center"/>
        <w:tblLayout w:type="autofit"/>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000000" w:sz="4" w:space="0"/>
              <w:left w:val="nil"/>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right w:val="single" w:color="000000"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硬件规格</w:t>
            </w:r>
          </w:p>
        </w:tc>
        <w:tc>
          <w:tcPr>
            <w:tcW w:w="79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为保证教学软件及考试系统的兼容效果和稳定运行，所有终端均需采用x86架构，且为国内自主品牌。</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▲配置≥Intel第十代i3四核八线程处理器（处理器主频≥3.6GHz）；内存≥8GB，</w:t>
            </w:r>
            <w:r>
              <w:rPr>
                <w:rFonts w:hint="eastAsia" w:ascii="宋体" w:hAnsi="宋体" w:cs="宋体"/>
                <w:kern w:val="0"/>
                <w:szCs w:val="21"/>
              </w:rPr>
              <w:t>显卡≥Intel UHD 630</w:t>
            </w:r>
            <w:r>
              <w:rPr>
                <w:rFonts w:hint="eastAsia" w:ascii="宋体" w:hAnsi="宋体" w:cs="宋体"/>
                <w:color w:val="000000"/>
                <w:kern w:val="0"/>
                <w:szCs w:val="21"/>
              </w:rPr>
              <w:t>；本地存储≥256 GB SSD；</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USB接口≥8个（包含≥4个USB 3.0接口），≥1个千兆网口，≥1个VGA接口，≥1个HDMI接口，≥1对音频输入输出接口</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USB键盘鼠标</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产品资质</w:t>
            </w:r>
          </w:p>
        </w:tc>
        <w:tc>
          <w:tcPr>
            <w:tcW w:w="7937"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与云桌面服务器同一品牌，要求提供官网截图（含链接）</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投标所选终端需提供3C证书及节能证书。提供证书扫描件，需加盖印章。</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4.终端授权资源（1210个）</w:t>
      </w:r>
    </w:p>
    <w:tbl>
      <w:tblPr>
        <w:tblStyle w:val="21"/>
        <w:tblW w:w="9071" w:type="dxa"/>
        <w:jc w:val="center"/>
        <w:tblLayout w:type="autofit"/>
        <w:tblCellMar>
          <w:top w:w="0" w:type="dxa"/>
          <w:left w:w="108" w:type="dxa"/>
          <w:bottom w:w="0" w:type="dxa"/>
          <w:right w:w="108" w:type="dxa"/>
        </w:tblCellMar>
      </w:tblPr>
      <w:tblGrid>
        <w:gridCol w:w="1134"/>
        <w:gridCol w:w="7937"/>
      </w:tblGrid>
      <w:tr>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000000" w:sz="4" w:space="0"/>
              <w:left w:val="nil"/>
              <w:bottom w:val="single" w:color="000000" w:sz="4" w:space="0"/>
              <w:right w:val="single" w:color="000000" w:sz="4" w:space="0"/>
            </w:tcBorders>
            <w:shd w:val="clear" w:color="000000"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产品架构</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采用BS软件架构，中文图形化管理页面</w:t>
            </w:r>
          </w:p>
        </w:tc>
      </w:tr>
      <w:tr>
        <w:tblPrEx>
          <w:tblCellMar>
            <w:top w:w="0" w:type="dxa"/>
            <w:left w:w="108" w:type="dxa"/>
            <w:bottom w:w="0" w:type="dxa"/>
            <w:right w:w="108" w:type="dxa"/>
          </w:tblCellMar>
        </w:tblPrEx>
        <w:trPr>
          <w:trHeight w:val="6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为了方便管理和使用，要求管理平台至少要包括镜像管理、教室管理、用户管理等关键功能模块</w:t>
            </w:r>
          </w:p>
        </w:tc>
      </w:tr>
      <w:tr>
        <w:tblPrEx>
          <w:tblCellMar>
            <w:top w:w="0" w:type="dxa"/>
            <w:left w:w="108" w:type="dxa"/>
            <w:bottom w:w="0" w:type="dxa"/>
            <w:right w:w="108" w:type="dxa"/>
          </w:tblCellMar>
        </w:tblPrEx>
        <w:trPr>
          <w:trHeight w:val="6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为了方便后期的扩展性，要求单台服务器即可支持对VDI、TCI/VOI等终端的统一纳管，要求在管理页面首页即可查看VDI、TCI/VOI等终端的使用情况</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镜像管理</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支持通过上传操作系统ISO文件来制作生成镜像</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教室管理</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提供虚拟教室功能，能够按照教室规模创建不同的虚拟教室，每个虚拟教室独立管理和配置，在云终端控制器管理页面能够实现对独立教室的学生终端、教师云终端分别进行配置和管理</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用户管理</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支持用户进行的创建、修改、查询、删除的操作</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支持分级分权管理，可以按需自定义不同角色用户对应的管理权限：</w:t>
            </w:r>
            <w:r>
              <w:rPr>
                <w:rFonts w:hint="eastAsia" w:ascii="宋体" w:hAnsi="宋体" w:cs="宋体"/>
                <w:color w:val="000000"/>
                <w:kern w:val="0"/>
                <w:szCs w:val="21"/>
              </w:rPr>
              <w:br w:type="textWrapping"/>
            </w:r>
            <w:r>
              <w:rPr>
                <w:rFonts w:hint="eastAsia" w:ascii="宋体" w:hAnsi="宋体" w:cs="宋体"/>
                <w:color w:val="000000"/>
                <w:kern w:val="0"/>
                <w:szCs w:val="21"/>
              </w:rPr>
              <w:t>①可以针对角色指定其可以操作的功能菜单，至少包括镜像管理、教室管理、用户管理、系统设置等权限设置</w:t>
            </w:r>
            <w:r>
              <w:rPr>
                <w:rFonts w:hint="eastAsia" w:ascii="宋体" w:hAnsi="宋体" w:cs="宋体"/>
                <w:color w:val="000000"/>
                <w:kern w:val="0"/>
                <w:szCs w:val="21"/>
              </w:rPr>
              <w:br w:type="textWrapping"/>
            </w:r>
            <w:r>
              <w:rPr>
                <w:rFonts w:hint="eastAsia" w:ascii="宋体" w:hAnsi="宋体" w:cs="宋体"/>
                <w:color w:val="000000"/>
                <w:kern w:val="0"/>
                <w:szCs w:val="21"/>
              </w:rPr>
              <w:t>②可以针对角色指定其可以操作的具体功能按钮，至少包括镜像模版的删除、创建、复制、快照管理等权限设置</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000000" w:sz="4" w:space="0"/>
              <w:left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便捷管理</w:t>
            </w:r>
          </w:p>
        </w:tc>
        <w:tc>
          <w:tcPr>
            <w:tcW w:w="7937" w:type="dxa"/>
            <w:tcBorders>
              <w:top w:val="single" w:color="000000" w:sz="4" w:space="0"/>
              <w:left w:val="nil"/>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支持自定义web登录页面，用户可以根据自己的需求使用新的logo</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为了管理的便捷性，要求管理员可以通过服务器集群的web管理平台</w:t>
            </w:r>
            <w:r>
              <w:rPr>
                <w:rFonts w:hint="eastAsia" w:ascii="宋体" w:hAnsi="宋体" w:cs="宋体"/>
                <w:kern w:val="0"/>
                <w:szCs w:val="21"/>
              </w:rPr>
              <w:t>唤醒远程不同网段的终端，</w:t>
            </w:r>
            <w:r>
              <w:rPr>
                <w:rFonts w:hint="eastAsia" w:ascii="宋体" w:hAnsi="宋体" w:cs="宋体"/>
                <w:color w:val="000000"/>
                <w:kern w:val="0"/>
                <w:szCs w:val="21"/>
              </w:rPr>
              <w:t>中间无需使用跳板机转发，整个过程一键操作无需在web管理平台反复启动和关闭虚拟机</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为满足操作系统、安卓编程等课程的使用需求，要求支持嵌套虚拟化功能，可与在VDI、TCI/VOI桌面上均可以正常使用VMware、android studio等需要运行虚拟机的软件</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其他要求</w:t>
            </w:r>
          </w:p>
        </w:tc>
        <w:tc>
          <w:tcPr>
            <w:tcW w:w="7937"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要求提供对应型号的软件著作权证书</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配置要求</w:t>
            </w:r>
          </w:p>
        </w:tc>
        <w:tc>
          <w:tcPr>
            <w:tcW w:w="79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kern w:val="0"/>
                <w:szCs w:val="21"/>
              </w:rPr>
              <w:t>★要求配置相应数量产品使用授权，可以同时使用1210个IDV/VDI/TCI/VOI桌面</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5.教学管理软件（23套）</w:t>
      </w:r>
    </w:p>
    <w:tbl>
      <w:tblPr>
        <w:tblStyle w:val="21"/>
        <w:tblW w:w="9071" w:type="dxa"/>
        <w:jc w:val="center"/>
        <w:tblLayout w:type="autofit"/>
        <w:tblCellMar>
          <w:top w:w="0" w:type="dxa"/>
          <w:left w:w="108" w:type="dxa"/>
          <w:bottom w:w="0" w:type="dxa"/>
          <w:right w:w="108" w:type="dxa"/>
        </w:tblCellMar>
      </w:tblPr>
      <w:tblGrid>
        <w:gridCol w:w="1134"/>
        <w:gridCol w:w="5953"/>
        <w:gridCol w:w="1984"/>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595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c>
          <w:tcPr>
            <w:tcW w:w="198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680" w:hRule="atLeast"/>
          <w:jc w:val="center"/>
        </w:trPr>
        <w:tc>
          <w:tcPr>
            <w:tcW w:w="1134"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功能项</w:t>
            </w:r>
          </w:p>
        </w:tc>
        <w:tc>
          <w:tcPr>
            <w:tcW w:w="5953" w:type="dxa"/>
            <w:tcBorders>
              <w:top w:val="single" w:color="auto"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应对不同的教学需求，支持通过教学管理软件对终端一键切换不同的教学镜像</w:t>
            </w:r>
          </w:p>
        </w:tc>
        <w:tc>
          <w:tcPr>
            <w:tcW w:w="1984" w:type="dxa"/>
            <w:tcBorders>
              <w:top w:val="single" w:color="auto"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通过教学管理软件，一键关闭云终端后，所有终端自动关闭（虚拟机与物理终端同时关闭）；通过教学管理软件，一键开启所有云终端后，终端自动启动并进入对应的课程镜像桌面；</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支持老师对单一、部分、全体学生进行黑屏操作，黑屏状态下，学生的机器被锁定，要求提供学生锁屏界面截图并加盖投标专用章。</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保证正常教学使用，教师机和学生终端完成正常开机，在教师机可以实现屏幕广播；在老师屏幕广播时，学生可以根据老师的演示同步进行学习操作，在屏幕广播的同时，老师可以选择是否广播声音给学生，针对此功能需提供功能截图并加盖投标专用章。</w:t>
            </w:r>
          </w:p>
        </w:tc>
        <w:tc>
          <w:tcPr>
            <w:tcW w:w="1984"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支持通过教学管理软件实现一键禁止任意学生上网，禁网同时需要支持屏幕广播、屏幕查看等正常教学应用</w:t>
            </w:r>
          </w:p>
        </w:tc>
        <w:tc>
          <w:tcPr>
            <w:tcW w:w="1984"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产品演示内容，不计入负偏离扣分</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nil"/>
              <w:left w:val="nil"/>
              <w:right w:val="single" w:color="000000" w:sz="4" w:space="0"/>
            </w:tcBorders>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支持老师在个人空间选择要布置的班级和年级，可以上传附件。针对此功能需提供功能截图并加盖投标专用章。</w:t>
            </w:r>
          </w:p>
        </w:tc>
        <w:tc>
          <w:tcPr>
            <w:tcW w:w="1984" w:type="dxa"/>
            <w:tcBorders>
              <w:top w:val="nil"/>
              <w:left w:val="nil"/>
              <w:right w:val="single" w:color="000000" w:sz="4" w:space="0"/>
            </w:tcBorders>
            <w:shd w:val="clear" w:color="auto" w:fill="auto"/>
            <w:vAlign w:val="center"/>
          </w:tcPr>
          <w:p>
            <w:pPr>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老师将学生作业标记为公开作业，学生可以通过学生端软件查看本年级所有老师标记的公开作业。</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nil"/>
              <w:left w:val="nil"/>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分组教学：支持老师对学生进行分组，分组时老师可以在软件界面根据学生姓名手动分组也可以随机分组，组名可以由组长和老师重命名。</w:t>
            </w:r>
          </w:p>
        </w:tc>
        <w:tc>
          <w:tcPr>
            <w:tcW w:w="1984" w:type="dxa"/>
            <w:tcBorders>
              <w:top w:val="nil"/>
              <w:left w:val="nil"/>
              <w:right w:val="single" w:color="000000"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right w:val="single" w:color="000000" w:sz="4" w:space="0"/>
            </w:tcBorders>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随堂测试：为方便老师快速出题，支持老师通过教师端导入word、pdf、txt等题库文件。老师可以通过全班答题、抢答、随机答题多种方式发起测试。</w:t>
            </w:r>
          </w:p>
        </w:tc>
        <w:tc>
          <w:tcPr>
            <w:tcW w:w="1984" w:type="dxa"/>
            <w:tcBorders>
              <w:top w:val="single" w:color="000000" w:sz="4" w:space="0"/>
              <w:left w:val="nil"/>
              <w:right w:val="single" w:color="000000" w:sz="4" w:space="0"/>
            </w:tcBorders>
            <w:shd w:val="clear" w:color="auto" w:fill="auto"/>
            <w:vAlign w:val="center"/>
          </w:tcPr>
          <w:p>
            <w:pPr>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随堂测试出题可支持单选、多选、判断、填空、问答等多种课堂测试，对于客观题老师可以设置答题卡录入正确答案并赋分，方便快速评分批改。</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auto"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kern w:val="0"/>
                <w:szCs w:val="21"/>
              </w:rPr>
              <w:t>学生奖励机制：学生在教学活动中可以获得虚拟积分，学生和老师端可以查看积分排名。</w:t>
            </w:r>
          </w:p>
        </w:tc>
        <w:tc>
          <w:tcPr>
            <w:tcW w:w="1984" w:type="dxa"/>
            <w:tcBorders>
              <w:top w:val="single" w:color="auto" w:sz="4" w:space="0"/>
              <w:left w:val="nil"/>
              <w:bottom w:val="single" w:color="000000" w:sz="4" w:space="0"/>
              <w:right w:val="single" w:color="000000" w:sz="4" w:space="0"/>
            </w:tcBorders>
            <w:shd w:val="clear" w:color="auto" w:fill="auto"/>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5953"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教学管理软件必须为自主研发，非OEM 产品，要求提供中华人民共和国国家版权局颁发的软件著作权登记证证书扫描件。</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Cs w:val="21"/>
              </w:rPr>
            </w:pP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6.云桌面服务中心平台（1套，核心产品）</w:t>
      </w:r>
    </w:p>
    <w:tbl>
      <w:tblPr>
        <w:tblStyle w:val="2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使用情况总览</w:t>
            </w:r>
          </w:p>
        </w:tc>
        <w:tc>
          <w:tcPr>
            <w:tcW w:w="79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用户登录后可以查看到学校机房固资情况，包括服务器台数、终端台数等，可以查看下属单位分布及服务器、终端在线数量、在线率，针对此功能需提供功能截图并加盖投标专用章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数据统计</w:t>
            </w:r>
          </w:p>
        </w:tc>
        <w:tc>
          <w:tcPr>
            <w:tcW w:w="79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为了帮助管理者了解下属单位云桌面使用情况，支持以图形化方式对学校机房使用时长统计</w:t>
            </w:r>
            <w:r>
              <w:rPr>
                <w:rFonts w:hint="eastAsia" w:ascii="宋体" w:hAnsi="宋体" w:cs="宋体"/>
                <w:kern w:val="0"/>
                <w:szCs w:val="21"/>
              </w:rPr>
              <w:t>、软件使用次数统计</w:t>
            </w:r>
            <w:r>
              <w:rPr>
                <w:rFonts w:hint="eastAsia" w:ascii="宋体" w:hAnsi="宋体" w:cs="宋体"/>
                <w:color w:val="000000"/>
                <w:kern w:val="0"/>
                <w:szCs w:val="21"/>
              </w:rPr>
              <w:t>，针对此功能需提供功能截图并加盖投标专用章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tcBorders>
              <w:left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单位使用详情</w:t>
            </w:r>
          </w:p>
        </w:tc>
        <w:tc>
          <w:tcPr>
            <w:tcW w:w="79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★用户可以查看单个机房的使用详情，包括使用时长、常用软件排名，针对此功能需提供功能截图并加盖投标专用章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34" w:type="dxa"/>
            <w:tcBorders>
              <w:left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告警管理</w:t>
            </w:r>
          </w:p>
        </w:tc>
        <w:tc>
          <w:tcPr>
            <w:tcW w:w="79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用户可以在服务中心查看到学校机房设备是否出现故障，一旦出现故障后用户可以看到上报的故障告警，告警包括单位名称、设备型号、告警内容；用户可对告警进行故障上报操作</w:t>
            </w:r>
          </w:p>
        </w:tc>
      </w:tr>
    </w:tbl>
    <w:p>
      <w:pPr>
        <w:pStyle w:val="6"/>
        <w:tabs>
          <w:tab w:val="left" w:pos="900"/>
          <w:tab w:val="clear" w:pos="8280"/>
        </w:tabs>
        <w:spacing w:before="0" w:after="0" w:line="360" w:lineRule="auto"/>
        <w:rPr>
          <w:rFonts w:ascii="宋体" w:hAnsi="宋体" w:cs="宋体"/>
          <w:b/>
          <w:bCs w:val="0"/>
          <w:kern w:val="0"/>
          <w:sz w:val="24"/>
          <w:szCs w:val="24"/>
        </w:rPr>
      </w:pPr>
    </w:p>
    <w:p>
      <w:pPr>
        <w:pStyle w:val="6"/>
        <w:tabs>
          <w:tab w:val="left" w:pos="900"/>
          <w:tab w:val="clear" w:pos="8280"/>
        </w:tabs>
        <w:spacing w:before="0" w:after="0" w:line="360" w:lineRule="auto"/>
        <w:ind w:firstLine="482" w:firstLineChars="200"/>
        <w:rPr>
          <w:rFonts w:ascii="宋体" w:hAnsi="宋体" w:cs="宋体"/>
          <w:b/>
          <w:bCs w:val="0"/>
          <w:sz w:val="24"/>
          <w:szCs w:val="24"/>
        </w:rPr>
      </w:pPr>
      <w:r>
        <w:rPr>
          <w:rFonts w:hint="eastAsia" w:ascii="宋体" w:hAnsi="宋体" w:cs="宋体"/>
          <w:b/>
          <w:bCs w:val="0"/>
          <w:kern w:val="0"/>
          <w:sz w:val="24"/>
          <w:szCs w:val="24"/>
        </w:rPr>
        <w:t>7.核心交换机（1台）</w:t>
      </w:r>
    </w:p>
    <w:tbl>
      <w:tblPr>
        <w:tblStyle w:val="21"/>
        <w:tblW w:w="9071" w:type="dxa"/>
        <w:jc w:val="center"/>
        <w:tblLayout w:type="autofit"/>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硬件要求</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★交换容量≥168Tbps，包转发率≥36000Mpps，此次实配双引擎，冗余电源，千兆以上以太网电口和光口数量≥96个，其中万兆以太网光口≥8个 </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主控引擎与业务板卡完全物理分离, 采用全分布式转发处理架构，独立主控引擎插槽≥2个，独立业务插槽数≥3个；主控引擎故障情况下，不能影响整机转发能力</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color w:val="000000"/>
                <w:kern w:val="0"/>
                <w:szCs w:val="21"/>
              </w:rPr>
              <w:t>设备高度≤4U，设备深度≤600mm</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主控引擎支持集成硬件监控功能，能集中监控板卡、风扇、电源、环境。无需单独配置硬件监控板卡，降低整机功耗</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为保障核心设备的安全可靠性，要求所投产品端口浪涌抗扰度≥6KV（即具备6KV的防雷能力）</w:t>
            </w:r>
          </w:p>
        </w:tc>
      </w:tr>
      <w:tr>
        <w:tblPrEx>
          <w:tblCellMar>
            <w:top w:w="0" w:type="dxa"/>
            <w:left w:w="108" w:type="dxa"/>
            <w:bottom w:w="0" w:type="dxa"/>
            <w:right w:w="108" w:type="dxa"/>
          </w:tblCellMar>
        </w:tblPrEx>
        <w:trPr>
          <w:trHeight w:val="680" w:hRule="atLeast"/>
          <w:jc w:val="center"/>
        </w:trPr>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支持大容量硬件表项：MAC≥1M，FIB≥3M，ARP≥256K</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虚拟化技术</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N:1虚拟化：可将2台物理设备虚拟化为1台逻辑设备，虚拟组内设备具备统一的二层及三层转发表项，统一的管理界面，并可实现跨设备链路聚合</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数据中心特性</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支持VXLAN二三层分布式网关，支持EVPN，支持VXLAN双活</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二层功能</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支持IEEE 802.1d(STP)、 802.1w(RSTP)、 802.1s(MSTP)</w:t>
            </w:r>
            <w:r>
              <w:rPr>
                <w:rFonts w:hint="eastAsia" w:ascii="宋体" w:hAnsi="宋体" w:cs="宋体"/>
                <w:color w:val="000000"/>
                <w:kern w:val="0"/>
                <w:szCs w:val="21"/>
              </w:rPr>
              <w:br w:type="textWrapping"/>
            </w:r>
            <w:r>
              <w:rPr>
                <w:rFonts w:hint="eastAsia" w:ascii="宋体" w:hAnsi="宋体" w:cs="宋体"/>
                <w:color w:val="000000"/>
                <w:kern w:val="0"/>
                <w:szCs w:val="21"/>
              </w:rPr>
              <w:t>支持VLAN内端口隔离</w:t>
            </w:r>
            <w:r>
              <w:rPr>
                <w:rFonts w:hint="eastAsia" w:ascii="宋体" w:hAnsi="宋体" w:cs="宋体"/>
                <w:color w:val="000000"/>
                <w:kern w:val="0"/>
                <w:szCs w:val="21"/>
              </w:rPr>
              <w:br w:type="textWrapping"/>
            </w:r>
            <w:r>
              <w:rPr>
                <w:rFonts w:hint="eastAsia" w:ascii="宋体" w:hAnsi="宋体" w:cs="宋体"/>
                <w:color w:val="000000"/>
                <w:kern w:val="0"/>
                <w:szCs w:val="21"/>
              </w:rPr>
              <w:t>支持端口聚合</w:t>
            </w:r>
            <w:r>
              <w:rPr>
                <w:rFonts w:hint="eastAsia" w:ascii="宋体" w:hAnsi="宋体" w:cs="宋体"/>
                <w:color w:val="000000"/>
                <w:kern w:val="0"/>
                <w:szCs w:val="21"/>
              </w:rPr>
              <w:br w:type="textWrapping"/>
            </w:r>
            <w:r>
              <w:rPr>
                <w:rFonts w:hint="eastAsia" w:ascii="宋体" w:hAnsi="宋体" w:cs="宋体"/>
                <w:color w:val="000000"/>
                <w:kern w:val="0"/>
                <w:szCs w:val="21"/>
              </w:rPr>
              <w:t>支持1:1、 N:1、1:N端口镜像，支持流镜像，支持远程端口镜像（RSPAN）</w:t>
            </w:r>
            <w:r>
              <w:rPr>
                <w:rFonts w:hint="eastAsia" w:ascii="宋体" w:hAnsi="宋体" w:cs="宋体"/>
                <w:color w:val="000000"/>
                <w:kern w:val="0"/>
                <w:szCs w:val="21"/>
              </w:rPr>
              <w:br w:type="textWrapping"/>
            </w:r>
            <w:r>
              <w:rPr>
                <w:rFonts w:hint="eastAsia" w:ascii="宋体" w:hAnsi="宋体" w:cs="宋体"/>
                <w:color w:val="000000"/>
                <w:kern w:val="0"/>
                <w:szCs w:val="21"/>
              </w:rPr>
              <w:t>支持DHCP Client、DHCP Server、DHCP Relay</w:t>
            </w:r>
            <w:r>
              <w:rPr>
                <w:rFonts w:hint="eastAsia" w:ascii="宋体" w:hAnsi="宋体" w:cs="宋体"/>
                <w:color w:val="000000"/>
                <w:kern w:val="0"/>
                <w:szCs w:val="21"/>
              </w:rPr>
              <w:br w:type="textWrapping"/>
            </w:r>
            <w:r>
              <w:rPr>
                <w:rFonts w:hint="eastAsia" w:ascii="宋体" w:hAnsi="宋体" w:cs="宋体"/>
                <w:color w:val="000000"/>
                <w:kern w:val="0"/>
                <w:szCs w:val="21"/>
              </w:rPr>
              <w:t>支持Option 82</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IP路由</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支持静态路由、RIP、RIPng、OSPF、OSPFv3、BGP、BGP4+、ISIS、ISISv6</w:t>
            </w:r>
            <w:r>
              <w:rPr>
                <w:rFonts w:hint="eastAsia" w:ascii="宋体" w:hAnsi="宋体" w:cs="宋体"/>
                <w:color w:val="000000"/>
                <w:kern w:val="0"/>
                <w:szCs w:val="21"/>
              </w:rPr>
              <w:br w:type="textWrapping"/>
            </w:r>
            <w:r>
              <w:rPr>
                <w:rFonts w:hint="eastAsia" w:ascii="宋体" w:hAnsi="宋体" w:cs="宋体"/>
                <w:color w:val="000000"/>
                <w:kern w:val="0"/>
                <w:szCs w:val="21"/>
              </w:rPr>
              <w:t>支持路由协议多实例</w:t>
            </w:r>
            <w:r>
              <w:rPr>
                <w:rFonts w:hint="eastAsia" w:ascii="宋体" w:hAnsi="宋体" w:cs="宋体"/>
                <w:color w:val="000000"/>
                <w:kern w:val="0"/>
                <w:szCs w:val="21"/>
              </w:rPr>
              <w:br w:type="textWrapping"/>
            </w:r>
            <w:r>
              <w:rPr>
                <w:rFonts w:hint="eastAsia" w:ascii="宋体" w:hAnsi="宋体" w:cs="宋体"/>
                <w:color w:val="000000"/>
                <w:kern w:val="0"/>
                <w:szCs w:val="21"/>
              </w:rPr>
              <w:t>支持GR for OSPF/IS-IS/BGP</w:t>
            </w:r>
            <w:r>
              <w:rPr>
                <w:rFonts w:hint="eastAsia" w:ascii="宋体" w:hAnsi="宋体" w:cs="宋体"/>
                <w:color w:val="000000"/>
                <w:kern w:val="0"/>
                <w:szCs w:val="21"/>
              </w:rPr>
              <w:br w:type="textWrapping"/>
            </w:r>
            <w:r>
              <w:rPr>
                <w:rFonts w:hint="eastAsia" w:ascii="宋体" w:hAnsi="宋体" w:cs="宋体"/>
                <w:color w:val="000000"/>
                <w:kern w:val="0"/>
                <w:szCs w:val="21"/>
              </w:rPr>
              <w:t>支持策略路由</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组播</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支持IGMPv1/v2/v3、IGMP v1/v2/v3 Snooping 、PIM DM、PIM SM、PIM SSM</w:t>
            </w:r>
            <w:r>
              <w:rPr>
                <w:rFonts w:hint="eastAsia" w:ascii="宋体" w:hAnsi="宋体" w:cs="宋体"/>
                <w:color w:val="000000"/>
                <w:kern w:val="0"/>
                <w:szCs w:val="21"/>
              </w:rPr>
              <w:br w:type="textWrapping"/>
            </w:r>
            <w:r>
              <w:rPr>
                <w:rFonts w:hint="eastAsia" w:ascii="宋体" w:hAnsi="宋体" w:cs="宋体"/>
                <w:color w:val="000000"/>
                <w:kern w:val="0"/>
                <w:szCs w:val="21"/>
              </w:rPr>
              <w:t>支持组播流量控制、支持组播查询器</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IPv6</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支持IPv6过渡技术，IPv4/IPv6双栈、6over4隧道、4 over6隧道</w:t>
            </w:r>
            <w:r>
              <w:rPr>
                <w:rFonts w:hint="eastAsia" w:ascii="宋体" w:hAnsi="宋体" w:cs="宋体"/>
                <w:color w:val="000000"/>
                <w:kern w:val="0"/>
                <w:szCs w:val="21"/>
              </w:rPr>
              <w:br w:type="textWrapping"/>
            </w:r>
            <w:r>
              <w:rPr>
                <w:rFonts w:hint="eastAsia" w:ascii="宋体" w:hAnsi="宋体" w:cs="宋体"/>
                <w:color w:val="000000"/>
                <w:kern w:val="0"/>
                <w:szCs w:val="21"/>
              </w:rPr>
              <w:t>支持IPv6 DHCP SERVER、IPv6 DHCP Relay、DHCP Snooping</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kern w:val="0"/>
                <w:szCs w:val="21"/>
              </w:rPr>
              <w:t>支持IPV6 SAVI防地址欺骗解析欺骗策略</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安全性</w:t>
            </w:r>
          </w:p>
        </w:tc>
        <w:tc>
          <w:tcPr>
            <w:tcW w:w="793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支持基础安全保护策略 ，可实现ARP、DHCP、ICMP、IP扫描、DHCP V6、ND等各种攻击的自动防御。可自定义抗攻击的报文类型。</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FF0000"/>
                <w:kern w:val="0"/>
                <w:szCs w:val="21"/>
              </w:rPr>
            </w:pPr>
            <w:r>
              <w:rPr>
                <w:rFonts w:hint="eastAsia" w:ascii="宋体" w:hAnsi="宋体" w:cs="宋体"/>
                <w:kern w:val="0"/>
                <w:szCs w:val="21"/>
              </w:rPr>
              <w:t>管理特性</w:t>
            </w:r>
          </w:p>
        </w:tc>
        <w:tc>
          <w:tcPr>
            <w:tcW w:w="793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FF0000"/>
                <w:kern w:val="0"/>
                <w:szCs w:val="21"/>
              </w:rPr>
            </w:pPr>
            <w:r>
              <w:rPr>
                <w:rFonts w:hint="eastAsia" w:ascii="宋体" w:hAnsi="宋体" w:cs="宋体"/>
                <w:color w:val="000000"/>
                <w:kern w:val="0"/>
                <w:szCs w:val="21"/>
              </w:rPr>
              <w:t>支持SNMP V1/V2/V3、Telnet、RMON、SSHv2.0</w:t>
            </w:r>
            <w:r>
              <w:rPr>
                <w:rFonts w:hint="eastAsia" w:ascii="宋体" w:hAnsi="宋体" w:cs="宋体"/>
                <w:color w:val="000000"/>
                <w:kern w:val="0"/>
                <w:szCs w:val="21"/>
              </w:rPr>
              <w:br w:type="textWrapping"/>
            </w:r>
            <w:r>
              <w:rPr>
                <w:rFonts w:hint="eastAsia" w:ascii="宋体" w:hAnsi="宋体" w:cs="宋体"/>
                <w:color w:val="000000"/>
                <w:kern w:val="0"/>
                <w:szCs w:val="21"/>
              </w:rPr>
              <w:t>支持通过命令行、中文图形化配置软件等方式进行配置和管理</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8. 24口交换机（26台）</w:t>
      </w:r>
    </w:p>
    <w:tbl>
      <w:tblPr>
        <w:tblStyle w:val="21"/>
        <w:tblW w:w="9071" w:type="dxa"/>
        <w:jc w:val="center"/>
        <w:tblLayout w:type="autofit"/>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left="-678" w:leftChars="-323" w:firstLine="594" w:firstLineChars="283"/>
              <w:jc w:val="center"/>
              <w:rPr>
                <w:rFonts w:ascii="宋体" w:hAnsi="宋体" w:cs="宋体"/>
                <w:color w:val="000000"/>
                <w:kern w:val="0"/>
                <w:szCs w:val="21"/>
              </w:rPr>
            </w:pPr>
            <w:r>
              <w:rPr>
                <w:rFonts w:hint="eastAsia" w:ascii="宋体" w:hAnsi="宋体" w:cs="宋体"/>
                <w:color w:val="000000"/>
                <w:kern w:val="0"/>
                <w:szCs w:val="21"/>
              </w:rPr>
              <w:t>硬性指标</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★交换容量≥336G，包转发率≥51Mpps</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★固化10/100/1000M以太网端口≥24，固化1G SFP光接口≥4个</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要求所投设备MAC地址≥16K</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要求设备采用静音无风扇节能设计</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软件功能</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支持生成树协议STP(IEEE 802.1d)，RSTP(IEEE 802.1w)和MSTP(IEEE 802.1s)，完全保证快速收敛，提高容错能力，保证网络的稳定运行和链路的负载均衡，合理使用网络通道，提供冗余链路利用率。</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支持IPV4/IPV6静态路由</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管理特性</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设备自带云管理功能，即插即用，可随时查看网络健康度，告警及时推送，有日记事件供回溯</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bookmarkStart w:id="39" w:name="_Hlk101735836"/>
            <w:r>
              <w:rPr>
                <w:rFonts w:hint="eastAsia" w:ascii="宋体" w:hAnsi="宋体" w:cs="宋体"/>
                <w:color w:val="000000"/>
                <w:kern w:val="0"/>
                <w:szCs w:val="21"/>
              </w:rPr>
              <w:t>配套模块</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包含2个千兆单模光转换模块（1310nm），10km</w:t>
            </w:r>
          </w:p>
        </w:tc>
      </w:tr>
      <w:bookmarkEnd w:id="39"/>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9. 48口交换机（26台）</w:t>
      </w:r>
    </w:p>
    <w:tbl>
      <w:tblPr>
        <w:tblStyle w:val="21"/>
        <w:tblW w:w="9071" w:type="dxa"/>
        <w:jc w:val="center"/>
        <w:tblLayout w:type="autofit"/>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硬性指标</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★交换容量≥432G，包转发率≥87Mpps</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★固化10/100/1000M以太网端口≥48，固化1G SFP光接口≥4个；整机最大可用千兆口≥52</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要求所投设备MAC地址≥16K</w:t>
            </w:r>
          </w:p>
        </w:tc>
      </w:tr>
      <w:tr>
        <w:tblPrEx>
          <w:tblCellMar>
            <w:top w:w="0" w:type="dxa"/>
            <w:left w:w="108" w:type="dxa"/>
            <w:bottom w:w="0" w:type="dxa"/>
            <w:right w:w="108" w:type="dxa"/>
          </w:tblCellMar>
        </w:tblPrEx>
        <w:trPr>
          <w:trHeight w:val="680" w:hRule="atLeast"/>
          <w:jc w:val="center"/>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软件功能</w:t>
            </w:r>
          </w:p>
        </w:tc>
        <w:tc>
          <w:tcPr>
            <w:tcW w:w="793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支持生成树协议STP(IEEE 802.1d)，RSTP(IEEE 802.1w)和MSTP(IEEE 802.1s)，完全保证快速收敛，提高容错能力，保证网络的稳定运行和链路的负载均衡，合理使用网络通道，提供冗余链路利用率。</w:t>
            </w:r>
          </w:p>
        </w:tc>
      </w:tr>
      <w:tr>
        <w:tblPrEx>
          <w:tblCellMar>
            <w:top w:w="0" w:type="dxa"/>
            <w:left w:w="108" w:type="dxa"/>
            <w:bottom w:w="0" w:type="dxa"/>
            <w:right w:w="108" w:type="dxa"/>
          </w:tblCellMar>
        </w:tblPrEx>
        <w:trPr>
          <w:trHeight w:val="680" w:hRule="atLeast"/>
          <w:jc w:val="center"/>
        </w:trPr>
        <w:tc>
          <w:tcPr>
            <w:tcW w:w="113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支持IPV4/IPV6静态路由</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管理特性</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设备自带云管理功能，即插即用，可随时查看网络健康度，告警及时推送，有日记事件供回溯</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配套模块</w:t>
            </w:r>
          </w:p>
        </w:tc>
        <w:tc>
          <w:tcPr>
            <w:tcW w:w="793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包含2个千兆单模光转换模块（1310nm），10km</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10.台式计算机（155台）</w:t>
      </w:r>
    </w:p>
    <w:tbl>
      <w:tblPr>
        <w:tblStyle w:val="21"/>
        <w:tblW w:w="9071" w:type="dxa"/>
        <w:jc w:val="center"/>
        <w:tblLayout w:type="fixed"/>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000000" w:sz="4" w:space="0"/>
              <w:left w:val="nil"/>
              <w:bottom w:val="single" w:color="000000"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主板</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≥Intel 660芯片组或以上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▲处理器</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≥Intel Core i5-12500</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内存</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≥16GB DDR4-3200内存，2个及以上内存插槽，最大支持≥64 GB DDR4-3200 SDRAM</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硬盘</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≥256 GB M.2 2280 PCIe NVMe SSD </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★显卡</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NVIDIA Quadro P400 2GB专业图卡及以上</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I/O接口</w:t>
            </w:r>
          </w:p>
        </w:tc>
        <w:tc>
          <w:tcPr>
            <w:tcW w:w="7937" w:type="dxa"/>
            <w:tcBorders>
              <w:top w:val="single" w:color="000000" w:sz="4" w:space="0"/>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至少包含1 个 VGA 端口、1 个 HDMI端口、4个 USB 端口</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★电源</w:t>
            </w:r>
          </w:p>
        </w:tc>
        <w:tc>
          <w:tcPr>
            <w:tcW w:w="7937" w:type="dxa"/>
            <w:tcBorders>
              <w:top w:val="single" w:color="000000" w:sz="4" w:space="0"/>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≥500W电源及以上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鼠标</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原厂USB键盘鼠标</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操作系统</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正版Windows操作系统</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保修服务，质量认证</w:t>
            </w:r>
          </w:p>
        </w:tc>
        <w:tc>
          <w:tcPr>
            <w:tcW w:w="7937" w:type="dxa"/>
            <w:tcBorders>
              <w:top w:val="nil"/>
              <w:left w:val="nil"/>
              <w:bottom w:val="single" w:color="auto"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3年原厂上门服务</w:t>
            </w:r>
          </w:p>
        </w:tc>
      </w:tr>
      <w:tr>
        <w:tblPrEx>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硬盘保护、网络同传</w:t>
            </w:r>
          </w:p>
        </w:tc>
        <w:tc>
          <w:tcPr>
            <w:tcW w:w="7937" w:type="dxa"/>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1.支持对各种运行的主机（xp\win7\win8\win10\linux）系统进行快照瞬间（3秒内）创建和恢复(提供功能界面截图) </w:t>
            </w:r>
          </w:p>
          <w:p>
            <w:pPr>
              <w:widowControl/>
              <w:rPr>
                <w:rFonts w:ascii="宋体" w:hAnsi="宋体" w:cs="宋体"/>
                <w:color w:val="000000"/>
                <w:kern w:val="0"/>
                <w:szCs w:val="21"/>
              </w:rPr>
            </w:pPr>
            <w:r>
              <w:rPr>
                <w:rFonts w:hint="eastAsia" w:ascii="宋体" w:hAnsi="宋体" w:cs="宋体"/>
                <w:color w:val="000000"/>
                <w:kern w:val="0"/>
                <w:szCs w:val="21"/>
              </w:rPr>
              <w:t>2.支持多系统引导，管理员分级权限设置，并可授权不同的管理员管理不同的操作系统。(提供功能界面截图)</w:t>
            </w:r>
          </w:p>
          <w:p>
            <w:pPr>
              <w:widowControl/>
              <w:rPr>
                <w:rFonts w:ascii="宋体" w:hAnsi="宋体" w:cs="宋体"/>
                <w:color w:val="000000"/>
                <w:kern w:val="0"/>
                <w:szCs w:val="21"/>
              </w:rPr>
            </w:pPr>
            <w:r>
              <w:rPr>
                <w:rFonts w:hint="eastAsia" w:ascii="宋体" w:hAnsi="宋体" w:cs="宋体"/>
                <w:color w:val="000000"/>
                <w:kern w:val="0"/>
                <w:szCs w:val="21"/>
              </w:rPr>
              <w:t>3.支持操作系统分权管理，可分配不同的管理员管理不同的操作系统。(提供功能界面截图)</w:t>
            </w:r>
          </w:p>
          <w:p>
            <w:pPr>
              <w:widowControl/>
              <w:rPr>
                <w:rFonts w:ascii="宋体" w:hAnsi="宋体" w:cs="宋体"/>
                <w:color w:val="000000"/>
                <w:kern w:val="0"/>
                <w:szCs w:val="21"/>
              </w:rPr>
            </w:pPr>
            <w:r>
              <w:rPr>
                <w:rFonts w:hint="eastAsia" w:ascii="宋体" w:hAnsi="宋体" w:cs="宋体"/>
                <w:color w:val="000000"/>
                <w:kern w:val="0"/>
                <w:szCs w:val="21"/>
              </w:rPr>
              <w:t>4.可选择任何一台学生机对其它≥100台学生机进行数据差异拷贝，只传送差异数据，无增量拷贝增量基准点限制。(提供功能界面截图)</w:t>
            </w:r>
          </w:p>
          <w:p>
            <w:pPr>
              <w:widowControl/>
              <w:rPr>
                <w:rFonts w:ascii="宋体" w:hAnsi="宋体" w:cs="宋体"/>
                <w:color w:val="000000"/>
                <w:kern w:val="0"/>
                <w:szCs w:val="21"/>
              </w:rPr>
            </w:pPr>
            <w:r>
              <w:rPr>
                <w:rFonts w:hint="eastAsia" w:ascii="宋体" w:hAnsi="宋体" w:cs="宋体"/>
                <w:color w:val="000000"/>
                <w:kern w:val="0"/>
                <w:szCs w:val="21"/>
              </w:rPr>
              <w:t>5.支持批量修改Windows用户登录名、计算机名和IP地址</w:t>
            </w:r>
          </w:p>
          <w:p>
            <w:pPr>
              <w:widowControl/>
              <w:rPr>
                <w:rFonts w:ascii="宋体" w:hAnsi="宋体" w:cs="宋体"/>
                <w:color w:val="000000"/>
                <w:kern w:val="0"/>
                <w:szCs w:val="21"/>
              </w:rPr>
            </w:pPr>
            <w:r>
              <w:rPr>
                <w:rFonts w:hint="eastAsia" w:ascii="宋体" w:hAnsi="宋体" w:cs="宋体"/>
                <w:color w:val="000000"/>
                <w:kern w:val="0"/>
                <w:szCs w:val="21"/>
              </w:rPr>
              <w:t>6.可制定时间策略，不同的时间段智能控制开启和关闭终端机的USB、物理光驱和虚拟光驱的使用权限(提供功能界面截图)</w:t>
            </w:r>
          </w:p>
          <w:p>
            <w:pPr>
              <w:widowControl/>
              <w:rPr>
                <w:rFonts w:ascii="宋体" w:hAnsi="宋体" w:cs="宋体"/>
                <w:color w:val="000000"/>
                <w:kern w:val="0"/>
                <w:szCs w:val="21"/>
              </w:rPr>
            </w:pPr>
            <w:r>
              <w:rPr>
                <w:rFonts w:hint="eastAsia" w:ascii="宋体" w:hAnsi="宋体" w:cs="宋体"/>
                <w:color w:val="000000"/>
                <w:kern w:val="0"/>
                <w:szCs w:val="21"/>
              </w:rPr>
              <w:t>7.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w:t>
            </w:r>
          </w:p>
          <w:p>
            <w:pPr>
              <w:widowControl/>
              <w:rPr>
                <w:rFonts w:ascii="宋体" w:hAnsi="宋体" w:cs="宋体"/>
                <w:color w:val="000000"/>
                <w:kern w:val="0"/>
                <w:szCs w:val="21"/>
              </w:rPr>
            </w:pPr>
            <w:r>
              <w:rPr>
                <w:rFonts w:hint="eastAsia" w:ascii="宋体" w:hAnsi="宋体" w:cs="宋体"/>
                <w:color w:val="000000"/>
                <w:kern w:val="0"/>
                <w:szCs w:val="21"/>
              </w:rPr>
              <w:t>8.支持学期课表的编辑，可设置学期开始和结束时间，按学期课表时间自动启动相应的操作系统，支持操作系统拖拽式导入学期课表(提供功能界面截图)</w:t>
            </w:r>
          </w:p>
          <w:p>
            <w:pPr>
              <w:widowControl/>
              <w:rPr>
                <w:rFonts w:ascii="宋体" w:hAnsi="宋体" w:cs="宋体"/>
                <w:color w:val="000000"/>
                <w:kern w:val="0"/>
                <w:szCs w:val="21"/>
              </w:rPr>
            </w:pPr>
            <w:r>
              <w:rPr>
                <w:rFonts w:hint="eastAsia" w:ascii="宋体" w:hAnsi="宋体" w:cs="宋体"/>
                <w:color w:val="000000"/>
                <w:kern w:val="0"/>
                <w:szCs w:val="21"/>
              </w:rPr>
              <w:t>9.支持流量限制策略，能够设定上行流量、下行流量，并设置生效时间区间，能够精确分钟，支持按天执行、按周执行、按月执行根据不同的时间节点自动限定终端机不同的网络上行和下行流量(提供功能界面截图)</w:t>
            </w:r>
          </w:p>
        </w:tc>
      </w:tr>
    </w:tbl>
    <w:p>
      <w:pPr>
        <w:tabs>
          <w:tab w:val="left" w:pos="0"/>
        </w:tabs>
        <w:spacing w:line="360" w:lineRule="auto"/>
        <w:rPr>
          <w:rFonts w:ascii="宋体" w:hAnsi="宋体" w:cs="宋体"/>
          <w:b/>
          <w:bCs/>
          <w:kern w:val="0"/>
          <w:sz w:val="24"/>
        </w:rPr>
      </w:pPr>
    </w:p>
    <w:p>
      <w:pPr>
        <w:tabs>
          <w:tab w:val="left" w:pos="0"/>
        </w:tabs>
        <w:spacing w:line="360" w:lineRule="auto"/>
        <w:ind w:firstLine="482" w:firstLineChars="200"/>
        <w:rPr>
          <w:rFonts w:ascii="宋体" w:hAnsi="宋体" w:cs="宋体"/>
          <w:b/>
          <w:bCs/>
          <w:kern w:val="0"/>
          <w:sz w:val="24"/>
        </w:rPr>
      </w:pPr>
      <w:r>
        <w:rPr>
          <w:rFonts w:hint="eastAsia" w:ascii="宋体" w:hAnsi="宋体" w:cs="宋体"/>
          <w:b/>
          <w:bCs/>
          <w:kern w:val="0"/>
          <w:sz w:val="24"/>
        </w:rPr>
        <w:t>11.液晶显示器（250台）</w:t>
      </w:r>
    </w:p>
    <w:tbl>
      <w:tblPr>
        <w:tblStyle w:val="21"/>
        <w:tblW w:w="9071" w:type="dxa"/>
        <w:jc w:val="center"/>
        <w:tblLayout w:type="fixed"/>
        <w:tblCellMar>
          <w:top w:w="0" w:type="dxa"/>
          <w:left w:w="108" w:type="dxa"/>
          <w:bottom w:w="0" w:type="dxa"/>
          <w:right w:w="108" w:type="dxa"/>
        </w:tblCellMar>
      </w:tblPr>
      <w:tblGrid>
        <w:gridCol w:w="1134"/>
        <w:gridCol w:w="7937"/>
      </w:tblGrid>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7937" w:type="dxa"/>
            <w:tcBorders>
              <w:top w:val="single" w:color="000000" w:sz="4" w:space="0"/>
              <w:left w:val="nil"/>
              <w:bottom w:val="single" w:color="000000" w:sz="4" w:space="0"/>
              <w:right w:val="single" w:color="auto" w:sz="4" w:space="0"/>
            </w:tcBorders>
            <w:shd w:val="clear" w:color="auto" w:fill="BEBEBE" w:themeFill="background1" w:themeFillShade="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参数要求</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屏幕尺寸</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21.5寸及以上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亮度</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250流明及以上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对比度</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静态1000:1及以上</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屏幕比例</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16:9</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可视角度范围</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≥170°</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分辨率</w:t>
            </w:r>
          </w:p>
        </w:tc>
        <w:tc>
          <w:tcPr>
            <w:tcW w:w="7937" w:type="dxa"/>
            <w:tcBorders>
              <w:top w:val="nil"/>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1920*1080及以上</w:t>
            </w:r>
          </w:p>
        </w:tc>
      </w:tr>
      <w:tr>
        <w:tblPrEx>
          <w:tblCellMar>
            <w:top w:w="0" w:type="dxa"/>
            <w:left w:w="108" w:type="dxa"/>
            <w:bottom w:w="0" w:type="dxa"/>
            <w:right w:w="108" w:type="dxa"/>
          </w:tblCellMar>
        </w:tblPrEx>
        <w:trPr>
          <w:trHeight w:val="680" w:hRule="atLeast"/>
          <w:jc w:val="center"/>
        </w:trPr>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接口</w:t>
            </w:r>
          </w:p>
        </w:tc>
        <w:tc>
          <w:tcPr>
            <w:tcW w:w="7937" w:type="dxa"/>
            <w:tcBorders>
              <w:top w:val="single" w:color="000000" w:sz="4" w:space="0"/>
              <w:left w:val="nil"/>
              <w:bottom w:val="single" w:color="000000"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VGA+HDMI</w:t>
            </w:r>
          </w:p>
        </w:tc>
      </w:tr>
      <w:tr>
        <w:tblPrEx>
          <w:tblCellMar>
            <w:top w:w="0" w:type="dxa"/>
            <w:left w:w="108" w:type="dxa"/>
            <w:bottom w:w="0" w:type="dxa"/>
            <w:right w:w="108" w:type="dxa"/>
          </w:tblCellMar>
        </w:tblPrEx>
        <w:trPr>
          <w:trHeight w:val="680" w:hRule="atLeast"/>
          <w:jc w:val="center"/>
        </w:trPr>
        <w:tc>
          <w:tcPr>
            <w:tcW w:w="1134" w:type="dxa"/>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保修服务，质量认证</w:t>
            </w:r>
          </w:p>
        </w:tc>
        <w:tc>
          <w:tcPr>
            <w:tcW w:w="7937" w:type="dxa"/>
            <w:tcBorders>
              <w:top w:val="nil"/>
              <w:left w:val="nil"/>
              <w:bottom w:val="single" w:color="auto" w:sz="4" w:space="0"/>
              <w:right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3年质保上门服务</w:t>
            </w:r>
          </w:p>
        </w:tc>
      </w:tr>
    </w:tbl>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（五）远程在线演示</w:t>
      </w:r>
    </w:p>
    <w:p>
      <w:pPr>
        <w:snapToGri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r>
        <w:rPr>
          <w:rFonts w:asciiTheme="minorEastAsia" w:hAnsiTheme="minorEastAsia" w:eastAsiaTheme="minorEastAsia"/>
          <w:bCs/>
          <w:color w:val="000000" w:themeColor="text1"/>
          <w:sz w:val="24"/>
          <w14:textFill>
            <w14:solidFill>
              <w14:schemeClr w14:val="tx1"/>
            </w14:solidFill>
          </w14:textFill>
        </w:rPr>
        <w:t>投标人应提前做好演示准备（包括演示设备）。</w:t>
      </w:r>
    </w:p>
    <w:p>
      <w:pPr>
        <w:snapToGri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2.投标人将按照评审委员会确定的顺序进行远程在线演示。评标过程中，投标人应进入开标大厅等待远程在线演示邀请，并保持联络畅通。</w:t>
      </w:r>
    </w:p>
    <w:p>
      <w:pPr>
        <w:snapToGrid w:val="0"/>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w:t>
      </w:r>
      <w:r>
        <w:rPr>
          <w:rFonts w:asciiTheme="minorEastAsia" w:hAnsiTheme="minorEastAsia" w:eastAsiaTheme="minorEastAsia"/>
          <w:bCs/>
          <w:color w:val="000000" w:themeColor="text1"/>
          <w:sz w:val="24"/>
          <w14:textFill>
            <w14:solidFill>
              <w14:schemeClr w14:val="tx1"/>
            </w14:solidFill>
          </w14:textFill>
        </w:rPr>
        <w:t>投标人</w:t>
      </w:r>
      <w:r>
        <w:rPr>
          <w:rFonts w:hint="eastAsia" w:asciiTheme="minorEastAsia" w:hAnsiTheme="minorEastAsia" w:eastAsiaTheme="minorEastAsia"/>
          <w:bCs/>
          <w:color w:val="000000" w:themeColor="text1"/>
          <w:sz w:val="24"/>
          <w14:textFill>
            <w14:solidFill>
              <w14:schemeClr w14:val="tx1"/>
            </w14:solidFill>
          </w14:textFill>
        </w:rPr>
        <w:t>在接到远程在线演示邀请</w:t>
      </w:r>
      <w:r>
        <w:rPr>
          <w:rFonts w:asciiTheme="minorEastAsia" w:hAnsiTheme="minorEastAsia" w:eastAsiaTheme="minorEastAsia"/>
          <w:bCs/>
          <w:color w:val="000000" w:themeColor="text1"/>
          <w:sz w:val="24"/>
          <w14:textFill>
            <w14:solidFill>
              <w14:schemeClr w14:val="tx1"/>
            </w14:solidFill>
          </w14:textFill>
        </w:rPr>
        <w:t>后</w:t>
      </w:r>
      <w:r>
        <w:rPr>
          <w:rFonts w:hint="eastAsia" w:asciiTheme="minorEastAsia" w:hAnsiTheme="minorEastAsia" w:eastAsiaTheme="minorEastAsia"/>
          <w:bCs/>
          <w:color w:val="000000" w:themeColor="text1"/>
          <w:sz w:val="24"/>
          <w14:textFill>
            <w14:solidFill>
              <w14:schemeClr w14:val="tx1"/>
            </w14:solidFill>
          </w14:textFill>
        </w:rPr>
        <w:t>，根据演示清单通过软件系统、视频、幻灯片等方式</w:t>
      </w:r>
      <w:r>
        <w:rPr>
          <w:rFonts w:asciiTheme="minorEastAsia" w:hAnsiTheme="minorEastAsia" w:eastAsiaTheme="minorEastAsia"/>
          <w:bCs/>
          <w:color w:val="000000" w:themeColor="text1"/>
          <w:sz w:val="24"/>
          <w14:textFill>
            <w14:solidFill>
              <w14:schemeClr w14:val="tx1"/>
            </w14:solidFill>
          </w14:textFill>
        </w:rPr>
        <w:t>作</w:t>
      </w:r>
      <w:r>
        <w:rPr>
          <w:rFonts w:hint="eastAsia" w:asciiTheme="minorEastAsia" w:hAnsiTheme="minorEastAsia" w:eastAsiaTheme="minorEastAsia"/>
          <w:bCs/>
          <w:color w:val="000000" w:themeColor="text1"/>
          <w:sz w:val="24"/>
          <w14:textFill>
            <w14:solidFill>
              <w14:schemeClr w14:val="tx1"/>
            </w14:solidFill>
          </w14:textFill>
        </w:rPr>
        <w:t>15</w:t>
      </w:r>
      <w:r>
        <w:rPr>
          <w:rFonts w:asciiTheme="minorEastAsia" w:hAnsiTheme="minorEastAsia" w:eastAsiaTheme="minorEastAsia"/>
          <w:bCs/>
          <w:color w:val="000000" w:themeColor="text1"/>
          <w:sz w:val="24"/>
          <w14:textFill>
            <w14:solidFill>
              <w14:schemeClr w14:val="tx1"/>
            </w14:solidFill>
          </w14:textFill>
        </w:rPr>
        <w:t>分钟</w:t>
      </w:r>
      <w:r>
        <w:rPr>
          <w:rFonts w:hint="eastAsia" w:asciiTheme="minorEastAsia" w:hAnsiTheme="minorEastAsia" w:eastAsiaTheme="minorEastAsia"/>
          <w:bCs/>
          <w:color w:val="000000" w:themeColor="text1"/>
          <w:sz w:val="24"/>
          <w14:textFill>
            <w14:solidFill>
              <w14:schemeClr w14:val="tx1"/>
            </w14:solidFill>
          </w14:textFill>
        </w:rPr>
        <w:t>演示</w:t>
      </w:r>
      <w:r>
        <w:rPr>
          <w:rFonts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评标</w:t>
      </w:r>
      <w:r>
        <w:rPr>
          <w:rFonts w:asciiTheme="minorEastAsia" w:hAnsiTheme="minorEastAsia" w:eastAsiaTheme="minorEastAsia"/>
          <w:bCs/>
          <w:color w:val="000000" w:themeColor="text1"/>
          <w:sz w:val="24"/>
          <w14:textFill>
            <w14:solidFill>
              <w14:schemeClr w14:val="tx1"/>
            </w14:solidFill>
          </w14:textFill>
        </w:rPr>
        <w:t>委员会根据</w:t>
      </w:r>
      <w:r>
        <w:rPr>
          <w:rFonts w:hint="eastAsia" w:asciiTheme="minorEastAsia" w:hAnsiTheme="minorEastAsia" w:eastAsiaTheme="minorEastAsia"/>
          <w:bCs/>
          <w:color w:val="000000" w:themeColor="text1"/>
          <w:sz w:val="24"/>
          <w14:textFill>
            <w14:solidFill>
              <w14:schemeClr w14:val="tx1"/>
            </w14:solidFill>
          </w14:textFill>
        </w:rPr>
        <w:t>演示内容进行</w:t>
      </w:r>
      <w:r>
        <w:rPr>
          <w:rFonts w:asciiTheme="minorEastAsia" w:hAnsiTheme="minorEastAsia" w:eastAsiaTheme="minorEastAsia"/>
          <w:bCs/>
          <w:color w:val="000000" w:themeColor="text1"/>
          <w:sz w:val="24"/>
          <w14:textFill>
            <w14:solidFill>
              <w14:schemeClr w14:val="tx1"/>
            </w14:solidFill>
          </w14:textFill>
        </w:rPr>
        <w:t>评分。</w:t>
      </w:r>
    </w:p>
    <w:p>
      <w:pPr>
        <w:pStyle w:val="20"/>
        <w:ind w:left="0" w:leftChars="0"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演示清单如下：</w:t>
      </w:r>
    </w:p>
    <w:tbl>
      <w:tblPr>
        <w:tblStyle w:val="21"/>
        <w:tblW w:w="8281" w:type="dxa"/>
        <w:jc w:val="center"/>
        <w:tblLayout w:type="autofit"/>
        <w:tblCellMar>
          <w:top w:w="0" w:type="dxa"/>
          <w:left w:w="108" w:type="dxa"/>
          <w:bottom w:w="0" w:type="dxa"/>
          <w:right w:w="108" w:type="dxa"/>
        </w:tblCellMar>
      </w:tblPr>
      <w:tblGrid>
        <w:gridCol w:w="1448"/>
        <w:gridCol w:w="1448"/>
        <w:gridCol w:w="5385"/>
      </w:tblGrid>
      <w:tr>
        <w:trPr>
          <w:trHeight w:val="604" w:hRule="atLeast"/>
          <w:jc w:val="center"/>
        </w:trPr>
        <w:tc>
          <w:tcPr>
            <w:tcW w:w="14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演示产品</w:t>
            </w:r>
          </w:p>
        </w:tc>
        <w:tc>
          <w:tcPr>
            <w:tcW w:w="14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功能点</w:t>
            </w:r>
          </w:p>
        </w:tc>
        <w:tc>
          <w:tcPr>
            <w:tcW w:w="538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具体要求</w:t>
            </w:r>
          </w:p>
        </w:tc>
      </w:tr>
      <w:tr>
        <w:tblPrEx>
          <w:tblCellMar>
            <w:top w:w="0" w:type="dxa"/>
            <w:left w:w="108" w:type="dxa"/>
            <w:bottom w:w="0" w:type="dxa"/>
            <w:right w:w="108" w:type="dxa"/>
          </w:tblCellMar>
        </w:tblPrEx>
        <w:trPr>
          <w:trHeight w:val="850" w:hRule="atLeast"/>
          <w:jc w:val="center"/>
        </w:trPr>
        <w:tc>
          <w:tcPr>
            <w:tcW w:w="144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云桌面计算平台</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产品架构</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在统一界面下实现对计算、存储、网络等功能的配置和操作</w:t>
            </w:r>
          </w:p>
        </w:tc>
      </w:tr>
      <w:tr>
        <w:tblPrEx>
          <w:tblCellMar>
            <w:top w:w="0" w:type="dxa"/>
            <w:left w:w="108" w:type="dxa"/>
            <w:bottom w:w="0" w:type="dxa"/>
            <w:right w:w="108" w:type="dxa"/>
          </w:tblCellMar>
        </w:tblPrEx>
        <w:trPr>
          <w:trHeight w:val="850" w:hRule="atLeast"/>
          <w:jc w:val="center"/>
        </w:trPr>
        <w:tc>
          <w:tcPr>
            <w:tcW w:w="144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计算资源</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支持将服务器主机节点添加为计算集群，能够在集群中添加、移除服务器主机节点</w:t>
            </w:r>
          </w:p>
        </w:tc>
      </w:tr>
      <w:tr>
        <w:tblPrEx>
          <w:tblCellMar>
            <w:top w:w="0" w:type="dxa"/>
            <w:left w:w="108" w:type="dxa"/>
            <w:bottom w:w="0" w:type="dxa"/>
            <w:right w:w="108" w:type="dxa"/>
          </w:tblCellMar>
        </w:tblPrEx>
        <w:trPr>
          <w:trHeight w:val="850" w:hRule="atLeast"/>
          <w:jc w:val="center"/>
        </w:trPr>
        <w:tc>
          <w:tcPr>
            <w:tcW w:w="144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终端管理</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可以实现终端的统筹管理，统管查看终端开关机状态，统一管理与协助</w:t>
            </w:r>
          </w:p>
        </w:tc>
      </w:tr>
      <w:tr>
        <w:tblPrEx>
          <w:tblCellMar>
            <w:top w:w="0" w:type="dxa"/>
            <w:left w:w="108" w:type="dxa"/>
            <w:bottom w:w="0" w:type="dxa"/>
            <w:right w:w="108" w:type="dxa"/>
          </w:tblCellMar>
        </w:tblPrEx>
        <w:trPr>
          <w:trHeight w:val="850" w:hRule="atLeast"/>
          <w:jc w:val="center"/>
        </w:trPr>
        <w:tc>
          <w:tcPr>
            <w:tcW w:w="144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网络资源</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支持创建虚拟交换机</w:t>
            </w:r>
          </w:p>
        </w:tc>
      </w:tr>
      <w:tr>
        <w:tblPrEx>
          <w:tblCellMar>
            <w:top w:w="0" w:type="dxa"/>
            <w:left w:w="108" w:type="dxa"/>
            <w:bottom w:w="0" w:type="dxa"/>
            <w:right w:w="108" w:type="dxa"/>
          </w:tblCellMar>
        </w:tblPrEx>
        <w:trPr>
          <w:trHeight w:val="850" w:hRule="atLeast"/>
          <w:jc w:val="center"/>
        </w:trPr>
        <w:tc>
          <w:tcPr>
            <w:tcW w:w="144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教学管理软件</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镜像切换</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应对不同的教学需求，支持通过教学管理软件对终端一键切换不同的教学镜像</w:t>
            </w:r>
          </w:p>
        </w:tc>
      </w:tr>
      <w:tr>
        <w:tblPrEx>
          <w:tblCellMar>
            <w:top w:w="0" w:type="dxa"/>
            <w:left w:w="108" w:type="dxa"/>
            <w:bottom w:w="0" w:type="dxa"/>
            <w:right w:w="108" w:type="dxa"/>
          </w:tblCellMar>
        </w:tblPrEx>
        <w:trPr>
          <w:trHeight w:val="850" w:hRule="atLeast"/>
          <w:jc w:val="center"/>
        </w:trPr>
        <w:tc>
          <w:tcPr>
            <w:tcW w:w="144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一键禁止上网</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sz w:val="24"/>
              </w:rPr>
              <w:t>支持通过教学管理软件实现一键禁止任意学生上网，禁网同时需要支持屏幕广播、屏幕查看等正常教学应用</w:t>
            </w:r>
          </w:p>
        </w:tc>
      </w:tr>
    </w:tbl>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（六）设备安装要求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1.本次采购所有设备类产品要求全部部件均为原厂原装，供应商所报价的所有设备需有产地证明、装箱清单、技术说明书等；</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2.设备到达采购人前，提前做好安装前准备，设备进场前准备措施充分，设备进场后对突发状况考虑全面且有完善的应对措施，安装、调试方案可行；</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3.中标人将设备按时、安全运至采购人指定地点后,由中标人派出工程师与采购人共同开箱、清点、验收，中标人应在指定时间内安装调试完毕并达到验收指标；</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4.安装调试过程中，中标人应遵守采购人的规章制度，安装调试产生的费用由中标人承担。</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（七）项目验收标准</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1.项目验收前，中标人须向采购人提供项目竣工报告、用户使用报告、验收申请；</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2.中标人应提供系统设备的有效检验材料，与合同的技术指标一起作为验收标准；</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3.验收由采购人组织专家召开项目验收会，验收中发现系统设备达不到验收标准，或在规定的时间内由于中标人的原因不能完成验收的，采购人有权终止合同，并追究造成的损失。</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（八）培训服务要求</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中标人负责对采购人相关使用人员和系统管理人员进行培训，培训产生的培训资料、场地等费用由中标人承担。</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（九）售后服务要求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由于本项目的特殊性（必须满足业务7*24小时不间断工作），质保期内，在接到设备故障通知后，中标人应在1小时内响应；对于影响正常运行的严重故障，中标人工程师及其它相关技术人员应在接到故障通知后4小时内赶到现场，查找原因，提出解决方案，并工作直至故障修妥完全恢复正常服务为止，一般要求保证系统在8小时之内修复，并需要提供确保承诺实现的措施。</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（十）其他要求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1.投标人前期应进行实地勘察；</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▲2.项目建设所涉及的机房环境改造、综合布线、工程施工材料费、人工费等费用均需包含在项目总报价内，不得另外收取费用，且必须符合计算机机房相关标准规范；</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3.如采购内容及技术要求有所遗漏进而造成采购人不能正常使用，中标人须免费提供以上配置清单所需的所有配件并承担项目实施中产生的相关费用；</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4.投标人应对项目实施过程中可能遇到的问题分析透彻，应对措施全面；实施方案全面细致、安全性高；切实考虑到校园整体情况，根据采购人工作特点组织实施。</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5.中标人应提供充足的备品备件保证该项目正常运行。</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6.采购人在使用中标人提供的属于第三方软件时，应当依照中标人与第三方对该软件使用的约定进行。中标人应保证所提供的第三方软件具有合法的使用权，否则造成项目实施出现问题的，责任由中标人承担。中标人应将该约定的书面文件的复印件交采购人参阅。</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（一）质保期：</w:t>
      </w:r>
      <w:r>
        <w:rPr>
          <w:rFonts w:hint="eastAsia" w:asciiTheme="minorEastAsia" w:hAnsiTheme="minorEastAsia" w:eastAsiaTheme="minorEastAsia"/>
          <w:bCs/>
          <w:color w:val="000000" w:themeColor="text1"/>
          <w:sz w:val="24"/>
          <w14:textFill>
            <w14:solidFill>
              <w14:schemeClr w14:val="tx1"/>
            </w14:solidFill>
          </w14:textFill>
        </w:rPr>
        <w:t>本项目所涉及的产品均需提供至少3年质保期。</w:t>
      </w:r>
    </w:p>
    <w:p>
      <w:pPr>
        <w:pStyle w:val="11"/>
        <w:snapToGrid w:val="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质保期自项目正式验收合格之日开始计算，质保期内由于设备本身质量原因造成的任何损伤或损坏，中标人须免费负责修理或更换。</w:t>
      </w:r>
    </w:p>
    <w:p>
      <w:pPr>
        <w:pStyle w:val="11"/>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pStyle w:val="11"/>
        <w:snapToGrid w:val="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1.交货时间：自签订合同之日起45个工作日内供货、安装调试完毕</w:t>
      </w:r>
    </w:p>
    <w:p>
      <w:pPr>
        <w:pStyle w:val="11"/>
        <w:snapToGrid w:val="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2.交货地点：台州职业技术学院校内</w:t>
      </w:r>
    </w:p>
    <w:p>
      <w:pPr>
        <w:pStyle w:val="11"/>
        <w:snapToGrid w:val="0"/>
        <w:spacing w:line="360" w:lineRule="auto"/>
        <w:ind w:firstLine="482" w:firstLineChars="200"/>
        <w:rPr>
          <w:rFonts w:cs="Times New Roman" w:asciiTheme="minorEastAsia" w:hAnsiTheme="minorEastAsia" w:eastAsiaTheme="minorEastAsia"/>
          <w:b/>
          <w:sz w:val="36"/>
          <w:szCs w:val="36"/>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bCs/>
          <w:color w:val="000000" w:themeColor="text1"/>
          <w:sz w:val="24"/>
          <w14:textFill>
            <w14:solidFill>
              <w14:schemeClr w14:val="tx1"/>
            </w14:solidFill>
          </w14:textFill>
        </w:rPr>
        <w:t>合同签订</w:t>
      </w:r>
      <w:r>
        <w:rPr>
          <w:rFonts w:hint="eastAsia" w:asciiTheme="minorEastAsia" w:hAnsiTheme="minorEastAsia" w:eastAsiaTheme="minorEastAsia"/>
          <w:color w:val="000000" w:themeColor="text1"/>
          <w:kern w:val="0"/>
          <w:sz w:val="24"/>
          <w14:textFill>
            <w14:solidFill>
              <w14:schemeClr w14:val="tx1"/>
            </w14:solidFill>
          </w14:textFill>
        </w:rPr>
        <w:t>后5个工作日内预付合同款项的40％，设备到货、安装、调试、验收合格后5个工作日内支付合同款项的60％。</w:t>
      </w:r>
      <w:bookmarkStart w:id="40" w:name="_Toc31173_WPSOffice_Level1"/>
      <w:r>
        <w:rPr>
          <w:rFonts w:hint="eastAsia" w:cs="Times New Roman" w:asciiTheme="minorEastAsia" w:hAnsiTheme="minorEastAsia" w:eastAsiaTheme="minorEastAsia"/>
          <w:b/>
          <w:sz w:val="36"/>
          <w:szCs w:val="36"/>
        </w:rPr>
        <w:br w:type="page"/>
      </w:r>
    </w:p>
    <w:p>
      <w:pPr>
        <w:pStyle w:val="11"/>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40"/>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0"/>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（六）主要性能参数指标负偏离8项（含）以上的；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（十四）未</w:t>
      </w:r>
      <w:r>
        <w:rPr>
          <w:rFonts w:hint="eastAsia" w:ascii="宋体" w:hAnsi="宋体"/>
          <w:kern w:val="0"/>
          <w:sz w:val="24"/>
          <w:szCs w:val="24"/>
        </w:rPr>
        <w:t>按要求提供资格证明文件的；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（十五）其他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见附件16</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16</w:t>
      </w:r>
      <w:r>
        <w:rPr>
          <w:rFonts w:hint="eastAsia" w:ascii="宋体"/>
          <w:sz w:val="24"/>
          <w:lang w:val="zh-CN"/>
        </w:rPr>
        <w:t>），视同小型、微型企业，享受小微企业政府采购优惠政策。</w:t>
      </w:r>
    </w:p>
    <w:p>
      <w:pPr>
        <w:pStyle w:val="9"/>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1"/>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按投标文件格式填报设备及专业技术能力情况（根据附件4《投标人基本情况表》和附件5《项目实施人员一览表》填报）。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1"/>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投标文件未含有采购人不可接受的附加条件。</w:t>
            </w: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1 </w:t>
      </w:r>
      <w:r>
        <w:rPr>
          <w:rFonts w:hint="eastAsia" w:asciiTheme="minorEastAsia" w:hAnsiTheme="minorEastAsia" w:eastAsiaTheme="minorEastAsia"/>
          <w:kern w:val="0"/>
          <w:sz w:val="24"/>
        </w:rPr>
        <w:t>标项项目评标方法为综合评分法，总计100分，评标按以下标准及要求进行：</w:t>
      </w:r>
    </w:p>
    <w:p>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1"/>
        <w:tblpPr w:leftFromText="181" w:rightFromText="181" w:bottomFromText="170" w:vertAnchor="text" w:tblpXSpec="center" w:tblpY="1"/>
        <w:tblOverlap w:val="never"/>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072"/>
        <w:gridCol w:w="599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286" w:type="dxa"/>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评分项目</w:t>
            </w:r>
          </w:p>
        </w:tc>
        <w:tc>
          <w:tcPr>
            <w:tcW w:w="7068" w:type="dxa"/>
            <w:gridSpan w:val="2"/>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评分细则</w:t>
            </w:r>
          </w:p>
        </w:tc>
        <w:tc>
          <w:tcPr>
            <w:tcW w:w="664" w:type="dxa"/>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restart"/>
            <w:tcMar>
              <w:top w:w="57" w:type="dxa"/>
              <w:left w:w="108" w:type="dxa"/>
              <w:bottom w:w="0" w:type="dxa"/>
              <w:right w:w="108" w:type="dxa"/>
            </w:tcMar>
            <w:vAlign w:val="center"/>
          </w:tcPr>
          <w:p>
            <w:pPr>
              <w:pStyle w:val="8"/>
              <w:ind w:firstLine="0"/>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技术性能</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46分</w:t>
            </w: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需求分析及技术方案</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根据投标人对本项目的理解，对需求及应用的了解程度，针对本项目出具的技术方案的可操作性、部署简便等方面综合评分：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①对本项目需求理解透彻、</w:t>
            </w:r>
            <w:r>
              <w:rPr>
                <w:rFonts w:hint="eastAsia" w:ascii="宋体" w:hAnsi="宋体" w:cs="宋体"/>
                <w:kern w:val="0"/>
                <w:szCs w:val="21"/>
              </w:rPr>
              <w:t>认识深刻，重点难点分析非常准确透彻清晰，</w:t>
            </w:r>
            <w:r>
              <w:rPr>
                <w:rFonts w:hint="eastAsia" w:ascii="宋体" w:hAnsi="宋体" w:cs="宋体"/>
                <w:color w:val="000000" w:themeColor="text1"/>
                <w:szCs w:val="21"/>
                <w14:textFill>
                  <w14:solidFill>
                    <w14:schemeClr w14:val="tx1"/>
                  </w14:solidFill>
                </w14:textFill>
              </w:rPr>
              <w:t>出具的技术方案可操作性强、部署简便的，得4-3.1分；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②对本项目需求理解较清晰、</w:t>
            </w:r>
            <w:r>
              <w:rPr>
                <w:rFonts w:hint="eastAsia" w:ascii="宋体" w:hAnsi="宋体" w:cs="宋体"/>
                <w:kern w:val="0"/>
                <w:szCs w:val="21"/>
              </w:rPr>
              <w:t>认识较深刻，重点难点分析基本准确，</w:t>
            </w:r>
            <w:r>
              <w:rPr>
                <w:rFonts w:hint="eastAsia" w:ascii="宋体" w:hAnsi="宋体" w:cs="宋体"/>
                <w:color w:val="000000" w:themeColor="text1"/>
                <w:szCs w:val="21"/>
                <w14:textFill>
                  <w14:solidFill>
                    <w14:schemeClr w14:val="tx1"/>
                  </w14:solidFill>
                </w14:textFill>
              </w:rPr>
              <w:t>出具的技术方案可操作的，得3-1.6分；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③对本项目</w:t>
            </w:r>
            <w:r>
              <w:rPr>
                <w:rFonts w:hint="eastAsia" w:ascii="宋体" w:hAnsi="宋体" w:cs="宋体"/>
                <w:kern w:val="0"/>
                <w:szCs w:val="21"/>
              </w:rPr>
              <w:t>需求认识偏弱、</w:t>
            </w:r>
            <w:r>
              <w:rPr>
                <w:rFonts w:hint="eastAsia" w:ascii="宋体" w:hAnsi="宋体" w:cs="宋体"/>
                <w:color w:val="000000" w:themeColor="text1"/>
                <w:szCs w:val="21"/>
                <w14:textFill>
                  <w14:solidFill>
                    <w14:schemeClr w14:val="tx1"/>
                  </w14:solidFill>
                </w14:textFill>
              </w:rPr>
              <w:t>理解简略，出具的方案较难实施的，得1.5-0.6分；</w:t>
            </w:r>
          </w:p>
          <w:p>
            <w:pPr>
              <w:pStyle w:val="9"/>
              <w:rPr>
                <w:rFonts w:ascii="宋体" w:hAnsi="宋体" w:cs="宋体"/>
                <w:szCs w:val="21"/>
              </w:rPr>
            </w:pPr>
            <w:r>
              <w:rPr>
                <w:rFonts w:hint="eastAsia" w:ascii="宋体" w:hAnsi="宋体" w:cs="宋体"/>
                <w:color w:val="000000" w:themeColor="text1"/>
                <w:szCs w:val="21"/>
                <w14:textFill>
                  <w14:solidFill>
                    <w14:schemeClr w14:val="tx1"/>
                  </w14:solidFill>
                </w14:textFill>
              </w:rPr>
              <w:t>④对项目理解混乱，方案合理性较差的得0.5-0分。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vMerge w:val="restart"/>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实施方案</w:t>
            </w: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根据投标人按照本项目需求状况提出的项目实施方案，包括设备供货、验货、安装调试、系统对接、试运行、测试、调优等内容进行综合评分：</w:t>
            </w:r>
          </w:p>
          <w:p>
            <w:pPr>
              <w:rPr>
                <w:rFonts w:ascii="宋体" w:hAnsi="宋体" w:cs="宋体"/>
                <w:szCs w:val="21"/>
              </w:rPr>
            </w:pPr>
            <w:r>
              <w:rPr>
                <w:rFonts w:hint="eastAsia" w:ascii="宋体" w:hAnsi="宋体" w:cs="宋体"/>
                <w:szCs w:val="21"/>
              </w:rPr>
              <w:t>①项目实施方案科学合理，技术力量和人力资源安排充足的，得2-1.6分；</w:t>
            </w:r>
          </w:p>
          <w:p>
            <w:pPr>
              <w:rPr>
                <w:rFonts w:ascii="宋体" w:hAnsi="宋体" w:cs="宋体"/>
                <w:szCs w:val="21"/>
              </w:rPr>
            </w:pPr>
            <w:r>
              <w:rPr>
                <w:rFonts w:hint="eastAsia" w:ascii="宋体" w:hAnsi="宋体" w:cs="宋体"/>
                <w:szCs w:val="21"/>
              </w:rPr>
              <w:t>②实施方案基本合理但存在一定缺陷的，得1.5-1分；</w:t>
            </w:r>
          </w:p>
          <w:p>
            <w:pPr>
              <w:rPr>
                <w:rFonts w:ascii="宋体" w:hAnsi="宋体" w:cs="宋体"/>
                <w:szCs w:val="21"/>
              </w:rPr>
            </w:pPr>
            <w:r>
              <w:rPr>
                <w:rFonts w:hint="eastAsia" w:ascii="宋体" w:hAnsi="宋体" w:cs="宋体"/>
                <w:szCs w:val="21"/>
              </w:rPr>
              <w:t>③实施方案合理性欠佳的，得0.9-0分。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vMerge w:val="continue"/>
            <w:tcMar>
              <w:top w:w="57" w:type="dxa"/>
              <w:left w:w="108" w:type="dxa"/>
              <w:bottom w:w="0" w:type="dxa"/>
              <w:right w:w="108" w:type="dxa"/>
            </w:tcMar>
            <w:vAlign w:val="center"/>
          </w:tcPr>
          <w:p>
            <w:pPr>
              <w:pStyle w:val="9"/>
              <w:rPr>
                <w:rFonts w:ascii="宋体" w:hAnsi="宋体" w:cs="宋体"/>
                <w:b/>
                <w:bCs/>
                <w:color w:val="000000" w:themeColor="text1"/>
                <w:szCs w:val="21"/>
                <w14:textFill>
                  <w14:solidFill>
                    <w14:schemeClr w14:val="tx1"/>
                  </w14:solidFill>
                </w14:textFill>
              </w:rPr>
            </w:pPr>
          </w:p>
        </w:tc>
        <w:tc>
          <w:tcPr>
            <w:tcW w:w="5996" w:type="dxa"/>
            <w:tcMar>
              <w:top w:w="57" w:type="dxa"/>
              <w:left w:w="108" w:type="dxa"/>
              <w:bottom w:w="0" w:type="dxa"/>
              <w:right w:w="108" w:type="dxa"/>
            </w:tcMar>
            <w:vAlign w:val="center"/>
          </w:tcPr>
          <w:p>
            <w:pPr>
              <w:pStyle w:val="9"/>
              <w:rPr>
                <w:rFonts w:ascii="宋体" w:hAnsi="宋体" w:cs="宋体"/>
                <w:szCs w:val="21"/>
              </w:rPr>
            </w:pPr>
            <w:r>
              <w:rPr>
                <w:rFonts w:hint="eastAsia" w:ascii="宋体" w:hAnsi="宋体" w:cs="宋体"/>
                <w:szCs w:val="21"/>
              </w:rPr>
              <w:t>根据投标人提出的项目实施计划，包括项目实施进度，故障响应方案等内容进行综合评分：</w:t>
            </w:r>
          </w:p>
          <w:p>
            <w:pPr>
              <w:pStyle w:val="9"/>
              <w:rPr>
                <w:rFonts w:ascii="宋体" w:hAnsi="宋体" w:cs="宋体"/>
                <w:szCs w:val="21"/>
              </w:rPr>
            </w:pPr>
            <w:r>
              <w:rPr>
                <w:rFonts w:hint="eastAsia" w:ascii="宋体" w:hAnsi="宋体" w:cs="宋体"/>
                <w:szCs w:val="21"/>
              </w:rPr>
              <w:t>①实施计划明确、合理、可行性强的，得2-1.6分；</w:t>
            </w:r>
          </w:p>
          <w:p>
            <w:pPr>
              <w:pStyle w:val="9"/>
              <w:rPr>
                <w:rFonts w:ascii="宋体" w:hAnsi="宋体" w:cs="宋体"/>
                <w:szCs w:val="21"/>
              </w:rPr>
            </w:pPr>
            <w:r>
              <w:rPr>
                <w:rFonts w:hint="eastAsia" w:ascii="宋体" w:hAnsi="宋体" w:cs="宋体"/>
                <w:szCs w:val="21"/>
              </w:rPr>
              <w:t>②实施计划基本合理但存在一定缺陷的，得1.5-1分；</w:t>
            </w:r>
          </w:p>
          <w:p>
            <w:pPr>
              <w:pStyle w:val="9"/>
              <w:rPr>
                <w:rFonts w:ascii="宋体" w:hAnsi="宋体" w:cs="宋体"/>
                <w:szCs w:val="21"/>
              </w:rPr>
            </w:pPr>
            <w:r>
              <w:rPr>
                <w:rFonts w:hint="eastAsia" w:ascii="宋体" w:hAnsi="宋体" w:cs="宋体"/>
                <w:szCs w:val="21"/>
              </w:rPr>
              <w:t>③实施计划合理性欠佳的，得0.9-0分。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vMerge w:val="continue"/>
            <w:tcMar>
              <w:top w:w="57" w:type="dxa"/>
              <w:left w:w="108" w:type="dxa"/>
              <w:bottom w:w="0" w:type="dxa"/>
              <w:right w:w="108" w:type="dxa"/>
            </w:tcMar>
            <w:vAlign w:val="center"/>
          </w:tcPr>
          <w:p>
            <w:pPr>
              <w:pStyle w:val="9"/>
              <w:rPr>
                <w:rFonts w:ascii="宋体" w:hAnsi="宋体" w:cs="宋体"/>
                <w:b/>
                <w:bCs/>
                <w:color w:val="000000" w:themeColor="text1"/>
                <w:szCs w:val="21"/>
                <w14:textFill>
                  <w14:solidFill>
                    <w14:schemeClr w14:val="tx1"/>
                  </w14:solidFill>
                </w14:textFill>
              </w:rPr>
            </w:pPr>
          </w:p>
        </w:tc>
        <w:tc>
          <w:tcPr>
            <w:tcW w:w="5996" w:type="dxa"/>
            <w:tcMar>
              <w:top w:w="57" w:type="dxa"/>
              <w:left w:w="108" w:type="dxa"/>
              <w:bottom w:w="0" w:type="dxa"/>
              <w:right w:w="108" w:type="dxa"/>
            </w:tcMar>
            <w:vAlign w:val="center"/>
          </w:tcPr>
          <w:p>
            <w:pPr>
              <w:pStyle w:val="9"/>
              <w:rPr>
                <w:rFonts w:ascii="宋体" w:hAnsi="宋体" w:cs="宋体"/>
                <w:szCs w:val="21"/>
              </w:rPr>
            </w:pPr>
            <w:r>
              <w:rPr>
                <w:rFonts w:hint="eastAsia" w:ascii="宋体" w:hAnsi="宋体" w:cs="宋体"/>
                <w:szCs w:val="21"/>
              </w:rPr>
              <w:t>根据投标人提出的供货方案，包括供货措施、供货响应时间，供货流程安排、设备调试安排等内容进行评分：</w:t>
            </w:r>
          </w:p>
          <w:p>
            <w:pPr>
              <w:pStyle w:val="9"/>
              <w:rPr>
                <w:rFonts w:ascii="宋体" w:hAnsi="宋体" w:cs="宋体"/>
                <w:szCs w:val="21"/>
              </w:rPr>
            </w:pPr>
            <w:r>
              <w:rPr>
                <w:rFonts w:hint="eastAsia" w:ascii="宋体" w:hAnsi="宋体" w:cs="宋体"/>
                <w:szCs w:val="21"/>
              </w:rPr>
              <w:t>①承诺早于招标文件要求时间完成供货，供货方案内容合理、具体、全面、可操作性强的得2-1.6分；</w:t>
            </w:r>
          </w:p>
          <w:p>
            <w:pPr>
              <w:pStyle w:val="9"/>
              <w:rPr>
                <w:rFonts w:ascii="宋体" w:hAnsi="宋体" w:cs="宋体"/>
                <w:szCs w:val="21"/>
              </w:rPr>
            </w:pPr>
            <w:r>
              <w:rPr>
                <w:rFonts w:hint="eastAsia" w:ascii="宋体" w:hAnsi="宋体" w:cs="宋体"/>
                <w:szCs w:val="21"/>
              </w:rPr>
              <w:t>②供货方案基本合理但存在一定缺陷的，得1.5-1分；</w:t>
            </w:r>
          </w:p>
          <w:p>
            <w:pPr>
              <w:pStyle w:val="9"/>
              <w:rPr>
                <w:rFonts w:ascii="宋体" w:hAnsi="宋体" w:cs="宋体"/>
                <w:szCs w:val="21"/>
              </w:rPr>
            </w:pPr>
            <w:r>
              <w:rPr>
                <w:rFonts w:hint="eastAsia" w:ascii="宋体" w:hAnsi="宋体" w:cs="宋体"/>
                <w:szCs w:val="21"/>
              </w:rPr>
              <w:t>③供货方案合理性欠佳的，得0.9-0分。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参数响应</w:t>
            </w:r>
          </w:p>
        </w:tc>
        <w:tc>
          <w:tcPr>
            <w:tcW w:w="5996" w:type="dxa"/>
            <w:tcMar>
              <w:top w:w="57" w:type="dxa"/>
              <w:left w:w="108" w:type="dxa"/>
              <w:bottom w:w="0" w:type="dxa"/>
              <w:right w:w="108" w:type="dxa"/>
            </w:tcMar>
            <w:vAlign w:val="center"/>
          </w:tcPr>
          <w:p>
            <w:pPr>
              <w:pStyle w:val="9"/>
              <w:rPr>
                <w:rFonts w:ascii="宋体" w:hAnsi="宋体" w:cs="宋体"/>
                <w:szCs w:val="21"/>
              </w:rPr>
            </w:pPr>
            <w:r>
              <w:rPr>
                <w:rFonts w:hint="eastAsia" w:ascii="宋体" w:hAnsi="宋体" w:cs="宋体"/>
                <w:szCs w:val="21"/>
              </w:rPr>
              <w:t>根据所投产品的技术参数和配置的偏离情况进行打分（技术参数表中特殊备注项为产品演示内容，不参与负偏离扣分）：</w:t>
            </w:r>
          </w:p>
          <w:p>
            <w:pPr>
              <w:pStyle w:val="9"/>
              <w:rPr>
                <w:rFonts w:ascii="宋体" w:hAnsi="宋体" w:cs="宋体"/>
                <w:szCs w:val="21"/>
              </w:rPr>
            </w:pPr>
            <w:r>
              <w:rPr>
                <w:rFonts w:hint="eastAsia" w:ascii="宋体" w:hAnsi="宋体" w:cs="宋体"/>
                <w:szCs w:val="21"/>
              </w:rPr>
              <w:t>①完全满足或高于招标文件要求的，得2</w:t>
            </w:r>
            <w:r>
              <w:rPr>
                <w:rFonts w:ascii="宋体" w:hAnsi="宋体" w:cs="宋体"/>
                <w:szCs w:val="21"/>
              </w:rPr>
              <w:t>4</w:t>
            </w:r>
            <w:r>
              <w:rPr>
                <w:rFonts w:hint="eastAsia" w:ascii="宋体" w:hAnsi="宋体" w:cs="宋体"/>
                <w:szCs w:val="21"/>
              </w:rPr>
              <w:t>分；</w:t>
            </w:r>
          </w:p>
          <w:p>
            <w:pPr>
              <w:pStyle w:val="9"/>
              <w:rPr>
                <w:rFonts w:ascii="宋体" w:hAnsi="宋体" w:cs="宋体"/>
                <w:szCs w:val="21"/>
              </w:rPr>
            </w:pPr>
            <w:r>
              <w:rPr>
                <w:rFonts w:hint="eastAsia" w:ascii="宋体" w:hAnsi="宋体" w:cs="宋体"/>
                <w:szCs w:val="21"/>
              </w:rPr>
              <w:t>②核心产品（IDV桌面云终端、云桌面服务中心平台）中，重要性能指标（★）每有一项负偏离或未响应的扣</w:t>
            </w:r>
            <w:r>
              <w:rPr>
                <w:rFonts w:ascii="宋体" w:hAnsi="宋体" w:cs="宋体"/>
                <w:szCs w:val="21"/>
              </w:rPr>
              <w:t>4</w:t>
            </w:r>
            <w:r>
              <w:rPr>
                <w:rFonts w:hint="eastAsia" w:ascii="宋体" w:hAnsi="宋体" w:cs="宋体"/>
                <w:szCs w:val="21"/>
              </w:rPr>
              <w:t>分，其他性能指标每有一项负偏离或未响应的扣</w:t>
            </w:r>
            <w:r>
              <w:rPr>
                <w:rFonts w:ascii="宋体" w:hAnsi="宋体" w:cs="宋体"/>
                <w:szCs w:val="21"/>
              </w:rPr>
              <w:t>2</w:t>
            </w:r>
            <w:r>
              <w:rPr>
                <w:rFonts w:hint="eastAsia" w:ascii="宋体" w:hAnsi="宋体" w:cs="宋体"/>
                <w:szCs w:val="21"/>
              </w:rPr>
              <w:t>分；</w:t>
            </w:r>
          </w:p>
          <w:p>
            <w:pPr>
              <w:pStyle w:val="9"/>
              <w:rPr>
                <w:rFonts w:ascii="宋体" w:hAnsi="宋体" w:cs="宋体"/>
                <w:szCs w:val="21"/>
              </w:rPr>
            </w:pPr>
            <w:r>
              <w:rPr>
                <w:rFonts w:hint="eastAsia" w:ascii="宋体" w:hAnsi="宋体" w:cs="宋体"/>
                <w:szCs w:val="21"/>
              </w:rPr>
              <w:t>③非核心产品中，重要性能指标（★）每有一项负偏离或未响应的扣1分，其他性能指标每有一项负偏离或未响应的扣0.5分。</w:t>
            </w:r>
          </w:p>
          <w:p>
            <w:pPr>
              <w:pStyle w:val="9"/>
              <w:rPr>
                <w:rFonts w:ascii="宋体" w:hAnsi="宋体" w:cs="宋体"/>
                <w:b/>
                <w:bCs/>
                <w:szCs w:val="21"/>
              </w:rPr>
            </w:pPr>
            <w:r>
              <w:rPr>
                <w:rFonts w:hint="eastAsia" w:ascii="宋体" w:hAnsi="宋体" w:cs="宋体"/>
                <w:b/>
                <w:bCs/>
                <w:szCs w:val="21"/>
              </w:rPr>
              <w:t>注：①本评分项评分扣完为止；</w:t>
            </w:r>
          </w:p>
          <w:p>
            <w:pPr>
              <w:pStyle w:val="9"/>
              <w:rPr>
                <w:rFonts w:ascii="宋体" w:hAnsi="宋体" w:cs="宋体"/>
                <w:b/>
                <w:bCs/>
                <w:szCs w:val="21"/>
              </w:rPr>
            </w:pPr>
            <w:r>
              <w:rPr>
                <w:rFonts w:hint="eastAsia" w:ascii="宋体" w:hAnsi="宋体" w:cs="宋体"/>
                <w:b/>
                <w:bCs/>
                <w:szCs w:val="21"/>
              </w:rPr>
              <w:t>②技术参数中要求提供证明材料而未提供的，视为负偏离；</w:t>
            </w:r>
          </w:p>
          <w:p>
            <w:pPr>
              <w:pStyle w:val="9"/>
            </w:pPr>
            <w:r>
              <w:rPr>
                <w:rFonts w:hint="eastAsia" w:ascii="宋体" w:hAnsi="宋体" w:cs="宋体"/>
                <w:b/>
                <w:bCs/>
                <w:szCs w:val="21"/>
              </w:rPr>
              <w:t>③所有产品重要性能指标（★）负偏离8项（含）以上的为无效标。</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产品演示</w:t>
            </w: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投标人根据演示清单内容逐条进行演示，演示时间限制15分钟。</w:t>
            </w:r>
          </w:p>
          <w:p>
            <w:pPr>
              <w:pStyle w:val="9"/>
              <w:rPr>
                <w:rFonts w:ascii="宋体" w:hAnsi="宋体" w:cs="宋体"/>
                <w:szCs w:val="21"/>
              </w:rPr>
            </w:pPr>
            <w:r>
              <w:rPr>
                <w:rFonts w:hint="eastAsia" w:ascii="宋体" w:hAnsi="宋体" w:cs="宋体"/>
                <w:szCs w:val="21"/>
              </w:rPr>
              <w:t>根据6条功能演示情况进行逐条打分，使用真实系统演示的，每条最高得2分，本项最高得12分；使用其他方式演示的，按以下评分标准打分后减半处理（精确到小数点后2位），每条最高得1分，本项最高得6分：</w:t>
            </w:r>
          </w:p>
          <w:p>
            <w:pPr>
              <w:pStyle w:val="9"/>
              <w:rPr>
                <w:rFonts w:ascii="宋体" w:hAnsi="宋体" w:cs="宋体"/>
                <w:szCs w:val="21"/>
              </w:rPr>
            </w:pPr>
            <w:r>
              <w:rPr>
                <w:rFonts w:hint="eastAsia" w:ascii="宋体" w:hAnsi="宋体" w:cs="宋体"/>
                <w:szCs w:val="21"/>
              </w:rPr>
              <w:t>①需要实现的功能完整，且易用性、实用性强，实现方法先进的，得2-1.6分；</w:t>
            </w:r>
          </w:p>
          <w:p>
            <w:pPr>
              <w:pStyle w:val="9"/>
              <w:rPr>
                <w:rFonts w:ascii="宋体" w:hAnsi="宋体" w:cs="宋体"/>
                <w:szCs w:val="21"/>
              </w:rPr>
            </w:pPr>
            <w:r>
              <w:rPr>
                <w:rFonts w:hint="eastAsia" w:ascii="宋体" w:hAnsi="宋体" w:cs="宋体"/>
                <w:szCs w:val="21"/>
              </w:rPr>
              <w:t>②需要实现的功能完整，但易用性、实用性一般，实现方法不够先进的，得1.5-0.6分；</w:t>
            </w:r>
          </w:p>
          <w:p>
            <w:pPr>
              <w:pStyle w:val="9"/>
              <w:rPr>
                <w:rFonts w:ascii="宋体" w:hAnsi="宋体" w:cs="宋体"/>
                <w:szCs w:val="21"/>
              </w:rPr>
            </w:pPr>
            <w:r>
              <w:rPr>
                <w:rFonts w:hint="eastAsia" w:ascii="宋体" w:hAnsi="宋体" w:cs="宋体"/>
                <w:szCs w:val="21"/>
              </w:rPr>
              <w:t>③需要实现的功能不完整的，得0.5-0.1分；</w:t>
            </w:r>
          </w:p>
          <w:p>
            <w:pPr>
              <w:pStyle w:val="9"/>
              <w:rPr>
                <w:rFonts w:ascii="宋体" w:hAnsi="宋体" w:cs="宋体"/>
                <w:szCs w:val="21"/>
              </w:rPr>
            </w:pPr>
            <w:r>
              <w:rPr>
                <w:rFonts w:hint="eastAsia" w:ascii="宋体" w:hAnsi="宋体" w:cs="宋体"/>
                <w:szCs w:val="21"/>
              </w:rPr>
              <w:t>④需要实现的功能完全未实现的，此条不得分。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restart"/>
            <w:tcMar>
              <w:top w:w="57" w:type="dxa"/>
              <w:left w:w="108" w:type="dxa"/>
              <w:bottom w:w="0" w:type="dxa"/>
              <w:right w:w="108" w:type="dxa"/>
            </w:tcMar>
            <w:vAlign w:val="center"/>
          </w:tcPr>
          <w:p>
            <w:pPr>
              <w:pStyle w:val="8"/>
              <w:ind w:firstLine="0"/>
              <w:jc w:val="center"/>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实力信誉及业绩</w:t>
            </w:r>
          </w:p>
          <w:p>
            <w:pPr>
              <w:adjustRightInd w:val="0"/>
              <w:snapToGrid w:val="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13分</w:t>
            </w: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投标人</w:t>
            </w:r>
          </w:p>
          <w:p>
            <w:pPr>
              <w:pStyle w:val="9"/>
              <w:rPr>
                <w:rFonts w:ascii="宋体" w:hAnsi="宋体" w:cs="宋体"/>
                <w:b/>
                <w:bCs/>
                <w:szCs w:val="21"/>
              </w:rPr>
            </w:pPr>
            <w:r>
              <w:rPr>
                <w:rFonts w:hint="eastAsia" w:ascii="宋体" w:hAnsi="宋体" w:cs="宋体"/>
                <w:b/>
                <w:bCs/>
                <w:szCs w:val="21"/>
              </w:rPr>
              <w:t>资质</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投标人具有：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①有效期内的ISO27001信息安全管理体系认证证书的，得2分；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②有效期内的ISO09001质量管理体系认证证书的，得1分；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③有效期内的ISO14001环境管理体系认证证书的，得1分；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④有效期内的ISO45001职业健康安全管理体系认证证书的，得1分。</w:t>
            </w:r>
          </w:p>
          <w:p>
            <w:pPr>
              <w:pStyle w:val="9"/>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注：提供相关证书原件扫描件并加盖公章，不提供不得分。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投标人</w:t>
            </w:r>
          </w:p>
          <w:p>
            <w:pPr>
              <w:pStyle w:val="9"/>
              <w:rPr>
                <w:rFonts w:ascii="宋体" w:hAnsi="宋体" w:cs="宋体"/>
                <w:b/>
                <w:bCs/>
                <w:szCs w:val="21"/>
              </w:rPr>
            </w:pPr>
            <w:r>
              <w:rPr>
                <w:rFonts w:hint="eastAsia" w:ascii="宋体" w:hAnsi="宋体" w:cs="宋体"/>
                <w:b/>
                <w:bCs/>
                <w:szCs w:val="21"/>
              </w:rPr>
              <w:t>业绩</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投标人自2019年10月以来（以合同签订时间为准），承建过与本项目类似的项目案例的，每个得1分，最高得2分。</w:t>
            </w:r>
          </w:p>
          <w:p>
            <w:pPr>
              <w:pStyle w:val="9"/>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注：提供合同原件扫描件并加盖公章，如为联合体，需为联合体牵头单位，不提供不得分。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vMerge w:val="restart"/>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项目团队配置</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①项目负责人具有信息系统项目管理师或PMP证书的，得2分；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项目技术负责人具有国家注册信息安全工程师、高级智能化系统集成项目经理、国家注册信息安全工程师、数据隐私解决方案工程师证书、弱电系统工程师证书、智能化系统集成项目经理证书的，每个得1分，最高得2分。</w:t>
            </w:r>
          </w:p>
          <w:p>
            <w:pP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注：须提供提供证书扫描件及投标人为其缴纳的近三个月社保证明，资料加盖公章，未按要求提供的不得分；项目负责人、项目技术负责人在项目实施过程中不得擅自更换。</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vMerge w:val="continue"/>
            <w:tcMar>
              <w:top w:w="57" w:type="dxa"/>
              <w:left w:w="108" w:type="dxa"/>
              <w:bottom w:w="0" w:type="dxa"/>
              <w:right w:w="108" w:type="dxa"/>
            </w:tcMar>
            <w:vAlign w:val="center"/>
          </w:tcPr>
          <w:p>
            <w:pPr>
              <w:pStyle w:val="9"/>
              <w:rPr>
                <w:rFonts w:ascii="宋体" w:hAnsi="宋体" w:cs="宋体"/>
                <w:b/>
                <w:bCs/>
                <w:szCs w:val="21"/>
              </w:rPr>
            </w:pP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项目组成员具有网络工程师、智能化系统集成项目经理证书、弱电系统集成项目经理证书、弱电系统工程师证书、信息系统项目管理师证书的，每一位项目成员有一本或以上得1分，最高2分。</w:t>
            </w:r>
          </w:p>
          <w:p>
            <w:pP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注：一人多证只计一次得分，不得累积加分；须提供提供证书扫描件及投标人为其缴纳的近三个月社保证明，资料加盖公章，未按要求提供的不得分。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restart"/>
            <w:tcMar>
              <w:top w:w="57" w:type="dxa"/>
              <w:left w:w="108" w:type="dxa"/>
              <w:bottom w:w="0" w:type="dxa"/>
              <w:right w:w="108" w:type="dxa"/>
            </w:tcMar>
            <w:vAlign w:val="center"/>
          </w:tcPr>
          <w:p>
            <w:pPr>
              <w:pStyle w:val="8"/>
              <w:ind w:firstLine="0"/>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售后服务承诺</w:t>
            </w:r>
          </w:p>
          <w:p>
            <w:pPr>
              <w:adjustRightInd w:val="0"/>
              <w:snapToGrid w:val="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11分</w:t>
            </w: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质保期</w:t>
            </w:r>
          </w:p>
        </w:tc>
        <w:tc>
          <w:tcPr>
            <w:tcW w:w="5996" w:type="dxa"/>
            <w:tcMar>
              <w:top w:w="57" w:type="dxa"/>
              <w:left w:w="108" w:type="dxa"/>
              <w:bottom w:w="0" w:type="dxa"/>
              <w:right w:w="108" w:type="dxa"/>
            </w:tcMar>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在满足招标文件要求的免费质保期（3年）的基础上每延长一年加1分，最多加3分，延长时间不足一年的不计入加分。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vMerge w:val="restart"/>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售后服务</w:t>
            </w:r>
          </w:p>
        </w:tc>
        <w:tc>
          <w:tcPr>
            <w:tcW w:w="5996" w:type="dxa"/>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根据投标人提供的保修期内售后服务进行打分：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①承诺在接到设备故障通知后，在1小时内响应，严重故障4小时内赶到现场，8小时内修复；</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②针对本项目有本地售后服务网点（需提供营业执照），或在投标文件中承诺中标后设立本地售后服务网点；</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③在采购人处放置桌面云终端、台式计算机备品备件，备品备件数量不少于</w:t>
            </w: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w:t>
            </w:r>
          </w:p>
          <w:p>
            <w:pP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以上三项每满足一项得</w:t>
            </w: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分，不满足不得分，最高得</w:t>
            </w:r>
            <w:r>
              <w:rPr>
                <w:rFonts w:hint="eastAsia" w:ascii="宋体" w:hAnsi="宋体" w:cs="宋体"/>
                <w:color w:val="000000" w:themeColor="text1"/>
                <w:spacing w:val="-2"/>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vMerge w:val="continue"/>
            <w:tcMar>
              <w:top w:w="57" w:type="dxa"/>
              <w:left w:w="108" w:type="dxa"/>
              <w:bottom w:w="0" w:type="dxa"/>
              <w:right w:w="108" w:type="dxa"/>
            </w:tcMar>
            <w:vAlign w:val="center"/>
          </w:tcPr>
          <w:p>
            <w:pPr>
              <w:pStyle w:val="9"/>
              <w:rPr>
                <w:rFonts w:ascii="宋体" w:hAnsi="宋体" w:cs="宋体"/>
                <w:b/>
                <w:bCs/>
                <w:szCs w:val="21"/>
              </w:rPr>
            </w:pP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根据投标人提供的保修期内售后服务方案，包括售后服务方案保障方案、常见问题方法的处理、售后服务人员配置等内容进行综合评分：</w:t>
            </w:r>
          </w:p>
          <w:p>
            <w:pPr>
              <w:jc w:val="left"/>
              <w:rPr>
                <w:rFonts w:ascii="宋体" w:hAnsi="宋体" w:cs="宋体"/>
                <w:szCs w:val="21"/>
              </w:rPr>
            </w:pPr>
            <w:r>
              <w:rPr>
                <w:rFonts w:hint="eastAsia" w:ascii="宋体" w:hAnsi="宋体" w:cs="宋体"/>
                <w:szCs w:val="21"/>
              </w:rPr>
              <w:t>①服务方案措施明确、可行性强，对常见问题考虑周到，并能提出切实有效处理办法，售后服务人员配置充足的，得3-2.1分；</w:t>
            </w:r>
          </w:p>
          <w:p>
            <w:pPr>
              <w:jc w:val="left"/>
              <w:rPr>
                <w:rFonts w:ascii="宋体" w:hAnsi="宋体" w:cs="宋体"/>
                <w:szCs w:val="21"/>
              </w:rPr>
            </w:pPr>
            <w:r>
              <w:rPr>
                <w:rFonts w:hint="eastAsia" w:ascii="宋体" w:hAnsi="宋体" w:cs="宋体"/>
                <w:szCs w:val="21"/>
              </w:rPr>
              <w:t>②服务方案措施较明确，对常见问题考虑较周到，并能提出切实有效处理办法，售后服务人员配置一般的，得2-1.1分；</w:t>
            </w:r>
          </w:p>
          <w:p>
            <w:pPr>
              <w:jc w:val="left"/>
              <w:rPr>
                <w:rFonts w:ascii="宋体" w:hAnsi="宋体" w:cs="宋体"/>
                <w:szCs w:val="21"/>
              </w:rPr>
            </w:pPr>
            <w:r>
              <w:rPr>
                <w:rFonts w:hint="eastAsia" w:ascii="宋体" w:hAnsi="宋体" w:cs="宋体"/>
                <w:szCs w:val="21"/>
              </w:rPr>
              <w:t>③服务方案措施不够明确，服务承诺片面，对常见问题考虑不够周到或未分析常见问题的，售后服务人员配置不足或无具体服务人员的，得1-0.1分；</w:t>
            </w:r>
          </w:p>
          <w:p>
            <w:pPr>
              <w:rPr>
                <w:rFonts w:ascii="宋体" w:hAnsi="宋体" w:cs="宋体"/>
                <w:szCs w:val="21"/>
              </w:rPr>
            </w:pPr>
            <w:r>
              <w:rPr>
                <w:rFonts w:hint="eastAsia" w:ascii="宋体" w:hAnsi="宋体" w:cs="宋体"/>
                <w:szCs w:val="21"/>
              </w:rPr>
              <w:t>④未提及此项的不得分。</w:t>
            </w:r>
          </w:p>
          <w:p>
            <w:pPr>
              <w:pStyle w:val="8"/>
              <w:ind w:firstLine="0"/>
              <w:rPr>
                <w:rFonts w:ascii="宋体" w:hAnsi="宋体" w:cs="宋体"/>
                <w:szCs w:val="21"/>
              </w:rPr>
            </w:pPr>
            <w:r>
              <w:rPr>
                <w:rFonts w:hint="eastAsia" w:ascii="宋体" w:hAnsi="宋体" w:cs="宋体"/>
                <w:b/>
                <w:bCs/>
                <w:color w:val="000000" w:themeColor="text1"/>
                <w:szCs w:val="21"/>
                <w14:textFill>
                  <w14:solidFill>
                    <w14:schemeClr w14:val="tx1"/>
                  </w14:solidFill>
                </w14:textFill>
              </w:rPr>
              <w:t>注：售后服务人员需提供投标人为其缴纳的近三个月社保证明、认证证书的扫描件。</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rPr>
                <w:rFonts w:ascii="宋体" w:hAnsi="宋体" w:cs="宋体"/>
                <w:b/>
                <w:bCs/>
                <w:szCs w:val="21"/>
              </w:rPr>
            </w:pPr>
            <w:r>
              <w:rPr>
                <w:rFonts w:hint="eastAsia" w:ascii="宋体" w:hAnsi="宋体" w:cs="宋体"/>
                <w:b/>
                <w:bCs/>
                <w:szCs w:val="21"/>
              </w:rPr>
              <w:t>培训方案</w:t>
            </w:r>
          </w:p>
        </w:tc>
        <w:tc>
          <w:tcPr>
            <w:tcW w:w="5996" w:type="dxa"/>
            <w:tcMar>
              <w:top w:w="57" w:type="dxa"/>
              <w:left w:w="108" w:type="dxa"/>
              <w:bottom w:w="0" w:type="dxa"/>
              <w:right w:w="108" w:type="dxa"/>
            </w:tcMar>
            <w:vAlign w:val="center"/>
          </w:tcPr>
          <w:p>
            <w:pPr>
              <w:widowControl/>
              <w:jc w:val="left"/>
              <w:rPr>
                <w:rFonts w:ascii="宋体" w:hAnsi="宋体" w:cs="宋体"/>
                <w:szCs w:val="21"/>
              </w:rPr>
            </w:pPr>
            <w:r>
              <w:rPr>
                <w:rFonts w:hint="eastAsia" w:ascii="宋体" w:hAnsi="宋体" w:cs="宋体"/>
                <w:szCs w:val="21"/>
              </w:rPr>
              <w:t>投标人应提供完整、可行的培训计划和培训实施方案，明确具体培训与实施计划（含对相关的系统维护管理人员、业务管理人员和业务经办人员等的培训）。根据投标人提出的培训方案进行综合评分：</w:t>
            </w:r>
          </w:p>
          <w:p>
            <w:pPr>
              <w:widowControl/>
              <w:jc w:val="left"/>
              <w:rPr>
                <w:rFonts w:ascii="宋体" w:hAnsi="宋体" w:cs="宋体"/>
                <w:szCs w:val="21"/>
              </w:rPr>
            </w:pPr>
            <w:r>
              <w:rPr>
                <w:rFonts w:hint="eastAsia" w:ascii="宋体" w:hAnsi="宋体" w:cs="宋体"/>
                <w:szCs w:val="21"/>
              </w:rPr>
              <w:t>1.培训方案合理、详细、完备，培训计划及安排详细、可落地的，得2-1.6分；</w:t>
            </w:r>
          </w:p>
          <w:p>
            <w:pPr>
              <w:widowControl/>
              <w:jc w:val="left"/>
              <w:rPr>
                <w:rFonts w:ascii="宋体" w:hAnsi="宋体" w:cs="宋体"/>
                <w:szCs w:val="21"/>
              </w:rPr>
            </w:pPr>
            <w:r>
              <w:rPr>
                <w:rFonts w:hint="eastAsia" w:ascii="宋体" w:hAnsi="宋体" w:cs="宋体"/>
                <w:szCs w:val="21"/>
              </w:rPr>
              <w:t>2.培训方案相对合理，培训计划及安排较为详细、可落地的，得1.5-1分；</w:t>
            </w:r>
          </w:p>
          <w:p>
            <w:pPr>
              <w:rPr>
                <w:rFonts w:ascii="宋体" w:hAnsi="宋体" w:cs="宋体"/>
                <w:szCs w:val="21"/>
              </w:rPr>
            </w:pPr>
            <w:r>
              <w:rPr>
                <w:rFonts w:hint="eastAsia" w:ascii="宋体" w:hAnsi="宋体" w:cs="宋体"/>
                <w:szCs w:val="21"/>
              </w:rPr>
              <w:t>3.培训方案不合理或培训计划及安排不可行的，得0.9-0.1分；</w:t>
            </w:r>
          </w:p>
          <w:p>
            <w:pPr>
              <w:pStyle w:val="8"/>
              <w:ind w:firstLine="0"/>
              <w:rPr>
                <w:rFonts w:ascii="宋体" w:hAnsi="宋体" w:cs="宋体"/>
                <w:szCs w:val="21"/>
              </w:rPr>
            </w:pPr>
            <w:r>
              <w:rPr>
                <w:rFonts w:hint="eastAsia" w:ascii="宋体" w:hAnsi="宋体" w:cs="宋体"/>
                <w:color w:val="000000"/>
                <w:kern w:val="0"/>
                <w:szCs w:val="21"/>
              </w:rPr>
              <w:t>4.未提及此项的不得分。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286" w:type="dxa"/>
            <w:tcMar>
              <w:top w:w="57" w:type="dxa"/>
              <w:left w:w="108" w:type="dxa"/>
              <w:bottom w:w="0" w:type="dxa"/>
              <w:right w:w="108" w:type="dxa"/>
            </w:tcMar>
            <w:vAlign w:val="center"/>
          </w:tcPr>
          <w:p>
            <w:pPr>
              <w:widowControl/>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000000" w:themeColor="text1"/>
                <w:szCs w:val="21"/>
                <w14:textFill>
                  <w14:solidFill>
                    <w14:schemeClr w14:val="tx1"/>
                  </w14:solidFill>
                </w14:textFill>
              </w:rPr>
              <w:t>价格</w:t>
            </w:r>
            <w:r>
              <w:rPr>
                <w:rFonts w:hint="eastAsia" w:asciiTheme="minorEastAsia" w:hAnsiTheme="minorEastAsia" w:eastAsiaTheme="minorEastAsia" w:cstheme="minorEastAsia"/>
                <w:b/>
                <w:szCs w:val="21"/>
              </w:rPr>
              <w:t>30分</w:t>
            </w:r>
          </w:p>
        </w:tc>
        <w:tc>
          <w:tcPr>
            <w:tcW w:w="7068" w:type="dxa"/>
            <w:gridSpan w:val="2"/>
            <w:tcMar>
              <w:top w:w="57" w:type="dxa"/>
              <w:left w:w="108" w:type="dxa"/>
              <w:bottom w:w="0" w:type="dxa"/>
              <w:right w:w="108" w:type="dxa"/>
            </w:tcMar>
            <w:vAlign w:val="center"/>
          </w:tcPr>
          <w:p>
            <w:pPr>
              <w:jc w:val="left"/>
              <w:rPr>
                <w:rFonts w:ascii="宋体" w:hAnsi="宋体" w:cs="宋体"/>
                <w:szCs w:val="21"/>
              </w:rPr>
            </w:pPr>
            <w:r>
              <w:rPr>
                <w:rFonts w:hint="eastAsia" w:ascii="宋体" w:hAnsi="宋体" w:cs="宋体"/>
                <w:szCs w:val="21"/>
              </w:rPr>
              <w:t>以合格投标人有效投标总报价中的最低价为基准价，基准价为30分。投标报价得分＝（评标基准价/投标报价）×</w:t>
            </w:r>
            <w:r>
              <w:rPr>
                <w:rFonts w:hint="eastAsia" w:ascii="宋体" w:hAnsi="宋体" w:cs="宋体"/>
                <w:kern w:val="0"/>
                <w:szCs w:val="21"/>
              </w:rPr>
              <w:t>30%</w:t>
            </w:r>
            <w:r>
              <w:rPr>
                <w:rFonts w:hint="eastAsia" w:ascii="宋体" w:hAnsi="宋体" w:cs="宋体"/>
                <w:szCs w:val="21"/>
              </w:rPr>
              <w:t>×</w:t>
            </w:r>
            <w:r>
              <w:rPr>
                <w:rFonts w:hint="eastAsia" w:ascii="宋体" w:hAnsi="宋体" w:cs="宋体"/>
                <w:kern w:val="0"/>
                <w:szCs w:val="21"/>
              </w:rPr>
              <w:t>100</w:t>
            </w:r>
            <w:r>
              <w:rPr>
                <w:rFonts w:hint="eastAsia" w:ascii="宋体" w:hAnsi="宋体" w:cs="宋体"/>
                <w:szCs w:val="21"/>
              </w:rPr>
              <w:t>（小数点后保留2位小数）。</w:t>
            </w:r>
            <w:r>
              <w:rPr>
                <w:rFonts w:hint="eastAsia" w:ascii="宋体" w:hAnsi="宋体" w:cs="宋体"/>
                <w:color w:val="000000" w:themeColor="text1"/>
                <w:szCs w:val="21"/>
                <w14:textFill>
                  <w14:solidFill>
                    <w14:schemeClr w14:val="tx1"/>
                  </w14:solidFill>
                </w14:textFill>
              </w:rPr>
              <w:t>注：</w:t>
            </w:r>
            <w:r>
              <w:rPr>
                <w:rFonts w:hint="eastAsia" w:ascii="宋体" w:hAnsi="宋体" w:cs="宋体"/>
                <w:szCs w:val="21"/>
              </w:rPr>
              <w:t>符合本章第七点政府采购政策的，根据对应情形，对报价给予</w:t>
            </w:r>
            <w:r>
              <w:rPr>
                <w:rFonts w:hint="eastAsia" w:ascii="宋体" w:hAnsi="宋体" w:cs="宋体"/>
                <w:szCs w:val="21"/>
                <w:u w:val="single"/>
              </w:rPr>
              <w:t xml:space="preserve"> 20%</w:t>
            </w:r>
            <w:r>
              <w:rPr>
                <w:rFonts w:hint="eastAsia" w:ascii="宋体" w:hAnsi="宋体" w:cs="宋体"/>
                <w:szCs w:val="21"/>
              </w:rPr>
              <w:t xml:space="preserve"> 或</w:t>
            </w:r>
            <w:r>
              <w:rPr>
                <w:rFonts w:hint="eastAsia" w:ascii="宋体" w:hAnsi="宋体" w:cs="宋体"/>
                <w:szCs w:val="21"/>
                <w:u w:val="single"/>
              </w:rPr>
              <w:t xml:space="preserve"> 6%</w:t>
            </w:r>
            <w:r>
              <w:rPr>
                <w:rFonts w:hint="eastAsia" w:ascii="宋体" w:hAnsi="宋体" w:cs="宋体"/>
                <w:szCs w:val="21"/>
              </w:rPr>
              <w:t>的价格扣除，用扣除后的价格参与评审。</w:t>
            </w:r>
          </w:p>
        </w:tc>
        <w:tc>
          <w:tcPr>
            <w:tcW w:w="664" w:type="dxa"/>
            <w:tcMar>
              <w:top w:w="57" w:type="dxa"/>
              <w:left w:w="108" w:type="dxa"/>
              <w:bottom w:w="0" w:type="dxa"/>
              <w:right w:w="108" w:type="dxa"/>
            </w:tcMar>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r>
    </w:tbl>
    <w:p>
      <w:pPr>
        <w:spacing w:line="360" w:lineRule="auto"/>
      </w:pPr>
      <w:r>
        <w:rPr>
          <w:rFonts w:hint="eastAsia"/>
        </w:rPr>
        <w:t>注：①请扫描上传合同、证书、报告及其他相关证明材料的原件扫描件至投标文件，并加盖公章。</w:t>
      </w:r>
    </w:p>
    <w:p>
      <w:pPr>
        <w:spacing w:line="360" w:lineRule="auto"/>
      </w:pPr>
      <w:r>
        <w:rPr>
          <w:rFonts w:hint="eastAsia"/>
        </w:rPr>
        <w:t>②对省级以上主管部门认定的首台套产品，自纳入《省推广应用指导目录》起三年内参加政府采购活动时,视同已具备相应销售业绩，业绩分为满分。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bookmarkStart w:id="41" w:name="_Toc27944_WPSOffice_Level1"/>
    </w:p>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1"/>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1"/>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1"/>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1"/>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1"/>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1"/>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1"/>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1"/>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1"/>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cs="宋体"/>
        </w:rPr>
        <w:t>《</w:t>
      </w:r>
      <w:r>
        <w:rPr>
          <w:rFonts w:hint="eastAsia" w:ascii="宋体" w:hAnsi="宋体" w:cs="宋体"/>
          <w:color w:val="111F2C"/>
          <w:szCs w:val="21"/>
          <w:shd w:val="clear" w:color="auto" w:fill="FFFFFF"/>
        </w:rPr>
        <w:t>中华人民共和国民法典</w:t>
      </w:r>
      <w:r>
        <w:rPr>
          <w:rFonts w:hint="eastAsia" w:ascii="宋体" w:hAnsi="宋体" w:cs="宋体"/>
        </w:rPr>
        <w:t>》有关</w:t>
      </w:r>
      <w:r>
        <w:rPr>
          <w:rFonts w:asciiTheme="minorEastAsia" w:hAnsiTheme="minorEastAsia" w:eastAsiaTheme="minorEastAsia"/>
        </w:rPr>
        <w:t>条文执行。</w:t>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Theme="minorEastAsia" w:hAnsiTheme="minorEastAsia" w:eastAsiaTheme="minorEastAsia"/>
          <w:b/>
          <w:sz w:val="36"/>
          <w:szCs w:val="36"/>
        </w:rPr>
      </w:pPr>
      <w:bookmarkStart w:id="42"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2"/>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3" w:name="_Toc4956_WPSOffice_Level1"/>
      <w:bookmarkStart w:id="44" w:name="_Toc19093_WPSOffice_Level1"/>
      <w:bookmarkStart w:id="45" w:name="_Toc32372_WPSOffice_Level1"/>
      <w:r>
        <w:rPr>
          <w:rFonts w:hint="eastAsia"/>
          <w:sz w:val="52"/>
          <w:szCs w:val="52"/>
        </w:rPr>
        <w:t>项目名称</w:t>
      </w:r>
      <w:bookmarkEnd w:id="43"/>
      <w:bookmarkEnd w:id="44"/>
      <w:bookmarkEnd w:id="45"/>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0"/>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b/>
          <w:bCs/>
          <w:sz w:val="36"/>
          <w:szCs w:val="36"/>
        </w:rPr>
      </w:pPr>
      <w:r>
        <w:rPr>
          <w:rFonts w:hint="eastAsia"/>
          <w:b/>
          <w:bCs/>
          <w:sz w:val="36"/>
          <w:szCs w:val="36"/>
        </w:rPr>
        <w:t>资格证明文件目录</w:t>
      </w:r>
    </w:p>
    <w:p>
      <w:pPr>
        <w:pStyle w:val="8"/>
      </w:pPr>
    </w:p>
    <w:p/>
    <w:p>
      <w:pPr>
        <w:numPr>
          <w:ilvl w:val="0"/>
          <w:numId w:val="4"/>
        </w:numPr>
        <w:spacing w:line="360" w:lineRule="auto"/>
        <w:ind w:hanging="5"/>
        <w:rPr>
          <w:sz w:val="28"/>
          <w:szCs w:val="36"/>
        </w:rPr>
      </w:pPr>
      <w:bookmarkStart w:id="46" w:name="_Toc12587_WPSOffice_Level1"/>
      <w:bookmarkStart w:id="47" w:name="_Toc27049_WPSOffice_Level1"/>
      <w:r>
        <w:rPr>
          <w:rFonts w:hint="eastAsia"/>
          <w:sz w:val="28"/>
          <w:szCs w:val="36"/>
        </w:rPr>
        <w:t>投标声明书（附件1）</w:t>
      </w:r>
      <w:bookmarkEnd w:id="46"/>
      <w:bookmarkEnd w:id="47"/>
    </w:p>
    <w:p>
      <w:pPr>
        <w:numPr>
          <w:ilvl w:val="0"/>
          <w:numId w:val="4"/>
        </w:numPr>
        <w:spacing w:line="360" w:lineRule="auto"/>
        <w:ind w:hanging="5"/>
        <w:rPr>
          <w:sz w:val="28"/>
          <w:szCs w:val="36"/>
        </w:rPr>
      </w:pPr>
      <w:bookmarkStart w:id="48" w:name="_Toc25574_WPSOffice_Level1"/>
      <w:bookmarkStart w:id="49" w:name="_Toc28306_WPSOffice_Level1"/>
      <w:bookmarkStart w:id="50" w:name="_Toc29616_WPSOffice_Level1"/>
      <w:bookmarkStart w:id="51" w:name="_Toc32100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8"/>
      <w:bookmarkEnd w:id="49"/>
    </w:p>
    <w:p>
      <w:pPr>
        <w:numPr>
          <w:ilvl w:val="0"/>
          <w:numId w:val="4"/>
        </w:numPr>
        <w:spacing w:line="360" w:lineRule="auto"/>
        <w:ind w:hanging="5"/>
        <w:rPr>
          <w:sz w:val="28"/>
          <w:szCs w:val="36"/>
        </w:rPr>
      </w:pPr>
      <w:r>
        <w:rPr>
          <w:rFonts w:hint="eastAsia"/>
          <w:sz w:val="28"/>
          <w:szCs w:val="36"/>
        </w:rPr>
        <w:t>联合体共同投标协议书（以联合体形式投标时需提供）（附件3）</w:t>
      </w:r>
    </w:p>
    <w:p>
      <w:pPr>
        <w:numPr>
          <w:ilvl w:val="0"/>
          <w:numId w:val="4"/>
        </w:numPr>
        <w:spacing w:line="360" w:lineRule="auto"/>
        <w:ind w:hanging="5"/>
        <w:rPr>
          <w:sz w:val="28"/>
          <w:szCs w:val="36"/>
        </w:rPr>
      </w:pPr>
      <w:r>
        <w:rPr>
          <w:rFonts w:hint="eastAsia"/>
          <w:sz w:val="28"/>
          <w:szCs w:val="36"/>
        </w:rPr>
        <w:t>法人或者其他组织的营业执照等证明文件、自然人的身份证明</w:t>
      </w:r>
      <w:bookmarkEnd w:id="50"/>
      <w:bookmarkEnd w:id="51"/>
    </w:p>
    <w:p>
      <w:pPr>
        <w:numPr>
          <w:ilvl w:val="0"/>
          <w:numId w:val="4"/>
        </w:numPr>
        <w:spacing w:line="360" w:lineRule="auto"/>
        <w:ind w:hanging="5"/>
        <w:rPr>
          <w:sz w:val="28"/>
          <w:szCs w:val="36"/>
        </w:rPr>
      </w:pPr>
      <w:bookmarkStart w:id="52" w:name="_Toc30751_WPSOffice_Level1"/>
      <w:bookmarkStart w:id="53" w:name="_Toc2696_WPSOffice_Level1"/>
      <w:r>
        <w:rPr>
          <w:rFonts w:hint="eastAsia"/>
          <w:sz w:val="28"/>
          <w:szCs w:val="36"/>
        </w:rPr>
        <w:t>符合参与政府采购活动的资格条件并且没有税收缴纳、社会保障等方面的失信记录的承诺函</w:t>
      </w:r>
    </w:p>
    <w:p>
      <w:pPr>
        <w:numPr>
          <w:ilvl w:val="0"/>
          <w:numId w:val="4"/>
        </w:numPr>
        <w:spacing w:line="360" w:lineRule="auto"/>
        <w:ind w:hanging="5"/>
        <w:rPr>
          <w:sz w:val="28"/>
          <w:szCs w:val="36"/>
        </w:rPr>
      </w:pPr>
      <w:r>
        <w:rPr>
          <w:rFonts w:hint="eastAsia"/>
          <w:sz w:val="28"/>
          <w:szCs w:val="36"/>
        </w:rPr>
        <w:t>具备履行合同所必需的设备和专业技术能力的证明材料</w:t>
      </w:r>
      <w:bookmarkEnd w:id="52"/>
      <w:bookmarkEnd w:id="53"/>
    </w:p>
    <w:p>
      <w:pPr>
        <w:numPr>
          <w:ilvl w:val="0"/>
          <w:numId w:val="4"/>
        </w:numPr>
        <w:spacing w:line="360" w:lineRule="auto"/>
        <w:ind w:hanging="5"/>
        <w:rPr>
          <w:sz w:val="28"/>
          <w:szCs w:val="36"/>
        </w:rPr>
      </w:pPr>
      <w:bookmarkStart w:id="54" w:name="_Toc4587_WPSOffice_Level1"/>
      <w:bookmarkStart w:id="55" w:name="_Toc14150_WPSOffice_Level1"/>
      <w:r>
        <w:rPr>
          <w:rFonts w:hint="eastAsia"/>
          <w:sz w:val="28"/>
          <w:szCs w:val="36"/>
        </w:rPr>
        <w:t>本项目要求的特定资质证书</w:t>
      </w:r>
      <w:bookmarkEnd w:id="54"/>
      <w:bookmarkEnd w:id="55"/>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6" w:name="_Toc31708_WPSOffice_Level1"/>
      <w:bookmarkStart w:id="57" w:name="_Toc30723_WPSOffice_Level1"/>
      <w:r>
        <w:rPr>
          <w:rFonts w:hint="eastAsia" w:ascii="宋体" w:hAnsi="宋体"/>
          <w:b/>
          <w:kern w:val="0"/>
          <w:sz w:val="32"/>
          <w:szCs w:val="32"/>
          <w:lang w:val="zh-CN"/>
        </w:rPr>
        <w:t>投标声明书</w:t>
      </w:r>
      <w:bookmarkEnd w:id="56"/>
      <w:bookmarkEnd w:id="57"/>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5"/>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5"/>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8" w:name="_Toc6870_WPSOffice_Level1"/>
      <w:bookmarkStart w:id="59" w:name="_Toc24373_WPSOffice_Level1"/>
      <w:r>
        <w:rPr>
          <w:b/>
          <w:sz w:val="32"/>
          <w:szCs w:val="32"/>
        </w:rPr>
        <w:t>授权</w:t>
      </w:r>
      <w:r>
        <w:rPr>
          <w:rFonts w:hint="eastAsia"/>
          <w:b/>
          <w:sz w:val="32"/>
          <w:szCs w:val="32"/>
        </w:rPr>
        <w:t>委托</w:t>
      </w:r>
      <w:r>
        <w:rPr>
          <w:b/>
          <w:sz w:val="32"/>
          <w:szCs w:val="32"/>
        </w:rPr>
        <w:t>书</w:t>
      </w:r>
      <w:bookmarkEnd w:id="58"/>
      <w:bookmarkEnd w:id="59"/>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1"/>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1"/>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1"/>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footerReference r:id="rId3" w:type="default"/>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6"/>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6"/>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6"/>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6"/>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6"/>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6"/>
        </w:numPr>
        <w:snapToGrid w:val="0"/>
        <w:spacing w:line="360" w:lineRule="auto"/>
        <w:ind w:firstLine="576"/>
        <w:rPr>
          <w:kern w:val="0"/>
          <w:sz w:val="24"/>
        </w:rPr>
      </w:pPr>
      <w:r>
        <w:rPr>
          <w:rFonts w:hint="eastAsia"/>
          <w:kern w:val="0"/>
          <w:sz w:val="24"/>
        </w:rPr>
        <w:t>各方具体的的责任、权利、义务，在中标后经各方协商后报采购人同意后在合同中明确。</w:t>
      </w:r>
    </w:p>
    <w:p>
      <w:pPr>
        <w:numPr>
          <w:ilvl w:val="0"/>
          <w:numId w:val="6"/>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6"/>
        </w:numPr>
        <w:snapToGrid w:val="0"/>
        <w:spacing w:line="360" w:lineRule="auto"/>
        <w:ind w:firstLine="576"/>
        <w:rPr>
          <w:kern w:val="0"/>
          <w:sz w:val="24"/>
          <w:lang w:val="zh-CN"/>
        </w:rPr>
      </w:pPr>
      <w:r>
        <w:rPr>
          <w:rFonts w:hint="eastAsia"/>
          <w:kern w:val="0"/>
          <w:sz w:val="24"/>
        </w:rPr>
        <w:t>未中标，本协议自动废止。</w:t>
      </w:r>
    </w:p>
    <w:p>
      <w:pPr>
        <w:pStyle w:val="8"/>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hint="eastAsia"/>
          <w:sz w:val="52"/>
          <w:szCs w:val="52"/>
        </w:rPr>
      </w:pPr>
      <w:bookmarkStart w:id="60" w:name="_Toc12331_WPSOffice_Level1"/>
      <w:bookmarkStart w:id="61" w:name="_Toc26389_WPSOffice_Level1"/>
      <w:bookmarkStart w:id="62" w:name="_Toc16825_WPSOffice_Level1"/>
    </w:p>
    <w:p>
      <w:pPr>
        <w:jc w:val="center"/>
        <w:rPr>
          <w:sz w:val="52"/>
          <w:szCs w:val="52"/>
        </w:rPr>
      </w:pPr>
    </w:p>
    <w:p>
      <w:pPr>
        <w:jc w:val="center"/>
        <w:rPr>
          <w:sz w:val="52"/>
          <w:szCs w:val="52"/>
        </w:rPr>
      </w:pPr>
      <w:r>
        <w:rPr>
          <w:rFonts w:hint="eastAsia"/>
          <w:sz w:val="52"/>
          <w:szCs w:val="52"/>
        </w:rPr>
        <w:t>项目名称</w:t>
      </w:r>
      <w:bookmarkEnd w:id="60"/>
      <w:bookmarkEnd w:id="61"/>
      <w:bookmarkEnd w:id="6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0"/>
      </w:pPr>
    </w:p>
    <w:p>
      <w:pPr>
        <w:pStyle w:val="20"/>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sz w:val="28"/>
          <w:szCs w:val="28"/>
        </w:rPr>
      </w:pPr>
      <w:bookmarkStart w:id="63" w:name="_Toc11308_WPSOffice_Level1"/>
      <w:bookmarkStart w:id="64" w:name="_Toc5889_WPSOffice_Level1"/>
      <w:r>
        <w:rPr>
          <w:rFonts w:hint="eastAsia"/>
          <w:b/>
          <w:bCs/>
          <w:sz w:val="36"/>
          <w:szCs w:val="36"/>
          <w:lang w:val="zh-CN"/>
        </w:rPr>
        <w:t>商务与技术文件目录</w:t>
      </w:r>
      <w:bookmarkEnd w:id="63"/>
      <w:bookmarkEnd w:id="64"/>
    </w:p>
    <w:p>
      <w:pPr>
        <w:spacing w:line="360" w:lineRule="auto"/>
        <w:ind w:firstLine="562" w:firstLineChars="200"/>
        <w:rPr>
          <w:b/>
          <w:bCs/>
          <w:sz w:val="28"/>
          <w:szCs w:val="28"/>
        </w:rPr>
      </w:pPr>
      <w:bookmarkStart w:id="65" w:name="_Toc20529_WPSOffice_Level1"/>
      <w:bookmarkStart w:id="66" w:name="_Toc21250_WPSOffice_Level1"/>
      <w:r>
        <w:rPr>
          <w:rFonts w:hint="eastAsia"/>
          <w:b/>
          <w:bCs/>
          <w:sz w:val="28"/>
          <w:szCs w:val="28"/>
        </w:rPr>
        <w:t>第一部分  技术方案描述部分</w:t>
      </w:r>
      <w:bookmarkEnd w:id="65"/>
      <w:bookmarkEnd w:id="66"/>
    </w:p>
    <w:p>
      <w:pPr>
        <w:numPr>
          <w:ilvl w:val="0"/>
          <w:numId w:val="7"/>
        </w:numPr>
        <w:spacing w:line="360" w:lineRule="auto"/>
        <w:ind w:left="405" w:firstLine="15"/>
        <w:rPr>
          <w:sz w:val="28"/>
          <w:szCs w:val="28"/>
        </w:rPr>
      </w:pPr>
      <w:r>
        <w:rPr>
          <w:rFonts w:hint="eastAsia"/>
          <w:sz w:val="28"/>
          <w:szCs w:val="28"/>
        </w:rPr>
        <w:t>投标人情况介绍（附件4）</w:t>
      </w:r>
    </w:p>
    <w:p>
      <w:pPr>
        <w:numPr>
          <w:ilvl w:val="0"/>
          <w:numId w:val="7"/>
        </w:numPr>
        <w:spacing w:line="360" w:lineRule="auto"/>
        <w:ind w:left="405" w:firstLine="15"/>
        <w:rPr>
          <w:sz w:val="28"/>
          <w:szCs w:val="28"/>
        </w:rPr>
      </w:pPr>
      <w:r>
        <w:rPr>
          <w:rFonts w:hint="eastAsia"/>
          <w:sz w:val="28"/>
          <w:szCs w:val="28"/>
        </w:rPr>
        <w:t>项目需求的理解与分析</w:t>
      </w:r>
    </w:p>
    <w:p>
      <w:pPr>
        <w:numPr>
          <w:ilvl w:val="0"/>
          <w:numId w:val="7"/>
        </w:numPr>
        <w:spacing w:line="360" w:lineRule="auto"/>
        <w:ind w:left="405" w:firstLine="15"/>
        <w:rPr>
          <w:sz w:val="28"/>
          <w:szCs w:val="28"/>
        </w:rPr>
      </w:pPr>
      <w:r>
        <w:rPr>
          <w:rFonts w:hint="eastAsia"/>
          <w:sz w:val="28"/>
          <w:szCs w:val="28"/>
        </w:rPr>
        <w:t>项目组织实施方案（可视情选用附件5、附件6）</w:t>
      </w:r>
    </w:p>
    <w:p>
      <w:pPr>
        <w:numPr>
          <w:ilvl w:val="0"/>
          <w:numId w:val="7"/>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7" w:name="_Toc6008_WPSOffice_Level1"/>
      <w:bookmarkStart w:id="68" w:name="_Toc12004_WPSOffice_Level1"/>
      <w:r>
        <w:rPr>
          <w:rFonts w:hint="eastAsia"/>
          <w:b/>
          <w:bCs/>
          <w:sz w:val="28"/>
          <w:szCs w:val="28"/>
        </w:rPr>
        <w:t>第二部分  投标产品描述部分</w:t>
      </w:r>
      <w:bookmarkEnd w:id="67"/>
      <w:bookmarkEnd w:id="68"/>
    </w:p>
    <w:p>
      <w:pPr>
        <w:numPr>
          <w:ilvl w:val="0"/>
          <w:numId w:val="8"/>
        </w:numPr>
        <w:spacing w:line="360" w:lineRule="auto"/>
        <w:ind w:hanging="5"/>
        <w:rPr>
          <w:sz w:val="28"/>
          <w:szCs w:val="28"/>
        </w:rPr>
      </w:pPr>
      <w:r>
        <w:rPr>
          <w:rFonts w:hint="eastAsia"/>
          <w:sz w:val="28"/>
          <w:szCs w:val="28"/>
        </w:rPr>
        <w:t>投标产品描述及相关资料（可视情选用附件7）</w:t>
      </w:r>
    </w:p>
    <w:p>
      <w:pPr>
        <w:numPr>
          <w:ilvl w:val="0"/>
          <w:numId w:val="8"/>
        </w:numPr>
        <w:spacing w:line="360" w:lineRule="auto"/>
        <w:ind w:hanging="5"/>
        <w:rPr>
          <w:sz w:val="28"/>
          <w:szCs w:val="28"/>
        </w:rPr>
      </w:pPr>
      <w:r>
        <w:rPr>
          <w:rFonts w:hint="eastAsia"/>
          <w:sz w:val="28"/>
          <w:szCs w:val="28"/>
        </w:rPr>
        <w:t>技术需求响应表（附件8）</w:t>
      </w:r>
    </w:p>
    <w:p>
      <w:pPr>
        <w:numPr>
          <w:ilvl w:val="0"/>
          <w:numId w:val="8"/>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9" w:name="_Toc30029_WPSOffice_Level1"/>
      <w:bookmarkStart w:id="70" w:name="_Toc20986_WPSOffice_Level1"/>
      <w:r>
        <w:rPr>
          <w:rFonts w:hint="eastAsia"/>
          <w:b/>
          <w:bCs/>
          <w:sz w:val="28"/>
          <w:szCs w:val="28"/>
        </w:rPr>
        <w:t>第三部分  商务及其他部分</w:t>
      </w:r>
      <w:bookmarkEnd w:id="69"/>
      <w:bookmarkEnd w:id="70"/>
    </w:p>
    <w:p>
      <w:pPr>
        <w:numPr>
          <w:ilvl w:val="0"/>
          <w:numId w:val="9"/>
        </w:numPr>
        <w:spacing w:line="360" w:lineRule="auto"/>
        <w:ind w:hanging="5"/>
        <w:rPr>
          <w:sz w:val="28"/>
          <w:szCs w:val="28"/>
        </w:rPr>
      </w:pPr>
      <w:r>
        <w:rPr>
          <w:rFonts w:hint="eastAsia"/>
          <w:sz w:val="28"/>
          <w:szCs w:val="28"/>
        </w:rPr>
        <w:t>证书一览表（附件9）</w:t>
      </w:r>
    </w:p>
    <w:p>
      <w:pPr>
        <w:numPr>
          <w:ilvl w:val="0"/>
          <w:numId w:val="9"/>
        </w:numPr>
        <w:spacing w:line="360" w:lineRule="auto"/>
        <w:ind w:hanging="5"/>
        <w:rPr>
          <w:sz w:val="28"/>
          <w:szCs w:val="28"/>
        </w:rPr>
      </w:pPr>
      <w:r>
        <w:rPr>
          <w:rFonts w:hint="eastAsia"/>
          <w:sz w:val="28"/>
          <w:szCs w:val="28"/>
        </w:rPr>
        <w:t>近三年来类似项目的成功案例（附件10）</w:t>
      </w:r>
    </w:p>
    <w:p>
      <w:pPr>
        <w:numPr>
          <w:ilvl w:val="0"/>
          <w:numId w:val="9"/>
        </w:numPr>
        <w:spacing w:line="360" w:lineRule="auto"/>
        <w:ind w:hanging="5"/>
        <w:rPr>
          <w:sz w:val="28"/>
          <w:szCs w:val="28"/>
        </w:rPr>
      </w:pPr>
      <w:r>
        <w:rPr>
          <w:rFonts w:hint="eastAsia"/>
          <w:sz w:val="28"/>
          <w:szCs w:val="28"/>
        </w:rPr>
        <w:t>售后服务描述及承诺（可视情选用附件11，附件12）</w:t>
      </w:r>
    </w:p>
    <w:p>
      <w:pPr>
        <w:numPr>
          <w:ilvl w:val="0"/>
          <w:numId w:val="9"/>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9"/>
        </w:numPr>
        <w:spacing w:line="360" w:lineRule="auto"/>
        <w:ind w:hanging="5"/>
        <w:rPr>
          <w:sz w:val="28"/>
          <w:szCs w:val="28"/>
        </w:rPr>
      </w:pPr>
      <w:r>
        <w:rPr>
          <w:rFonts w:hint="eastAsia"/>
          <w:sz w:val="28"/>
          <w:szCs w:val="28"/>
        </w:rPr>
        <w:t>主要货物用材响应表（类似家具类货物采用，附件13）</w:t>
      </w:r>
    </w:p>
    <w:p>
      <w:pPr>
        <w:pStyle w:val="31"/>
        <w:spacing w:before="0" w:beforeAutospacing="0" w:after="0" w:afterAutospacing="0" w:line="360" w:lineRule="auto"/>
        <w:ind w:firstLine="482" w:firstLineChars="200"/>
        <w:jc w:val="both"/>
        <w:rPr>
          <w:b/>
        </w:rPr>
      </w:pPr>
    </w:p>
    <w:p>
      <w:pPr>
        <w:pStyle w:val="31"/>
        <w:spacing w:before="0" w:beforeAutospacing="0" w:after="0" w:afterAutospacing="0" w:line="360" w:lineRule="auto"/>
        <w:rPr>
          <w:b/>
          <w:sz w:val="28"/>
        </w:rPr>
      </w:pPr>
    </w:p>
    <w:p>
      <w:pPr>
        <w:rPr>
          <w:b/>
          <w:sz w:val="28"/>
        </w:rPr>
      </w:pPr>
      <w:r>
        <w:rPr>
          <w:b/>
          <w:sz w:val="28"/>
        </w:rPr>
        <w:br w:type="page"/>
      </w:r>
    </w:p>
    <w:p>
      <w:pPr>
        <w:pStyle w:val="31"/>
        <w:spacing w:before="0" w:beforeAutospacing="0" w:after="0" w:afterAutospacing="0" w:line="360" w:lineRule="auto"/>
        <w:rPr>
          <w:b/>
          <w:sz w:val="28"/>
        </w:rPr>
      </w:pPr>
      <w:r>
        <w:rPr>
          <w:rFonts w:hint="eastAsia"/>
          <w:b/>
          <w:sz w:val="28"/>
        </w:rPr>
        <w:t>附件4</w:t>
      </w:r>
    </w:p>
    <w:p>
      <w:pPr>
        <w:pStyle w:val="31"/>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1" w:name="_Toc14261_WPSOffice_Level1"/>
      <w:bookmarkStart w:id="72" w:name="_Toc13307_WPSOffice_Level1"/>
      <w:r>
        <w:rPr>
          <w:rFonts w:hint="eastAsia"/>
          <w:b/>
          <w:sz w:val="32"/>
          <w:szCs w:val="32"/>
        </w:rPr>
        <w:t>投标</w:t>
      </w:r>
      <w:r>
        <w:rPr>
          <w:rFonts w:hint="eastAsia"/>
          <w:b/>
          <w:bCs/>
          <w:sz w:val="32"/>
          <w:szCs w:val="32"/>
        </w:rPr>
        <w:t>人基本情况表</w:t>
      </w:r>
      <w:bookmarkEnd w:id="71"/>
      <w:bookmarkEnd w:id="72"/>
    </w:p>
    <w:tbl>
      <w:tblPr>
        <w:tblStyle w:val="21"/>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1"/>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bl>
    <w:p>
      <w:pPr>
        <w:pStyle w:val="31"/>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1"/>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附件5</w:t>
      </w:r>
    </w:p>
    <w:p>
      <w:pPr>
        <w:snapToGrid w:val="0"/>
        <w:spacing w:before="120" w:beforeLines="50" w:after="50" w:line="360" w:lineRule="auto"/>
        <w:jc w:val="center"/>
        <w:rPr>
          <w:rFonts w:ascii="宋体" w:hAnsi="宋体"/>
          <w:b/>
          <w:sz w:val="36"/>
          <w:szCs w:val="36"/>
        </w:rPr>
      </w:pPr>
      <w:bookmarkStart w:id="73" w:name="_Toc23671_WPSOffice_Level1"/>
      <w:bookmarkStart w:id="74" w:name="_Toc20569_WPSOffice_Level1"/>
      <w:r>
        <w:rPr>
          <w:rFonts w:hint="eastAsia" w:ascii="宋体" w:hAnsi="宋体"/>
          <w:b/>
          <w:sz w:val="32"/>
          <w:szCs w:val="32"/>
        </w:rPr>
        <w:t>项目实施人员一览表</w:t>
      </w:r>
      <w:bookmarkEnd w:id="73"/>
      <w:bookmarkEnd w:id="74"/>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附件6</w:t>
      </w:r>
    </w:p>
    <w:p>
      <w:pPr>
        <w:spacing w:before="120" w:beforeLines="50" w:after="120" w:afterLines="50" w:line="360" w:lineRule="auto"/>
        <w:ind w:right="-10"/>
        <w:jc w:val="center"/>
        <w:rPr>
          <w:rFonts w:ascii="宋体" w:hAnsi="宋体"/>
          <w:b/>
          <w:bCs/>
          <w:sz w:val="32"/>
          <w:szCs w:val="32"/>
        </w:rPr>
      </w:pPr>
      <w:bookmarkStart w:id="75" w:name="_Toc23055_WPSOffice_Level1"/>
      <w:bookmarkStart w:id="76" w:name="_Toc12710_WPSOffice_Level1"/>
      <w:r>
        <w:rPr>
          <w:rFonts w:hint="eastAsia" w:ascii="宋体" w:hAnsi="宋体"/>
          <w:b/>
          <w:bCs/>
          <w:sz w:val="32"/>
          <w:szCs w:val="32"/>
        </w:rPr>
        <w:t>项目负责人资格情况表</w:t>
      </w:r>
      <w:bookmarkEnd w:id="75"/>
      <w:bookmarkEnd w:id="76"/>
    </w:p>
    <w:tbl>
      <w:tblPr>
        <w:tblStyle w:val="21"/>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2"/>
        <w:jc w:val="center"/>
        <w:rPr>
          <w:rFonts w:ascii="宋体" w:hAnsi="宋体"/>
          <w:sz w:val="24"/>
        </w:rPr>
      </w:pPr>
      <w:bookmarkStart w:id="77" w:name="_Toc3591_WPSOffice_Level1"/>
      <w:bookmarkStart w:id="78" w:name="_Toc32718_WPSOffice_Level1"/>
      <w:r>
        <w:rPr>
          <w:rFonts w:hint="eastAsia" w:ascii="宋体" w:hAnsi="宋体"/>
          <w:b/>
          <w:sz w:val="32"/>
          <w:szCs w:val="32"/>
        </w:rPr>
        <w:t>供货</w:t>
      </w:r>
      <w:r>
        <w:rPr>
          <w:rFonts w:ascii="宋体" w:hAnsi="宋体"/>
          <w:b/>
          <w:sz w:val="32"/>
          <w:szCs w:val="32"/>
        </w:rPr>
        <w:t>清单</w:t>
      </w:r>
      <w:bookmarkEnd w:id="77"/>
      <w:bookmarkEnd w:id="78"/>
    </w:p>
    <w:tbl>
      <w:tblPr>
        <w:tblStyle w:val="21"/>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0"/>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0"/>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sz w:val="32"/>
          <w:szCs w:val="32"/>
        </w:rPr>
      </w:pPr>
      <w:bookmarkStart w:id="79" w:name="_Toc12856_WPSOffice_Level1"/>
      <w:bookmarkStart w:id="80"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9"/>
      <w:bookmarkEnd w:id="80"/>
    </w:p>
    <w:tbl>
      <w:tblPr>
        <w:tblStyle w:val="21"/>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3"/>
        <w:tabs>
          <w:tab w:val="left" w:pos="360"/>
        </w:tabs>
        <w:spacing w:line="360" w:lineRule="auto"/>
        <w:jc w:val="both"/>
        <w:rPr>
          <w:rFonts w:ascii="宋体"/>
          <w:b/>
          <w:szCs w:val="21"/>
        </w:rPr>
      </w:pPr>
      <w:r>
        <w:rPr>
          <w:rFonts w:hint="eastAsia" w:ascii="宋体"/>
          <w:b/>
          <w:szCs w:val="21"/>
        </w:rPr>
        <w:t>要求：</w:t>
      </w:r>
    </w:p>
    <w:p>
      <w:pPr>
        <w:pStyle w:val="33"/>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3"/>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3"/>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4"/>
        <w:spacing w:line="360" w:lineRule="auto"/>
        <w:jc w:val="left"/>
        <w:rPr>
          <w:rFonts w:ascii="宋体" w:hAnsi="宋体"/>
          <w:b/>
          <w:sz w:val="28"/>
        </w:rPr>
      </w:pPr>
      <w:r>
        <w:rPr>
          <w:rFonts w:hint="eastAsia" w:ascii="宋体" w:hAnsi="宋体"/>
          <w:b/>
          <w:sz w:val="28"/>
        </w:rPr>
        <w:t>附件9</w:t>
      </w:r>
    </w:p>
    <w:p>
      <w:pPr>
        <w:pStyle w:val="35"/>
        <w:spacing w:line="360" w:lineRule="auto"/>
        <w:jc w:val="center"/>
        <w:rPr>
          <w:rFonts w:ascii="宋体" w:hAnsi="宋体"/>
          <w:b/>
          <w:sz w:val="32"/>
          <w:szCs w:val="32"/>
        </w:rPr>
      </w:pPr>
      <w:bookmarkStart w:id="81" w:name="_Toc11030_WPSOffice_Level1"/>
      <w:bookmarkStart w:id="82" w:name="_Toc17604_WPSOffice_Level1"/>
      <w:r>
        <w:rPr>
          <w:rFonts w:hint="eastAsia" w:ascii="宋体" w:hAnsi="宋体"/>
          <w:b/>
          <w:sz w:val="32"/>
          <w:szCs w:val="32"/>
        </w:rPr>
        <w:t>证书一览表</w:t>
      </w:r>
      <w:bookmarkEnd w:id="81"/>
      <w:bookmarkEnd w:id="82"/>
    </w:p>
    <w:tbl>
      <w:tblPr>
        <w:tblStyle w:val="21"/>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附件10</w:t>
      </w:r>
    </w:p>
    <w:p>
      <w:pPr>
        <w:pStyle w:val="34"/>
        <w:spacing w:line="360" w:lineRule="auto"/>
        <w:jc w:val="center"/>
        <w:rPr>
          <w:rFonts w:ascii="仿宋_GB2312" w:eastAsia="仿宋_GB2312"/>
          <w:b/>
          <w:sz w:val="28"/>
          <w:szCs w:val="28"/>
        </w:rPr>
      </w:pPr>
      <w:bookmarkStart w:id="83" w:name="_Toc7134_WPSOffice_Level1"/>
      <w:bookmarkStart w:id="84" w:name="_Toc19231_WPSOffice_Level1"/>
      <w:r>
        <w:rPr>
          <w:rFonts w:hint="eastAsia" w:ascii="宋体" w:hAnsi="宋体"/>
          <w:b/>
          <w:sz w:val="32"/>
          <w:szCs w:val="32"/>
        </w:rPr>
        <w:t>投标人类似项目实施情况一览表</w:t>
      </w:r>
      <w:bookmarkEnd w:id="83"/>
      <w:bookmarkEnd w:id="84"/>
    </w:p>
    <w:tbl>
      <w:tblPr>
        <w:tblStyle w:val="21"/>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5"/>
        <w:tabs>
          <w:tab w:val="left" w:pos="1050"/>
        </w:tabs>
        <w:spacing w:line="360" w:lineRule="auto"/>
        <w:rPr>
          <w:rFonts w:ascii="仿宋_GB2312" w:hAnsi="宋体"/>
          <w:sz w:val="24"/>
        </w:rPr>
      </w:pPr>
      <w:r>
        <w:rPr>
          <w:rFonts w:hint="eastAsia" w:ascii="宋体" w:hAnsi="宋体"/>
          <w:b/>
          <w:sz w:val="28"/>
        </w:rPr>
        <w:t>附件11</w:t>
      </w:r>
    </w:p>
    <w:p>
      <w:pPr>
        <w:spacing w:line="360" w:lineRule="auto"/>
        <w:ind w:hanging="9"/>
        <w:jc w:val="center"/>
        <w:rPr>
          <w:rFonts w:ascii="宋体" w:hAnsi="宋体"/>
          <w:b/>
          <w:sz w:val="18"/>
          <w:szCs w:val="18"/>
        </w:rPr>
      </w:pPr>
      <w:bookmarkStart w:id="85" w:name="_Toc3068_WPSOffice_Level1"/>
      <w:bookmarkStart w:id="86" w:name="_Toc21582_WPSOffice_Level1"/>
      <w:r>
        <w:rPr>
          <w:rFonts w:hint="eastAsia" w:ascii="宋体" w:hAnsi="宋体"/>
          <w:b/>
          <w:sz w:val="32"/>
          <w:szCs w:val="32"/>
        </w:rPr>
        <w:t>商务需求响应表</w:t>
      </w:r>
      <w:bookmarkEnd w:id="85"/>
      <w:bookmarkEnd w:id="86"/>
    </w:p>
    <w:tbl>
      <w:tblPr>
        <w:tblStyle w:val="21"/>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附件12</w:t>
      </w:r>
      <w:r>
        <w:rPr>
          <w:rFonts w:ascii="宋体" w:hAnsi="宋体"/>
          <w:b/>
          <w:sz w:val="28"/>
        </w:rPr>
        <w:tab/>
      </w:r>
    </w:p>
    <w:p>
      <w:pPr>
        <w:spacing w:line="360" w:lineRule="auto"/>
        <w:jc w:val="center"/>
        <w:rPr>
          <w:rFonts w:ascii="宋体" w:hAnsi="宋体"/>
          <w:b/>
          <w:sz w:val="24"/>
        </w:rPr>
      </w:pPr>
      <w:bookmarkStart w:id="87" w:name="_Toc29652_WPSOffice_Level1"/>
      <w:bookmarkStart w:id="88" w:name="_Toc3463_WPSOffice_Level1"/>
      <w:r>
        <w:rPr>
          <w:rFonts w:hint="eastAsia" w:ascii="宋体" w:hAnsi="宋体"/>
          <w:b/>
          <w:sz w:val="32"/>
          <w:szCs w:val="32"/>
        </w:rPr>
        <w:t>售后服务情况表</w:t>
      </w:r>
      <w:bookmarkEnd w:id="87"/>
      <w:bookmarkEnd w:id="88"/>
    </w:p>
    <w:tbl>
      <w:tblPr>
        <w:tblStyle w:val="21"/>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6"/>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6"/>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6"/>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6"/>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6"/>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6"/>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Cs w:val="21"/>
              </w:rPr>
            </w:pPr>
          </w:p>
          <w:p>
            <w:pPr>
              <w:pStyle w:val="36"/>
              <w:widowControl/>
              <w:spacing w:line="360" w:lineRule="auto"/>
              <w:jc w:val="left"/>
              <w:rPr>
                <w:rFonts w:ascii="宋体" w:hAnsi="宋体" w:cs="Arial"/>
                <w:bCs/>
                <w:szCs w:val="21"/>
              </w:rPr>
            </w:pPr>
          </w:p>
          <w:p>
            <w:pPr>
              <w:pStyle w:val="36"/>
              <w:spacing w:line="360" w:lineRule="auto"/>
              <w:rPr>
                <w:rFonts w:ascii="宋体" w:hAnsi="宋体" w:cs="Arial"/>
                <w:bCs/>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Cs w:val="21"/>
              </w:rPr>
            </w:pPr>
          </w:p>
          <w:p>
            <w:pPr>
              <w:pStyle w:val="36"/>
              <w:widowControl/>
              <w:spacing w:line="360" w:lineRule="auto"/>
              <w:jc w:val="left"/>
              <w:rPr>
                <w:rFonts w:ascii="宋体" w:hAnsi="宋体" w:cs="Arial"/>
                <w:bCs/>
                <w:szCs w:val="21"/>
              </w:rPr>
            </w:pPr>
          </w:p>
          <w:p>
            <w:pPr>
              <w:pStyle w:val="36"/>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37"/>
        <w:spacing w:line="360" w:lineRule="auto"/>
        <w:rPr>
          <w:rFonts w:hAnsi="宋体"/>
          <w:b/>
          <w:sz w:val="28"/>
          <w:szCs w:val="28"/>
        </w:rPr>
      </w:pPr>
      <w:r>
        <w:rPr>
          <w:rFonts w:hint="eastAsia" w:hAnsi="宋体"/>
          <w:b/>
          <w:sz w:val="28"/>
          <w:szCs w:val="28"/>
        </w:rPr>
        <w:t>附件13</w:t>
      </w:r>
    </w:p>
    <w:p>
      <w:pPr>
        <w:pStyle w:val="37"/>
        <w:spacing w:line="360" w:lineRule="auto"/>
        <w:jc w:val="center"/>
        <w:rPr>
          <w:rFonts w:hAnsi="宋体"/>
          <w:b/>
          <w:sz w:val="32"/>
          <w:szCs w:val="32"/>
          <w:lang w:val="en-GB"/>
        </w:rPr>
      </w:pPr>
      <w:bookmarkStart w:id="89" w:name="_Toc15536_WPSOffice_Level1"/>
      <w:bookmarkStart w:id="90" w:name="_Toc16175_WPSOffice_Level1"/>
      <w:r>
        <w:rPr>
          <w:rFonts w:hint="eastAsia" w:hAnsi="宋体"/>
          <w:b/>
          <w:sz w:val="32"/>
          <w:szCs w:val="32"/>
        </w:rPr>
        <w:t>主要货物用材响应表(类似家具类货物采用)</w:t>
      </w:r>
      <w:bookmarkEnd w:id="89"/>
      <w:bookmarkEnd w:id="90"/>
    </w:p>
    <w:tbl>
      <w:tblPr>
        <w:tblStyle w:val="21"/>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6"/>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6"/>
        <w:spacing w:line="360" w:lineRule="auto"/>
        <w:ind w:firstLine="480" w:firstLineChars="200"/>
        <w:rPr>
          <w:rFonts w:ascii="仿宋_GB2312" w:eastAsia="仿宋_GB2312"/>
          <w:sz w:val="24"/>
        </w:rPr>
      </w:pPr>
    </w:p>
    <w:p>
      <w:pPr>
        <w:pStyle w:val="36"/>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hint="eastAsia" w:ascii="宋体" w:hAnsi="宋体"/>
          <w:sz w:val="24"/>
        </w:rPr>
      </w:pPr>
      <w:r>
        <w:rPr>
          <w:rFonts w:hint="eastAsia" w:ascii="宋体" w:hAnsi="宋体"/>
          <w:sz w:val="24"/>
        </w:rPr>
        <w:t>日        期：</w:t>
      </w:r>
    </w:p>
    <w:p>
      <w:pPr>
        <w:jc w:val="center"/>
        <w:rPr>
          <w:sz w:val="52"/>
          <w:szCs w:val="52"/>
        </w:rPr>
      </w:pPr>
      <w:bookmarkStart w:id="91" w:name="_Toc21322_WPSOffice_Level1"/>
      <w:bookmarkStart w:id="92" w:name="_Toc30468_WPSOffice_Level1"/>
      <w:bookmarkStart w:id="93" w:name="_Toc4615_WPSOffice_Level1"/>
    </w:p>
    <w:p>
      <w:pPr>
        <w:pStyle w:val="20"/>
      </w:pPr>
    </w:p>
    <w:p>
      <w:pPr>
        <w:jc w:val="center"/>
        <w:rPr>
          <w:sz w:val="52"/>
          <w:szCs w:val="52"/>
        </w:rPr>
      </w:pPr>
    </w:p>
    <w:p>
      <w:pPr>
        <w:jc w:val="center"/>
        <w:rPr>
          <w:sz w:val="52"/>
          <w:szCs w:val="52"/>
        </w:rPr>
      </w:pPr>
      <w:r>
        <w:rPr>
          <w:rFonts w:hint="eastAsia"/>
          <w:sz w:val="52"/>
          <w:szCs w:val="52"/>
        </w:rPr>
        <w:t>项目名称</w:t>
      </w:r>
      <w:bookmarkEnd w:id="91"/>
      <w:bookmarkEnd w:id="92"/>
      <w:bookmarkEnd w:id="93"/>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rPr>
      </w:pPr>
      <w:bookmarkStart w:id="94" w:name="_Toc9453_WPSOffice_Level1"/>
      <w:bookmarkStart w:id="95" w:name="_Toc8885_WPSOffice_Level1"/>
      <w:r>
        <w:rPr>
          <w:rFonts w:hint="eastAsia"/>
          <w:sz w:val="84"/>
          <w:szCs w:val="84"/>
        </w:rPr>
        <w:t>报</w:t>
      </w:r>
      <w:bookmarkEnd w:id="94"/>
      <w:bookmarkEnd w:id="95"/>
    </w:p>
    <w:p>
      <w:pPr>
        <w:jc w:val="center"/>
        <w:rPr>
          <w:sz w:val="84"/>
          <w:szCs w:val="84"/>
        </w:rPr>
      </w:pPr>
      <w:bookmarkStart w:id="96" w:name="_Toc7485_WPSOffice_Level1"/>
      <w:bookmarkStart w:id="97" w:name="_Toc10910_WPSOffice_Level1"/>
      <w:r>
        <w:rPr>
          <w:rFonts w:hint="eastAsia"/>
          <w:sz w:val="84"/>
          <w:szCs w:val="84"/>
        </w:rPr>
        <w:t>价</w:t>
      </w:r>
      <w:bookmarkEnd w:id="96"/>
      <w:bookmarkEnd w:id="97"/>
    </w:p>
    <w:p>
      <w:pPr>
        <w:jc w:val="center"/>
        <w:rPr>
          <w:sz w:val="84"/>
          <w:szCs w:val="84"/>
        </w:rPr>
      </w:pPr>
      <w:bookmarkStart w:id="98" w:name="_Toc3932_WPSOffice_Level1"/>
      <w:bookmarkStart w:id="99" w:name="_Toc14572_WPSOffice_Level1"/>
      <w:r>
        <w:rPr>
          <w:rFonts w:hint="eastAsia"/>
          <w:sz w:val="84"/>
          <w:szCs w:val="84"/>
        </w:rPr>
        <w:t>文</w:t>
      </w:r>
      <w:bookmarkEnd w:id="98"/>
      <w:bookmarkEnd w:id="99"/>
    </w:p>
    <w:p>
      <w:pPr>
        <w:jc w:val="center"/>
        <w:rPr>
          <w:sz w:val="84"/>
          <w:szCs w:val="84"/>
        </w:rPr>
      </w:pPr>
      <w:bookmarkStart w:id="100" w:name="_Toc7562_WPSOffice_Level1"/>
      <w:bookmarkStart w:id="101" w:name="_Toc16973_WPSOffice_Level1"/>
      <w:r>
        <w:rPr>
          <w:rFonts w:hint="eastAsia"/>
          <w:sz w:val="84"/>
          <w:szCs w:val="84"/>
        </w:rPr>
        <w:t>件</w:t>
      </w:r>
      <w:bookmarkEnd w:id="100"/>
      <w:bookmarkEnd w:id="101"/>
    </w:p>
    <w:p>
      <w:pPr>
        <w:spacing w:line="360" w:lineRule="auto"/>
        <w:ind w:right="532"/>
        <w:rPr>
          <w:rFonts w:ascii="宋体" w:hAnsi="宋体"/>
          <w:sz w:val="36"/>
          <w:szCs w:val="36"/>
        </w:rPr>
      </w:pPr>
    </w:p>
    <w:p>
      <w:pPr>
        <w:pStyle w:val="20"/>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2" w:name="_Toc4603_WPSOffice_Level1"/>
      <w:bookmarkStart w:id="103" w:name="_Toc26700_WPSOffice_Level1"/>
      <w:r>
        <w:rPr>
          <w:rFonts w:hint="eastAsia" w:ascii="宋体" w:hAnsi="宋体"/>
          <w:sz w:val="36"/>
          <w:szCs w:val="36"/>
        </w:rPr>
        <w:t>投标人全称（公章）：</w:t>
      </w:r>
      <w:bookmarkEnd w:id="102"/>
      <w:bookmarkEnd w:id="103"/>
    </w:p>
    <w:p>
      <w:pPr>
        <w:spacing w:line="360" w:lineRule="auto"/>
        <w:ind w:right="-108" w:firstLine="720" w:firstLineChars="200"/>
        <w:rPr>
          <w:rFonts w:ascii="宋体" w:hAnsi="宋体"/>
          <w:sz w:val="36"/>
          <w:szCs w:val="36"/>
        </w:rPr>
      </w:pPr>
      <w:bookmarkStart w:id="104" w:name="_Toc1391_WPSOffice_Level1"/>
      <w:bookmarkStart w:id="105" w:name="_Toc32593_WPSOffice_Level1"/>
      <w:r>
        <w:rPr>
          <w:rFonts w:hint="eastAsia" w:ascii="宋体" w:hAnsi="宋体"/>
          <w:sz w:val="36"/>
          <w:szCs w:val="36"/>
        </w:rPr>
        <w:t>地    址：</w:t>
      </w:r>
      <w:bookmarkEnd w:id="104"/>
      <w:bookmarkEnd w:id="105"/>
    </w:p>
    <w:p>
      <w:pPr>
        <w:spacing w:line="360" w:lineRule="auto"/>
        <w:ind w:right="-108" w:firstLine="720" w:firstLineChars="200"/>
        <w:rPr>
          <w:rFonts w:ascii="宋体" w:hAnsi="宋体"/>
          <w:sz w:val="36"/>
          <w:szCs w:val="36"/>
        </w:rPr>
      </w:pPr>
      <w:bookmarkStart w:id="106" w:name="_Toc3791_WPSOffice_Level1"/>
      <w:bookmarkStart w:id="107" w:name="_Toc20938_WPSOffice_Level1"/>
      <w:r>
        <w:rPr>
          <w:rFonts w:hint="eastAsia" w:ascii="宋体" w:hAnsi="宋体"/>
          <w:sz w:val="36"/>
          <w:szCs w:val="36"/>
        </w:rPr>
        <w:t>时    间：</w:t>
      </w:r>
      <w:bookmarkEnd w:id="106"/>
      <w:bookmarkEnd w:id="107"/>
    </w:p>
    <w:p>
      <w:pPr>
        <w:spacing w:line="360" w:lineRule="auto"/>
        <w:ind w:right="-108"/>
        <w:jc w:val="center"/>
        <w:rPr>
          <w:rFonts w:ascii="仿宋_GB2312" w:hAnsi="宋体" w:eastAsia="仿宋_GB2312"/>
          <w:b/>
          <w:sz w:val="36"/>
          <w:szCs w:val="36"/>
        </w:rPr>
      </w:pPr>
    </w:p>
    <w:p>
      <w:pPr>
        <w:pStyle w:val="20"/>
      </w:pPr>
    </w:p>
    <w:p>
      <w:pPr>
        <w:pStyle w:val="20"/>
      </w:pPr>
    </w:p>
    <w:p>
      <w:pPr>
        <w:pStyle w:val="8"/>
        <w:ind w:firstLine="0"/>
        <w:rPr>
          <w:rFonts w:hint="eastAsia" w:ascii="仿宋_GB2312" w:hAnsi="宋体" w:eastAsia="仿宋_GB2312"/>
          <w:b/>
          <w:sz w:val="36"/>
          <w:szCs w:val="36"/>
        </w:rPr>
      </w:pPr>
    </w:p>
    <w:p>
      <w:pPr>
        <w:spacing w:line="480" w:lineRule="auto"/>
        <w:jc w:val="center"/>
        <w:rPr>
          <w:rFonts w:ascii="宋体" w:hAnsi="宋体"/>
          <w:b/>
          <w:bCs/>
          <w:sz w:val="36"/>
          <w:szCs w:val="36"/>
        </w:rPr>
      </w:pPr>
      <w:bookmarkStart w:id="108" w:name="_Toc19972_WPSOffice_Level1"/>
      <w:bookmarkStart w:id="109" w:name="_Toc29537_WPSOffice_Level1"/>
      <w:r>
        <w:rPr>
          <w:rFonts w:hint="eastAsia" w:ascii="宋体" w:hAnsi="宋体"/>
          <w:b/>
          <w:bCs/>
          <w:sz w:val="36"/>
          <w:szCs w:val="36"/>
        </w:rPr>
        <w:t>报价文件目录</w:t>
      </w:r>
      <w:bookmarkEnd w:id="108"/>
      <w:bookmarkEnd w:id="109"/>
    </w:p>
    <w:p>
      <w:pPr>
        <w:pStyle w:val="20"/>
      </w:pPr>
    </w:p>
    <w:p>
      <w:pPr>
        <w:spacing w:line="360" w:lineRule="auto"/>
        <w:ind w:firstLine="480" w:firstLineChars="200"/>
        <w:rPr>
          <w:sz w:val="24"/>
        </w:rPr>
      </w:pPr>
    </w:p>
    <w:p>
      <w:pPr>
        <w:numPr>
          <w:ilvl w:val="0"/>
          <w:numId w:val="11"/>
        </w:numPr>
        <w:spacing w:line="360" w:lineRule="auto"/>
        <w:rPr>
          <w:rFonts w:asciiTheme="minorEastAsia" w:hAnsiTheme="minorEastAsia" w:eastAsiaTheme="minorEastAsia" w:cstheme="minorEastAsia"/>
          <w:sz w:val="28"/>
          <w:szCs w:val="28"/>
        </w:rPr>
      </w:pPr>
      <w:bookmarkStart w:id="110" w:name="_Toc29988_WPSOffice_Level1"/>
      <w:bookmarkStart w:id="111" w:name="_Toc6778_WPSOffice_Level1"/>
      <w:r>
        <w:rPr>
          <w:rFonts w:hint="eastAsia" w:asciiTheme="minorEastAsia" w:hAnsiTheme="minorEastAsia" w:eastAsiaTheme="minorEastAsia" w:cstheme="minorEastAsia"/>
          <w:sz w:val="28"/>
          <w:szCs w:val="28"/>
        </w:rPr>
        <w:t>开标一览表（附件14）</w:t>
      </w:r>
      <w:bookmarkEnd w:id="110"/>
      <w:bookmarkEnd w:id="111"/>
    </w:p>
    <w:p>
      <w:pPr>
        <w:numPr>
          <w:ilvl w:val="0"/>
          <w:numId w:val="11"/>
        </w:numPr>
        <w:spacing w:line="360" w:lineRule="auto"/>
        <w:rPr>
          <w:rFonts w:asciiTheme="minorEastAsia" w:hAnsiTheme="minorEastAsia" w:eastAsiaTheme="minorEastAsia" w:cstheme="minorEastAsia"/>
          <w:sz w:val="28"/>
          <w:szCs w:val="28"/>
        </w:rPr>
      </w:pPr>
      <w:bookmarkStart w:id="112" w:name="_Toc15601_WPSOffice_Level1"/>
      <w:bookmarkStart w:id="113" w:name="_Toc11601_WPSOffice_Level1"/>
      <w:r>
        <w:rPr>
          <w:rFonts w:hint="eastAsia" w:asciiTheme="minorEastAsia" w:hAnsiTheme="minorEastAsia" w:eastAsiaTheme="minorEastAsia" w:cstheme="minorEastAsia"/>
          <w:sz w:val="28"/>
          <w:szCs w:val="28"/>
        </w:rPr>
        <w:t>报价明细表（附件15）</w:t>
      </w:r>
      <w:bookmarkEnd w:id="112"/>
      <w:bookmarkEnd w:id="113"/>
    </w:p>
    <w:p>
      <w:pPr>
        <w:numPr>
          <w:ilvl w:val="0"/>
          <w:numId w:val="11"/>
        </w:numPr>
        <w:spacing w:line="360" w:lineRule="auto"/>
        <w:rPr>
          <w:rFonts w:asciiTheme="minorEastAsia" w:hAnsiTheme="minorEastAsia" w:eastAsiaTheme="minorEastAsia" w:cstheme="minorEastAsia"/>
          <w:sz w:val="28"/>
          <w:szCs w:val="28"/>
        </w:rPr>
      </w:pPr>
      <w:bookmarkStart w:id="114" w:name="_Toc45_WPSOffice_Level1"/>
      <w:bookmarkStart w:id="115" w:name="_Toc17543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（附件16）</w:t>
      </w:r>
      <w:bookmarkEnd w:id="114"/>
      <w:bookmarkEnd w:id="115"/>
    </w:p>
    <w:p>
      <w:pPr>
        <w:numPr>
          <w:ilvl w:val="0"/>
          <w:numId w:val="11"/>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16" w:name="_Toc30363_WPSOffice_Level1"/>
      <w:bookmarkStart w:id="117" w:name="_Toc16144_WPSOffice_Level1"/>
      <w:r>
        <w:rPr>
          <w:rFonts w:hint="eastAsia" w:ascii="宋体" w:hAnsi="宋体"/>
          <w:b/>
          <w:sz w:val="32"/>
          <w:szCs w:val="32"/>
        </w:rPr>
        <w:t>开标一览表</w:t>
      </w:r>
      <w:bookmarkEnd w:id="116"/>
      <w:bookmarkEnd w:id="117"/>
    </w:p>
    <w:p>
      <w:pPr>
        <w:pStyle w:val="20"/>
      </w:pPr>
    </w:p>
    <w:p>
      <w:pPr>
        <w:pStyle w:val="11"/>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sz w:val="24"/>
        </w:rPr>
      </w:pPr>
      <w:bookmarkStart w:id="118" w:name="_Toc22412_WPSOffice_Level1"/>
      <w:bookmarkStart w:id="119" w:name="_Toc8975_WPSOffice_Level1"/>
      <w:r>
        <w:rPr>
          <w:rFonts w:hint="eastAsia" w:ascii="宋体" w:hAnsi="宋体"/>
          <w:b/>
          <w:sz w:val="32"/>
          <w:szCs w:val="32"/>
        </w:rPr>
        <w:t>报价明细表</w:t>
      </w:r>
      <w:bookmarkEnd w:id="118"/>
      <w:bookmarkEnd w:id="119"/>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0"/>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120" w:beforeLines="50" w:after="50" w:line="360" w:lineRule="auto"/>
        <w:rPr>
          <w:rFonts w:ascii="宋体" w:hAnsi="宋体"/>
          <w:b/>
          <w:sz w:val="28"/>
          <w:szCs w:val="28"/>
        </w:rPr>
      </w:pPr>
      <w:r>
        <w:rPr>
          <w:rFonts w:hint="eastAsia" w:ascii="宋体" w:hAnsi="宋体"/>
          <w:b/>
          <w:sz w:val="28"/>
        </w:rPr>
        <w:t>附件16</w:t>
      </w:r>
    </w:p>
    <w:p>
      <w:pPr>
        <w:pStyle w:val="8"/>
        <w:spacing w:line="360" w:lineRule="auto"/>
        <w:ind w:firstLine="0"/>
        <w:jc w:val="center"/>
        <w:rPr>
          <w:rFonts w:ascii="宋体" w:hAnsi="宋体" w:cs="宋体"/>
          <w:b/>
          <w:sz w:val="32"/>
          <w:szCs w:val="32"/>
        </w:rPr>
      </w:pPr>
      <w:bookmarkStart w:id="120" w:name="_Toc12654_WPSOffice_Level1"/>
      <w:bookmarkStart w:id="121" w:name="_Toc29357_WPSOffice_Level1"/>
      <w:r>
        <w:rPr>
          <w:rFonts w:hint="eastAsia" w:ascii="宋体" w:hAnsi="宋体" w:cs="宋体"/>
          <w:b/>
          <w:sz w:val="32"/>
          <w:szCs w:val="32"/>
        </w:rPr>
        <w:t>中小企业声明函（货物）</w:t>
      </w:r>
      <w:bookmarkEnd w:id="120"/>
      <w:bookmarkEnd w:id="121"/>
    </w:p>
    <w:p>
      <w:pPr>
        <w:pStyle w:val="8"/>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5" w:type="first"/>
          <w:footerReference r:id="rId7" w:type="first"/>
          <w:headerReference r:id="rId4" w:type="default"/>
          <w:footerReference r:id="rId6"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22" w:name="_Toc27483_WPSOffice_Level1"/>
      <w:bookmarkStart w:id="123" w:name="_Toc17646_WPSOffice_Level1"/>
      <w:r>
        <w:rPr>
          <w:rFonts w:hint="eastAsia" w:hAnsi="宋体" w:cs="宋体"/>
          <w:b/>
          <w:sz w:val="32"/>
          <w:szCs w:val="32"/>
          <w:lang w:val="en-GB"/>
        </w:rPr>
        <w:t>残疾人福利性单位声明函</w:t>
      </w:r>
      <w:bookmarkEnd w:id="122"/>
      <w:bookmarkEnd w:id="123"/>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1"/>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1"/>
        <w:spacing w:line="360" w:lineRule="auto"/>
      </w:pPr>
    </w:p>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170625"/>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政府采购文件公开招标货物类示范文本（试行）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7">
    <w:nsid w:val="289F1F1C"/>
    <w:multiLevelType w:val="singleLevel"/>
    <w:tmpl w:val="289F1F1C"/>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7488A27B"/>
    <w:multiLevelType w:val="singleLevel"/>
    <w:tmpl w:val="7488A27B"/>
    <w:lvl w:ilvl="0" w:tentative="0">
      <w:start w:val="1"/>
      <w:numFmt w:val="decimal"/>
      <w:lvlText w:val="%1."/>
      <w:lvlJc w:val="left"/>
      <w:pPr>
        <w:ind w:left="425" w:hanging="425"/>
      </w:pPr>
      <w:rPr>
        <w:rFonts w:hint="default"/>
      </w:rPr>
    </w:lvl>
  </w:abstractNum>
  <w:abstractNum w:abstractNumId="10">
    <w:nsid w:val="7E92F494"/>
    <w:multiLevelType w:val="singleLevel"/>
    <w:tmpl w:val="7E92F494"/>
    <w:lvl w:ilvl="0" w:tentative="0">
      <w:start w:val="1"/>
      <w:numFmt w:val="decimal"/>
      <w:lvlText w:val="%1."/>
      <w:lvlJc w:val="left"/>
      <w:pPr>
        <w:ind w:left="425" w:hanging="425"/>
      </w:pPr>
      <w:rPr>
        <w:rFonts w:hint="default"/>
      </w:rPr>
    </w:lvl>
  </w:abstractNum>
  <w:num w:numId="1">
    <w:abstractNumId w:val="8"/>
  </w:num>
  <w:num w:numId="2">
    <w:abstractNumId w:val="6"/>
  </w:num>
  <w:num w:numId="3">
    <w:abstractNumId w:val="4"/>
  </w:num>
  <w:num w:numId="4">
    <w:abstractNumId w:val="0"/>
  </w:num>
  <w:num w:numId="5">
    <w:abstractNumId w:val="10"/>
  </w:num>
  <w:num w:numId="6">
    <w:abstractNumId w:val="1"/>
  </w:num>
  <w:num w:numId="7">
    <w:abstractNumId w:val="9"/>
  </w:num>
  <w:num w:numId="8">
    <w:abstractNumId w:val="2"/>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027C1"/>
    <w:rsid w:val="0002799D"/>
    <w:rsid w:val="00037F4A"/>
    <w:rsid w:val="00057A5A"/>
    <w:rsid w:val="00072A3F"/>
    <w:rsid w:val="000A0224"/>
    <w:rsid w:val="000E538F"/>
    <w:rsid w:val="000F350B"/>
    <w:rsid w:val="001136A2"/>
    <w:rsid w:val="00117ECC"/>
    <w:rsid w:val="001B51C8"/>
    <w:rsid w:val="001C4F91"/>
    <w:rsid w:val="001E6CF9"/>
    <w:rsid w:val="00206D1B"/>
    <w:rsid w:val="00242A20"/>
    <w:rsid w:val="002A4418"/>
    <w:rsid w:val="002D5185"/>
    <w:rsid w:val="00312C7C"/>
    <w:rsid w:val="00315916"/>
    <w:rsid w:val="003201FA"/>
    <w:rsid w:val="00330F75"/>
    <w:rsid w:val="003664E7"/>
    <w:rsid w:val="003C4BB8"/>
    <w:rsid w:val="003D38B1"/>
    <w:rsid w:val="003E7404"/>
    <w:rsid w:val="00401AC8"/>
    <w:rsid w:val="00411964"/>
    <w:rsid w:val="00494691"/>
    <w:rsid w:val="005240D4"/>
    <w:rsid w:val="005250E6"/>
    <w:rsid w:val="00565F77"/>
    <w:rsid w:val="00595779"/>
    <w:rsid w:val="005A610B"/>
    <w:rsid w:val="005B7FA6"/>
    <w:rsid w:val="00623A21"/>
    <w:rsid w:val="00627077"/>
    <w:rsid w:val="00627D71"/>
    <w:rsid w:val="00633A6A"/>
    <w:rsid w:val="0066350B"/>
    <w:rsid w:val="0067093A"/>
    <w:rsid w:val="00697925"/>
    <w:rsid w:val="006F24A9"/>
    <w:rsid w:val="006F679D"/>
    <w:rsid w:val="0072317A"/>
    <w:rsid w:val="00732806"/>
    <w:rsid w:val="00745135"/>
    <w:rsid w:val="00745CDF"/>
    <w:rsid w:val="007477C6"/>
    <w:rsid w:val="007A15EB"/>
    <w:rsid w:val="007E4962"/>
    <w:rsid w:val="008116D3"/>
    <w:rsid w:val="00914D4A"/>
    <w:rsid w:val="0093255C"/>
    <w:rsid w:val="009561DE"/>
    <w:rsid w:val="00987EDA"/>
    <w:rsid w:val="00A022A0"/>
    <w:rsid w:val="00A773BF"/>
    <w:rsid w:val="00A921FD"/>
    <w:rsid w:val="00A94E06"/>
    <w:rsid w:val="00A97E75"/>
    <w:rsid w:val="00AA020C"/>
    <w:rsid w:val="00AB49B7"/>
    <w:rsid w:val="00AD42E0"/>
    <w:rsid w:val="00B023A2"/>
    <w:rsid w:val="00B44061"/>
    <w:rsid w:val="00BD378A"/>
    <w:rsid w:val="00C106EA"/>
    <w:rsid w:val="00C4791F"/>
    <w:rsid w:val="00C55497"/>
    <w:rsid w:val="00C67AEA"/>
    <w:rsid w:val="00C72731"/>
    <w:rsid w:val="00CA0604"/>
    <w:rsid w:val="00CF3329"/>
    <w:rsid w:val="00D00C48"/>
    <w:rsid w:val="00D0546E"/>
    <w:rsid w:val="00D07E9B"/>
    <w:rsid w:val="00D6476C"/>
    <w:rsid w:val="00DB1E3F"/>
    <w:rsid w:val="00DB267A"/>
    <w:rsid w:val="00DC1336"/>
    <w:rsid w:val="00E10C77"/>
    <w:rsid w:val="00E32B23"/>
    <w:rsid w:val="00E41EBA"/>
    <w:rsid w:val="00E448AC"/>
    <w:rsid w:val="00E66CDC"/>
    <w:rsid w:val="00EC04A9"/>
    <w:rsid w:val="00EF43FF"/>
    <w:rsid w:val="00F26F1C"/>
    <w:rsid w:val="00F5034C"/>
    <w:rsid w:val="010742D5"/>
    <w:rsid w:val="01077B6C"/>
    <w:rsid w:val="011C2867"/>
    <w:rsid w:val="011E4134"/>
    <w:rsid w:val="012355F0"/>
    <w:rsid w:val="012B6D61"/>
    <w:rsid w:val="015C2A86"/>
    <w:rsid w:val="015F789E"/>
    <w:rsid w:val="01851778"/>
    <w:rsid w:val="01AE11E6"/>
    <w:rsid w:val="01B70CE3"/>
    <w:rsid w:val="01C54B55"/>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143919"/>
    <w:rsid w:val="032A675A"/>
    <w:rsid w:val="032C58C3"/>
    <w:rsid w:val="036059A4"/>
    <w:rsid w:val="036E261F"/>
    <w:rsid w:val="037628ED"/>
    <w:rsid w:val="03804F1D"/>
    <w:rsid w:val="038D5F87"/>
    <w:rsid w:val="03996F9E"/>
    <w:rsid w:val="03A92BAF"/>
    <w:rsid w:val="03AD4EC4"/>
    <w:rsid w:val="03DC5B25"/>
    <w:rsid w:val="03F9723A"/>
    <w:rsid w:val="041155D0"/>
    <w:rsid w:val="04315D2A"/>
    <w:rsid w:val="04431C4F"/>
    <w:rsid w:val="044D523C"/>
    <w:rsid w:val="04604D98"/>
    <w:rsid w:val="046212F9"/>
    <w:rsid w:val="04663F34"/>
    <w:rsid w:val="04686D1E"/>
    <w:rsid w:val="04E746F0"/>
    <w:rsid w:val="04E87471"/>
    <w:rsid w:val="05044DF3"/>
    <w:rsid w:val="050A0D5B"/>
    <w:rsid w:val="050D23B9"/>
    <w:rsid w:val="05162537"/>
    <w:rsid w:val="051E7487"/>
    <w:rsid w:val="053F0EAC"/>
    <w:rsid w:val="053F23D3"/>
    <w:rsid w:val="056B3DBF"/>
    <w:rsid w:val="057D6BFC"/>
    <w:rsid w:val="057E41A9"/>
    <w:rsid w:val="05B01B1D"/>
    <w:rsid w:val="05BC5BB6"/>
    <w:rsid w:val="05CB2372"/>
    <w:rsid w:val="05FD1629"/>
    <w:rsid w:val="06221E50"/>
    <w:rsid w:val="0640264B"/>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F3EE7"/>
    <w:rsid w:val="07AE41DE"/>
    <w:rsid w:val="07D85507"/>
    <w:rsid w:val="07DF5164"/>
    <w:rsid w:val="07E50580"/>
    <w:rsid w:val="07F46C10"/>
    <w:rsid w:val="07F9224F"/>
    <w:rsid w:val="07FA589D"/>
    <w:rsid w:val="082E5DF2"/>
    <w:rsid w:val="08422A5C"/>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3E6778"/>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A918FE"/>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B83C20"/>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566DEC"/>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863A4E"/>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8C5522"/>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CA0A0B"/>
    <w:rsid w:val="1AD15B84"/>
    <w:rsid w:val="1ADA6CD0"/>
    <w:rsid w:val="1AF47380"/>
    <w:rsid w:val="1B0C0005"/>
    <w:rsid w:val="1B251F48"/>
    <w:rsid w:val="1B3833FF"/>
    <w:rsid w:val="1B396BED"/>
    <w:rsid w:val="1B4C6CA1"/>
    <w:rsid w:val="1B52759D"/>
    <w:rsid w:val="1B612ED3"/>
    <w:rsid w:val="1B6A011C"/>
    <w:rsid w:val="1B705E15"/>
    <w:rsid w:val="1B8C6B7B"/>
    <w:rsid w:val="1B9F00ED"/>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B95300"/>
    <w:rsid w:val="1FCD6552"/>
    <w:rsid w:val="1FE07634"/>
    <w:rsid w:val="1FF829ED"/>
    <w:rsid w:val="20027E74"/>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3E4030"/>
    <w:rsid w:val="22423882"/>
    <w:rsid w:val="227334E7"/>
    <w:rsid w:val="22734646"/>
    <w:rsid w:val="22AE1EDE"/>
    <w:rsid w:val="22C23296"/>
    <w:rsid w:val="22DD6CC1"/>
    <w:rsid w:val="2307360A"/>
    <w:rsid w:val="23080E27"/>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222143"/>
    <w:rsid w:val="25503821"/>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BD0C20"/>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22BCA"/>
    <w:rsid w:val="27BF3604"/>
    <w:rsid w:val="27D26786"/>
    <w:rsid w:val="27EA6257"/>
    <w:rsid w:val="27FD3CE9"/>
    <w:rsid w:val="2831638E"/>
    <w:rsid w:val="284F457A"/>
    <w:rsid w:val="28503B39"/>
    <w:rsid w:val="285117F8"/>
    <w:rsid w:val="288445F5"/>
    <w:rsid w:val="28883EBB"/>
    <w:rsid w:val="28885F5E"/>
    <w:rsid w:val="288A6570"/>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2214D"/>
    <w:rsid w:val="2D1D236A"/>
    <w:rsid w:val="2D796BC0"/>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263ABD"/>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1102"/>
    <w:rsid w:val="30635A86"/>
    <w:rsid w:val="30797BE5"/>
    <w:rsid w:val="308146B4"/>
    <w:rsid w:val="309F08DA"/>
    <w:rsid w:val="309F27BB"/>
    <w:rsid w:val="30C01081"/>
    <w:rsid w:val="30C81567"/>
    <w:rsid w:val="30CD46BC"/>
    <w:rsid w:val="30D065A7"/>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14178C"/>
    <w:rsid w:val="3562042D"/>
    <w:rsid w:val="356608C9"/>
    <w:rsid w:val="35850AE6"/>
    <w:rsid w:val="35DE1818"/>
    <w:rsid w:val="35E06871"/>
    <w:rsid w:val="36146F55"/>
    <w:rsid w:val="36787E34"/>
    <w:rsid w:val="36CD4B67"/>
    <w:rsid w:val="36D974F7"/>
    <w:rsid w:val="36E03CF2"/>
    <w:rsid w:val="36E05B33"/>
    <w:rsid w:val="36E77649"/>
    <w:rsid w:val="36FC06E4"/>
    <w:rsid w:val="37002BA5"/>
    <w:rsid w:val="37025FC2"/>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52648C"/>
    <w:rsid w:val="38622194"/>
    <w:rsid w:val="38684F32"/>
    <w:rsid w:val="387A7CA5"/>
    <w:rsid w:val="387E3BF1"/>
    <w:rsid w:val="388E0F50"/>
    <w:rsid w:val="388E2941"/>
    <w:rsid w:val="389162AC"/>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9F436D"/>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CE2EA4"/>
    <w:rsid w:val="3BE90506"/>
    <w:rsid w:val="3BEB6832"/>
    <w:rsid w:val="3BF45DB6"/>
    <w:rsid w:val="3BFA06DC"/>
    <w:rsid w:val="3C2E5ED4"/>
    <w:rsid w:val="3C40766B"/>
    <w:rsid w:val="3C7F621D"/>
    <w:rsid w:val="3C8B47EB"/>
    <w:rsid w:val="3CB0439D"/>
    <w:rsid w:val="3CBB6AC9"/>
    <w:rsid w:val="3CBD35C8"/>
    <w:rsid w:val="3D1456AE"/>
    <w:rsid w:val="3D145DCC"/>
    <w:rsid w:val="3D1C0002"/>
    <w:rsid w:val="3D2962ED"/>
    <w:rsid w:val="3D2D7B94"/>
    <w:rsid w:val="3D340B81"/>
    <w:rsid w:val="3D4E706F"/>
    <w:rsid w:val="3D67497C"/>
    <w:rsid w:val="3D8311E9"/>
    <w:rsid w:val="3D853F71"/>
    <w:rsid w:val="3DAA319C"/>
    <w:rsid w:val="3DF319EC"/>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2662"/>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65ECE"/>
    <w:rsid w:val="42076836"/>
    <w:rsid w:val="420F1D94"/>
    <w:rsid w:val="423B1FA8"/>
    <w:rsid w:val="424E4424"/>
    <w:rsid w:val="42736CB4"/>
    <w:rsid w:val="429325D1"/>
    <w:rsid w:val="429B53DF"/>
    <w:rsid w:val="429E3CF8"/>
    <w:rsid w:val="42BC7452"/>
    <w:rsid w:val="42D12138"/>
    <w:rsid w:val="42F7079D"/>
    <w:rsid w:val="430D4AC0"/>
    <w:rsid w:val="431E047F"/>
    <w:rsid w:val="431E65EF"/>
    <w:rsid w:val="43522956"/>
    <w:rsid w:val="43624EAD"/>
    <w:rsid w:val="437270F3"/>
    <w:rsid w:val="437750CA"/>
    <w:rsid w:val="438D45B9"/>
    <w:rsid w:val="43985D00"/>
    <w:rsid w:val="43986BA3"/>
    <w:rsid w:val="43AB2F4E"/>
    <w:rsid w:val="43AC3F44"/>
    <w:rsid w:val="43B1210D"/>
    <w:rsid w:val="43C53F65"/>
    <w:rsid w:val="43DE77F3"/>
    <w:rsid w:val="43EF306C"/>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167AFB"/>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2D47F3"/>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A50073"/>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AFD444D"/>
    <w:rsid w:val="4B12483C"/>
    <w:rsid w:val="4B281AD9"/>
    <w:rsid w:val="4B286964"/>
    <w:rsid w:val="4B462533"/>
    <w:rsid w:val="4B497516"/>
    <w:rsid w:val="4B5F395F"/>
    <w:rsid w:val="4B887ABD"/>
    <w:rsid w:val="4B8B30E8"/>
    <w:rsid w:val="4B927D05"/>
    <w:rsid w:val="4BA71700"/>
    <w:rsid w:val="4BC40127"/>
    <w:rsid w:val="4BCF7C38"/>
    <w:rsid w:val="4BD1718E"/>
    <w:rsid w:val="4BD95ACE"/>
    <w:rsid w:val="4C000F41"/>
    <w:rsid w:val="4C1E38AF"/>
    <w:rsid w:val="4C1F09E8"/>
    <w:rsid w:val="4C6A4F05"/>
    <w:rsid w:val="4C6B7BE3"/>
    <w:rsid w:val="4C771D65"/>
    <w:rsid w:val="4C783020"/>
    <w:rsid w:val="4C884D61"/>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640AFC"/>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926B99"/>
    <w:rsid w:val="50CB3E82"/>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956730"/>
    <w:rsid w:val="54C52C01"/>
    <w:rsid w:val="54DE257B"/>
    <w:rsid w:val="54E3746E"/>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2F1A6D"/>
    <w:rsid w:val="5B365C08"/>
    <w:rsid w:val="5B46719F"/>
    <w:rsid w:val="5B5C0955"/>
    <w:rsid w:val="5B60313C"/>
    <w:rsid w:val="5B705B09"/>
    <w:rsid w:val="5B8861A0"/>
    <w:rsid w:val="5B9331F3"/>
    <w:rsid w:val="5B983712"/>
    <w:rsid w:val="5B997CCC"/>
    <w:rsid w:val="5B9D7438"/>
    <w:rsid w:val="5BA42A14"/>
    <w:rsid w:val="5BC52ADE"/>
    <w:rsid w:val="5C1E7608"/>
    <w:rsid w:val="5C5740F9"/>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52D6E"/>
    <w:rsid w:val="623743B3"/>
    <w:rsid w:val="623E7108"/>
    <w:rsid w:val="625A6442"/>
    <w:rsid w:val="626A1CE1"/>
    <w:rsid w:val="626C134E"/>
    <w:rsid w:val="629B22CB"/>
    <w:rsid w:val="62A3229B"/>
    <w:rsid w:val="62A45588"/>
    <w:rsid w:val="62A57C35"/>
    <w:rsid w:val="62B952CA"/>
    <w:rsid w:val="62E07553"/>
    <w:rsid w:val="62FF66F4"/>
    <w:rsid w:val="63081C9E"/>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3543FA"/>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7F54D8"/>
    <w:rsid w:val="67B406DA"/>
    <w:rsid w:val="67C75EAB"/>
    <w:rsid w:val="67D13F82"/>
    <w:rsid w:val="67D47556"/>
    <w:rsid w:val="67E83BD3"/>
    <w:rsid w:val="67FE0A51"/>
    <w:rsid w:val="67FF1EAE"/>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2F3"/>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CB358E"/>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833A30"/>
    <w:rsid w:val="739D4E7F"/>
    <w:rsid w:val="73A52CA9"/>
    <w:rsid w:val="73C82E30"/>
    <w:rsid w:val="73FA14E3"/>
    <w:rsid w:val="73FD29BB"/>
    <w:rsid w:val="740A7F35"/>
    <w:rsid w:val="740B686A"/>
    <w:rsid w:val="74193434"/>
    <w:rsid w:val="7436153F"/>
    <w:rsid w:val="744401CE"/>
    <w:rsid w:val="74526F16"/>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DB3A11"/>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E24696"/>
    <w:rsid w:val="78FB6861"/>
    <w:rsid w:val="790C30F7"/>
    <w:rsid w:val="79182F94"/>
    <w:rsid w:val="791E6626"/>
    <w:rsid w:val="791F15A3"/>
    <w:rsid w:val="791F1ABD"/>
    <w:rsid w:val="792A6014"/>
    <w:rsid w:val="792A77CA"/>
    <w:rsid w:val="792C1C9C"/>
    <w:rsid w:val="79534836"/>
    <w:rsid w:val="795F47C4"/>
    <w:rsid w:val="797A1688"/>
    <w:rsid w:val="79880110"/>
    <w:rsid w:val="79894347"/>
    <w:rsid w:val="799447B2"/>
    <w:rsid w:val="79993DEC"/>
    <w:rsid w:val="79A91848"/>
    <w:rsid w:val="79B155D3"/>
    <w:rsid w:val="79BE02AE"/>
    <w:rsid w:val="79C44E91"/>
    <w:rsid w:val="79D75B18"/>
    <w:rsid w:val="79F9227E"/>
    <w:rsid w:val="7A03141B"/>
    <w:rsid w:val="7A231596"/>
    <w:rsid w:val="7A2F5A98"/>
    <w:rsid w:val="7A340EA4"/>
    <w:rsid w:val="7A3F5F0E"/>
    <w:rsid w:val="7A402127"/>
    <w:rsid w:val="7A677819"/>
    <w:rsid w:val="7A75750A"/>
    <w:rsid w:val="7A7C3110"/>
    <w:rsid w:val="7A9E603E"/>
    <w:rsid w:val="7AA5799A"/>
    <w:rsid w:val="7AAE7A48"/>
    <w:rsid w:val="7AB052B6"/>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D1C43DD"/>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DE11DF0"/>
    <w:rsid w:val="7E0B16A2"/>
    <w:rsid w:val="7E12506E"/>
    <w:rsid w:val="7E1B5179"/>
    <w:rsid w:val="7E3610F8"/>
    <w:rsid w:val="7E4429DB"/>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5"/>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customStyle="1" w:styleId="5">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annotation text"/>
    <w:basedOn w:val="1"/>
    <w:link w:val="51"/>
    <w:qFormat/>
    <w:uiPriority w:val="0"/>
    <w:pPr>
      <w:jc w:val="left"/>
    </w:pPr>
  </w:style>
  <w:style w:type="paragraph" w:styleId="10">
    <w:name w:val="Body Text"/>
    <w:basedOn w:val="1"/>
    <w:qFormat/>
    <w:uiPriority w:val="0"/>
    <w:pPr>
      <w:spacing w:line="360" w:lineRule="exact"/>
    </w:pPr>
    <w:rPr>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0"/>
    <w:qFormat/>
    <w:uiPriority w:val="0"/>
    <w:rPr>
      <w:sz w:val="18"/>
      <w:szCs w:val="18"/>
    </w:rPr>
  </w:style>
  <w:style w:type="paragraph" w:styleId="14">
    <w:name w:val="footer"/>
    <w:basedOn w:val="1"/>
    <w:link w:val="53"/>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9"/>
    <w:next w:val="9"/>
    <w:link w:val="52"/>
    <w:uiPriority w:val="0"/>
    <w:rPr>
      <w:b/>
      <w:bCs/>
    </w:rPr>
  </w:style>
  <w:style w:type="paragraph" w:styleId="19">
    <w:name w:val="Body Text First Indent"/>
    <w:basedOn w:val="1"/>
    <w:qFormat/>
    <w:uiPriority w:val="0"/>
    <w:pPr>
      <w:ind w:firstLine="200" w:firstLineChars="200"/>
    </w:pPr>
  </w:style>
  <w:style w:type="paragraph" w:styleId="20">
    <w:name w:val="Body Text First Indent 2"/>
    <w:basedOn w:val="2"/>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4">
    <w:name w:val="FollowedHyperlink"/>
    <w:basedOn w:val="23"/>
    <w:qFormat/>
    <w:uiPriority w:val="0"/>
    <w:rPr>
      <w:color w:val="800080"/>
      <w:u w:val="single"/>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qFormat/>
    <w:uiPriority w:val="0"/>
    <w:rPr>
      <w:rFonts w:hint="default" w:ascii="Arial" w:hAnsi="Arial" w:cs="Arial"/>
      <w:color w:val="000000"/>
      <w:sz w:val="20"/>
      <w:szCs w:val="20"/>
      <w:u w:val="none"/>
    </w:rPr>
  </w:style>
  <w:style w:type="character" w:customStyle="1" w:styleId="44">
    <w:name w:val="font01"/>
    <w:basedOn w:val="23"/>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character" w:customStyle="1" w:styleId="49">
    <w:name w:val="标题 1 Char Char"/>
    <w:basedOn w:val="23"/>
    <w:qFormat/>
    <w:uiPriority w:val="0"/>
    <w:rPr>
      <w:rFonts w:eastAsia="宋体"/>
      <w:b/>
      <w:spacing w:val="-2"/>
      <w:sz w:val="24"/>
      <w:lang w:val="en-US" w:eastAsia="zh-CN" w:bidi="ar-SA"/>
    </w:rPr>
  </w:style>
  <w:style w:type="character" w:customStyle="1" w:styleId="50">
    <w:name w:val="批注框文本 字符"/>
    <w:basedOn w:val="23"/>
    <w:link w:val="13"/>
    <w:qFormat/>
    <w:uiPriority w:val="0"/>
    <w:rPr>
      <w:kern w:val="2"/>
      <w:sz w:val="18"/>
      <w:szCs w:val="18"/>
    </w:rPr>
  </w:style>
  <w:style w:type="character" w:customStyle="1" w:styleId="51">
    <w:name w:val="批注文字 字符"/>
    <w:basedOn w:val="23"/>
    <w:link w:val="9"/>
    <w:qFormat/>
    <w:uiPriority w:val="0"/>
    <w:rPr>
      <w:kern w:val="2"/>
      <w:sz w:val="21"/>
      <w:szCs w:val="24"/>
    </w:rPr>
  </w:style>
  <w:style w:type="character" w:customStyle="1" w:styleId="52">
    <w:name w:val="批注主题 字符"/>
    <w:basedOn w:val="51"/>
    <w:link w:val="18"/>
    <w:uiPriority w:val="0"/>
    <w:rPr>
      <w:b/>
      <w:bCs/>
      <w:kern w:val="2"/>
      <w:sz w:val="21"/>
      <w:szCs w:val="24"/>
    </w:rPr>
  </w:style>
  <w:style w:type="character" w:customStyle="1" w:styleId="53">
    <w:name w:val="页脚 字符"/>
    <w:basedOn w:val="23"/>
    <w:link w:val="14"/>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30872</Words>
  <Characters>32650</Characters>
  <Lines>264</Lines>
  <Paragraphs>74</Paragraphs>
  <TotalTime>100</TotalTime>
  <ScaleCrop>false</ScaleCrop>
  <LinksUpToDate>false</LinksUpToDate>
  <CharactersWithSpaces>34397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2022-10-17T01:06:14Z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56099B2E4D2A4F63A2AAC9078C67EC41</vt:lpwstr>
  </property>
</Properties>
</file>