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color w:val="auto"/>
          <w:kern w:val="0"/>
          <w:sz w:val="52"/>
          <w:szCs w:val="52"/>
          <w:highlight w:val="none"/>
        </w:rPr>
      </w:pPr>
      <w:r>
        <w:rPr>
          <w:rFonts w:hint="eastAsia" w:ascii="宋体"/>
          <w:b/>
          <w:color w:val="auto"/>
          <w:kern w:val="0"/>
          <w:sz w:val="52"/>
          <w:szCs w:val="52"/>
          <w:highlight w:val="none"/>
          <w:lang w:val="en-US" w:eastAsia="zh-CN"/>
        </w:rPr>
        <w:t>台州市</w:t>
      </w:r>
      <w:r>
        <w:rPr>
          <w:rFonts w:hint="eastAsia" w:ascii="宋体"/>
          <w:b/>
          <w:color w:val="auto"/>
          <w:kern w:val="0"/>
          <w:sz w:val="52"/>
          <w:szCs w:val="52"/>
          <w:highlight w:val="none"/>
        </w:rPr>
        <w:t>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hint="eastAsia" w:ascii="宋体" w:eastAsia="宋体"/>
          <w:b/>
          <w:color w:val="auto"/>
          <w:kern w:val="0"/>
          <w:sz w:val="32"/>
          <w:highlight w:val="none"/>
          <w:lang w:eastAsia="zh-CN"/>
        </w:rPr>
      </w:pPr>
      <w:r>
        <w:rPr>
          <w:rFonts w:hint="eastAsia" w:ascii="宋体"/>
          <w:b/>
          <w:color w:val="auto"/>
          <w:kern w:val="0"/>
          <w:sz w:val="32"/>
          <w:highlight w:val="none"/>
          <w:lang w:eastAsia="zh-CN"/>
        </w:rPr>
        <w:t>台财采确临[2023]3962号-1</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auto"/>
          <w:kern w:val="0"/>
          <w:sz w:val="24"/>
          <w:highlight w:val="none"/>
        </w:rPr>
      </w:pPr>
    </w:p>
    <w:p>
      <w:pPr>
        <w:autoSpaceDE w:val="0"/>
        <w:autoSpaceDN w:val="0"/>
        <w:adjustRightInd w:val="0"/>
        <w:spacing w:line="360" w:lineRule="auto"/>
        <w:rPr>
          <w:rFonts w:ascii="宋体"/>
          <w:b/>
          <w:color w:val="auto"/>
          <w:kern w:val="0"/>
          <w:sz w:val="52"/>
          <w:szCs w:val="52"/>
          <w:highlight w:val="none"/>
        </w:rPr>
      </w:pPr>
    </w:p>
    <w:p>
      <w:pPr>
        <w:autoSpaceDE w:val="0"/>
        <w:autoSpaceDN w:val="0"/>
        <w:adjustRightInd w:val="0"/>
        <w:spacing w:line="360" w:lineRule="auto"/>
        <w:ind w:firstLine="1797" w:firstLineChars="642"/>
        <w:jc w:val="left"/>
        <w:rPr>
          <w:rFonts w:ascii="宋体"/>
          <w:color w:val="auto"/>
          <w:kern w:val="0"/>
          <w:sz w:val="28"/>
          <w:highlight w:val="none"/>
        </w:rPr>
      </w:pPr>
    </w:p>
    <w:p>
      <w:pPr>
        <w:autoSpaceDE w:val="0"/>
        <w:autoSpaceDN w:val="0"/>
        <w:adjustRightInd w:val="0"/>
        <w:spacing w:line="360" w:lineRule="auto"/>
        <w:ind w:firstLine="1797" w:firstLineChars="642"/>
        <w:jc w:val="left"/>
        <w:rPr>
          <w:rFonts w:ascii="宋体"/>
          <w:color w:val="auto"/>
          <w:kern w:val="0"/>
          <w:sz w:val="28"/>
          <w:highlight w:val="none"/>
        </w:rPr>
      </w:pPr>
    </w:p>
    <w:p>
      <w:pPr>
        <w:autoSpaceDE w:val="0"/>
        <w:autoSpaceDN w:val="0"/>
        <w:adjustRightInd w:val="0"/>
        <w:spacing w:line="360" w:lineRule="auto"/>
        <w:jc w:val="center"/>
        <w:rPr>
          <w:rFonts w:hint="eastAsia" w:ascii="宋体" w:eastAsia="宋体"/>
          <w:color w:val="auto"/>
          <w:kern w:val="0"/>
          <w:sz w:val="28"/>
          <w:highlight w:val="none"/>
          <w:lang w:eastAsia="zh-CN"/>
        </w:rPr>
      </w:pPr>
      <w:r>
        <w:rPr>
          <w:rFonts w:hint="eastAsia" w:ascii="宋体"/>
          <w:color w:val="auto"/>
          <w:kern w:val="0"/>
          <w:sz w:val="28"/>
          <w:highlight w:val="none"/>
        </w:rPr>
        <w:t>采购项目：</w:t>
      </w:r>
      <w:r>
        <w:rPr>
          <w:rFonts w:hint="eastAsia" w:ascii="宋体"/>
          <w:color w:val="auto"/>
          <w:kern w:val="0"/>
          <w:sz w:val="28"/>
          <w:highlight w:val="none"/>
          <w:lang w:eastAsia="zh-CN"/>
        </w:rPr>
        <w:t>2023年台州市区交通标线采购项目（重新招标）</w:t>
      </w:r>
    </w:p>
    <w:p>
      <w:pPr>
        <w:autoSpaceDE w:val="0"/>
        <w:autoSpaceDN w:val="0"/>
        <w:adjustRightInd w:val="0"/>
        <w:spacing w:line="360" w:lineRule="auto"/>
        <w:ind w:firstLine="2077" w:firstLineChars="742"/>
        <w:jc w:val="left"/>
        <w:rPr>
          <w:rFonts w:ascii="宋体"/>
          <w:color w:val="auto"/>
          <w:kern w:val="0"/>
          <w:sz w:val="28"/>
          <w:highlight w:val="none"/>
        </w:rPr>
      </w:pPr>
      <w:r>
        <w:rPr>
          <w:rFonts w:hint="eastAsia" w:ascii="宋体"/>
          <w:color w:val="auto"/>
          <w:kern w:val="0"/>
          <w:sz w:val="28"/>
          <w:highlight w:val="none"/>
        </w:rPr>
        <w:t>采 购 人：台州市公安局交通警察局</w:t>
      </w:r>
    </w:p>
    <w:p>
      <w:pPr>
        <w:autoSpaceDE w:val="0"/>
        <w:autoSpaceDN w:val="0"/>
        <w:adjustRightInd w:val="0"/>
        <w:spacing w:line="360" w:lineRule="auto"/>
        <w:rPr>
          <w:rFonts w:ascii="宋体"/>
          <w:color w:val="auto"/>
          <w:kern w:val="0"/>
          <w:sz w:val="28"/>
          <w:highlight w:val="none"/>
        </w:rPr>
      </w:pPr>
    </w:p>
    <w:p>
      <w:pPr>
        <w:autoSpaceDE w:val="0"/>
        <w:autoSpaceDN w:val="0"/>
        <w:adjustRightInd w:val="0"/>
        <w:spacing w:line="360" w:lineRule="auto"/>
        <w:rPr>
          <w:rFonts w:ascii="宋体"/>
          <w:color w:val="auto"/>
          <w:kern w:val="0"/>
          <w:sz w:val="28"/>
          <w:highlight w:val="none"/>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auto"/>
          <w:kern w:val="0"/>
          <w:sz w:val="32"/>
          <w:highlight w:val="none"/>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auto"/>
          <w:kern w:val="0"/>
          <w:sz w:val="32"/>
          <w:highlight w:val="none"/>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color w:val="auto"/>
          <w:kern w:val="0"/>
          <w:sz w:val="32"/>
          <w:highlight w:val="none"/>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color w:val="auto"/>
          <w:kern w:val="0"/>
          <w:sz w:val="32"/>
          <w:highlight w:val="none"/>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台州市建设咨询有限公司</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color w:val="auto"/>
          <w:highlight w:val="none"/>
        </w:rPr>
      </w:pPr>
      <w:r>
        <w:rPr>
          <w:rFonts w:hint="eastAsia" w:ascii="宋体" w:hAnsi="宋体" w:cs="宋体"/>
          <w:color w:val="auto"/>
          <w:kern w:val="0"/>
          <w:sz w:val="28"/>
          <w:szCs w:val="28"/>
          <w:highlight w:val="none"/>
          <w:lang w:val="en-US" w:eastAsia="zh-CN"/>
        </w:rPr>
        <w:t>2023</w:t>
      </w:r>
      <w:r>
        <w:rPr>
          <w:rFonts w:hint="eastAsia" w:ascii="宋体" w:hAnsi="宋体" w:cs="宋体"/>
          <w:color w:val="auto"/>
          <w:kern w:val="0"/>
          <w:sz w:val="28"/>
          <w:szCs w:val="28"/>
          <w:highlight w:val="none"/>
        </w:rPr>
        <w:t>年</w:t>
      </w:r>
      <w:r>
        <w:rPr>
          <w:rFonts w:hint="eastAsia" w:ascii="宋体" w:hAnsi="宋体" w:cs="宋体"/>
          <w:color w:val="auto"/>
          <w:kern w:val="0"/>
          <w:sz w:val="28"/>
          <w:szCs w:val="28"/>
          <w:highlight w:val="none"/>
          <w:lang w:val="en-US" w:eastAsia="zh-CN"/>
        </w:rPr>
        <w:t>7</w:t>
      </w:r>
      <w:r>
        <w:rPr>
          <w:rFonts w:hint="eastAsia" w:ascii="宋体" w:hAnsi="宋体" w:cs="宋体"/>
          <w:color w:val="auto"/>
          <w:kern w:val="0"/>
          <w:sz w:val="28"/>
          <w:szCs w:val="28"/>
          <w:highlight w:val="none"/>
        </w:rPr>
        <w:t>月</w:t>
      </w:r>
    </w:p>
    <w:p>
      <w:pPr>
        <w:spacing w:line="360" w:lineRule="auto"/>
        <w:rPr>
          <w:color w:val="auto"/>
          <w:highlight w:val="none"/>
        </w:rPr>
      </w:pPr>
    </w:p>
    <w:p>
      <w:pPr>
        <w:pStyle w:val="21"/>
        <w:rPr>
          <w:color w:val="auto"/>
          <w:highlight w:val="none"/>
        </w:rPr>
      </w:pPr>
    </w:p>
    <w:p>
      <w:pPr>
        <w:spacing w:line="360" w:lineRule="auto"/>
        <w:rPr>
          <w:color w:val="auto"/>
          <w:highlight w:val="none"/>
        </w:rPr>
      </w:pPr>
    </w:p>
    <w:p>
      <w:pPr>
        <w:rPr>
          <w:rFonts w:ascii="宋体" w:hAnsi="宋体" w:cs="Arial"/>
          <w:b/>
          <w:bCs/>
          <w:color w:val="auto"/>
          <w:sz w:val="36"/>
          <w:szCs w:val="36"/>
          <w:highlight w:val="none"/>
        </w:rPr>
      </w:pPr>
      <w:r>
        <w:rPr>
          <w:rFonts w:hint="eastAsia" w:ascii="宋体" w:hAnsi="宋体" w:cs="Arial"/>
          <w:b/>
          <w:bCs/>
          <w:color w:val="auto"/>
          <w:sz w:val="36"/>
          <w:szCs w:val="36"/>
          <w:highlight w:val="none"/>
        </w:rPr>
        <w:br w:type="page"/>
      </w:r>
    </w:p>
    <w:sdt>
      <w:sdtPr>
        <w:rPr>
          <w:rFonts w:ascii="宋体" w:hAnsi="宋体"/>
          <w:color w:val="auto"/>
          <w:kern w:val="0"/>
          <w:sz w:val="28"/>
          <w:szCs w:val="28"/>
          <w:highlight w:val="none"/>
        </w:rPr>
        <w:id w:val="147471336"/>
        <w:docPartObj>
          <w:docPartGallery w:val="Table of Contents"/>
          <w:docPartUnique/>
        </w:docPartObj>
      </w:sdtPr>
      <w:sdtEndPr>
        <w:rPr>
          <w:rFonts w:ascii="宋体" w:hAnsi="宋体"/>
          <w:color w:val="auto"/>
          <w:kern w:val="0"/>
          <w:sz w:val="20"/>
          <w:szCs w:val="20"/>
          <w:highlight w:val="none"/>
        </w:rPr>
      </w:sdtEndPr>
      <w:sdtContent>
        <w:p>
          <w:pPr>
            <w:spacing w:line="480" w:lineRule="auto"/>
            <w:jc w:val="center"/>
            <w:rPr>
              <w:rFonts w:ascii="宋体" w:hAnsi="宋体"/>
              <w:color w:val="auto"/>
              <w:sz w:val="28"/>
              <w:szCs w:val="28"/>
              <w:highlight w:val="none"/>
            </w:rPr>
          </w:pPr>
          <w:bookmarkStart w:id="0" w:name="_Toc25017_WPSOffice_Type1"/>
        </w:p>
        <w:p>
          <w:pPr>
            <w:spacing w:line="480" w:lineRule="auto"/>
            <w:jc w:val="center"/>
            <w:rPr>
              <w:color w:val="auto"/>
              <w:sz w:val="28"/>
              <w:szCs w:val="28"/>
              <w:highlight w:val="none"/>
            </w:rPr>
          </w:pPr>
          <w:r>
            <w:rPr>
              <w:rFonts w:ascii="宋体" w:hAnsi="宋体"/>
              <w:b/>
              <w:bCs/>
              <w:color w:val="auto"/>
              <w:sz w:val="36"/>
              <w:szCs w:val="36"/>
              <w:highlight w:val="none"/>
            </w:rPr>
            <w:t>目</w:t>
          </w:r>
          <w:r>
            <w:rPr>
              <w:rFonts w:hint="eastAsia" w:ascii="宋体" w:hAnsi="宋体"/>
              <w:b/>
              <w:bCs/>
              <w:color w:val="auto"/>
              <w:sz w:val="36"/>
              <w:szCs w:val="36"/>
              <w:highlight w:val="none"/>
            </w:rPr>
            <w:t xml:space="preserve">  </w:t>
          </w:r>
          <w:r>
            <w:rPr>
              <w:rFonts w:ascii="宋体" w:hAnsi="宋体"/>
              <w:b/>
              <w:bCs/>
              <w:color w:val="auto"/>
              <w:sz w:val="36"/>
              <w:szCs w:val="36"/>
              <w:highlight w:val="none"/>
            </w:rPr>
            <w:t>录</w:t>
          </w:r>
        </w:p>
        <w:p>
          <w:pPr>
            <w:pStyle w:val="22"/>
            <w:tabs>
              <w:tab w:val="right" w:leader="dot" w:pos="8300"/>
            </w:tabs>
            <w:spacing w:line="480" w:lineRule="auto"/>
            <w:ind w:firstLine="400" w:firstLineChars="200"/>
            <w:jc w:val="left"/>
            <w:rPr>
              <w:color w:val="auto"/>
              <w:sz w:val="28"/>
              <w:szCs w:val="28"/>
              <w:highlight w:val="none"/>
            </w:rPr>
          </w:pPr>
          <w:r>
            <w:rPr>
              <w:color w:val="auto"/>
              <w:highlight w:val="none"/>
            </w:rPr>
            <w:fldChar w:fldCharType="begin"/>
          </w:r>
          <w:r>
            <w:rPr>
              <w:color w:val="auto"/>
              <w:highlight w:val="none"/>
            </w:rPr>
            <w:instrText xml:space="preserve"> HYPERLINK \l "_Toc4350_WPSOffice_Level1" </w:instrText>
          </w:r>
          <w:r>
            <w:rPr>
              <w:color w:val="auto"/>
              <w:highlight w:val="none"/>
            </w:rPr>
            <w:fldChar w:fldCharType="separate"/>
          </w:r>
          <w:r>
            <w:rPr>
              <w:rFonts w:hint="eastAsia" w:asciiTheme="majorEastAsia" w:hAnsiTheme="majorEastAsia" w:eastAsiaTheme="majorEastAsia"/>
              <w:color w:val="auto"/>
              <w:sz w:val="28"/>
              <w:szCs w:val="28"/>
              <w:highlight w:val="none"/>
            </w:rPr>
            <w:t>第一章 投标邀请</w:t>
          </w:r>
          <w:r>
            <w:rPr>
              <w:color w:val="auto"/>
              <w:sz w:val="28"/>
              <w:szCs w:val="28"/>
              <w:highlight w:val="none"/>
            </w:rPr>
            <w:fldChar w:fldCharType="end"/>
          </w:r>
        </w:p>
        <w:p>
          <w:pPr>
            <w:pStyle w:val="22"/>
            <w:tabs>
              <w:tab w:val="right" w:leader="dot" w:pos="8300"/>
            </w:tabs>
            <w:spacing w:line="480" w:lineRule="auto"/>
            <w:ind w:firstLine="400" w:firstLineChars="200"/>
            <w:jc w:val="left"/>
            <w:rPr>
              <w:color w:val="auto"/>
              <w:sz w:val="28"/>
              <w:szCs w:val="28"/>
              <w:highlight w:val="none"/>
            </w:rPr>
          </w:pPr>
          <w:r>
            <w:rPr>
              <w:color w:val="auto"/>
              <w:highlight w:val="none"/>
            </w:rPr>
            <w:fldChar w:fldCharType="begin"/>
          </w:r>
          <w:r>
            <w:rPr>
              <w:color w:val="auto"/>
              <w:highlight w:val="none"/>
            </w:rPr>
            <w:instrText xml:space="preserve"> HYPERLINK \l "_Toc25017_WPSOffice_Level1" </w:instrText>
          </w:r>
          <w:r>
            <w:rPr>
              <w:color w:val="auto"/>
              <w:highlight w:val="none"/>
            </w:rPr>
            <w:fldChar w:fldCharType="separate"/>
          </w:r>
          <w:r>
            <w:rPr>
              <w:rFonts w:hint="eastAsia" w:asciiTheme="minorEastAsia" w:hAnsiTheme="minorEastAsia" w:eastAsiaTheme="minorEastAsia"/>
              <w:color w:val="auto"/>
              <w:sz w:val="28"/>
              <w:szCs w:val="28"/>
              <w:highlight w:val="none"/>
            </w:rPr>
            <w:t>第二章 投标人须知</w:t>
          </w:r>
          <w:r>
            <w:rPr>
              <w:rFonts w:hint="eastAsia"/>
              <w:color w:val="auto"/>
              <w:sz w:val="28"/>
              <w:szCs w:val="28"/>
              <w:highlight w:val="none"/>
            </w:rPr>
            <w:fldChar w:fldCharType="end"/>
          </w:r>
        </w:p>
        <w:p>
          <w:pPr>
            <w:pStyle w:val="22"/>
            <w:tabs>
              <w:tab w:val="right" w:leader="dot" w:pos="8300"/>
            </w:tabs>
            <w:spacing w:line="480" w:lineRule="auto"/>
            <w:ind w:firstLine="400" w:firstLineChars="200"/>
            <w:jc w:val="left"/>
            <w:rPr>
              <w:rFonts w:hint="eastAsia" w:eastAsia="宋体"/>
              <w:color w:val="auto"/>
              <w:sz w:val="28"/>
              <w:szCs w:val="28"/>
              <w:highlight w:val="none"/>
              <w:lang w:eastAsia="zh-CN"/>
            </w:rPr>
          </w:pPr>
          <w:r>
            <w:rPr>
              <w:color w:val="auto"/>
              <w:highlight w:val="none"/>
            </w:rPr>
            <w:fldChar w:fldCharType="begin"/>
          </w:r>
          <w:r>
            <w:rPr>
              <w:color w:val="auto"/>
              <w:highlight w:val="none"/>
            </w:rPr>
            <w:instrText xml:space="preserve"> HYPERLINK \l "_Toc13072_WPSOffice_Level1" </w:instrText>
          </w:r>
          <w:r>
            <w:rPr>
              <w:color w:val="auto"/>
              <w:highlight w:val="none"/>
            </w:rPr>
            <w:fldChar w:fldCharType="separate"/>
          </w:r>
          <w:r>
            <w:rPr>
              <w:rFonts w:hint="eastAsia" w:asciiTheme="minorEastAsia" w:hAnsiTheme="minorEastAsia" w:eastAsiaTheme="minorEastAsia"/>
              <w:color w:val="auto"/>
              <w:sz w:val="28"/>
              <w:szCs w:val="28"/>
              <w:highlight w:val="none"/>
            </w:rPr>
            <w:t>第三章 招标需求</w:t>
          </w:r>
          <w:r>
            <w:rPr>
              <w:rFonts w:hint="eastAsia"/>
              <w:color w:val="auto"/>
              <w:sz w:val="28"/>
              <w:szCs w:val="28"/>
              <w:highlight w:val="none"/>
            </w:rPr>
            <w:fldChar w:fldCharType="end"/>
          </w:r>
        </w:p>
        <w:p>
          <w:pPr>
            <w:pStyle w:val="22"/>
            <w:tabs>
              <w:tab w:val="right" w:leader="dot" w:pos="8300"/>
            </w:tabs>
            <w:spacing w:line="480" w:lineRule="auto"/>
            <w:ind w:firstLine="400" w:firstLineChars="200"/>
            <w:jc w:val="left"/>
            <w:rPr>
              <w:rFonts w:hint="eastAsia" w:eastAsia="宋体"/>
              <w:color w:val="auto"/>
              <w:sz w:val="28"/>
              <w:szCs w:val="28"/>
              <w:highlight w:val="none"/>
              <w:lang w:val="en-US" w:eastAsia="zh-CN"/>
            </w:rPr>
          </w:pPr>
          <w:r>
            <w:rPr>
              <w:color w:val="auto"/>
              <w:highlight w:val="none"/>
            </w:rPr>
            <w:fldChar w:fldCharType="begin"/>
          </w:r>
          <w:r>
            <w:rPr>
              <w:color w:val="auto"/>
              <w:highlight w:val="none"/>
            </w:rPr>
            <w:instrText xml:space="preserve"> HYPERLINK \l "_Toc31173_WPSOffice_Level1" </w:instrText>
          </w:r>
          <w:r>
            <w:rPr>
              <w:color w:val="auto"/>
              <w:highlight w:val="none"/>
            </w:rPr>
            <w:fldChar w:fldCharType="separate"/>
          </w:r>
          <w:r>
            <w:rPr>
              <w:rFonts w:hint="eastAsia" w:asciiTheme="minorEastAsia" w:hAnsiTheme="minorEastAsia" w:eastAsiaTheme="minorEastAsia"/>
              <w:color w:val="auto"/>
              <w:sz w:val="28"/>
              <w:szCs w:val="28"/>
              <w:highlight w:val="none"/>
            </w:rPr>
            <w:t>第四章 评标</w:t>
          </w:r>
          <w:r>
            <w:rPr>
              <w:color w:val="auto"/>
              <w:sz w:val="28"/>
              <w:szCs w:val="28"/>
              <w:highlight w:val="none"/>
            </w:rPr>
            <w:fldChar w:fldCharType="end"/>
          </w:r>
        </w:p>
        <w:p>
          <w:pPr>
            <w:pStyle w:val="22"/>
            <w:tabs>
              <w:tab w:val="right" w:leader="dot" w:pos="8300"/>
            </w:tabs>
            <w:spacing w:line="480" w:lineRule="auto"/>
            <w:ind w:firstLine="400" w:firstLineChars="200"/>
            <w:jc w:val="left"/>
            <w:rPr>
              <w:color w:val="auto"/>
              <w:sz w:val="28"/>
              <w:szCs w:val="28"/>
              <w:highlight w:val="none"/>
            </w:rPr>
          </w:pPr>
          <w:r>
            <w:rPr>
              <w:color w:val="auto"/>
              <w:highlight w:val="none"/>
            </w:rPr>
            <w:fldChar w:fldCharType="begin"/>
          </w:r>
          <w:r>
            <w:rPr>
              <w:color w:val="auto"/>
              <w:highlight w:val="none"/>
            </w:rPr>
            <w:instrText xml:space="preserve"> HYPERLINK \l "_Toc27944_WPSOffice_Level1" </w:instrText>
          </w:r>
          <w:r>
            <w:rPr>
              <w:color w:val="auto"/>
              <w:highlight w:val="none"/>
            </w:rPr>
            <w:fldChar w:fldCharType="separate"/>
          </w:r>
          <w:r>
            <w:rPr>
              <w:rFonts w:hint="eastAsia" w:asciiTheme="minorEastAsia" w:hAnsiTheme="minorEastAsia" w:eastAsiaTheme="minorEastAsia"/>
              <w:color w:val="auto"/>
              <w:sz w:val="28"/>
              <w:szCs w:val="28"/>
              <w:highlight w:val="none"/>
            </w:rPr>
            <w:t>第五章 拟签订的合同文本</w:t>
          </w:r>
          <w:r>
            <w:rPr>
              <w:color w:val="auto"/>
              <w:sz w:val="28"/>
              <w:szCs w:val="28"/>
              <w:highlight w:val="none"/>
            </w:rPr>
            <w:fldChar w:fldCharType="end"/>
          </w:r>
        </w:p>
        <w:p>
          <w:pPr>
            <w:pStyle w:val="22"/>
            <w:tabs>
              <w:tab w:val="right" w:leader="dot" w:pos="8300"/>
            </w:tabs>
            <w:spacing w:line="480" w:lineRule="auto"/>
            <w:ind w:firstLine="400" w:firstLineChars="200"/>
            <w:jc w:val="left"/>
            <w:rPr>
              <w:color w:val="auto"/>
              <w:highlight w:val="none"/>
            </w:rPr>
          </w:pPr>
          <w:r>
            <w:rPr>
              <w:color w:val="auto"/>
              <w:highlight w:val="none"/>
            </w:rPr>
            <w:fldChar w:fldCharType="begin"/>
          </w:r>
          <w:r>
            <w:rPr>
              <w:color w:val="auto"/>
              <w:highlight w:val="none"/>
            </w:rPr>
            <w:instrText xml:space="preserve"> HYPERLINK \l "_Toc5481_WPSOffice_Level1" </w:instrText>
          </w:r>
          <w:r>
            <w:rPr>
              <w:color w:val="auto"/>
              <w:highlight w:val="none"/>
            </w:rPr>
            <w:fldChar w:fldCharType="separate"/>
          </w:r>
          <w:r>
            <w:rPr>
              <w:rFonts w:hint="eastAsia" w:asciiTheme="minorEastAsia" w:hAnsiTheme="minorEastAsia" w:eastAsiaTheme="minorEastAsia"/>
              <w:color w:val="auto"/>
              <w:sz w:val="28"/>
              <w:szCs w:val="28"/>
              <w:highlight w:val="none"/>
            </w:rPr>
            <w:t>第六章 投标文件格式</w:t>
          </w:r>
          <w:r>
            <w:rPr>
              <w:color w:val="auto"/>
              <w:sz w:val="28"/>
              <w:szCs w:val="28"/>
              <w:highlight w:val="none"/>
            </w:rPr>
            <w:fldChar w:fldCharType="end"/>
          </w:r>
        </w:p>
      </w:sdtContent>
    </w:sdt>
    <w:bookmarkEnd w:id="0"/>
    <w:p>
      <w:pPr>
        <w:spacing w:line="480" w:lineRule="auto"/>
        <w:rPr>
          <w:color w:val="auto"/>
          <w:sz w:val="28"/>
          <w:szCs w:val="28"/>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spacing w:line="360" w:lineRule="auto"/>
        <w:rPr>
          <w:color w:val="auto"/>
          <w:highlight w:val="none"/>
        </w:rPr>
      </w:pPr>
    </w:p>
    <w:p>
      <w:pPr>
        <w:rPr>
          <w:rFonts w:asciiTheme="majorEastAsia" w:hAnsiTheme="majorEastAsia" w:eastAsiaTheme="majorEastAsia"/>
          <w:b/>
          <w:color w:val="auto"/>
          <w:sz w:val="36"/>
          <w:szCs w:val="36"/>
          <w:highlight w:val="none"/>
        </w:rPr>
      </w:pPr>
      <w:r>
        <w:rPr>
          <w:rFonts w:hint="eastAsia" w:asciiTheme="majorEastAsia" w:hAnsiTheme="majorEastAsia" w:eastAsiaTheme="majorEastAsia"/>
          <w:b/>
          <w:color w:val="auto"/>
          <w:kern w:val="0"/>
          <w:sz w:val="36"/>
          <w:szCs w:val="36"/>
          <w:highlight w:val="none"/>
        </w:rPr>
        <w:br w:type="page"/>
      </w:r>
    </w:p>
    <w:p>
      <w:pPr>
        <w:numPr>
          <w:ilvl w:val="0"/>
          <w:numId w:val="2"/>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color w:val="auto"/>
          <w:sz w:val="36"/>
          <w:szCs w:val="36"/>
          <w:highlight w:val="none"/>
        </w:rPr>
      </w:pPr>
      <w:bookmarkStart w:id="1" w:name="_Toc4350_WPSOffice_Level1"/>
      <w:r>
        <w:rPr>
          <w:rFonts w:hint="eastAsia" w:ascii="宋体" w:hAnsi="宋体" w:cs="宋体"/>
          <w:b/>
          <w:color w:val="auto"/>
          <w:kern w:val="0"/>
          <w:sz w:val="36"/>
          <w:szCs w:val="36"/>
          <w:highlight w:val="none"/>
        </w:rPr>
        <w:t>投标邀请</w:t>
      </w:r>
      <w:bookmarkEnd w:id="1"/>
    </w:p>
    <w:p>
      <w:pPr>
        <w:pStyle w:val="5"/>
        <w:ind w:firstLine="480" w:firstLineChars="200"/>
        <w:rPr>
          <w:rFonts w:cs="宋体"/>
          <w:b w:val="0"/>
          <w:color w:val="auto"/>
          <w:sz w:val="24"/>
          <w:szCs w:val="24"/>
          <w:highlight w:val="none"/>
        </w:rPr>
      </w:pPr>
      <w:bookmarkStart w:id="2" w:name="_Toc28359079"/>
      <w:bookmarkStart w:id="3" w:name="_Toc28359002"/>
      <w:bookmarkStart w:id="4" w:name="_Toc35393621"/>
      <w:bookmarkStart w:id="5" w:name="_Toc35393790"/>
      <w:bookmarkStart w:id="6" w:name="_Hlk24379207"/>
      <w:r>
        <w:rPr>
          <w:rFonts w:hint="eastAsia" w:cs="宋体"/>
          <w:b w:val="0"/>
          <w:color w:val="auto"/>
          <w:sz w:val="24"/>
          <w:szCs w:val="24"/>
          <w:highlight w:val="none"/>
        </w:rPr>
        <w:t>台州市建设咨询有限公司受台州市公安局交通警察局委托，就</w:t>
      </w:r>
      <w:r>
        <w:rPr>
          <w:rFonts w:hint="eastAsia" w:cs="宋体"/>
          <w:b w:val="0"/>
          <w:color w:val="auto"/>
          <w:sz w:val="24"/>
          <w:szCs w:val="24"/>
          <w:highlight w:val="none"/>
          <w:u w:val="single"/>
          <w:lang w:eastAsia="zh-CN"/>
        </w:rPr>
        <w:t>2023年台州市区交通标线采购项目（重新招标）</w:t>
      </w:r>
      <w:r>
        <w:rPr>
          <w:rFonts w:hint="eastAsia" w:cs="宋体"/>
          <w:b w:val="0"/>
          <w:color w:val="auto"/>
          <w:sz w:val="24"/>
          <w:szCs w:val="24"/>
          <w:highlight w:val="none"/>
        </w:rPr>
        <w:t>进行公开招标，欢迎符合资格条件的国内投标人参加投标。</w:t>
      </w:r>
    </w:p>
    <w:p>
      <w:pPr>
        <w:pStyle w:val="5"/>
        <w:ind w:firstLine="482" w:firstLineChars="200"/>
        <w:rPr>
          <w:rFonts w:cs="宋体"/>
          <w:bCs/>
          <w:color w:val="auto"/>
          <w:sz w:val="24"/>
          <w:szCs w:val="24"/>
          <w:highlight w:val="none"/>
        </w:rPr>
      </w:pPr>
      <w:r>
        <w:rPr>
          <w:rFonts w:hint="eastAsia" w:cs="宋体"/>
          <w:bCs/>
          <w:color w:val="auto"/>
          <w:sz w:val="24"/>
          <w:szCs w:val="24"/>
          <w:highlight w:val="none"/>
        </w:rPr>
        <w:t>一、项目基本情况</w:t>
      </w:r>
      <w:bookmarkEnd w:id="2"/>
      <w:bookmarkEnd w:id="3"/>
      <w:bookmarkEnd w:id="4"/>
      <w:bookmarkEnd w:id="5"/>
    </w:p>
    <w:p>
      <w:pPr>
        <w:spacing w:line="360" w:lineRule="auto"/>
        <w:ind w:firstLine="480" w:firstLineChars="200"/>
        <w:rPr>
          <w:rFonts w:hint="eastAsia" w:ascii="宋体" w:hAnsi="宋体" w:eastAsia="宋体" w:cs="宋体"/>
          <w:color w:val="auto"/>
          <w:sz w:val="24"/>
          <w:highlight w:val="none"/>
          <w:lang w:eastAsia="zh-CN"/>
        </w:rPr>
      </w:pPr>
      <w:r>
        <w:rPr>
          <w:rFonts w:hint="eastAsia" w:ascii="宋体" w:hAnsi="宋体" w:cs="宋体"/>
          <w:color w:val="auto"/>
          <w:sz w:val="24"/>
          <w:highlight w:val="none"/>
        </w:rPr>
        <w:t>项目编号：</w:t>
      </w:r>
      <w:r>
        <w:rPr>
          <w:rFonts w:hint="eastAsia" w:ascii="宋体" w:hAnsi="宋体" w:cs="宋体"/>
          <w:color w:val="auto"/>
          <w:sz w:val="24"/>
          <w:highlight w:val="none"/>
          <w:lang w:eastAsia="zh-CN"/>
        </w:rPr>
        <w:t>台财采确临[2023]3962号-1</w:t>
      </w:r>
    </w:p>
    <w:bookmarkEnd w:id="6"/>
    <w:p>
      <w:pPr>
        <w:spacing w:line="360" w:lineRule="auto"/>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rPr>
        <w:t>项目名称：</w:t>
      </w:r>
      <w:r>
        <w:rPr>
          <w:rFonts w:hint="eastAsia" w:ascii="宋体" w:hAnsi="宋体" w:cs="宋体"/>
          <w:color w:val="auto"/>
          <w:sz w:val="24"/>
          <w:highlight w:val="none"/>
          <w:lang w:eastAsia="zh-CN"/>
        </w:rPr>
        <w:t>2023年台州市区交通标线采购项目（重新招标）</w:t>
      </w:r>
    </w:p>
    <w:tbl>
      <w:tblPr>
        <w:tblStyle w:val="19"/>
        <w:tblW w:w="10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6"/>
        <w:gridCol w:w="1181"/>
        <w:gridCol w:w="972"/>
        <w:gridCol w:w="711"/>
        <w:gridCol w:w="619"/>
        <w:gridCol w:w="1000"/>
        <w:gridCol w:w="1263"/>
        <w:gridCol w:w="2302"/>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06"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序号</w:t>
            </w:r>
          </w:p>
        </w:tc>
        <w:tc>
          <w:tcPr>
            <w:tcW w:w="1181" w:type="dxa"/>
            <w:vAlign w:val="center"/>
          </w:tcPr>
          <w:p>
            <w:pPr>
              <w:tabs>
                <w:tab w:val="left" w:pos="8280"/>
              </w:tabs>
              <w:autoSpaceDE w:val="0"/>
              <w:autoSpaceDN w:val="0"/>
              <w:adjustRightInd w:val="0"/>
              <w:spacing w:line="360" w:lineRule="auto"/>
              <w:ind w:right="25" w:firstLine="120" w:firstLineChars="50"/>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标项内容</w:t>
            </w:r>
          </w:p>
        </w:tc>
        <w:tc>
          <w:tcPr>
            <w:tcW w:w="972"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b/>
                <w:color w:val="auto"/>
                <w:sz w:val="24"/>
                <w:highlight w:val="none"/>
              </w:rPr>
            </w:pPr>
            <w:r>
              <w:rPr>
                <w:rFonts w:hint="eastAsia" w:ascii="宋体" w:hAnsi="宋体" w:cs="宋体"/>
                <w:b/>
                <w:color w:val="auto"/>
                <w:kern w:val="0"/>
                <w:sz w:val="24"/>
                <w:highlight w:val="none"/>
              </w:rPr>
              <w:t>简要技术要求</w:t>
            </w:r>
          </w:p>
        </w:tc>
        <w:tc>
          <w:tcPr>
            <w:tcW w:w="711"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数量</w:t>
            </w:r>
          </w:p>
        </w:tc>
        <w:tc>
          <w:tcPr>
            <w:tcW w:w="619"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单位</w:t>
            </w:r>
          </w:p>
        </w:tc>
        <w:tc>
          <w:tcPr>
            <w:tcW w:w="1000"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预算</w:t>
            </w:r>
          </w:p>
          <w:p>
            <w:pPr>
              <w:tabs>
                <w:tab w:val="left" w:pos="8280"/>
              </w:tabs>
              <w:autoSpaceDE w:val="0"/>
              <w:autoSpaceDN w:val="0"/>
              <w:adjustRightInd w:val="0"/>
              <w:spacing w:line="360" w:lineRule="auto"/>
              <w:ind w:right="25"/>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（万元）</w:t>
            </w:r>
          </w:p>
        </w:tc>
        <w:tc>
          <w:tcPr>
            <w:tcW w:w="1263" w:type="dxa"/>
            <w:vAlign w:val="center"/>
          </w:tcPr>
          <w:p>
            <w:pPr>
              <w:tabs>
                <w:tab w:val="left" w:pos="8280"/>
              </w:tabs>
              <w:autoSpaceDE w:val="0"/>
              <w:autoSpaceDN w:val="0"/>
              <w:adjustRightInd w:val="0"/>
              <w:spacing w:line="360" w:lineRule="auto"/>
              <w:ind w:right="25" w:firstLine="240"/>
              <w:jc w:val="center"/>
              <w:rPr>
                <w:rFonts w:asciiTheme="minorEastAsia" w:hAnsiTheme="minorEastAsia"/>
                <w:b/>
                <w:color w:val="auto"/>
                <w:sz w:val="24"/>
                <w:highlight w:val="none"/>
              </w:rPr>
            </w:pPr>
            <w:r>
              <w:rPr>
                <w:rFonts w:hint="eastAsia" w:ascii="宋体" w:hAnsi="宋体" w:cs="宋体"/>
                <w:b/>
                <w:color w:val="auto"/>
                <w:sz w:val="24"/>
                <w:highlight w:val="none"/>
              </w:rPr>
              <w:t>交货期（交付期）</w:t>
            </w:r>
          </w:p>
        </w:tc>
        <w:tc>
          <w:tcPr>
            <w:tcW w:w="2302" w:type="dxa"/>
            <w:vAlign w:val="center"/>
          </w:tcPr>
          <w:p>
            <w:pPr>
              <w:tabs>
                <w:tab w:val="left" w:pos="8280"/>
              </w:tabs>
              <w:autoSpaceDE w:val="0"/>
              <w:autoSpaceDN w:val="0"/>
              <w:adjustRightInd w:val="0"/>
              <w:spacing w:line="360" w:lineRule="auto"/>
              <w:ind w:right="25"/>
              <w:jc w:val="center"/>
              <w:rPr>
                <w:rFonts w:ascii="宋体" w:hAnsi="宋体" w:cs="宋体"/>
                <w:b/>
                <w:color w:val="auto"/>
                <w:sz w:val="24"/>
                <w:highlight w:val="none"/>
              </w:rPr>
            </w:pPr>
            <w:r>
              <w:rPr>
                <w:rFonts w:hint="eastAsia" w:ascii="宋体" w:hAnsi="宋体" w:cs="宋体"/>
                <w:b/>
                <w:color w:val="auto"/>
                <w:sz w:val="24"/>
                <w:highlight w:val="none"/>
              </w:rPr>
              <w:t>维护地点</w:t>
            </w:r>
          </w:p>
        </w:tc>
        <w:tc>
          <w:tcPr>
            <w:tcW w:w="2302" w:type="dxa"/>
            <w:vAlign w:val="center"/>
          </w:tcPr>
          <w:p>
            <w:pPr>
              <w:tabs>
                <w:tab w:val="left" w:pos="180"/>
                <w:tab w:val="left" w:pos="360"/>
                <w:tab w:val="left" w:pos="540"/>
                <w:tab w:val="left" w:pos="8280"/>
              </w:tabs>
              <w:autoSpaceDE w:val="0"/>
              <w:autoSpaceDN w:val="0"/>
              <w:adjustRightInd w:val="0"/>
              <w:spacing w:before="100" w:line="500" w:lineRule="exact"/>
              <w:ind w:right="23" w:rightChars="0"/>
              <w:jc w:val="center"/>
              <w:rPr>
                <w:rFonts w:hint="eastAsia" w:ascii="宋体" w:hAnsi="宋体" w:cs="宋体"/>
                <w:b/>
                <w:color w:val="auto"/>
                <w:sz w:val="24"/>
                <w:highlight w:val="none"/>
              </w:rPr>
            </w:pPr>
            <w:r>
              <w:rPr>
                <w:rFonts w:hint="eastAsia"/>
                <w:bCs/>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jc w:val="center"/>
        </w:trPr>
        <w:tc>
          <w:tcPr>
            <w:tcW w:w="606"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p>
        </w:tc>
        <w:tc>
          <w:tcPr>
            <w:tcW w:w="1181"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lang w:eastAsia="zh-CN"/>
              </w:rPr>
              <w:t>2023年台州市区交通标线采购项目（重新招标）</w:t>
            </w:r>
          </w:p>
        </w:tc>
        <w:tc>
          <w:tcPr>
            <w:tcW w:w="972"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详见技术需求</w:t>
            </w:r>
          </w:p>
        </w:tc>
        <w:tc>
          <w:tcPr>
            <w:tcW w:w="711"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p>
        </w:tc>
        <w:tc>
          <w:tcPr>
            <w:tcW w:w="619"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w:t>
            </w:r>
          </w:p>
        </w:tc>
        <w:tc>
          <w:tcPr>
            <w:tcW w:w="1000" w:type="dxa"/>
            <w:vAlign w:val="center"/>
          </w:tcPr>
          <w:p>
            <w:pPr>
              <w:tabs>
                <w:tab w:val="left" w:pos="8280"/>
              </w:tabs>
              <w:autoSpaceDE w:val="0"/>
              <w:autoSpaceDN w:val="0"/>
              <w:adjustRightInd w:val="0"/>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lang w:val="en-US" w:eastAsia="zh-CN"/>
              </w:rPr>
              <w:t>6</w:t>
            </w:r>
            <w:r>
              <w:rPr>
                <w:rFonts w:hint="eastAsia" w:asciiTheme="minorEastAsia" w:hAnsiTheme="minorEastAsia" w:eastAsiaTheme="minorEastAsia"/>
                <w:color w:val="auto"/>
                <w:sz w:val="24"/>
                <w:highlight w:val="none"/>
              </w:rPr>
              <w:t>00</w:t>
            </w:r>
          </w:p>
        </w:tc>
        <w:tc>
          <w:tcPr>
            <w:tcW w:w="1263" w:type="dxa"/>
            <w:vAlign w:val="center"/>
          </w:tcPr>
          <w:p>
            <w:pPr>
              <w:tabs>
                <w:tab w:val="left" w:pos="8280"/>
              </w:tabs>
              <w:autoSpaceDE w:val="0"/>
              <w:autoSpaceDN w:val="0"/>
              <w:adjustRightInd w:val="0"/>
              <w:spacing w:line="360" w:lineRule="auto"/>
              <w:ind w:right="25"/>
              <w:jc w:val="center"/>
              <w:rPr>
                <w:rFonts w:hint="eastAsia" w:cs="Times New Roman" w:asciiTheme="minorEastAsia" w:hAnsiTheme="minorEastAsia" w:eastAsiaTheme="minorEastAsia"/>
                <w:color w:val="auto"/>
                <w:sz w:val="24"/>
                <w:highlight w:val="none"/>
              </w:rPr>
            </w:pPr>
            <w:r>
              <w:rPr>
                <w:rFonts w:hint="eastAsia" w:cs="Times New Roman" w:asciiTheme="minorEastAsia" w:hAnsiTheme="minorEastAsia" w:eastAsiaTheme="minorEastAsia"/>
                <w:color w:val="auto"/>
                <w:sz w:val="24"/>
                <w:highlight w:val="none"/>
              </w:rPr>
              <w:t>合同签订后120天</w:t>
            </w:r>
          </w:p>
        </w:tc>
        <w:tc>
          <w:tcPr>
            <w:tcW w:w="2302" w:type="dxa"/>
            <w:vAlign w:val="center"/>
          </w:tcPr>
          <w:p>
            <w:pPr>
              <w:tabs>
                <w:tab w:val="left" w:pos="8280"/>
              </w:tabs>
              <w:autoSpaceDE w:val="0"/>
              <w:autoSpaceDN w:val="0"/>
              <w:adjustRightInd w:val="0"/>
              <w:spacing w:line="360" w:lineRule="auto"/>
              <w:ind w:right="25"/>
              <w:jc w:val="center"/>
              <w:rPr>
                <w:rFonts w:hint="eastAsia" w:cs="Times New Roman" w:asciiTheme="minorEastAsia" w:hAnsiTheme="minorEastAsia" w:eastAsiaTheme="minorEastAsia"/>
                <w:color w:val="auto"/>
                <w:sz w:val="24"/>
                <w:highlight w:val="none"/>
              </w:rPr>
            </w:pPr>
            <w:r>
              <w:rPr>
                <w:rFonts w:hint="eastAsia" w:cs="Times New Roman" w:asciiTheme="minorEastAsia" w:hAnsiTheme="minorEastAsia" w:eastAsiaTheme="minorEastAsia"/>
                <w:color w:val="auto"/>
                <w:sz w:val="24"/>
                <w:highlight w:val="none"/>
              </w:rPr>
              <w:t>椒江区域、黄岩区域、路桥区域、台州湾产业集聚区管委会区域、台州经济开发区管委会区域内的道路</w:t>
            </w:r>
          </w:p>
        </w:tc>
        <w:tc>
          <w:tcPr>
            <w:tcW w:w="2302" w:type="dxa"/>
            <w:vAlign w:val="center"/>
          </w:tcPr>
          <w:p>
            <w:pPr>
              <w:tabs>
                <w:tab w:val="left" w:pos="8280"/>
              </w:tabs>
              <w:autoSpaceDE w:val="0"/>
              <w:autoSpaceDN w:val="0"/>
              <w:adjustRightInd w:val="0"/>
              <w:spacing w:line="360" w:lineRule="auto"/>
              <w:ind w:right="25"/>
              <w:jc w:val="center"/>
              <w:rPr>
                <w:rFonts w:hint="eastAsia" w:cs="Times New Roman" w:asciiTheme="minorEastAsia" w:hAnsiTheme="minorEastAsia" w:eastAsiaTheme="minorEastAsia"/>
                <w:color w:val="auto"/>
                <w:sz w:val="24"/>
                <w:highlight w:val="none"/>
              </w:rPr>
            </w:pPr>
            <w:r>
              <w:rPr>
                <w:rFonts w:hint="eastAsia" w:cs="Times New Roman" w:asciiTheme="minorEastAsia" w:hAnsiTheme="minorEastAsia" w:eastAsiaTheme="minorEastAsia"/>
                <w:color w:val="auto"/>
                <w:sz w:val="24"/>
                <w:highlight w:val="none"/>
              </w:rPr>
              <w:t>本项目采用结算率报价，结算率不得高于</w:t>
            </w:r>
            <w:r>
              <w:rPr>
                <w:rFonts w:hint="eastAsia" w:cs="Times New Roman" w:asciiTheme="minorEastAsia" w:hAnsiTheme="minorEastAsia" w:eastAsiaTheme="minorEastAsia"/>
                <w:color w:val="auto"/>
                <w:sz w:val="24"/>
                <w:highlight w:val="none"/>
                <w:lang w:val="en-US" w:eastAsia="zh-CN"/>
              </w:rPr>
              <w:t>100</w:t>
            </w:r>
            <w:r>
              <w:rPr>
                <w:rFonts w:hint="eastAsia" w:cs="Times New Roman" w:asciiTheme="minorEastAsia" w:hAnsiTheme="minorEastAsia" w:eastAsiaTheme="minorEastAsia"/>
                <w:color w:val="auto"/>
                <w:sz w:val="24"/>
                <w:highlight w:val="none"/>
              </w:rPr>
              <w:t>%。</w:t>
            </w:r>
          </w:p>
        </w:tc>
      </w:tr>
    </w:tbl>
    <w:p>
      <w:pPr>
        <w:pStyle w:val="5"/>
        <w:spacing w:before="156" w:beforeLines="50"/>
        <w:ind w:right="23" w:firstLine="482" w:firstLineChars="200"/>
        <w:rPr>
          <w:rFonts w:hint="eastAsia" w:ascii="宋体" w:hAnsi="宋体" w:eastAsia="宋体" w:cs="宋体"/>
          <w:bCs/>
          <w:color w:val="auto"/>
          <w:sz w:val="24"/>
          <w:szCs w:val="24"/>
          <w:highlight w:val="none"/>
        </w:rPr>
      </w:pPr>
      <w:bookmarkStart w:id="7" w:name="_Toc28359080"/>
      <w:bookmarkStart w:id="8" w:name="_Toc28359003"/>
      <w:bookmarkStart w:id="9" w:name="_Toc35393622"/>
      <w:bookmarkStart w:id="10" w:name="_Toc35393791"/>
      <w:r>
        <w:rPr>
          <w:rFonts w:hint="eastAsia"/>
          <w:color w:val="auto"/>
          <w:sz w:val="24"/>
          <w:szCs w:val="24"/>
          <w:highlight w:val="none"/>
        </w:rPr>
        <w:t>备注</w:t>
      </w:r>
      <w:r>
        <w:rPr>
          <w:rFonts w:hint="eastAsia"/>
          <w:b w:val="0"/>
          <w:color w:val="auto"/>
          <w:sz w:val="24"/>
          <w:szCs w:val="24"/>
          <w:highlight w:val="none"/>
        </w:rPr>
        <w:t>：</w:t>
      </w:r>
      <w:r>
        <w:rPr>
          <w:rFonts w:hint="eastAsia" w:cs="宋体"/>
          <w:b w:val="0"/>
          <w:color w:val="auto"/>
          <w:sz w:val="24"/>
          <w:szCs w:val="24"/>
          <w:highlight w:val="none"/>
        </w:rPr>
        <w:t>1.本项目总结算价不超过</w:t>
      </w:r>
      <w:r>
        <w:rPr>
          <w:rFonts w:hint="eastAsia" w:cs="宋体"/>
          <w:b w:val="0"/>
          <w:color w:val="auto"/>
          <w:sz w:val="24"/>
          <w:szCs w:val="24"/>
          <w:highlight w:val="none"/>
          <w:lang w:val="en-US" w:eastAsia="zh-CN"/>
        </w:rPr>
        <w:t>6</w:t>
      </w:r>
      <w:r>
        <w:rPr>
          <w:rFonts w:hint="eastAsia" w:cs="宋体"/>
          <w:b w:val="0"/>
          <w:color w:val="auto"/>
          <w:sz w:val="24"/>
          <w:szCs w:val="24"/>
          <w:highlight w:val="none"/>
        </w:rPr>
        <w:t>00万元，实际发生工作量按实结算。</w:t>
      </w:r>
    </w:p>
    <w:p>
      <w:pPr>
        <w:pStyle w:val="5"/>
        <w:ind w:firstLine="482" w:firstLineChars="200"/>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二、投标人的资格要求</w:t>
      </w:r>
      <w:bookmarkEnd w:id="7"/>
      <w:bookmarkEnd w:id="8"/>
      <w:bookmarkEnd w:id="9"/>
      <w:bookmarkEnd w:id="10"/>
    </w:p>
    <w:p>
      <w:pPr>
        <w:pStyle w:val="23"/>
        <w:adjustRightInd w:val="0"/>
        <w:spacing w:before="0" w:line="360" w:lineRule="auto"/>
        <w:ind w:left="102" w:right="102" w:firstLine="480"/>
        <w:rPr>
          <w:rFonts w:asciiTheme="minorEastAsia" w:hAnsiTheme="minorEastAsia" w:eastAsiaTheme="minorEastAsia"/>
          <w:color w:val="auto"/>
          <w:sz w:val="24"/>
          <w:szCs w:val="24"/>
          <w:highlight w:val="none"/>
        </w:rPr>
      </w:pPr>
      <w:bookmarkStart w:id="11" w:name="_Toc35393792"/>
      <w:bookmarkStart w:id="12" w:name="_Toc28359081"/>
      <w:bookmarkStart w:id="13" w:name="_Toc35393623"/>
      <w:bookmarkStart w:id="14" w:name="_Toc28359004"/>
      <w:r>
        <w:rPr>
          <w:rFonts w:hint="eastAsia" w:asciiTheme="minorEastAsia" w:hAnsiTheme="minorEastAsia" w:eastAsiaTheme="minorEastAsia"/>
          <w:color w:val="auto"/>
          <w:sz w:val="24"/>
          <w:szCs w:val="24"/>
          <w:highlight w:val="none"/>
        </w:rPr>
        <w:t>（一）符合《中华人民共和国政府采购法》第二十二条规定的投标人资格条件。</w:t>
      </w:r>
    </w:p>
    <w:p>
      <w:pPr>
        <w:pStyle w:val="23"/>
        <w:adjustRightInd w:val="0"/>
        <w:spacing w:before="0" w:line="360" w:lineRule="auto"/>
        <w:ind w:left="102" w:right="102" w:firstLine="480"/>
        <w:rPr>
          <w:rFonts w:hint="eastAsia" w:ascii="宋体" w:eastAsia="宋体"/>
          <w:color w:val="auto"/>
          <w:sz w:val="24"/>
          <w:szCs w:val="24"/>
          <w:highlight w:val="none"/>
        </w:rPr>
      </w:pPr>
      <w:r>
        <w:rPr>
          <w:rFonts w:hint="eastAsia" w:ascii="宋体" w:eastAsia="宋体"/>
          <w:color w:val="auto"/>
          <w:sz w:val="24"/>
          <w:szCs w:val="24"/>
          <w:highlight w:val="none"/>
        </w:rPr>
        <w:t>（二）</w:t>
      </w:r>
      <w:r>
        <w:rPr>
          <w:rFonts w:hint="eastAsia" w:asciiTheme="minorEastAsia" w:hAnsiTheme="minorEastAsia" w:eastAsiaTheme="minorEastAsia"/>
          <w:color w:val="auto"/>
          <w:sz w:val="24"/>
          <w:szCs w:val="24"/>
          <w:highlight w:val="none"/>
        </w:rPr>
        <w:t>本项目的特定资格要求:公路交通工程专业承包资质（公路安全设施分项）</w:t>
      </w:r>
    </w:p>
    <w:p>
      <w:pPr>
        <w:pStyle w:val="23"/>
        <w:adjustRightInd w:val="0"/>
        <w:spacing w:before="0" w:line="360" w:lineRule="auto"/>
        <w:ind w:left="102" w:right="102" w:firstLine="480"/>
        <w:rPr>
          <w:rFonts w:asciiTheme="minorEastAsia" w:hAnsiTheme="minorEastAsia" w:eastAsiaTheme="minorEastAsia"/>
          <w:color w:val="auto"/>
          <w:sz w:val="24"/>
          <w:szCs w:val="24"/>
          <w:highlight w:val="none"/>
        </w:rPr>
      </w:pPr>
      <w:r>
        <w:rPr>
          <w:rFonts w:hint="eastAsia" w:ascii="宋体" w:hAnsi="宋体" w:cs="宋体"/>
          <w:color w:val="auto"/>
          <w:sz w:val="24"/>
          <w:highlight w:val="none"/>
        </w:rPr>
        <w:t>（三）</w:t>
      </w:r>
      <w:r>
        <w:rPr>
          <w:rFonts w:hint="eastAsia" w:ascii="宋体" w:eastAsia="宋体"/>
          <w:color w:val="auto"/>
          <w:sz w:val="24"/>
          <w:szCs w:val="24"/>
          <w:highlight w:val="none"/>
        </w:rPr>
        <w:t>未被“信用中国”（www.creditchina.gov.cn）、中国政府采购网（www.ccgp.gov.cn）列入失信被执行人、</w:t>
      </w:r>
      <w:r>
        <w:rPr>
          <w:rFonts w:hint="eastAsia" w:ascii="宋体" w:eastAsia="宋体"/>
          <w:color w:val="auto"/>
          <w:sz w:val="24"/>
          <w:szCs w:val="24"/>
          <w:highlight w:val="none"/>
          <w:lang w:eastAsia="zh-CN"/>
        </w:rPr>
        <w:t>重大税收违法失信主体</w:t>
      </w:r>
      <w:r>
        <w:rPr>
          <w:rFonts w:hint="eastAsia" w:ascii="宋体" w:eastAsia="宋体"/>
          <w:color w:val="auto"/>
          <w:sz w:val="24"/>
          <w:szCs w:val="24"/>
          <w:highlight w:val="none"/>
        </w:rPr>
        <w:t>、政府采购严重违法失信行为记录名单。</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eastAsia="zh-CN"/>
        </w:rPr>
        <w:t>四</w:t>
      </w:r>
      <w:r>
        <w:rPr>
          <w:rFonts w:hint="eastAsia" w:ascii="宋体" w:hAnsi="宋体" w:cs="宋体"/>
          <w:color w:val="auto"/>
          <w:sz w:val="24"/>
          <w:highlight w:val="none"/>
        </w:rPr>
        <w:t>）本项目</w:t>
      </w:r>
      <w:r>
        <w:rPr>
          <w:rFonts w:hint="eastAsia" w:ascii="宋体" w:hAnsi="宋体" w:cs="宋体"/>
          <w:b/>
          <w:bCs/>
          <w:color w:val="auto"/>
          <w:sz w:val="24"/>
          <w:highlight w:val="none"/>
          <w:lang w:val="en-US" w:eastAsia="zh-CN"/>
        </w:rPr>
        <w:t>(</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rPr>
        <w:t xml:space="preserve"> 不接受/</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rPr>
        <w:t xml:space="preserve"> 接受</w:t>
      </w:r>
      <w:r>
        <w:rPr>
          <w:rFonts w:hint="eastAsia" w:ascii="宋体" w:hAnsi="宋体" w:cs="宋体"/>
          <w:b/>
          <w:bCs/>
          <w:color w:val="auto"/>
          <w:sz w:val="24"/>
          <w:highlight w:val="none"/>
          <w:lang w:val="en-US" w:eastAsia="zh-CN"/>
        </w:rPr>
        <w:t>)</w:t>
      </w:r>
      <w:r>
        <w:rPr>
          <w:rFonts w:hint="eastAsia" w:ascii="宋体" w:hAnsi="宋体" w:cs="宋体"/>
          <w:color w:val="auto"/>
          <w:sz w:val="24"/>
          <w:highlight w:val="none"/>
        </w:rPr>
        <w:t>联合体投标</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五</w:t>
      </w:r>
      <w:r>
        <w:rPr>
          <w:rFonts w:hint="eastAsia" w:ascii="宋体" w:hAnsi="宋体" w:cs="宋体"/>
          <w:color w:val="auto"/>
          <w:sz w:val="24"/>
          <w:highlight w:val="none"/>
          <w:lang w:eastAsia="zh-CN"/>
        </w:rPr>
        <w:t>）</w:t>
      </w:r>
      <w:r>
        <w:rPr>
          <w:rFonts w:hint="eastAsia" w:ascii="宋体" w:hAnsi="宋体" w:cs="宋体"/>
          <w:color w:val="auto"/>
          <w:sz w:val="24"/>
          <w:highlight w:val="none"/>
        </w:rPr>
        <w:t>本项目</w:t>
      </w:r>
      <w:r>
        <w:rPr>
          <w:rFonts w:hint="eastAsia" w:ascii="宋体" w:hAnsi="宋体" w:cs="宋体"/>
          <w:b/>
          <w:bCs/>
          <w:color w:val="auto"/>
          <w:sz w:val="24"/>
          <w:highlight w:val="none"/>
          <w:lang w:val="en-US" w:eastAsia="zh-CN"/>
        </w:rPr>
        <w:t>(</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rPr>
        <w:t xml:space="preserve"> </w:t>
      </w:r>
      <w:r>
        <w:rPr>
          <w:rFonts w:hint="eastAsia" w:ascii="宋体" w:hAnsi="宋体" w:cs="宋体"/>
          <w:b/>
          <w:bCs/>
          <w:color w:val="auto"/>
          <w:sz w:val="24"/>
          <w:highlight w:val="none"/>
          <w:lang w:eastAsia="zh-CN"/>
        </w:rPr>
        <w:t>是</w:t>
      </w:r>
      <w:r>
        <w:rPr>
          <w:rFonts w:hint="eastAsia" w:ascii="宋体" w:hAnsi="宋体" w:cs="宋体"/>
          <w:b/>
          <w:bCs/>
          <w:color w:val="auto"/>
          <w:sz w:val="24"/>
          <w:highlight w:val="none"/>
        </w:rPr>
        <w:t>/</w:t>
      </w:r>
      <w:r>
        <w:rPr>
          <w:rFonts w:hint="eastAsia" w:ascii="宋体" w:hAnsi="宋体" w:cs="宋体"/>
          <w:b/>
          <w:bCs/>
          <w:color w:val="auto"/>
          <w:sz w:val="24"/>
          <w:highlight w:val="none"/>
          <w:lang w:eastAsia="zh-CN"/>
        </w:rPr>
        <w:t>□</w:t>
      </w:r>
      <w:r>
        <w:rPr>
          <w:rFonts w:hint="eastAsia" w:ascii="宋体" w:hAnsi="宋体" w:cs="宋体"/>
          <w:b/>
          <w:bCs/>
          <w:color w:val="auto"/>
          <w:sz w:val="24"/>
          <w:highlight w:val="none"/>
        </w:rPr>
        <w:t xml:space="preserve"> </w:t>
      </w:r>
      <w:r>
        <w:rPr>
          <w:rFonts w:hint="eastAsia" w:ascii="宋体" w:hAnsi="宋体" w:cs="宋体"/>
          <w:b/>
          <w:bCs/>
          <w:color w:val="auto"/>
          <w:sz w:val="24"/>
          <w:highlight w:val="none"/>
          <w:lang w:eastAsia="zh-CN"/>
        </w:rPr>
        <w:t>否</w:t>
      </w:r>
      <w:r>
        <w:rPr>
          <w:rFonts w:hint="eastAsia" w:ascii="宋体" w:hAnsi="宋体" w:cs="宋体"/>
          <w:b/>
          <w:bCs/>
          <w:color w:val="auto"/>
          <w:sz w:val="24"/>
          <w:highlight w:val="none"/>
          <w:lang w:val="en-US" w:eastAsia="zh-CN"/>
        </w:rPr>
        <w:t>)</w:t>
      </w:r>
      <w:r>
        <w:rPr>
          <w:rFonts w:hint="eastAsia" w:ascii="宋体" w:hAnsi="宋体" w:cs="宋体"/>
          <w:color w:val="auto"/>
          <w:sz w:val="24"/>
          <w:highlight w:val="none"/>
          <w:lang w:val="en-US" w:eastAsia="zh-CN"/>
        </w:rPr>
        <w:t>针对为中小企业</w:t>
      </w:r>
    </w:p>
    <w:p>
      <w:pPr>
        <w:pStyle w:val="5"/>
        <w:ind w:right="0" w:firstLine="482" w:firstLineChars="200"/>
        <w:rPr>
          <w:rFonts w:cs="宋体"/>
          <w:bCs/>
          <w:color w:val="auto"/>
          <w:sz w:val="24"/>
          <w:szCs w:val="24"/>
          <w:highlight w:val="none"/>
        </w:rPr>
      </w:pPr>
      <w:r>
        <w:rPr>
          <w:rFonts w:hint="eastAsia" w:cs="宋体"/>
          <w:bCs/>
          <w:color w:val="auto"/>
          <w:sz w:val="24"/>
          <w:szCs w:val="24"/>
          <w:highlight w:val="none"/>
        </w:rPr>
        <w:t>三、获取招标文件</w:t>
      </w:r>
      <w:bookmarkEnd w:id="11"/>
      <w:bookmarkEnd w:id="12"/>
      <w:bookmarkEnd w:id="13"/>
      <w:bookmarkEnd w:id="14"/>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（一）时间：</w:t>
      </w:r>
      <w:r>
        <w:rPr>
          <w:rFonts w:hint="eastAsia" w:ascii="宋体" w:hAnsi="宋体" w:cs="宋体"/>
          <w:color w:val="auto"/>
          <w:sz w:val="24"/>
          <w:highlight w:val="none"/>
          <w:u w:val="single"/>
          <w:lang w:val="en-US" w:eastAsia="zh-CN"/>
        </w:rPr>
        <w:t>2023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21</w:t>
      </w:r>
      <w:r>
        <w:rPr>
          <w:rFonts w:hint="eastAsia" w:ascii="宋体" w:hAnsi="宋体" w:cs="宋体"/>
          <w:color w:val="auto"/>
          <w:sz w:val="24"/>
          <w:highlight w:val="none"/>
          <w:u w:val="single"/>
        </w:rPr>
        <w:t>日</w:t>
      </w:r>
      <w:r>
        <w:rPr>
          <w:rFonts w:hint="eastAsia" w:ascii="宋体" w:hAnsi="宋体" w:cs="宋体"/>
          <w:color w:val="auto"/>
          <w:sz w:val="24"/>
          <w:highlight w:val="none"/>
        </w:rPr>
        <w:t>至</w:t>
      </w:r>
      <w:r>
        <w:rPr>
          <w:rFonts w:hint="eastAsia" w:ascii="宋体" w:hAnsi="宋体" w:cs="宋体"/>
          <w:color w:val="auto"/>
          <w:sz w:val="24"/>
          <w:highlight w:val="none"/>
          <w:u w:val="single"/>
          <w:lang w:val="en-US" w:eastAsia="zh-CN"/>
        </w:rPr>
        <w:t>2023</w:t>
      </w:r>
      <w:r>
        <w:rPr>
          <w:rFonts w:hint="eastAsia" w:ascii="宋体" w:hAnsi="宋体" w:cs="宋体"/>
          <w:color w:val="auto"/>
          <w:sz w:val="24"/>
          <w:highlight w:val="none"/>
          <w:u w:val="single"/>
        </w:rPr>
        <w:t>年</w:t>
      </w:r>
      <w:r>
        <w:rPr>
          <w:rFonts w:hint="eastAsia" w:ascii="宋体" w:hAnsi="宋体" w:cs="宋体"/>
          <w:color w:val="auto"/>
          <w:sz w:val="24"/>
          <w:highlight w:val="none"/>
          <w:u w:val="single"/>
          <w:lang w:val="en-US" w:eastAsia="zh-CN"/>
        </w:rPr>
        <w:t>8</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日</w:t>
      </w:r>
    </w:p>
    <w:p>
      <w:pPr>
        <w:pStyle w:val="21"/>
        <w:spacing w:line="360" w:lineRule="auto"/>
        <w:ind w:firstLine="480" w:firstLineChars="200"/>
        <w:jc w:val="both"/>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（二）方式：浙江政府采购网</w:t>
      </w:r>
      <w:r>
        <w:rPr>
          <w:rFonts w:hint="eastAsia" w:ascii="宋体" w:hAnsi="宋体" w:eastAsia="宋体" w:cs="宋体"/>
          <w:color w:val="auto"/>
          <w:kern w:val="2"/>
          <w:sz w:val="24"/>
          <w:szCs w:val="24"/>
          <w:highlight w:val="none"/>
        </w:rPr>
        <w:t>（https://zfcg.czt.zj.gov.cn）</w:t>
      </w:r>
      <w:r>
        <w:rPr>
          <w:rFonts w:hint="eastAsia" w:ascii="宋体" w:hAnsi="宋体" w:eastAsia="宋体" w:cs="宋体"/>
          <w:color w:val="auto"/>
          <w:sz w:val="24"/>
          <w:szCs w:val="24"/>
          <w:highlight w:val="none"/>
        </w:rPr>
        <w:t>免费下载</w:t>
      </w:r>
    </w:p>
    <w:p>
      <w:pPr>
        <w:pStyle w:val="5"/>
        <w:ind w:right="0" w:firstLine="482" w:firstLineChars="200"/>
        <w:rPr>
          <w:rFonts w:cs="宋体"/>
          <w:bCs/>
          <w:color w:val="auto"/>
          <w:sz w:val="24"/>
          <w:szCs w:val="24"/>
          <w:highlight w:val="none"/>
        </w:rPr>
      </w:pPr>
      <w:bookmarkStart w:id="15" w:name="_Toc28359005"/>
      <w:bookmarkStart w:id="16" w:name="_Toc35393624"/>
      <w:bookmarkStart w:id="17" w:name="_Toc35393793"/>
      <w:bookmarkStart w:id="18" w:name="_Toc28359082"/>
      <w:r>
        <w:rPr>
          <w:rFonts w:hint="eastAsia" w:cs="宋体"/>
          <w:bCs/>
          <w:color w:val="auto"/>
          <w:sz w:val="24"/>
          <w:szCs w:val="24"/>
          <w:highlight w:val="none"/>
        </w:rPr>
        <w:t>四、提交投标文件</w:t>
      </w:r>
      <w:bookmarkEnd w:id="15"/>
      <w:bookmarkEnd w:id="16"/>
      <w:bookmarkEnd w:id="17"/>
      <w:bookmarkEnd w:id="18"/>
    </w:p>
    <w:p>
      <w:pPr>
        <w:spacing w:line="360" w:lineRule="auto"/>
        <w:ind w:firstLine="480" w:firstLineChars="200"/>
        <w:rPr>
          <w:rFonts w:ascii="宋体" w:hAnsi="宋体" w:cs="宋体"/>
          <w:iCs/>
          <w:color w:val="auto"/>
          <w:sz w:val="24"/>
          <w:highlight w:val="none"/>
          <w:u w:val="single"/>
        </w:rPr>
      </w:pPr>
      <w:bookmarkStart w:id="19" w:name="_Toc28359084"/>
      <w:bookmarkStart w:id="20" w:name="_Toc28359007"/>
      <w:bookmarkStart w:id="21" w:name="_Toc35393625"/>
      <w:bookmarkStart w:id="22" w:name="_Toc35393794"/>
      <w:r>
        <w:rPr>
          <w:rFonts w:hint="eastAsia" w:ascii="宋体" w:hAnsi="宋体" w:cs="宋体"/>
          <w:color w:val="auto"/>
          <w:sz w:val="24"/>
          <w:highlight w:val="none"/>
        </w:rPr>
        <w:t>（一）截止时间（开标时间）：</w:t>
      </w:r>
      <w:r>
        <w:rPr>
          <w:rFonts w:hint="eastAsia" w:ascii="宋体" w:hAnsi="宋体" w:cs="宋体"/>
          <w:bCs/>
          <w:color w:val="auto"/>
          <w:sz w:val="24"/>
          <w:highlight w:val="none"/>
          <w:u w:val="single"/>
          <w:lang w:val="en-US" w:eastAsia="zh-CN"/>
        </w:rPr>
        <w:t>2023</w:t>
      </w:r>
      <w:r>
        <w:rPr>
          <w:rFonts w:hint="eastAsia" w:ascii="宋体" w:hAnsi="宋体" w:cs="宋体"/>
          <w:bCs/>
          <w:color w:val="auto"/>
          <w:sz w:val="24"/>
          <w:highlight w:val="none"/>
          <w:u w:val="single"/>
        </w:rPr>
        <w:t>年</w:t>
      </w:r>
      <w:r>
        <w:rPr>
          <w:rFonts w:hint="eastAsia" w:ascii="宋体" w:hAnsi="宋体" w:cs="宋体"/>
          <w:color w:val="auto"/>
          <w:sz w:val="24"/>
          <w:highlight w:val="none"/>
          <w:u w:val="single"/>
          <w:lang w:val="en-US" w:eastAsia="zh-CN"/>
        </w:rPr>
        <w:t>8</w:t>
      </w:r>
      <w:r>
        <w:rPr>
          <w:rFonts w:hint="eastAsia" w:ascii="宋体" w:hAnsi="宋体" w:cs="宋体"/>
          <w:bCs/>
          <w:color w:val="auto"/>
          <w:sz w:val="24"/>
          <w:highlight w:val="none"/>
          <w:u w:val="single"/>
        </w:rPr>
        <w:t>月</w:t>
      </w:r>
      <w:r>
        <w:rPr>
          <w:rFonts w:hint="eastAsia" w:ascii="宋体" w:hAnsi="宋体" w:cs="宋体"/>
          <w:color w:val="auto"/>
          <w:sz w:val="24"/>
          <w:highlight w:val="none"/>
          <w:u w:val="single"/>
          <w:lang w:val="en-US" w:eastAsia="zh-CN"/>
        </w:rPr>
        <w:t>11</w:t>
      </w:r>
      <w:bookmarkStart w:id="84" w:name="_GoBack"/>
      <w:bookmarkEnd w:id="84"/>
      <w:r>
        <w:rPr>
          <w:rFonts w:hint="eastAsia" w:ascii="宋体" w:hAnsi="宋体" w:cs="宋体"/>
          <w:bCs/>
          <w:color w:val="auto"/>
          <w:sz w:val="24"/>
          <w:highlight w:val="none"/>
          <w:u w:val="single"/>
        </w:rPr>
        <w:t>日</w:t>
      </w:r>
      <w:r>
        <w:rPr>
          <w:rFonts w:hint="eastAsia" w:ascii="宋体" w:hAnsi="宋体" w:cs="宋体"/>
          <w:bCs/>
          <w:color w:val="auto"/>
          <w:sz w:val="24"/>
          <w:highlight w:val="none"/>
          <w:u w:val="single"/>
          <w:lang w:val="en-US" w:eastAsia="zh-CN"/>
        </w:rPr>
        <w:t>9</w:t>
      </w:r>
      <w:r>
        <w:rPr>
          <w:rFonts w:hint="eastAsia" w:ascii="宋体" w:hAnsi="宋体" w:cs="宋体"/>
          <w:bCs/>
          <w:color w:val="auto"/>
          <w:sz w:val="24"/>
          <w:highlight w:val="none"/>
          <w:u w:val="single"/>
        </w:rPr>
        <w:t>点</w:t>
      </w:r>
      <w:r>
        <w:rPr>
          <w:rFonts w:hint="eastAsia" w:ascii="宋体" w:hAnsi="宋体" w:cs="宋体"/>
          <w:bCs/>
          <w:color w:val="auto"/>
          <w:sz w:val="24"/>
          <w:highlight w:val="none"/>
          <w:u w:val="single"/>
          <w:lang w:val="en-US" w:eastAsia="zh-CN"/>
        </w:rPr>
        <w:t>30分</w:t>
      </w:r>
      <w:r>
        <w:rPr>
          <w:rFonts w:hint="eastAsia" w:ascii="宋体" w:hAnsi="宋体" w:cs="宋体"/>
          <w:bCs/>
          <w:color w:val="auto"/>
          <w:sz w:val="24"/>
          <w:highlight w:val="none"/>
        </w:rPr>
        <w:t>（北京时间）</w:t>
      </w:r>
    </w:p>
    <w:p>
      <w:pPr>
        <w:pStyle w:val="8"/>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（二）投标网址：浙江政府采购云平台（http://www.zcygov.cn）</w:t>
      </w:r>
    </w:p>
    <w:bookmarkEnd w:id="19"/>
    <w:bookmarkEnd w:id="20"/>
    <w:bookmarkEnd w:id="21"/>
    <w:bookmarkEnd w:id="22"/>
    <w:p>
      <w:pPr>
        <w:pStyle w:val="2"/>
        <w:spacing w:after="0" w:line="360" w:lineRule="auto"/>
        <w:ind w:left="0" w:leftChars="0" w:firstLine="482" w:firstLineChars="200"/>
        <w:rPr>
          <w:rFonts w:ascii="宋体" w:hAnsi="宋体" w:cs="宋体"/>
          <w:b/>
          <w:bCs/>
          <w:color w:val="auto"/>
          <w:kern w:val="0"/>
          <w:sz w:val="24"/>
          <w:highlight w:val="none"/>
        </w:rPr>
      </w:pPr>
      <w:r>
        <w:rPr>
          <w:rFonts w:hint="eastAsia" w:ascii="宋体" w:hAnsi="宋体" w:cs="宋体"/>
          <w:b/>
          <w:bCs/>
          <w:color w:val="auto"/>
          <w:kern w:val="0"/>
          <w:sz w:val="24"/>
          <w:highlight w:val="none"/>
        </w:rPr>
        <w:t>五、发布公告</w:t>
      </w:r>
    </w:p>
    <w:p>
      <w:pPr>
        <w:pStyle w:val="2"/>
        <w:spacing w:after="0" w:line="360" w:lineRule="auto"/>
        <w:ind w:left="0" w:leftChars="0" w:firstLine="480" w:firstLineChars="200"/>
        <w:rPr>
          <w:rFonts w:ascii="宋体" w:hAnsi="宋体" w:cs="宋体"/>
          <w:color w:val="auto"/>
          <w:kern w:val="0"/>
          <w:sz w:val="24"/>
          <w:highlight w:val="none"/>
        </w:rPr>
      </w:pPr>
      <w:r>
        <w:rPr>
          <w:rFonts w:hint="eastAsia" w:ascii="宋体" w:hAnsi="宋体" w:cs="宋体"/>
          <w:color w:val="auto"/>
          <w:sz w:val="24"/>
          <w:highlight w:val="none"/>
        </w:rPr>
        <w:t>（一）公告网址：</w:t>
      </w:r>
      <w:r>
        <w:rPr>
          <w:rFonts w:hint="eastAsia" w:ascii="宋体" w:hAnsi="宋体" w:cs="宋体"/>
          <w:color w:val="auto"/>
          <w:kern w:val="0"/>
          <w:sz w:val="24"/>
          <w:highlight w:val="none"/>
        </w:rPr>
        <w:t>浙江政府采购网（</w:t>
      </w:r>
      <w:r>
        <w:rPr>
          <w:rFonts w:hint="eastAsia" w:ascii="宋体" w:hAnsi="宋体" w:cs="宋体"/>
          <w:color w:val="auto"/>
          <w:sz w:val="24"/>
          <w:highlight w:val="none"/>
        </w:rPr>
        <w:t>https://zfcg.czt.zj.gov.cn</w:t>
      </w:r>
      <w:r>
        <w:rPr>
          <w:rFonts w:hint="eastAsia" w:ascii="宋体" w:hAnsi="宋体" w:cs="宋体"/>
          <w:color w:val="auto"/>
          <w:kern w:val="0"/>
          <w:sz w:val="24"/>
          <w:highlight w:val="none"/>
        </w:rPr>
        <w:t>），台州市公共资源交易网（https://tzztb.zjtz.gov.cn）。</w:t>
      </w:r>
    </w:p>
    <w:p>
      <w:pPr>
        <w:pStyle w:val="2"/>
        <w:spacing w:after="0" w:line="360" w:lineRule="auto"/>
        <w:ind w:left="0" w:leftChars="0" w:firstLine="480" w:firstLineChars="200"/>
        <w:rPr>
          <w:rFonts w:ascii="宋体" w:hAnsi="宋体" w:cs="宋体"/>
          <w:color w:val="auto"/>
          <w:kern w:val="0"/>
          <w:sz w:val="24"/>
          <w:highlight w:val="none"/>
        </w:rPr>
      </w:pPr>
      <w:r>
        <w:rPr>
          <w:rFonts w:hint="eastAsia" w:ascii="宋体" w:hAnsi="宋体" w:cs="宋体"/>
          <w:color w:val="auto"/>
          <w:sz w:val="24"/>
          <w:highlight w:val="none"/>
        </w:rPr>
        <w:t>（二）公告期限：</w:t>
      </w:r>
      <w:r>
        <w:rPr>
          <w:rFonts w:hint="eastAsia" w:ascii="宋体" w:hAnsi="宋体" w:cs="宋体"/>
          <w:color w:val="auto"/>
          <w:kern w:val="0"/>
          <w:sz w:val="24"/>
          <w:highlight w:val="none"/>
        </w:rPr>
        <w:t>本公告期限自发布之日起五个工作日。</w:t>
      </w:r>
    </w:p>
    <w:p>
      <w:pPr>
        <w:pStyle w:val="5"/>
        <w:ind w:right="0" w:firstLine="482" w:firstLineChars="200"/>
        <w:rPr>
          <w:rFonts w:cs="宋体"/>
          <w:bCs/>
          <w:color w:val="auto"/>
          <w:sz w:val="24"/>
          <w:szCs w:val="24"/>
          <w:highlight w:val="none"/>
        </w:rPr>
      </w:pPr>
      <w:bookmarkStart w:id="23" w:name="_Toc35393626"/>
      <w:bookmarkStart w:id="24" w:name="_Toc35393795"/>
      <w:r>
        <w:rPr>
          <w:rFonts w:hint="eastAsia" w:cs="宋体"/>
          <w:bCs/>
          <w:color w:val="auto"/>
          <w:sz w:val="24"/>
          <w:szCs w:val="24"/>
          <w:highlight w:val="none"/>
        </w:rPr>
        <w:t>六、</w:t>
      </w:r>
      <w:bookmarkEnd w:id="23"/>
      <w:bookmarkEnd w:id="24"/>
      <w:r>
        <w:rPr>
          <w:rFonts w:hint="eastAsia" w:cs="宋体"/>
          <w:bCs/>
          <w:color w:val="auto"/>
          <w:sz w:val="24"/>
          <w:szCs w:val="24"/>
          <w:highlight w:val="none"/>
        </w:rPr>
        <w:t>注册报名</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投标人需登录浙江省政府采购网（https://zfcg.czt.zj.gov.cn/）进行注册后报名。</w:t>
      </w:r>
    </w:p>
    <w:p>
      <w:pPr>
        <w:pStyle w:val="5"/>
        <w:ind w:right="0" w:firstLine="482" w:firstLineChars="200"/>
        <w:rPr>
          <w:rFonts w:cs="宋体"/>
          <w:bCs/>
          <w:color w:val="auto"/>
          <w:sz w:val="24"/>
          <w:szCs w:val="24"/>
          <w:highlight w:val="none"/>
        </w:rPr>
      </w:pPr>
      <w:bookmarkStart w:id="25" w:name="_Toc28359008"/>
      <w:bookmarkStart w:id="26" w:name="_Toc35393796"/>
      <w:bookmarkStart w:id="27" w:name="_Toc28359085"/>
      <w:bookmarkStart w:id="28" w:name="_Toc35393627"/>
      <w:r>
        <w:rPr>
          <w:rFonts w:hint="eastAsia" w:cs="宋体"/>
          <w:bCs/>
          <w:color w:val="auto"/>
          <w:sz w:val="24"/>
          <w:szCs w:val="24"/>
          <w:highlight w:val="none"/>
        </w:rPr>
        <w:t>七、联系</w:t>
      </w:r>
      <w:bookmarkEnd w:id="25"/>
      <w:bookmarkEnd w:id="26"/>
      <w:bookmarkEnd w:id="27"/>
      <w:bookmarkEnd w:id="28"/>
      <w:r>
        <w:rPr>
          <w:rFonts w:hint="eastAsia" w:cs="宋体"/>
          <w:bCs/>
          <w:color w:val="auto"/>
          <w:sz w:val="24"/>
          <w:szCs w:val="24"/>
          <w:highlight w:val="none"/>
        </w:rPr>
        <w:t>方式</w:t>
      </w:r>
    </w:p>
    <w:p>
      <w:pPr>
        <w:snapToGrid w:val="0"/>
        <w:spacing w:line="360" w:lineRule="auto"/>
        <w:ind w:firstLine="482" w:firstLineChars="200"/>
        <w:rPr>
          <w:rFonts w:ascii="宋体" w:hAnsi="宋体" w:cs="宋体"/>
          <w:b/>
          <w:bCs/>
          <w:color w:val="auto"/>
          <w:sz w:val="24"/>
          <w:highlight w:val="none"/>
        </w:rPr>
      </w:pPr>
      <w:bookmarkStart w:id="29" w:name="_Toc28359010"/>
      <w:bookmarkStart w:id="30" w:name="_Toc28359087"/>
      <w:r>
        <w:rPr>
          <w:rFonts w:hint="eastAsia" w:ascii="宋体" w:hAnsi="宋体" w:cs="宋体"/>
          <w:b/>
          <w:bCs/>
          <w:color w:val="auto"/>
          <w:sz w:val="24"/>
          <w:highlight w:val="none"/>
        </w:rPr>
        <w:t xml:space="preserve">（一）采购人（受理招标文件相关质疑及答复） </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名 称：</w:t>
      </w:r>
      <w:r>
        <w:rPr>
          <w:rFonts w:hint="eastAsia" w:ascii="宋体" w:hAnsi="宋体" w:eastAsia="宋体" w:cs="宋体"/>
          <w:color w:val="auto"/>
          <w:sz w:val="24"/>
          <w:highlight w:val="none"/>
          <w:u w:val="single"/>
        </w:rPr>
        <w:t>台州市公安局交通警察局</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single"/>
        </w:rPr>
        <w:t>台州市椒江区机场北路451号</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联系人：</w:t>
      </w:r>
      <w:bookmarkStart w:id="31" w:name="_Toc28359009"/>
      <w:bookmarkStart w:id="32" w:name="_Toc28359086"/>
      <w:r>
        <w:rPr>
          <w:rFonts w:hint="eastAsia" w:ascii="宋体" w:hAnsi="宋体" w:eastAsia="宋体" w:cs="宋体"/>
          <w:color w:val="auto"/>
          <w:sz w:val="24"/>
          <w:highlight w:val="none"/>
          <w:u w:val="single"/>
          <w:lang w:val="en-US" w:eastAsia="zh-CN"/>
        </w:rPr>
        <w:t>柯</w:t>
      </w:r>
      <w:r>
        <w:rPr>
          <w:rFonts w:hint="eastAsia" w:ascii="宋体" w:hAnsi="宋体" w:eastAsia="宋体" w:cs="宋体"/>
          <w:color w:val="auto"/>
          <w:sz w:val="24"/>
          <w:highlight w:val="none"/>
          <w:u w:val="single"/>
        </w:rPr>
        <w:t>先生</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联系电话：</w:t>
      </w:r>
      <w:r>
        <w:rPr>
          <w:rFonts w:hint="eastAsia" w:ascii="宋体" w:hAnsi="宋体" w:eastAsia="宋体" w:cs="宋体"/>
          <w:color w:val="auto"/>
          <w:sz w:val="24"/>
          <w:highlight w:val="none"/>
          <w:u w:val="single"/>
          <w:lang w:val="en-US" w:eastAsia="zh-CN"/>
        </w:rPr>
        <w:t>0576-81895190</w:t>
      </w:r>
    </w:p>
    <w:bookmarkEnd w:id="31"/>
    <w:bookmarkEnd w:id="32"/>
    <w:p>
      <w:pPr>
        <w:spacing w:line="360" w:lineRule="auto"/>
        <w:ind w:firstLine="482" w:firstLineChars="200"/>
        <w:rPr>
          <w:rFonts w:ascii="宋体" w:hAnsi="宋体" w:cs="宋体"/>
          <w:b/>
          <w:color w:val="auto"/>
          <w:sz w:val="24"/>
          <w:highlight w:val="none"/>
        </w:rPr>
      </w:pPr>
      <w:r>
        <w:rPr>
          <w:rFonts w:hint="eastAsia" w:ascii="宋体" w:hAnsi="宋体" w:cs="宋体"/>
          <w:b/>
          <w:bCs/>
          <w:color w:val="auto"/>
          <w:sz w:val="24"/>
          <w:highlight w:val="none"/>
        </w:rPr>
        <w:t>（二）采购组织机构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名 称：</w:t>
      </w:r>
      <w:r>
        <w:rPr>
          <w:rFonts w:hint="eastAsia" w:ascii="宋体" w:hAnsi="宋体" w:cs="宋体"/>
          <w:color w:val="auto"/>
          <w:sz w:val="24"/>
          <w:highlight w:val="none"/>
          <w:u w:val="single"/>
        </w:rPr>
        <w:t>台州市建设咨询有限公司</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single"/>
        </w:rPr>
        <w:t>浙江省台州市椒江区工人西路427号</w:t>
      </w:r>
    </w:p>
    <w:p>
      <w:pPr>
        <w:spacing w:line="360" w:lineRule="auto"/>
        <w:ind w:firstLine="480" w:firstLineChars="200"/>
        <w:rPr>
          <w:rFonts w:hint="default" w:ascii="宋体" w:hAnsi="宋体" w:cs="宋体"/>
          <w:color w:val="auto"/>
          <w:sz w:val="24"/>
          <w:highlight w:val="none"/>
          <w:u w:val="single"/>
          <w:lang w:val="en-US"/>
        </w:rPr>
      </w:pPr>
      <w:r>
        <w:rPr>
          <w:rFonts w:hint="eastAsia" w:ascii="宋体" w:hAnsi="宋体" w:cs="宋体"/>
          <w:color w:val="auto"/>
          <w:sz w:val="24"/>
          <w:highlight w:val="none"/>
        </w:rPr>
        <w:t>项目联系人：</w:t>
      </w:r>
      <w:r>
        <w:rPr>
          <w:rFonts w:hint="eastAsia" w:ascii="宋体" w:hAnsi="宋体" w:eastAsia="宋体" w:cs="宋体"/>
          <w:color w:val="auto"/>
          <w:sz w:val="24"/>
          <w:highlight w:val="none"/>
          <w:u w:val="single"/>
          <w:lang w:val="en-US" w:eastAsia="zh-CN"/>
        </w:rPr>
        <w:t>陈先</w:t>
      </w:r>
      <w:r>
        <w:rPr>
          <w:rFonts w:hint="eastAsia" w:ascii="宋体" w:hAnsi="宋体" w:cs="宋体"/>
          <w:color w:val="auto"/>
          <w:sz w:val="24"/>
          <w:highlight w:val="none"/>
          <w:u w:val="single"/>
          <w:lang w:val="en-US" w:eastAsia="zh-CN"/>
        </w:rPr>
        <w:t>生</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联系电话：</w:t>
      </w:r>
      <w:r>
        <w:rPr>
          <w:rFonts w:hint="eastAsia" w:ascii="宋体" w:hAnsi="宋体" w:cs="宋体"/>
          <w:color w:val="auto"/>
          <w:sz w:val="24"/>
          <w:highlight w:val="none"/>
          <w:u w:val="single"/>
        </w:rPr>
        <w:t xml:space="preserve">0576-88519890    </w:t>
      </w:r>
    </w:p>
    <w:p>
      <w:pPr>
        <w:numPr>
          <w:ilvl w:val="0"/>
          <w:numId w:val="3"/>
        </w:num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质疑受理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采购人书面质疑接收人：</w:t>
      </w:r>
      <w:r>
        <w:rPr>
          <w:rFonts w:hint="eastAsia" w:ascii="宋体" w:hAnsi="宋体" w:cs="宋体"/>
          <w:color w:val="auto"/>
          <w:sz w:val="24"/>
          <w:highlight w:val="none"/>
          <w:u w:val="single"/>
        </w:rPr>
        <w:t>杨警官</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single"/>
        </w:rPr>
        <w:t>0576-88212531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书面质疑接收地址：</w:t>
      </w:r>
      <w:r>
        <w:rPr>
          <w:rFonts w:hint="eastAsia" w:ascii="宋体" w:hAnsi="宋体" w:cs="宋体"/>
          <w:color w:val="auto"/>
          <w:sz w:val="24"/>
          <w:highlight w:val="none"/>
          <w:u w:val="single"/>
        </w:rPr>
        <w:t>浙江省台州市椒江区康平路2号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代理机构质疑受理联系人：</w:t>
      </w:r>
      <w:r>
        <w:rPr>
          <w:rFonts w:hint="eastAsia" w:ascii="宋体" w:hAnsi="宋体" w:cs="宋体"/>
          <w:color w:val="auto"/>
          <w:sz w:val="24"/>
          <w:highlight w:val="none"/>
          <w:u w:val="single"/>
        </w:rPr>
        <w:t>徐先生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single"/>
        </w:rPr>
        <w:t>0576-88519890</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书面质疑接收地址：</w:t>
      </w:r>
      <w:r>
        <w:rPr>
          <w:rFonts w:hint="eastAsia" w:ascii="宋体" w:hAnsi="宋体" w:cs="宋体"/>
          <w:color w:val="auto"/>
          <w:sz w:val="24"/>
          <w:highlight w:val="none"/>
          <w:u w:val="single"/>
        </w:rPr>
        <w:t>浙江省台州市椒江区工人西路427号</w:t>
      </w:r>
    </w:p>
    <w:p>
      <w:pPr>
        <w:pStyle w:val="14"/>
        <w:rPr>
          <w:color w:val="auto"/>
          <w:highlight w:val="none"/>
        </w:rPr>
      </w:pP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（四）同级政府采购监管机构</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名 称：</w:t>
      </w:r>
      <w:r>
        <w:rPr>
          <w:rFonts w:hint="eastAsia" w:ascii="宋体" w:hAnsi="宋体" w:cs="宋体"/>
          <w:color w:val="auto"/>
          <w:sz w:val="24"/>
          <w:highlight w:val="none"/>
          <w:u w:val="single"/>
        </w:rPr>
        <w:t>台州市财政局政府采购监管处</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地址：</w:t>
      </w:r>
      <w:r>
        <w:rPr>
          <w:rFonts w:hint="eastAsia" w:ascii="宋体" w:hAnsi="宋体" w:cs="宋体"/>
          <w:color w:val="auto"/>
          <w:sz w:val="24"/>
          <w:highlight w:val="none"/>
          <w:u w:val="single"/>
        </w:rPr>
        <w:t>台州市经济开发区纬一路66号天元大厦</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single"/>
        </w:rPr>
        <w:t>陈工、李工</w:t>
      </w:r>
    </w:p>
    <w:p>
      <w:pP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联系电话：</w:t>
      </w:r>
      <w:r>
        <w:rPr>
          <w:rFonts w:hint="eastAsia" w:ascii="宋体" w:hAnsi="宋体" w:cs="宋体"/>
          <w:color w:val="auto"/>
          <w:sz w:val="24"/>
          <w:highlight w:val="none"/>
          <w:u w:val="single"/>
        </w:rPr>
        <w:t>0576-88206705、0576-88206731</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w:t>
      </w:r>
      <w:r>
        <w:rPr>
          <w:rFonts w:hint="eastAsia" w:ascii="宋体" w:hAnsi="宋体" w:cs="宋体"/>
          <w:b/>
          <w:color w:val="auto"/>
          <w:sz w:val="24"/>
          <w:highlight w:val="none"/>
          <w:lang w:val="en-US" w:eastAsia="zh-CN"/>
        </w:rPr>
        <w:t>五</w:t>
      </w:r>
      <w:r>
        <w:rPr>
          <w:rFonts w:hint="eastAsia" w:ascii="宋体" w:hAnsi="宋体" w:cs="宋体"/>
          <w:b/>
          <w:color w:val="auto"/>
          <w:sz w:val="24"/>
          <w:highlight w:val="none"/>
        </w:rPr>
        <w:t>）政采云平台</w:t>
      </w:r>
    </w:p>
    <w:p>
      <w:pPr>
        <w:spacing w:line="360" w:lineRule="auto"/>
        <w:ind w:firstLine="480" w:firstLineChars="200"/>
        <w:jc w:val="left"/>
        <w:rPr>
          <w:rFonts w:hint="eastAsia" w:ascii="宋体" w:hAnsi="宋体" w:eastAsia="宋体" w:cs="宋体"/>
          <w:color w:val="auto"/>
          <w:sz w:val="24"/>
          <w:highlight w:val="none"/>
          <w:lang w:eastAsia="zh-CN"/>
        </w:rPr>
      </w:pPr>
      <w:r>
        <w:rPr>
          <w:rFonts w:hint="eastAsia" w:ascii="宋体" w:hAnsi="宋体" w:cs="宋体"/>
          <w:color w:val="auto"/>
          <w:sz w:val="24"/>
          <w:highlight w:val="none"/>
        </w:rPr>
        <w:t>联系电话：</w:t>
      </w:r>
      <w:r>
        <w:rPr>
          <w:rFonts w:hint="eastAsia" w:ascii="宋体" w:hAnsi="宋体" w:cs="宋体"/>
          <w:color w:val="auto"/>
          <w:sz w:val="24"/>
          <w:highlight w:val="none"/>
          <w:u w:val="single"/>
          <w:lang w:eastAsia="zh-CN"/>
        </w:rPr>
        <w:t>95763</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539"/>
        <w:jc w:val="right"/>
        <w:rPr>
          <w:rFonts w:ascii="宋体" w:hAnsi="宋体" w:cs="宋体"/>
          <w:color w:val="auto"/>
          <w:sz w:val="24"/>
          <w:highlight w:val="none"/>
        </w:rPr>
      </w:pPr>
      <w:r>
        <w:rPr>
          <w:rFonts w:hint="eastAsia" w:ascii="宋体" w:hAnsi="宋体" w:cs="宋体"/>
          <w:color w:val="auto"/>
          <w:kern w:val="0"/>
          <w:sz w:val="24"/>
          <w:highlight w:val="none"/>
        </w:rPr>
        <w:t xml:space="preserve">台州市建设咨询有限公司 </w:t>
      </w:r>
    </w:p>
    <w:p>
      <w:pPr>
        <w:widowControl/>
        <w:spacing w:line="360" w:lineRule="auto"/>
        <w:jc w:val="right"/>
        <w:rPr>
          <w:rFonts w:ascii="宋体" w:hAnsi="宋体" w:cs="宋体"/>
          <w:color w:val="auto"/>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en-US" w:eastAsia="zh-CN"/>
        </w:rPr>
        <w:t>2023</w:t>
      </w:r>
      <w:r>
        <w:rPr>
          <w:rFonts w:hint="eastAsia" w:ascii="宋体" w:hAnsi="宋体" w:cs="宋体"/>
          <w:color w:val="auto"/>
          <w:kern w:val="0"/>
          <w:sz w:val="24"/>
          <w:highlight w:val="none"/>
        </w:rPr>
        <w:t>年</w:t>
      </w:r>
      <w:r>
        <w:rPr>
          <w:rFonts w:hint="eastAsia" w:ascii="宋体" w:hAnsi="宋体" w:cs="宋体"/>
          <w:color w:val="auto"/>
          <w:sz w:val="24"/>
          <w:highlight w:val="none"/>
          <w:lang w:val="en-US" w:eastAsia="zh-CN"/>
        </w:rPr>
        <w:t>7</w:t>
      </w:r>
      <w:r>
        <w:rPr>
          <w:rFonts w:hint="eastAsia" w:ascii="宋体" w:hAnsi="宋体" w:cs="宋体"/>
          <w:color w:val="auto"/>
          <w:kern w:val="0"/>
          <w:sz w:val="24"/>
          <w:highlight w:val="none"/>
        </w:rPr>
        <w:t>月</w:t>
      </w:r>
    </w:p>
    <w:p>
      <w:pPr>
        <w:rPr>
          <w:rFonts w:eastAsiaTheme="minorEastAsia"/>
          <w:color w:val="auto"/>
          <w:highlight w:val="none"/>
        </w:rPr>
      </w:pPr>
    </w:p>
    <w:bookmarkEnd w:id="29"/>
    <w:bookmarkEnd w:id="30"/>
    <w:p>
      <w:pPr>
        <w:rPr>
          <w:rFonts w:asciiTheme="minorEastAsia" w:hAnsiTheme="minorEastAsia" w:eastAsiaTheme="minorEastAsia"/>
          <w:b/>
          <w:color w:val="auto"/>
          <w:sz w:val="36"/>
          <w:szCs w:val="36"/>
          <w:highlight w:val="none"/>
        </w:rPr>
      </w:pPr>
      <w:bookmarkStart w:id="33" w:name="_Toc25017_WPSOffice_Level1"/>
      <w:r>
        <w:rPr>
          <w:rFonts w:hint="eastAsia" w:asciiTheme="minorEastAsia" w:hAnsiTheme="minorEastAsia" w:eastAsiaTheme="minorEastAsia"/>
          <w:b/>
          <w:color w:val="auto"/>
          <w:sz w:val="36"/>
          <w:szCs w:val="36"/>
          <w:highlight w:val="none"/>
        </w:rPr>
        <w:br w:type="page"/>
      </w:r>
    </w:p>
    <w:p>
      <w:pPr>
        <w:numPr>
          <w:ilvl w:val="0"/>
          <w:numId w:val="4"/>
        </w:numPr>
        <w:spacing w:line="360" w:lineRule="auto"/>
        <w:jc w:val="center"/>
        <w:rPr>
          <w:rFonts w:asciiTheme="minorEastAsia" w:hAnsiTheme="minorEastAsia" w:eastAsiaTheme="minorEastAsia"/>
          <w:b/>
          <w:color w:val="auto"/>
          <w:sz w:val="36"/>
          <w:szCs w:val="36"/>
          <w:highlight w:val="none"/>
        </w:rPr>
      </w:pPr>
      <w:r>
        <w:rPr>
          <w:rFonts w:hint="eastAsia" w:asciiTheme="minorEastAsia" w:hAnsiTheme="minorEastAsia" w:eastAsiaTheme="minorEastAsia"/>
          <w:b/>
          <w:color w:val="auto"/>
          <w:sz w:val="36"/>
          <w:szCs w:val="36"/>
          <w:highlight w:val="none"/>
        </w:rPr>
        <w:t>投标人须知</w:t>
      </w:r>
      <w:bookmarkEnd w:id="33"/>
    </w:p>
    <w:p>
      <w:pPr>
        <w:spacing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一、前附表</w:t>
      </w:r>
    </w:p>
    <w:tbl>
      <w:tblPr>
        <w:tblStyle w:val="19"/>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760"/>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事项</w:t>
            </w:r>
          </w:p>
        </w:tc>
        <w:tc>
          <w:tcPr>
            <w:tcW w:w="6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是否允许联合体</w:t>
            </w:r>
          </w:p>
        </w:tc>
        <w:tc>
          <w:tcPr>
            <w:tcW w:w="6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是否允许分包</w:t>
            </w:r>
          </w:p>
        </w:tc>
        <w:tc>
          <w:tcPr>
            <w:tcW w:w="6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 xml:space="preserve"> 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3</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答疑会或</w:t>
            </w:r>
          </w:p>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现场踏勘</w:t>
            </w:r>
          </w:p>
        </w:tc>
        <w:tc>
          <w:tcPr>
            <w:tcW w:w="6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4</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投标文件的制作和投标</w:t>
            </w:r>
          </w:p>
        </w:tc>
        <w:tc>
          <w:tcPr>
            <w:tcW w:w="6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请投标人在投标前仔细阅读“政府采购项目电子交易操作指南”。</w:t>
            </w:r>
          </w:p>
          <w:p>
            <w:pPr>
              <w:autoSpaceDE w:val="0"/>
              <w:autoSpaceDN w:val="0"/>
              <w:adjustRightIn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1.投标文件的制作：投标人按照本项目招标文件和政采云平台的要求,通过“政采云电子交易客户端”编制、加密并递交投标文件（下载网址：</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"http://www.zjzfcg.gov.cn/bidClientTemplate/2019-09-24/12975.html）。"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https://zfcg.czt.zj.gov.cn/download/index.html）。</w:t>
            </w:r>
            <w:r>
              <w:rPr>
                <w:rFonts w:hint="eastAsia" w:ascii="宋体" w:hAnsi="宋体" w:eastAsia="宋体" w:cs="宋体"/>
                <w:color w:val="auto"/>
                <w:sz w:val="21"/>
                <w:szCs w:val="21"/>
                <w:highlight w:val="none"/>
              </w:rPr>
              <w:fldChar w:fldCharType="end"/>
            </w:r>
          </w:p>
          <w:p>
            <w:pPr>
              <w:autoSpaceDE w:val="0"/>
              <w:autoSpaceDN w:val="0"/>
              <w:adjustRightIn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投标：投标人应当在投标截止时间前完成投标文件的传输递交，逾期上传的投标文件恕不接受。补充或者修改投标文件的，应当先行撤回原文件，补充、修改后重新传输递交。投标截止时间前未完成上传的，视为撤回投标文件。</w:t>
            </w:r>
          </w:p>
          <w:p>
            <w:pPr>
              <w:autoSpaceDE w:val="0"/>
              <w:autoSpaceDN w:val="0"/>
              <w:adjustRightIn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3.投标文件解密：投标供应商应在开标后30分钟内完成解密。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5</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备份投标文件的递交</w:t>
            </w:r>
          </w:p>
        </w:tc>
        <w:tc>
          <w:tcPr>
            <w:tcW w:w="6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备份投标文件是通过政采云电子交易客户端制作投标文件产生的备份文件，请投标人自行妥善保管。</w:t>
            </w:r>
          </w:p>
          <w:p>
            <w:pPr>
              <w:autoSpaceDE w:val="0"/>
              <w:autoSpaceDN w:val="0"/>
              <w:adjustRightIn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1.使用前提：投标人自行在线解密操作失败无法按时寻求技术人员帮助解密，或者投标人寻求技术人员帮助仍无法按时完成解密。</w:t>
            </w:r>
          </w:p>
          <w:p>
            <w:pPr>
              <w:autoSpaceDE w:val="0"/>
              <w:autoSpaceDN w:val="0"/>
              <w:adjustRightIn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2.递交截止时间：同投标截止时间</w:t>
            </w:r>
          </w:p>
          <w:p>
            <w:pPr>
              <w:autoSpaceDE w:val="0"/>
              <w:autoSpaceDN w:val="0"/>
              <w:adjustRightIn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3.投递邮箱：解密异常后可发送备份投标文件至</w:t>
            </w:r>
            <w:r>
              <w:rPr>
                <w:rFonts w:hint="eastAsia" w:ascii="宋体" w:hAnsi="宋体" w:eastAsia="宋体" w:cs="宋体"/>
                <w:color w:val="auto"/>
                <w:sz w:val="21"/>
                <w:szCs w:val="21"/>
                <w:highlight w:val="none"/>
                <w:lang w:val="en-US" w:eastAsia="zh-CN"/>
              </w:rPr>
              <w:t>1007486279</w:t>
            </w:r>
            <w:r>
              <w:rPr>
                <w:rFonts w:hint="eastAsia" w:ascii="宋体" w:hAnsi="宋体" w:eastAsia="宋体" w:cs="宋体"/>
                <w:color w:val="auto"/>
                <w:sz w:val="21"/>
                <w:szCs w:val="21"/>
                <w:highlight w:val="none"/>
              </w:rPr>
              <w:t>@qq.com。</w:t>
            </w:r>
          </w:p>
          <w:p>
            <w:pPr>
              <w:autoSpaceDE w:val="0"/>
              <w:autoSpaceDN w:val="0"/>
              <w:adjustRightIn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4.未按上述要求递交备份投标文件或所提供的备份投标文件不符合要求的视同放弃投标，仅提交备份投标文件的，投标无效。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6</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不见面开标</w:t>
            </w:r>
          </w:p>
        </w:tc>
        <w:tc>
          <w:tcPr>
            <w:tcW w:w="6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采购组织机构按照招标文件规定的时间通过“政采云平台”组织开标，所有投标人均应当准时在线参加。如未参加，造成无法投标、投标失败等后果由投标人自行承担。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7</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样品递交要求</w:t>
            </w:r>
          </w:p>
        </w:tc>
        <w:tc>
          <w:tcPr>
            <w:tcW w:w="6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b/>
                <w:bCs/>
                <w:color w:val="auto"/>
                <w:sz w:val="24"/>
                <w:szCs w:val="32"/>
                <w:highlight w:val="none"/>
                <w:lang w:val="en-US" w:eastAsia="zh-CN"/>
              </w:rPr>
              <w:t>1.</w:t>
            </w:r>
            <w:r>
              <w:rPr>
                <w:rFonts w:hint="eastAsia" w:ascii="Times New Roman" w:hAnsi="Times New Roman" w:eastAsia="宋体" w:cs="Times New Roman"/>
                <w:color w:val="auto"/>
                <w:highlight w:val="none"/>
                <w:lang w:val="en-US" w:eastAsia="zh-CN"/>
              </w:rPr>
              <w:t>截止时间：开标当天8:30-9:30接收样品（投标人应提前留足时间，逾期的样品及小样恕不接受。）</w:t>
            </w:r>
          </w:p>
          <w:p>
            <w:pPr>
              <w:autoSpaceDE w:val="0"/>
              <w:autoSpaceDN w:val="0"/>
              <w:adjustRightInd w:val="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b/>
                <w:bCs/>
                <w:color w:val="auto"/>
                <w:sz w:val="24"/>
                <w:szCs w:val="32"/>
                <w:highlight w:val="none"/>
                <w:lang w:val="en-US" w:eastAsia="zh-CN"/>
              </w:rPr>
              <w:t>2.</w:t>
            </w:r>
            <w:r>
              <w:rPr>
                <w:rFonts w:hint="eastAsia" w:ascii="Times New Roman" w:hAnsi="Times New Roman" w:eastAsia="宋体" w:cs="Times New Roman"/>
                <w:color w:val="auto"/>
                <w:highlight w:val="none"/>
                <w:lang w:val="en-US" w:eastAsia="zh-CN"/>
              </w:rPr>
              <w:t>递交地点：台州市椒江区葭沚街道台州汽车客运总站三楼</w:t>
            </w:r>
          </w:p>
          <w:p>
            <w:pPr>
              <w:autoSpaceDE w:val="0"/>
              <w:autoSpaceDN w:val="0"/>
              <w:adjustRightInd w:val="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b/>
                <w:bCs/>
                <w:color w:val="auto"/>
                <w:sz w:val="24"/>
                <w:szCs w:val="32"/>
                <w:highlight w:val="none"/>
                <w:lang w:val="en-US" w:eastAsia="zh-CN"/>
              </w:rPr>
              <w:t>3.</w:t>
            </w:r>
            <w:r>
              <w:rPr>
                <w:rFonts w:hint="eastAsia" w:ascii="Times New Roman" w:hAnsi="Times New Roman" w:eastAsia="宋体" w:cs="Times New Roman"/>
                <w:color w:val="auto"/>
                <w:highlight w:val="none"/>
                <w:lang w:val="en-US" w:eastAsia="zh-CN"/>
              </w:rPr>
              <w:t>接收人：</w:t>
            </w:r>
            <w:r>
              <w:rPr>
                <w:rFonts w:hint="eastAsia" w:cs="Times New Roman"/>
                <w:color w:val="auto"/>
                <w:highlight w:val="none"/>
                <w:lang w:val="en-US" w:eastAsia="zh-CN"/>
              </w:rPr>
              <w:t>陈</w:t>
            </w:r>
            <w:r>
              <w:rPr>
                <w:rFonts w:hint="eastAsia" w:ascii="Times New Roman" w:hAnsi="Times New Roman" w:eastAsia="宋体" w:cs="Times New Roman"/>
                <w:color w:val="auto"/>
                <w:highlight w:val="none"/>
                <w:lang w:val="en-US" w:eastAsia="zh-CN"/>
              </w:rPr>
              <w:t>先生</w:t>
            </w:r>
          </w:p>
          <w:p>
            <w:pPr>
              <w:autoSpaceDE w:val="0"/>
              <w:autoSpaceDN w:val="0"/>
              <w:adjustRightInd w:val="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b/>
                <w:bCs/>
                <w:color w:val="auto"/>
                <w:sz w:val="24"/>
                <w:szCs w:val="32"/>
                <w:highlight w:val="none"/>
                <w:lang w:val="en-US" w:eastAsia="zh-CN"/>
              </w:rPr>
              <w:t>4.</w:t>
            </w:r>
            <w:r>
              <w:rPr>
                <w:rFonts w:hint="eastAsia" w:ascii="Times New Roman" w:hAnsi="Times New Roman" w:eastAsia="宋体" w:cs="Times New Roman"/>
                <w:color w:val="auto"/>
                <w:highlight w:val="none"/>
                <w:lang w:val="en-US" w:eastAsia="zh-CN"/>
              </w:rPr>
              <w:t>样品递交要求：开标当天8:30-9:30之前自行完成样品拆封、递交。</w:t>
            </w:r>
          </w:p>
          <w:p>
            <w:pPr>
              <w:autoSpaceDE w:val="0"/>
              <w:autoSpaceDN w:val="0"/>
              <w:adjustRightInd w:val="0"/>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b/>
                <w:bCs/>
                <w:color w:val="auto"/>
                <w:sz w:val="24"/>
                <w:szCs w:val="32"/>
                <w:highlight w:val="none"/>
                <w:lang w:val="en-US" w:eastAsia="zh-CN"/>
              </w:rPr>
              <w:t>5.</w:t>
            </w:r>
            <w:r>
              <w:rPr>
                <w:rFonts w:hint="eastAsia" w:ascii="Times New Roman" w:hAnsi="Times New Roman" w:eastAsia="宋体" w:cs="Times New Roman"/>
                <w:color w:val="auto"/>
                <w:highlight w:val="none"/>
                <w:lang w:val="en-US" w:eastAsia="zh-CN"/>
              </w:rPr>
              <w:t>样品一套内容如下：</w:t>
            </w:r>
          </w:p>
          <w:p>
            <w:pPr>
              <w:autoSpaceDE w:val="0"/>
              <w:autoSpaceDN w:val="0"/>
              <w:adjustRightInd w:val="0"/>
              <w:ind w:firstLine="210" w:firstLineChars="10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1、铝板上画0.5米长15公分宽的震荡标线（白色）；</w:t>
            </w:r>
          </w:p>
          <w:p>
            <w:pPr>
              <w:autoSpaceDE w:val="0"/>
              <w:autoSpaceDN w:val="0"/>
              <w:adjustRightInd w:val="0"/>
              <w:ind w:firstLine="210" w:firstLineChars="10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2、铝板上画0.5米长15公分宽普通标线（白色）；</w:t>
            </w:r>
          </w:p>
          <w:p>
            <w:pPr>
              <w:autoSpaceDE w:val="0"/>
              <w:autoSpaceDN w:val="0"/>
              <w:adjustRightInd w:val="0"/>
              <w:ind w:firstLine="210" w:firstLineChars="10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3、铝板上画0.5米长15公分宽双组份突起型反光标线（白色）；</w:t>
            </w:r>
          </w:p>
          <w:p>
            <w:pPr>
              <w:autoSpaceDE w:val="0"/>
              <w:autoSpaceDN w:val="0"/>
              <w:adjustRightInd w:val="0"/>
              <w:ind w:firstLine="210" w:firstLineChars="10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4、根据提供的沥青路面和水泥路面标线用高压水清除后的前后对比照片各一张（彩色，尺寸为A4纸大小）。</w:t>
            </w:r>
          </w:p>
          <w:p>
            <w:pPr>
              <w:autoSpaceDE w:val="0"/>
              <w:autoSpaceDN w:val="0"/>
              <w:adjustRightInd w:val="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b/>
                <w:bCs/>
                <w:color w:val="auto"/>
                <w:sz w:val="24"/>
                <w:szCs w:val="32"/>
                <w:highlight w:val="none"/>
                <w:lang w:val="en-US" w:eastAsia="zh-CN"/>
              </w:rPr>
              <w:t>6.</w:t>
            </w:r>
            <w:r>
              <w:rPr>
                <w:rFonts w:hint="eastAsia" w:ascii="Times New Roman" w:hAnsi="Times New Roman" w:eastAsia="宋体" w:cs="Times New Roman"/>
                <w:color w:val="auto"/>
                <w:highlight w:val="none"/>
                <w:lang w:val="en-US" w:eastAsia="zh-CN"/>
              </w:rPr>
              <w:t>样品要求如下：</w:t>
            </w:r>
          </w:p>
          <w:p>
            <w:pPr>
              <w:autoSpaceDE w:val="0"/>
              <w:autoSpaceDN w:val="0"/>
              <w:adjustRightInd w:val="0"/>
              <w:ind w:firstLine="210" w:firstLineChars="10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1、密封包装</w:t>
            </w:r>
            <w:r>
              <w:rPr>
                <w:rFonts w:hint="eastAsia" w:cs="Times New Roman"/>
                <w:color w:val="auto"/>
                <w:highlight w:val="none"/>
                <w:lang w:val="en-US" w:eastAsia="zh-CN"/>
              </w:rPr>
              <w:t>要求：</w:t>
            </w:r>
            <w:r>
              <w:rPr>
                <w:rFonts w:hint="eastAsia" w:ascii="Times New Roman" w:hAnsi="Times New Roman" w:eastAsia="宋体" w:cs="Times New Roman"/>
                <w:color w:val="auto"/>
                <w:highlight w:val="none"/>
                <w:lang w:val="en-US" w:eastAsia="zh-CN"/>
              </w:rPr>
              <w:t>外包装上需写明项目名称、采购编号、及投标公司全称。包装封口应由法定代表人或全权代表签字或盖章</w:t>
            </w:r>
            <w:r>
              <w:rPr>
                <w:rFonts w:hint="eastAsia" w:cs="Times New Roman"/>
                <w:color w:val="auto"/>
                <w:highlight w:val="none"/>
                <w:lang w:val="en-US" w:eastAsia="zh-CN"/>
              </w:rPr>
              <w:t>。</w:t>
            </w:r>
            <w:r>
              <w:rPr>
                <w:rFonts w:hint="eastAsia" w:ascii="Times New Roman" w:hAnsi="Times New Roman" w:eastAsia="宋体" w:cs="Times New Roman"/>
                <w:color w:val="auto"/>
                <w:highlight w:val="none"/>
                <w:lang w:val="en-US" w:eastAsia="zh-CN"/>
              </w:rPr>
              <w:t>评标时，</w:t>
            </w:r>
            <w:r>
              <w:rPr>
                <w:rFonts w:hint="eastAsia" w:cs="Times New Roman"/>
                <w:color w:val="auto"/>
                <w:highlight w:val="none"/>
                <w:lang w:val="en-US" w:eastAsia="zh-CN"/>
              </w:rPr>
              <w:t>对已</w:t>
            </w:r>
            <w:r>
              <w:rPr>
                <w:rFonts w:hint="eastAsia" w:ascii="Times New Roman" w:hAnsi="Times New Roman" w:eastAsia="宋体" w:cs="Times New Roman"/>
                <w:color w:val="auto"/>
                <w:highlight w:val="none"/>
                <w:lang w:val="en-US" w:eastAsia="zh-CN"/>
              </w:rPr>
              <w:t>提交样品，由采购人</w:t>
            </w:r>
            <w:r>
              <w:rPr>
                <w:rFonts w:hint="eastAsia" w:cs="Times New Roman"/>
                <w:color w:val="auto"/>
                <w:highlight w:val="none"/>
                <w:lang w:val="en-US" w:eastAsia="zh-CN"/>
              </w:rPr>
              <w:t>拆封外包装后</w:t>
            </w:r>
            <w:r>
              <w:rPr>
                <w:rFonts w:hint="eastAsia" w:ascii="Times New Roman" w:hAnsi="Times New Roman" w:eastAsia="宋体" w:cs="Times New Roman"/>
                <w:color w:val="auto"/>
                <w:highlight w:val="none"/>
                <w:lang w:val="en-US" w:eastAsia="zh-CN"/>
              </w:rPr>
              <w:t>随机编号，包装内样品不得体现或影射投标人的信息，否则按无效标处理，专家评审小组按编号评分。涉及检测报告、照片等佐证材料的样品，采用先打分后核实的方式；</w:t>
            </w:r>
          </w:p>
          <w:p>
            <w:pPr>
              <w:autoSpaceDE w:val="0"/>
              <w:autoSpaceDN w:val="0"/>
              <w:adjustRightInd w:val="0"/>
              <w:ind w:firstLine="210" w:firstLineChars="10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zh-CN" w:eastAsia="zh-CN"/>
              </w:rPr>
              <w:t>▲</w:t>
            </w:r>
            <w:r>
              <w:rPr>
                <w:rFonts w:hint="eastAsia" w:ascii="Times New Roman" w:hAnsi="Times New Roman" w:eastAsia="宋体" w:cs="Times New Roman"/>
                <w:color w:val="auto"/>
                <w:highlight w:val="none"/>
                <w:lang w:val="en-US" w:eastAsia="zh-CN"/>
              </w:rPr>
              <w:t>2、样品的</w:t>
            </w:r>
            <w:r>
              <w:rPr>
                <w:rFonts w:hint="eastAsia" w:ascii="Times New Roman" w:hAnsi="Times New Roman" w:eastAsia="宋体" w:cs="Times New Roman"/>
                <w:color w:val="auto"/>
                <w:highlight w:val="none"/>
                <w:lang w:val="zh-CN" w:eastAsia="zh-CN"/>
              </w:rPr>
              <w:t>技术规范要求同本项目供货要求，见招标文件第四章公开招标需求，随样品注明</w:t>
            </w:r>
            <w:r>
              <w:rPr>
                <w:rFonts w:hint="eastAsia" w:ascii="Times New Roman" w:hAnsi="Times New Roman" w:eastAsia="宋体" w:cs="Times New Roman"/>
                <w:color w:val="auto"/>
                <w:highlight w:val="none"/>
                <w:lang w:val="en-US" w:eastAsia="zh-CN"/>
              </w:rPr>
              <w:t>样品清单、材质、型号、品牌等信息。</w:t>
            </w:r>
            <w:r>
              <w:rPr>
                <w:rFonts w:hint="eastAsia" w:ascii="Times New Roman" w:hAnsi="Times New Roman" w:eastAsia="宋体" w:cs="Times New Roman"/>
                <w:b/>
                <w:bCs/>
                <w:color w:val="auto"/>
                <w:highlight w:val="none"/>
                <w:u w:val="single"/>
                <w:lang w:val="en-US" w:eastAsia="zh-CN"/>
              </w:rPr>
              <w:t>样品不得体现或影射投标人的信息，否则按无效标处理</w:t>
            </w:r>
            <w:r>
              <w:rPr>
                <w:rFonts w:hint="eastAsia" w:ascii="Times New Roman" w:hAnsi="Times New Roman" w:eastAsia="宋体" w:cs="Times New Roman"/>
                <w:color w:val="auto"/>
                <w:highlight w:val="none"/>
                <w:lang w:val="en-US" w:eastAsia="zh-CN"/>
              </w:rPr>
              <w:t>；</w:t>
            </w:r>
          </w:p>
          <w:p>
            <w:pPr>
              <w:autoSpaceDE w:val="0"/>
              <w:autoSpaceDN w:val="0"/>
              <w:adjustRightInd w:val="0"/>
              <w:ind w:firstLine="210" w:firstLineChars="10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zh-CN" w:eastAsia="zh-CN"/>
              </w:rPr>
              <w:t>▲</w:t>
            </w:r>
            <w:r>
              <w:rPr>
                <w:rFonts w:hint="eastAsia" w:ascii="Times New Roman" w:hAnsi="Times New Roman" w:eastAsia="宋体" w:cs="Times New Roman"/>
                <w:color w:val="auto"/>
                <w:highlight w:val="none"/>
                <w:lang w:val="en-US" w:eastAsia="zh-CN"/>
              </w:rPr>
              <w:t>3、中标人的样品将封存并作为实际供货的比较标准，投标人不得以样品精制和批量赶制为理由致使实际供货产品存与投标样品存在品质差异。</w:t>
            </w:r>
          </w:p>
          <w:p>
            <w:pPr>
              <w:autoSpaceDE w:val="0"/>
              <w:autoSpaceDN w:val="0"/>
              <w:adjustRightInd w:val="0"/>
              <w:ind w:firstLine="210" w:firstLineChars="100"/>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4、未中标的样品由投标人在评标结束当天自行取回。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8</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演示</w:t>
            </w:r>
          </w:p>
        </w:tc>
        <w:tc>
          <w:tcPr>
            <w:tcW w:w="6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1.如投标人提供演示录像的，演示具体要求详见第四章“评审办法及评审标准”。</w:t>
            </w:r>
          </w:p>
          <w:p>
            <w:pPr>
              <w:autoSpaceDE w:val="0"/>
              <w:autoSpaceDN w:val="0"/>
              <w:adjustRightInd w:val="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2.投标人无须现场演示，将演示内容拷贝至U盘，在2023年  月  日</w:t>
            </w:r>
            <w:r>
              <w:rPr>
                <w:rFonts w:hint="eastAsia" w:ascii="宋体" w:hAnsi="宋体" w:cs="宋体"/>
                <w:color w:val="auto"/>
                <w:sz w:val="21"/>
                <w:szCs w:val="21"/>
                <w:highlight w:val="none"/>
                <w:lang w:val="en-US" w:eastAsia="zh-CN"/>
              </w:rPr>
              <w:t>17</w:t>
            </w:r>
            <w:r>
              <w:rPr>
                <w:rFonts w:hint="eastAsia" w:ascii="宋体" w:hAnsi="宋体" w:eastAsia="宋体" w:cs="宋体"/>
                <w:color w:val="auto"/>
                <w:sz w:val="21"/>
                <w:szCs w:val="21"/>
                <w:highlight w:val="none"/>
                <w:lang w:val="en-US" w:eastAsia="zh-CN"/>
              </w:rPr>
              <w:t>点30分</w:t>
            </w:r>
            <w:r>
              <w:rPr>
                <w:rFonts w:hint="eastAsia" w:ascii="宋体" w:hAnsi="宋体" w:cs="宋体"/>
                <w:color w:val="auto"/>
                <w:sz w:val="21"/>
                <w:szCs w:val="21"/>
                <w:highlight w:val="none"/>
                <w:lang w:val="en-US" w:eastAsia="zh-CN"/>
              </w:rPr>
              <w:t>前</w:t>
            </w:r>
            <w:r>
              <w:rPr>
                <w:rFonts w:hint="eastAsia" w:ascii="宋体" w:hAnsi="宋体" w:eastAsia="宋体" w:cs="宋体"/>
                <w:color w:val="auto"/>
                <w:sz w:val="21"/>
                <w:szCs w:val="21"/>
                <w:highlight w:val="none"/>
                <w:lang w:val="en-US" w:eastAsia="zh-CN"/>
              </w:rPr>
              <w:t>将视频演示U盘送至浙江省台州市椒江区葭沚街道工人西路427号，收件人：陈工，联系方式：0576- 88519890，逾期送达或未送达至投标地点的将不予接收，该项内容不得分）</w:t>
            </w:r>
            <w:r>
              <w:rPr>
                <w:rFonts w:hint="eastAsia" w:ascii="宋体" w:hAnsi="宋体" w:cs="宋体"/>
                <w:color w:val="auto"/>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9</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投标与开标注意事项</w:t>
            </w:r>
          </w:p>
        </w:tc>
        <w:tc>
          <w:tcPr>
            <w:tcW w:w="6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1.本项目实行电子投标，投标人自行承担投标一切费用。</w:t>
            </w:r>
          </w:p>
          <w:p>
            <w:pPr>
              <w:autoSpaceDE w:val="0"/>
              <w:autoSpaceDN w:val="0"/>
              <w:adjustRightIn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10</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信用信息查询渠道</w:t>
            </w:r>
          </w:p>
        </w:tc>
        <w:tc>
          <w:tcPr>
            <w:tcW w:w="6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信用中国（网址：</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"http://www.creditchina.gov.cn"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http://www.creditchina.gov.cn</w: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rPr>
              <w:t>)</w:t>
            </w:r>
          </w:p>
          <w:p>
            <w:pPr>
              <w:autoSpaceDE w:val="0"/>
              <w:autoSpaceDN w:val="0"/>
              <w:adjustRightIn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中国政府采购网（网址：http://www.ccgp.gov.cn)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11</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中小企业预留份额情况</w:t>
            </w:r>
          </w:p>
        </w:tc>
        <w:tc>
          <w:tcPr>
            <w:tcW w:w="6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根据《政府采购促进中小企业发展管理办法》财库〔2020〕46号文件的规定，</w:t>
            </w:r>
            <w:r>
              <w:rPr>
                <w:rFonts w:hint="eastAsia" w:ascii="宋体" w:hAnsi="宋体" w:cs="宋体"/>
                <w:color w:val="auto"/>
                <w:sz w:val="21"/>
                <w:szCs w:val="21"/>
                <w:highlight w:val="none"/>
                <w:lang w:val="en-US" w:eastAsia="zh-CN"/>
              </w:rPr>
              <w:t>本项目</w:t>
            </w:r>
            <w:r>
              <w:rPr>
                <w:rFonts w:hint="eastAsia" w:ascii="宋体" w:hAnsi="宋体" w:eastAsia="宋体" w:cs="宋体"/>
                <w:color w:val="auto"/>
                <w:sz w:val="21"/>
                <w:szCs w:val="21"/>
                <w:highlight w:val="none"/>
              </w:rPr>
              <w:t>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中小企业优惠措施</w:t>
            </w:r>
          </w:p>
        </w:tc>
        <w:tc>
          <w:tcPr>
            <w:tcW w:w="6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1.项目属性（货物类）</w:t>
            </w:r>
          </w:p>
          <w:p>
            <w:pPr>
              <w:autoSpaceDE w:val="0"/>
              <w:autoSpaceDN w:val="0"/>
              <w:adjustRightIn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2.中小企业划分标准所属行业（具体根据《中小企业划型标准规定》执行）</w:t>
            </w:r>
          </w:p>
          <w:p>
            <w:pPr>
              <w:keepNext w:val="0"/>
              <w:keepLines w:val="0"/>
              <w:widowControl/>
              <w:suppressLineNumbers w:val="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采购标的：</w:t>
            </w:r>
            <w:r>
              <w:rPr>
                <w:rFonts w:hint="eastAsia" w:ascii="宋体" w:hAnsi="宋体" w:cs="宋体"/>
                <w:color w:val="auto"/>
                <w:sz w:val="21"/>
                <w:szCs w:val="21"/>
                <w:highlight w:val="none"/>
                <w:lang w:eastAsia="zh-CN"/>
              </w:rPr>
              <w:t>2023年台州市区交通标线采购项目（重新招标）</w:t>
            </w:r>
            <w:r>
              <w:rPr>
                <w:rFonts w:hint="eastAsia" w:ascii="宋体" w:hAnsi="宋体" w:eastAsia="宋体" w:cs="宋体"/>
                <w:color w:val="auto"/>
                <w:sz w:val="21"/>
                <w:szCs w:val="21"/>
                <w:highlight w:val="none"/>
              </w:rPr>
              <w:t>，所属行业</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u w:val="single"/>
                <w:lang w:val="en-US" w:eastAsia="zh-CN"/>
              </w:rPr>
              <w:t>建筑</w:t>
            </w:r>
            <w:r>
              <w:rPr>
                <w:rFonts w:hint="eastAsia" w:ascii="宋体" w:hAnsi="宋体" w:eastAsia="宋体" w:cs="宋体"/>
                <w:color w:val="auto"/>
                <w:sz w:val="21"/>
                <w:szCs w:val="21"/>
                <w:highlight w:val="none"/>
                <w:u w:val="single"/>
                <w:lang w:val="en-US" w:eastAsia="zh-CN"/>
              </w:rPr>
              <w:t>业</w:t>
            </w:r>
            <w:r>
              <w:rPr>
                <w:rFonts w:hint="eastAsia" w:ascii="宋体" w:hAnsi="宋体" w:eastAsia="宋体" w:cs="宋体"/>
                <w:color w:val="auto"/>
                <w:sz w:val="21"/>
                <w:szCs w:val="21"/>
                <w:highlight w:val="none"/>
                <w:lang w:eastAsia="zh-CN"/>
              </w:rPr>
              <w:t>。</w:t>
            </w:r>
          </w:p>
          <w:p>
            <w:pPr>
              <w:autoSpaceDE w:val="0"/>
              <w:autoSpaceDN w:val="0"/>
              <w:adjustRightIn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autoSpaceDE w:val="0"/>
              <w:autoSpaceDN w:val="0"/>
              <w:adjustRightIn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autoSpaceDE w:val="0"/>
              <w:autoSpaceDN w:val="0"/>
              <w:adjustRightIn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w:t>
            </w:r>
            <w:r>
              <w:rPr>
                <w:rFonts w:hint="eastAsia" w:ascii="宋体" w:hAnsi="宋体" w:cs="宋体"/>
                <w:color w:val="auto"/>
                <w:sz w:val="21"/>
                <w:szCs w:val="21"/>
                <w:highlight w:val="none"/>
                <w:lang w:val="en-US" w:eastAsia="zh-CN"/>
              </w:rPr>
              <w:t>本项目</w:t>
            </w:r>
            <w:r>
              <w:rPr>
                <w:rFonts w:hint="eastAsia" w:ascii="宋体" w:hAnsi="宋体" w:eastAsia="宋体" w:cs="宋体"/>
                <w:color w:val="auto"/>
                <w:sz w:val="21"/>
                <w:szCs w:val="21"/>
                <w:highlight w:val="none"/>
              </w:rPr>
              <w:t>属于专门面向中小企业采购的项目均不给予价格扣除）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13</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采购代理机构代理费用的收取标准和方式</w:t>
            </w:r>
          </w:p>
        </w:tc>
        <w:tc>
          <w:tcPr>
            <w:tcW w:w="6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 xml:space="preserve"> </w:t>
            </w:r>
            <w:r>
              <w:rPr>
                <w:rFonts w:hint="eastAsia"/>
                <w:color w:val="auto"/>
                <w:highlight w:val="none"/>
              </w:rPr>
              <w:t>以本项目</w:t>
            </w:r>
            <w:r>
              <w:rPr>
                <w:rFonts w:hint="eastAsia"/>
                <w:color w:val="auto"/>
                <w:highlight w:val="none"/>
                <w:lang w:val="en-US" w:eastAsia="zh-CN"/>
              </w:rPr>
              <w:t>以600万*中标结算率</w:t>
            </w:r>
            <w:r>
              <w:rPr>
                <w:rFonts w:hint="eastAsia"/>
                <w:color w:val="auto"/>
                <w:highlight w:val="none"/>
              </w:rPr>
              <w:t>为基数，按计价格[2002]1980号文件、发改办价格[2003]857号、发改价格[2011]534号收费标准的75%计取，招标代理服务费不足6000元的，按6000元收费。由中标人在领取中标通知书时一次性支付给招标代理机构。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14</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实质性条款</w:t>
            </w:r>
          </w:p>
        </w:tc>
        <w:tc>
          <w:tcPr>
            <w:tcW w:w="6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带“</w:t>
            </w:r>
            <w:r>
              <w:rPr>
                <w:rFonts w:hint="eastAsia" w:ascii="宋体" w:hAnsi="宋体" w:eastAsia="宋体" w:cs="宋体"/>
                <w:color w:val="auto"/>
                <w:sz w:val="21"/>
                <w:szCs w:val="21"/>
                <w:highlight w:val="none"/>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15</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主要性能参数</w:t>
            </w:r>
          </w:p>
        </w:tc>
        <w:tc>
          <w:tcPr>
            <w:tcW w:w="6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default" w:ascii="宋体" w:hAnsi="宋体" w:eastAsia="宋体" w:cs="宋体"/>
                <w:color w:val="auto"/>
                <w:sz w:val="21"/>
                <w:szCs w:val="21"/>
                <w:highlight w:val="none"/>
              </w:rPr>
            </w:pPr>
            <w:r>
              <w:rPr>
                <w:rFonts w:hint="eastAsia" w:ascii="宋体" w:hAnsi="宋体" w:eastAsia="宋体" w:cs="宋体"/>
                <w:color w:val="auto"/>
                <w:sz w:val="21"/>
                <w:szCs w:val="21"/>
                <w:highlight w:val="none"/>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16</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书面形式</w:t>
            </w:r>
          </w:p>
        </w:tc>
        <w:tc>
          <w:tcPr>
            <w:tcW w:w="6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17</w:t>
            </w:r>
          </w:p>
        </w:tc>
        <w:tc>
          <w:tcPr>
            <w:tcW w:w="17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解释权</w:t>
            </w:r>
          </w:p>
        </w:tc>
        <w:tc>
          <w:tcPr>
            <w:tcW w:w="65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本招标文件解释权属于采购人和采购组织机构</w:t>
            </w:r>
          </w:p>
        </w:tc>
      </w:tr>
    </w:tbl>
    <w:p>
      <w:pPr>
        <w:pStyle w:val="12"/>
        <w:snapToGrid w:val="0"/>
        <w:spacing w:line="360" w:lineRule="auto"/>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二、说 明</w:t>
      </w:r>
    </w:p>
    <w:p>
      <w:pPr>
        <w:pStyle w:val="12"/>
        <w:snapToGrid w:val="0"/>
        <w:spacing w:line="360" w:lineRule="auto"/>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（一）总则</w:t>
      </w:r>
    </w:p>
    <w:p>
      <w:pPr>
        <w:snapToGrid w:val="0"/>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color w:val="auto"/>
          <w:sz w:val="24"/>
          <w:highlight w:val="none"/>
        </w:rPr>
        <w:t>浙江省</w:t>
      </w:r>
      <w:r>
        <w:rPr>
          <w:rFonts w:asciiTheme="minorEastAsia" w:hAnsiTheme="minorEastAsia" w:eastAsiaTheme="minorEastAsia"/>
          <w:color w:val="auto"/>
          <w:sz w:val="24"/>
          <w:highlight w:val="none"/>
        </w:rPr>
        <w:t>有关法律、法规、规章编制。</w:t>
      </w:r>
    </w:p>
    <w:p>
      <w:pPr>
        <w:tabs>
          <w:tab w:val="left" w:pos="7980"/>
        </w:tabs>
        <w:snapToGrid w:val="0"/>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投标</w:t>
      </w:r>
      <w:r>
        <w:rPr>
          <w:rFonts w:hint="eastAsia" w:asciiTheme="minorEastAsia" w:hAnsiTheme="minorEastAsia" w:eastAsiaTheme="minorEastAsia"/>
          <w:color w:val="auto"/>
          <w:sz w:val="24"/>
          <w:highlight w:val="none"/>
        </w:rPr>
        <w:t>人</w:t>
      </w:r>
      <w:r>
        <w:rPr>
          <w:rFonts w:asciiTheme="minorEastAsia" w:hAnsiTheme="minorEastAsia" w:eastAsiaTheme="minorEastAsia"/>
          <w:color w:val="auto"/>
          <w:sz w:val="24"/>
          <w:highlight w:val="none"/>
        </w:rPr>
        <w:t>应仔细阅读本项目招标公告及招标文件的所有内容（包括补充、澄清以及修改等，且均为招标文件的组成部分），按照招标文件要求以及格式编制投标文件，并保证其真实性，否则由此引起的一切后果应由投标</w:t>
      </w:r>
      <w:r>
        <w:rPr>
          <w:rFonts w:hint="eastAsia" w:asciiTheme="minorEastAsia" w:hAnsiTheme="minorEastAsia" w:eastAsiaTheme="minorEastAsia"/>
          <w:color w:val="auto"/>
          <w:sz w:val="24"/>
          <w:highlight w:val="none"/>
        </w:rPr>
        <w:t>人</w:t>
      </w:r>
      <w:r>
        <w:rPr>
          <w:rFonts w:asciiTheme="minorEastAsia" w:hAnsiTheme="minorEastAsia" w:eastAsiaTheme="minorEastAsia"/>
          <w:color w:val="auto"/>
          <w:sz w:val="24"/>
          <w:highlight w:val="none"/>
        </w:rPr>
        <w:t>承担。</w:t>
      </w:r>
    </w:p>
    <w:p>
      <w:pPr>
        <w:snapToGrid w:val="0"/>
        <w:spacing w:line="360" w:lineRule="auto"/>
        <w:ind w:firstLine="482" w:firstLineChars="200"/>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（二）</w:t>
      </w:r>
      <w:r>
        <w:rPr>
          <w:rFonts w:asciiTheme="minorEastAsia" w:hAnsiTheme="minorEastAsia" w:eastAsiaTheme="minorEastAsia"/>
          <w:b/>
          <w:color w:val="auto"/>
          <w:sz w:val="24"/>
          <w:highlight w:val="none"/>
        </w:rPr>
        <w:t>适用范围</w:t>
      </w:r>
    </w:p>
    <w:p>
      <w:pPr>
        <w:snapToGrid w:val="0"/>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本招标文件适用于</w:t>
      </w:r>
      <w:r>
        <w:rPr>
          <w:rFonts w:hint="eastAsia" w:asciiTheme="minorEastAsia" w:hAnsiTheme="minorEastAsia" w:eastAsiaTheme="minorEastAsia"/>
          <w:bCs/>
          <w:color w:val="auto"/>
          <w:sz w:val="24"/>
          <w:highlight w:val="none"/>
        </w:rPr>
        <w:t>本次</w:t>
      </w:r>
      <w:r>
        <w:rPr>
          <w:rFonts w:hint="eastAsia" w:asciiTheme="minorEastAsia" w:hAnsiTheme="minorEastAsia" w:eastAsiaTheme="minorEastAsia"/>
          <w:color w:val="auto"/>
          <w:sz w:val="24"/>
          <w:highlight w:val="none"/>
        </w:rPr>
        <w:t>项目的招标、投标、评标、定标、验收、合同履约、付款等行为（法律、法规另有规定的，从其规定）。</w:t>
      </w:r>
    </w:p>
    <w:p>
      <w:pPr>
        <w:pStyle w:val="11"/>
        <w:spacing w:line="360" w:lineRule="auto"/>
        <w:ind w:firstLine="480" w:firstLineChars="200"/>
        <w:rPr>
          <w:color w:val="auto"/>
          <w:highlight w:val="none"/>
        </w:rPr>
      </w:pPr>
      <w:r>
        <w:rPr>
          <w:color w:val="auto"/>
          <w:highlight w:val="none"/>
        </w:rPr>
        <w:t>本招标文件仅适用于本次招标公告中所涉及的项目和内容。</w:t>
      </w:r>
    </w:p>
    <w:p>
      <w:pPr>
        <w:snapToGrid w:val="0"/>
        <w:spacing w:line="360" w:lineRule="auto"/>
        <w:ind w:firstLine="482" w:firstLineChars="200"/>
        <w:outlineLvl w:val="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（三）当事人</w:t>
      </w:r>
    </w:p>
    <w:p>
      <w:pPr>
        <w:pStyle w:val="6"/>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bCs w:val="0"/>
          <w:color w:val="auto"/>
          <w:sz w:val="24"/>
          <w:szCs w:val="24"/>
          <w:highlight w:val="none"/>
        </w:rPr>
      </w:pPr>
      <w:r>
        <w:rPr>
          <w:rFonts w:hint="eastAsia" w:asciiTheme="minorEastAsia" w:hAnsiTheme="minorEastAsia" w:eastAsiaTheme="minorEastAsia"/>
          <w:color w:val="auto"/>
          <w:sz w:val="24"/>
          <w:szCs w:val="24"/>
          <w:highlight w:val="none"/>
        </w:rPr>
        <w:t>1.</w:t>
      </w:r>
      <w:r>
        <w:rPr>
          <w:rFonts w:hint="eastAsia"/>
          <w:bCs w:val="0"/>
          <w:color w:val="auto"/>
          <w:sz w:val="24"/>
          <w:szCs w:val="24"/>
          <w:highlight w:val="none"/>
          <w:lang w:val="zh-CN"/>
        </w:rPr>
        <w:t>采购组织机构：</w:t>
      </w:r>
      <w:r>
        <w:rPr>
          <w:rFonts w:hint="eastAsia"/>
          <w:bCs w:val="0"/>
          <w:color w:val="auto"/>
          <w:sz w:val="24"/>
          <w:szCs w:val="24"/>
          <w:highlight w:val="none"/>
        </w:rPr>
        <w:t>是</w:t>
      </w:r>
      <w:r>
        <w:rPr>
          <w:rFonts w:hint="eastAsia"/>
          <w:bCs w:val="0"/>
          <w:color w:val="auto"/>
          <w:sz w:val="24"/>
          <w:szCs w:val="24"/>
          <w:highlight w:val="none"/>
          <w:lang w:val="zh-CN"/>
        </w:rPr>
        <w:t>指采购人委托组织招标的集中采购机构</w:t>
      </w:r>
      <w:r>
        <w:rPr>
          <w:rFonts w:hint="eastAsia" w:cs="Arial"/>
          <w:bCs w:val="0"/>
          <w:color w:val="auto"/>
          <w:sz w:val="24"/>
          <w:szCs w:val="24"/>
          <w:highlight w:val="none"/>
        </w:rPr>
        <w:t>或</w:t>
      </w:r>
      <w:r>
        <w:rPr>
          <w:rFonts w:hint="eastAsia"/>
          <w:bCs w:val="0"/>
          <w:color w:val="auto"/>
          <w:sz w:val="24"/>
          <w:szCs w:val="24"/>
          <w:highlight w:val="none"/>
          <w:lang w:val="zh-CN"/>
        </w:rPr>
        <w:t>采购代理机构。</w:t>
      </w:r>
    </w:p>
    <w:p>
      <w:pPr>
        <w:snapToGrid w:val="0"/>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2.采购人：是指依法进行政府采购的国家机关、事业单位和团体组织。</w:t>
      </w:r>
    </w:p>
    <w:p>
      <w:pPr>
        <w:snapToGrid w:val="0"/>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投标人</w:t>
      </w:r>
      <w:r>
        <w:rPr>
          <w:rFonts w:hint="eastAsia" w:asciiTheme="minorEastAsia" w:hAnsiTheme="minorEastAsia" w:eastAsiaTheme="minorEastAsia"/>
          <w:color w:val="auto"/>
          <w:sz w:val="24"/>
          <w:highlight w:val="none"/>
        </w:rPr>
        <w:t>：是</w:t>
      </w:r>
      <w:r>
        <w:rPr>
          <w:rFonts w:asciiTheme="minorEastAsia" w:hAnsiTheme="minorEastAsia" w:eastAsiaTheme="minorEastAsia"/>
          <w:color w:val="auto"/>
          <w:sz w:val="24"/>
          <w:highlight w:val="none"/>
        </w:rPr>
        <w:t>指</w:t>
      </w:r>
      <w:r>
        <w:rPr>
          <w:rFonts w:hint="eastAsia" w:asciiTheme="minorEastAsia" w:hAnsiTheme="minorEastAsia" w:eastAsiaTheme="minorEastAsia"/>
          <w:color w:val="auto"/>
          <w:sz w:val="24"/>
          <w:highlight w:val="none"/>
        </w:rPr>
        <w:t>响应招标、参加投标竞争的法人、其他组织或者自然人</w:t>
      </w:r>
      <w:r>
        <w:rPr>
          <w:rFonts w:asciiTheme="minorEastAsia" w:hAnsiTheme="minorEastAsia" w:eastAsiaTheme="minorEastAsia"/>
          <w:color w:val="auto"/>
          <w:sz w:val="24"/>
          <w:highlight w:val="none"/>
        </w:rPr>
        <w:t>。</w:t>
      </w:r>
    </w:p>
    <w:p>
      <w:pPr>
        <w:snapToGrid w:val="0"/>
        <w:spacing w:line="360" w:lineRule="auto"/>
        <w:ind w:firstLine="480" w:firstLineChars="200"/>
        <w:rPr>
          <w:rFonts w:ascii="宋体" w:hAnsi="宋体"/>
          <w:color w:val="auto"/>
          <w:sz w:val="24"/>
          <w:highlight w:val="none"/>
          <w:lang w:val="zh-CN"/>
        </w:rPr>
      </w:pPr>
      <w:r>
        <w:rPr>
          <w:rFonts w:hint="eastAsia" w:ascii="宋体" w:hAnsi="宋体"/>
          <w:color w:val="auto"/>
          <w:sz w:val="24"/>
          <w:highlight w:val="none"/>
        </w:rPr>
        <w:t>4.</w:t>
      </w:r>
      <w:r>
        <w:rPr>
          <w:rFonts w:hint="eastAsia" w:ascii="宋体" w:hAnsi="宋体"/>
          <w:color w:val="auto"/>
          <w:sz w:val="24"/>
          <w:highlight w:val="none"/>
          <w:lang w:val="zh-CN"/>
        </w:rPr>
        <w:t>中标</w:t>
      </w:r>
      <w:r>
        <w:rPr>
          <w:rFonts w:hint="eastAsia" w:ascii="宋体" w:hAnsi="宋体"/>
          <w:color w:val="auto"/>
          <w:sz w:val="24"/>
          <w:highlight w:val="none"/>
        </w:rPr>
        <w:t>人</w:t>
      </w:r>
      <w:r>
        <w:rPr>
          <w:rFonts w:hint="eastAsia" w:ascii="宋体" w:hAnsi="宋体"/>
          <w:color w:val="auto"/>
          <w:sz w:val="24"/>
          <w:highlight w:val="none"/>
          <w:lang w:val="zh-CN"/>
        </w:rPr>
        <w:t>：是指经评</w:t>
      </w:r>
      <w:r>
        <w:rPr>
          <w:rFonts w:hint="eastAsia" w:ascii="宋体" w:hAnsi="宋体"/>
          <w:color w:val="auto"/>
          <w:sz w:val="24"/>
          <w:highlight w:val="none"/>
        </w:rPr>
        <w:t>标</w:t>
      </w:r>
      <w:r>
        <w:rPr>
          <w:rFonts w:hint="eastAsia" w:ascii="宋体" w:hAnsi="宋体"/>
          <w:color w:val="auto"/>
          <w:sz w:val="24"/>
          <w:highlight w:val="none"/>
          <w:lang w:val="zh-CN"/>
        </w:rPr>
        <w:t>委员会评审确定的对招标文件</w:t>
      </w:r>
      <w:r>
        <w:rPr>
          <w:rFonts w:hint="eastAsia" w:ascii="宋体" w:hAnsi="宋体"/>
          <w:color w:val="auto"/>
          <w:sz w:val="24"/>
          <w:highlight w:val="none"/>
        </w:rPr>
        <w:t>作</w:t>
      </w:r>
      <w:r>
        <w:rPr>
          <w:rFonts w:hint="eastAsia" w:ascii="宋体" w:hAnsi="宋体"/>
          <w:color w:val="auto"/>
          <w:sz w:val="24"/>
          <w:highlight w:val="none"/>
          <w:lang w:val="zh-CN"/>
        </w:rPr>
        <w:t>出实质性响应，经采购人按照规定在评</w:t>
      </w:r>
      <w:r>
        <w:rPr>
          <w:rFonts w:hint="eastAsia" w:ascii="宋体" w:hAnsi="宋体"/>
          <w:color w:val="auto"/>
          <w:sz w:val="24"/>
          <w:highlight w:val="none"/>
        </w:rPr>
        <w:t>标</w:t>
      </w:r>
      <w:r>
        <w:rPr>
          <w:rFonts w:hint="eastAsia" w:ascii="宋体" w:hAnsi="宋体"/>
          <w:color w:val="auto"/>
          <w:sz w:val="24"/>
          <w:highlight w:val="none"/>
          <w:lang w:val="zh-CN"/>
        </w:rPr>
        <w:t>委员会推荐的中标候选人中确定的或受采购人委托直接确认的，与采购人签订合同资格的投标</w:t>
      </w:r>
      <w:r>
        <w:rPr>
          <w:rFonts w:hint="eastAsia" w:ascii="宋体" w:hAnsi="宋体"/>
          <w:color w:val="auto"/>
          <w:sz w:val="24"/>
          <w:highlight w:val="none"/>
        </w:rPr>
        <w:t>人</w:t>
      </w:r>
      <w:r>
        <w:rPr>
          <w:rFonts w:hint="eastAsia" w:ascii="宋体" w:hAnsi="宋体"/>
          <w:color w:val="auto"/>
          <w:sz w:val="24"/>
          <w:highlight w:val="none"/>
          <w:lang w:val="zh-CN"/>
        </w:rPr>
        <w:t>。</w:t>
      </w:r>
    </w:p>
    <w:p>
      <w:pPr>
        <w:pStyle w:val="2"/>
        <w:spacing w:after="0" w:line="360" w:lineRule="auto"/>
        <w:ind w:left="0" w:leftChars="0" w:firstLine="480" w:firstLineChars="200"/>
        <w:rPr>
          <w:color w:val="auto"/>
          <w:highlight w:val="none"/>
        </w:rPr>
      </w:pPr>
      <w:r>
        <w:rPr>
          <w:rFonts w:hint="eastAsia" w:ascii="宋体" w:hAnsi="宋体"/>
          <w:color w:val="auto"/>
          <w:sz w:val="24"/>
          <w:highlight w:val="none"/>
        </w:rPr>
        <w:t>5.联合体：</w:t>
      </w:r>
      <w:r>
        <w:rPr>
          <w:rFonts w:hint="eastAsia"/>
          <w:color w:val="auto"/>
          <w:sz w:val="24"/>
          <w:highlight w:val="none"/>
        </w:rPr>
        <w:t>两个或两个以上法人或者其他组织可以组成一个联合体，以一个投标人的身份共同投标。</w:t>
      </w:r>
    </w:p>
    <w:p>
      <w:pPr>
        <w:snapToGrid w:val="0"/>
        <w:spacing w:line="360" w:lineRule="auto"/>
        <w:ind w:firstLine="482" w:firstLineChars="200"/>
        <w:rPr>
          <w:b/>
          <w:bCs/>
          <w:color w:val="auto"/>
          <w:sz w:val="24"/>
          <w:highlight w:val="none"/>
        </w:rPr>
      </w:pPr>
      <w:r>
        <w:rPr>
          <w:rFonts w:hint="eastAsia"/>
          <w:b/>
          <w:bCs/>
          <w:color w:val="auto"/>
          <w:sz w:val="24"/>
          <w:highlight w:val="none"/>
        </w:rPr>
        <w:t>（四）</w:t>
      </w:r>
      <w:r>
        <w:rPr>
          <w:b/>
          <w:bCs/>
          <w:color w:val="auto"/>
          <w:sz w:val="24"/>
          <w:highlight w:val="none"/>
        </w:rPr>
        <w:t>以联合体形式投标的，应符合以下规定</w:t>
      </w:r>
      <w:r>
        <w:rPr>
          <w:rFonts w:hint="eastAsia"/>
          <w:b/>
          <w:bCs/>
          <w:color w:val="auto"/>
          <w:sz w:val="24"/>
          <w:highlight w:val="none"/>
          <w:lang w:eastAsia="zh-CN"/>
        </w:rPr>
        <w:t>（本项目不接收联合体形式投标）</w:t>
      </w:r>
      <w:r>
        <w:rPr>
          <w:b/>
          <w:bCs/>
          <w:color w:val="auto"/>
          <w:sz w:val="24"/>
          <w:highlight w:val="none"/>
        </w:rPr>
        <w:t>：</w:t>
      </w:r>
    </w:p>
    <w:p>
      <w:pPr>
        <w:snapToGrid w:val="0"/>
        <w:spacing w:line="360" w:lineRule="auto"/>
        <w:ind w:firstLine="480" w:firstLineChars="200"/>
        <w:rPr>
          <w:color w:val="auto"/>
          <w:sz w:val="24"/>
          <w:highlight w:val="none"/>
        </w:rPr>
      </w:pPr>
      <w:r>
        <w:rPr>
          <w:rFonts w:hint="eastAsia" w:asciiTheme="minorEastAsia" w:hAnsiTheme="minorEastAsia" w:eastAsiaTheme="minorEastAsia"/>
          <w:color w:val="auto"/>
          <w:sz w:val="24"/>
          <w:highlight w:val="none"/>
        </w:rPr>
        <w:t>1.联</w:t>
      </w:r>
      <w:r>
        <w:rPr>
          <w:color w:val="auto"/>
          <w:sz w:val="24"/>
          <w:highlight w:val="none"/>
        </w:rPr>
        <w:t>合体各方应签订联合体协议书，明确联合体牵头人和各方权利义务，并作为投标文件组成分部分</w:t>
      </w:r>
      <w:r>
        <w:rPr>
          <w:rFonts w:hint="eastAsia"/>
          <w:color w:val="auto"/>
          <w:sz w:val="24"/>
          <w:highlight w:val="none"/>
        </w:rPr>
        <w:t>；</w:t>
      </w:r>
    </w:p>
    <w:p>
      <w:pPr>
        <w:snapToGrid w:val="0"/>
        <w:spacing w:line="360" w:lineRule="auto"/>
        <w:ind w:firstLine="480" w:firstLineChars="200"/>
        <w:rPr>
          <w:color w:val="auto"/>
          <w:sz w:val="24"/>
          <w:highlight w:val="none"/>
        </w:rPr>
      </w:pPr>
      <w:r>
        <w:rPr>
          <w:rFonts w:hint="eastAsia" w:asciiTheme="minorEastAsia" w:hAnsiTheme="minorEastAsia" w:eastAsiaTheme="minorEastAsia"/>
          <w:color w:val="auto"/>
          <w:sz w:val="24"/>
          <w:highlight w:val="none"/>
        </w:rPr>
        <w:t>2.联</w:t>
      </w:r>
      <w:r>
        <w:rPr>
          <w:color w:val="auto"/>
          <w:sz w:val="24"/>
          <w:highlight w:val="none"/>
        </w:rPr>
        <w:t>合体各方均应当具备</w:t>
      </w:r>
      <w:r>
        <w:rPr>
          <w:rFonts w:hint="eastAsia" w:ascii="宋体" w:hAnsi="宋体"/>
          <w:color w:val="auto"/>
          <w:sz w:val="24"/>
          <w:highlight w:val="none"/>
          <w:lang w:val="zh-CN"/>
        </w:rPr>
        <w:t>《中华人民共和国政府采购法》</w:t>
      </w:r>
      <w:r>
        <w:rPr>
          <w:color w:val="auto"/>
          <w:sz w:val="24"/>
          <w:highlight w:val="none"/>
        </w:rPr>
        <w:t>第二十二条规定的条件，并在投标文件中提供联合体各方的相关证明材料</w:t>
      </w:r>
      <w:r>
        <w:rPr>
          <w:rFonts w:hint="eastAsia"/>
          <w:color w:val="auto"/>
          <w:sz w:val="24"/>
          <w:highlight w:val="none"/>
        </w:rPr>
        <w:t>；</w:t>
      </w:r>
    </w:p>
    <w:p>
      <w:pPr>
        <w:snapToGrid w:val="0"/>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3.联合体成员存在不良信用记录的，视同联合体存在不良信用记录；</w:t>
      </w:r>
    </w:p>
    <w:p>
      <w:pPr>
        <w:snapToGrid w:val="0"/>
        <w:spacing w:line="360" w:lineRule="auto"/>
        <w:ind w:firstLine="480" w:firstLineChars="200"/>
        <w:rPr>
          <w:rFonts w:ascii="宋体" w:hAnsi="宋体" w:cs="宋体"/>
          <w:color w:val="auto"/>
          <w:sz w:val="24"/>
          <w:highlight w:val="none"/>
        </w:rPr>
      </w:pPr>
      <w:r>
        <w:rPr>
          <w:rFonts w:hint="eastAsia" w:asciiTheme="minorEastAsia" w:hAnsiTheme="minorEastAsia" w:eastAsiaTheme="minorEastAsia"/>
          <w:color w:val="auto"/>
          <w:sz w:val="24"/>
          <w:highlight w:val="none"/>
        </w:rPr>
        <w:t>4.联合体各方中至少应当有一方符合采购人规定的资格要求。由同一资质条件的投</w:t>
      </w:r>
      <w:r>
        <w:rPr>
          <w:rFonts w:hint="eastAsia" w:ascii="宋体" w:hAnsi="宋体" w:cs="宋体"/>
          <w:color w:val="auto"/>
          <w:sz w:val="24"/>
          <w:highlight w:val="none"/>
        </w:rPr>
        <w:t>标人组成的联合体，应当按照资质等级较低的投标人确定联合体资质等级；</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5.联合体各方不得再以自己名义单独在同一</w:t>
      </w:r>
      <w:r>
        <w:rPr>
          <w:rFonts w:hint="eastAsia" w:ascii="宋体" w:hAnsi="宋体" w:cs="宋体"/>
          <w:color w:val="auto"/>
          <w:sz w:val="24"/>
          <w:highlight w:val="none"/>
          <w:lang w:eastAsia="zh-CN"/>
        </w:rPr>
        <w:t>合同项</w:t>
      </w:r>
      <w:r>
        <w:rPr>
          <w:rFonts w:hint="eastAsia" w:ascii="宋体" w:hAnsi="宋体" w:cs="宋体"/>
          <w:color w:val="auto"/>
          <w:sz w:val="24"/>
          <w:highlight w:val="none"/>
        </w:rPr>
        <w:t>中投标，也不得组成新的联合体参加同一项目投标；</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6.联合体各方应当共同与采购人签订采购合同，就合同约定的事项对采购人承担连带责任；</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7.投标时，应以联合体协议中确定的主体方名义投标，对联合体各方均具有约束力。</w:t>
      </w:r>
    </w:p>
    <w:p>
      <w:pPr>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（五）语言文字以及度量衡单位</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投标文件以及投标人与采购代理机构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2.所有计量均采用中国法定的计量单位。</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3.所有报价一律使用人民币，货币单位：元。</w:t>
      </w:r>
    </w:p>
    <w:p>
      <w:pPr>
        <w:pStyle w:val="24"/>
        <w:tabs>
          <w:tab w:val="left" w:pos="437"/>
        </w:tabs>
        <w:spacing w:line="360" w:lineRule="auto"/>
        <w:ind w:firstLine="482"/>
        <w:rPr>
          <w:rFonts w:ascii="宋体" w:hAnsi="宋体" w:cs="宋体"/>
          <w:b/>
          <w:bCs/>
          <w:color w:val="auto"/>
          <w:sz w:val="24"/>
          <w:szCs w:val="24"/>
          <w:highlight w:val="none"/>
        </w:rPr>
      </w:pPr>
      <w:r>
        <w:rPr>
          <w:rFonts w:hint="eastAsia" w:ascii="宋体" w:hAnsi="宋体" w:cs="宋体"/>
          <w:b/>
          <w:bCs/>
          <w:color w:val="auto"/>
          <w:sz w:val="24"/>
          <w:szCs w:val="24"/>
          <w:highlight w:val="none"/>
        </w:rPr>
        <w:t>（六）现场踏勘</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1.招标文件规定组织踏勘现场的，采购人按招标文件规定的时间、地点组织投标人踏勘项目现场。</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2.投标人自行承担踏勘现场发生的责任、风险和自身费用。</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3.采购人在踏勘现场中介绍的资料和数据等，不构成对招标文件的修改或不作为投标人编制投标文件的依据。</w:t>
      </w:r>
    </w:p>
    <w:p>
      <w:pPr>
        <w:pStyle w:val="12"/>
        <w:snapToGrid w:val="0"/>
        <w:spacing w:line="360" w:lineRule="auto"/>
        <w:ind w:firstLine="482" w:firstLineChars="200"/>
        <w:rPr>
          <w:rFonts w:hAnsi="宋体" w:cs="宋体"/>
          <w:b/>
          <w:color w:val="auto"/>
          <w:sz w:val="24"/>
          <w:highlight w:val="none"/>
        </w:rPr>
      </w:pPr>
      <w:r>
        <w:rPr>
          <w:rFonts w:hint="eastAsia" w:hAnsi="宋体" w:cs="宋体"/>
          <w:b/>
          <w:color w:val="auto"/>
          <w:sz w:val="24"/>
          <w:highlight w:val="none"/>
        </w:rPr>
        <w:t>（七）特别说明</w:t>
      </w:r>
    </w:p>
    <w:p>
      <w:pPr>
        <w:pStyle w:val="12"/>
        <w:snapToGrid w:val="0"/>
        <w:spacing w:line="360" w:lineRule="auto"/>
        <w:ind w:firstLine="480" w:firstLineChars="200"/>
        <w:rPr>
          <w:rFonts w:hAnsi="宋体" w:cs="宋体"/>
          <w:color w:val="auto"/>
          <w:sz w:val="24"/>
          <w:highlight w:val="none"/>
        </w:rPr>
      </w:pPr>
      <w:r>
        <w:rPr>
          <w:rFonts w:hint="eastAsia" w:hAnsi="宋体" w:cs="宋体"/>
          <w:color w:val="auto"/>
          <w:sz w:val="24"/>
          <w:highlight w:val="none"/>
        </w:rPr>
        <w:t>1.投标人投标所使用的资格、信誉、荣誉、业绩与企业认证必须为本法人所拥有且所提供的资料都是真实有效的。投标人投标所使用的采购项目实施人员必须为本法人员工。</w:t>
      </w:r>
    </w:p>
    <w:p>
      <w:pPr>
        <w:pStyle w:val="24"/>
        <w:snapToGrid w:val="0"/>
        <w:spacing w:line="360" w:lineRule="auto"/>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rPr>
        <w:t>2.投标人所投产品除招标文件中明确规定要求“提供官网截图或相应检测报告的证明材料”以外，所有技术参数描述均以投标文件为准。投标人对所投产品技术参数的真实性承担法律责任。项目招标结束后且在质疑期限内，如有投标人认为中标人所投产品、投标文件技术参数与招标需求存在重大偏离、错误，甚至造假的情况，如招标文件中未明确规定要求“提供官网截图或相应检测报告的证明材料”的，应提供其他具体有效的证明材料。</w:t>
      </w:r>
    </w:p>
    <w:p>
      <w:pPr>
        <w:pStyle w:val="24"/>
        <w:snapToGrid w:val="0"/>
        <w:spacing w:line="360" w:lineRule="auto"/>
        <w:ind w:firstLine="480"/>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.本招标文件中关于电子招投标内容、流程如与政采云系统中最新的内容、操作不一致的，以政采云系统中的要求为准。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color w:val="auto"/>
          <w:kern w:val="0"/>
          <w:sz w:val="24"/>
          <w:highlight w:val="none"/>
        </w:rPr>
      </w:pPr>
      <w:r>
        <w:rPr>
          <w:rFonts w:hint="eastAsia" w:asciiTheme="minorEastAsia" w:hAnsiTheme="minorEastAsia" w:eastAsiaTheme="minorEastAsia"/>
          <w:b/>
          <w:color w:val="auto"/>
          <w:kern w:val="0"/>
          <w:sz w:val="24"/>
          <w:highlight w:val="none"/>
        </w:rPr>
        <w:t>三、招标文件</w:t>
      </w:r>
    </w:p>
    <w:p>
      <w:pPr>
        <w:pStyle w:val="24"/>
        <w:snapToGrid w:val="0"/>
        <w:spacing w:line="360" w:lineRule="auto"/>
        <w:ind w:firstLine="480"/>
        <w:rPr>
          <w:rFonts w:asciiTheme="minorEastAsia" w:hAnsiTheme="minorEastAsia" w:eastAsiaTheme="minorEastAsia" w:cstheme="minorBidi"/>
          <w:color w:val="auto"/>
          <w:sz w:val="24"/>
          <w:highlight w:val="none"/>
        </w:rPr>
      </w:pPr>
      <w:r>
        <w:rPr>
          <w:rFonts w:hint="eastAsia" w:asciiTheme="minorEastAsia" w:hAnsiTheme="minorEastAsia" w:eastAsiaTheme="minorEastAsia" w:cstheme="minorBidi"/>
          <w:color w:val="auto"/>
          <w:sz w:val="24"/>
          <w:highlight w:val="none"/>
        </w:rPr>
        <w:t>（一）招标文件由招标文件总目录所列内容组成。</w:t>
      </w:r>
    </w:p>
    <w:p>
      <w:pPr>
        <w:pStyle w:val="24"/>
        <w:snapToGrid w:val="0"/>
        <w:spacing w:line="360" w:lineRule="auto"/>
        <w:ind w:firstLine="480"/>
        <w:rPr>
          <w:rFonts w:asciiTheme="minorEastAsia" w:hAnsiTheme="minorEastAsia" w:eastAsiaTheme="minorEastAsia" w:cstheme="minorBidi"/>
          <w:color w:val="auto"/>
          <w:sz w:val="24"/>
          <w:highlight w:val="none"/>
        </w:rPr>
      </w:pPr>
      <w:r>
        <w:rPr>
          <w:rFonts w:hint="eastAsia" w:asciiTheme="minorEastAsia" w:hAnsiTheme="minorEastAsia" w:eastAsiaTheme="minorEastAsia" w:cstheme="minorBidi"/>
          <w:color w:val="auto"/>
          <w:sz w:val="24"/>
          <w:highlight w:val="none"/>
        </w:rPr>
        <w:t>（二）投标人在规定的时间内未对招标文件提出疑问、质疑或要求澄清的，将视其为无异议。</w:t>
      </w:r>
    </w:p>
    <w:p>
      <w:pPr>
        <w:pStyle w:val="24"/>
        <w:snapToGrid w:val="0"/>
        <w:spacing w:line="360" w:lineRule="auto"/>
        <w:ind w:firstLine="480"/>
        <w:rPr>
          <w:rFonts w:hint="eastAsia" w:asciiTheme="minorEastAsia" w:hAnsiTheme="minorEastAsia" w:eastAsiaTheme="minorEastAsia" w:cstheme="minorBidi"/>
          <w:color w:val="auto"/>
          <w:sz w:val="24"/>
          <w:highlight w:val="none"/>
        </w:rPr>
      </w:pPr>
      <w:r>
        <w:rPr>
          <w:rFonts w:hint="eastAsia" w:asciiTheme="minorEastAsia" w:hAnsiTheme="minorEastAsia" w:eastAsiaTheme="minorEastAsia" w:cstheme="minorBidi"/>
          <w:color w:val="auto"/>
          <w:sz w:val="24"/>
          <w:highlight w:val="none"/>
        </w:rPr>
        <w:t>（三）对招标文件中描述有歧义或前后不一致的地方，评标委员会有权进行评判，但对同一条款的评判应适用于每个投标人。</w:t>
      </w:r>
    </w:p>
    <w:p>
      <w:pPr>
        <w:pStyle w:val="24"/>
        <w:snapToGrid w:val="0"/>
        <w:spacing w:line="360" w:lineRule="auto"/>
        <w:ind w:firstLine="480"/>
        <w:rPr>
          <w:rFonts w:hint="eastAsia" w:asciiTheme="minorEastAsia" w:hAnsiTheme="minorEastAsia" w:eastAsiaTheme="minorEastAsia" w:cstheme="minorBidi"/>
          <w:color w:val="auto"/>
          <w:sz w:val="24"/>
          <w:highlight w:val="none"/>
        </w:rPr>
      </w:pPr>
      <w:r>
        <w:rPr>
          <w:rFonts w:hint="eastAsia" w:asciiTheme="minorEastAsia" w:hAnsiTheme="minorEastAsia" w:eastAsiaTheme="minorEastAsia" w:cstheme="minorBidi"/>
          <w:color w:val="auto"/>
          <w:sz w:val="24"/>
          <w:highlight w:val="none"/>
        </w:rPr>
        <w:t>（四）采购组织机构对招标文件进行必要的澄清更正的，澄清或者修改的内容可能影响投标文件编制的，于投标截止时间的15</w:t>
      </w:r>
      <w:r>
        <w:rPr>
          <w:rFonts w:hint="eastAsia" w:asciiTheme="minorEastAsia" w:hAnsiTheme="minorEastAsia" w:eastAsiaTheme="minorEastAsia" w:cstheme="minorBidi"/>
          <w:color w:val="auto"/>
          <w:sz w:val="24"/>
          <w:highlight w:val="none"/>
          <w:lang w:eastAsia="zh-CN"/>
        </w:rPr>
        <w:t>日</w:t>
      </w:r>
      <w:r>
        <w:rPr>
          <w:rFonts w:hint="eastAsia" w:asciiTheme="minorEastAsia" w:hAnsiTheme="minorEastAsia" w:eastAsiaTheme="minorEastAsia" w:cstheme="minorBidi"/>
          <w:color w:val="auto"/>
          <w:sz w:val="24"/>
          <w:highlight w:val="none"/>
        </w:rPr>
        <w:t>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color w:val="auto"/>
          <w:kern w:val="0"/>
          <w:sz w:val="24"/>
          <w:highlight w:val="none"/>
        </w:rPr>
      </w:pPr>
      <w:r>
        <w:rPr>
          <w:rFonts w:hint="eastAsia" w:asciiTheme="minorEastAsia" w:hAnsiTheme="minorEastAsia" w:eastAsiaTheme="minorEastAsia"/>
          <w:b/>
          <w:color w:val="auto"/>
          <w:kern w:val="0"/>
          <w:sz w:val="24"/>
          <w:highlight w:val="none"/>
        </w:rPr>
        <w:t>四、投标文件</w:t>
      </w:r>
    </w:p>
    <w:p>
      <w:pPr>
        <w:pStyle w:val="8"/>
        <w:spacing w:line="360" w:lineRule="auto"/>
        <w:ind w:firstLine="482" w:firstLineChars="200"/>
        <w:rPr>
          <w:rFonts w:asciiTheme="minorEastAsia" w:hAnsiTheme="minorEastAsia"/>
          <w:b/>
          <w:color w:val="auto"/>
          <w:kern w:val="0"/>
          <w:sz w:val="24"/>
          <w:highlight w:val="none"/>
        </w:rPr>
      </w:pPr>
      <w:r>
        <w:rPr>
          <w:rFonts w:hint="eastAsia" w:asciiTheme="minorEastAsia" w:hAnsiTheme="minorEastAsia" w:eastAsiaTheme="minorEastAsia"/>
          <w:b/>
          <w:color w:val="auto"/>
          <w:kern w:val="0"/>
          <w:sz w:val="24"/>
          <w:highlight w:val="none"/>
        </w:rPr>
        <w:t>（一）投标文件的编制</w:t>
      </w:r>
    </w:p>
    <w:p>
      <w:pPr>
        <w:pStyle w:val="8"/>
        <w:spacing w:line="360" w:lineRule="auto"/>
        <w:ind w:firstLine="480" w:firstLineChars="200"/>
        <w:rPr>
          <w:rFonts w:asciiTheme="minorEastAsia" w:hAnsiTheme="minorEastAsia" w:eastAsiaTheme="minorEastAsia"/>
          <w:bCs/>
          <w:color w:val="auto"/>
          <w:kern w:val="0"/>
          <w:sz w:val="24"/>
          <w:highlight w:val="none"/>
        </w:rPr>
      </w:pPr>
      <w:r>
        <w:rPr>
          <w:rFonts w:hint="eastAsia" w:asciiTheme="minorEastAsia" w:hAnsiTheme="minorEastAsia" w:eastAsiaTheme="minorEastAsia"/>
          <w:color w:val="auto"/>
          <w:kern w:val="0"/>
          <w:sz w:val="24"/>
          <w:highlight w:val="none"/>
        </w:rPr>
        <w:t xml:space="preserve"> 投标人接到招标文件后，按照采购组织机构的要求提供：资格证明文件、商务与技术文件和报价</w:t>
      </w:r>
      <w:r>
        <w:rPr>
          <w:rFonts w:hint="eastAsia" w:asciiTheme="minorEastAsia" w:hAnsiTheme="minorEastAsia" w:eastAsiaTheme="minorEastAsia"/>
          <w:color w:val="auto"/>
          <w:kern w:val="0"/>
          <w:sz w:val="24"/>
          <w:highlight w:val="none"/>
          <w:lang w:val="zh-CN"/>
        </w:rPr>
        <w:t>文件。【特别提示：如在投标时有要求提供资料原件的，将原件扫描放入投标文件。】本招标文件中若有多标项的，若参与多标项投标的，则按每个标项分别独立编制投标文件。</w:t>
      </w:r>
    </w:p>
    <w:p>
      <w:pPr>
        <w:snapToGrid w:val="0"/>
        <w:spacing w:line="360" w:lineRule="auto"/>
        <w:ind w:firstLine="482" w:firstLineChars="200"/>
        <w:rPr>
          <w:rFonts w:asciiTheme="minorEastAsia" w:hAnsiTheme="minorEastAsia" w:eastAsiaTheme="minorEastAsia"/>
          <w:color w:val="auto"/>
          <w:kern w:val="0"/>
          <w:sz w:val="24"/>
          <w:highlight w:val="none"/>
        </w:rPr>
      </w:pPr>
      <w:r>
        <w:rPr>
          <w:rFonts w:hint="eastAsia" w:ascii="宋体" w:hAnsi="宋体" w:cs="宋体"/>
          <w:b/>
          <w:color w:val="auto"/>
          <w:sz w:val="24"/>
          <w:highlight w:val="none"/>
        </w:rPr>
        <w:t>▲</w:t>
      </w:r>
      <w:r>
        <w:rPr>
          <w:rFonts w:hint="eastAsia" w:asciiTheme="minorEastAsia" w:hAnsiTheme="minorEastAsia" w:eastAsiaTheme="minorEastAsia"/>
          <w:b/>
          <w:color w:val="auto"/>
          <w:sz w:val="24"/>
          <w:highlight w:val="none"/>
        </w:rPr>
        <w:t>1、资格证明</w:t>
      </w:r>
      <w:r>
        <w:rPr>
          <w:rFonts w:asciiTheme="minorEastAsia" w:hAnsiTheme="minorEastAsia" w:eastAsiaTheme="minorEastAsia"/>
          <w:b/>
          <w:color w:val="auto"/>
          <w:sz w:val="24"/>
          <w:highlight w:val="none"/>
        </w:rPr>
        <w:t>文件</w:t>
      </w:r>
      <w:r>
        <w:rPr>
          <w:rFonts w:hint="eastAsia" w:ascii="宋体" w:hAnsi="宋体"/>
          <w:b/>
          <w:color w:val="auto"/>
          <w:sz w:val="24"/>
          <w:highlight w:val="none"/>
        </w:rPr>
        <w:t>的组成：</w:t>
      </w:r>
    </w:p>
    <w:p>
      <w:pPr>
        <w:widowControl/>
        <w:numPr>
          <w:ilvl w:val="0"/>
          <w:numId w:val="5"/>
        </w:numPr>
        <w:spacing w:line="360" w:lineRule="auto"/>
        <w:ind w:right="60" w:firstLine="472" w:firstLineChars="197"/>
        <w:jc w:val="left"/>
        <w:outlineLvl w:val="0"/>
        <w:rPr>
          <w:rFonts w:ascii="宋体" w:hAnsi="宋体" w:cs="宋体"/>
          <w:color w:val="auto"/>
          <w:sz w:val="24"/>
          <w:highlight w:val="none"/>
        </w:rPr>
      </w:pPr>
      <w:r>
        <w:rPr>
          <w:rFonts w:hint="eastAsia" w:ascii="宋体" w:hAnsi="宋体" w:cs="宋体"/>
          <w:color w:val="auto"/>
          <w:sz w:val="24"/>
          <w:highlight w:val="none"/>
        </w:rPr>
        <w:t>投标声明书（格式见附件）；</w:t>
      </w:r>
    </w:p>
    <w:p>
      <w:pPr>
        <w:widowControl/>
        <w:numPr>
          <w:ilvl w:val="0"/>
          <w:numId w:val="5"/>
        </w:numPr>
        <w:spacing w:line="360" w:lineRule="auto"/>
        <w:ind w:right="60" w:firstLine="472" w:firstLineChars="197"/>
        <w:jc w:val="left"/>
        <w:outlineLvl w:val="0"/>
        <w:rPr>
          <w:rFonts w:ascii="宋体" w:hAnsi="宋体" w:cs="宋体"/>
          <w:color w:val="auto"/>
          <w:sz w:val="24"/>
          <w:highlight w:val="none"/>
        </w:rPr>
      </w:pPr>
      <w:r>
        <w:rPr>
          <w:rFonts w:hint="eastAsia" w:ascii="宋体" w:hAnsi="宋体" w:cs="宋体"/>
          <w:color w:val="auto"/>
          <w:sz w:val="24"/>
          <w:highlight w:val="none"/>
        </w:rPr>
        <w:t>授权委托书（法定代表人亲自办理投标事宜的，则无需提交)；</w:t>
      </w:r>
    </w:p>
    <w:p>
      <w:pPr>
        <w:widowControl/>
        <w:numPr>
          <w:ilvl w:val="0"/>
          <w:numId w:val="5"/>
        </w:numPr>
        <w:spacing w:line="360" w:lineRule="auto"/>
        <w:ind w:right="60" w:firstLine="472" w:firstLineChars="197"/>
        <w:jc w:val="left"/>
        <w:outlineLvl w:val="0"/>
        <w:rPr>
          <w:rFonts w:ascii="宋体" w:hAnsi="宋体" w:cs="宋体"/>
          <w:color w:val="auto"/>
          <w:sz w:val="24"/>
          <w:highlight w:val="none"/>
        </w:rPr>
      </w:pPr>
      <w:r>
        <w:rPr>
          <w:rFonts w:hint="eastAsia" w:ascii="宋体" w:hAnsi="宋体" w:cs="宋体"/>
          <w:color w:val="auto"/>
          <w:sz w:val="24"/>
          <w:highlight w:val="none"/>
        </w:rPr>
        <w:t>法人或者其他组织的营业执照等证明文件，自然人的身份证明；</w:t>
      </w:r>
    </w:p>
    <w:p>
      <w:pPr>
        <w:widowControl/>
        <w:numPr>
          <w:ilvl w:val="0"/>
          <w:numId w:val="5"/>
        </w:numPr>
        <w:spacing w:line="360" w:lineRule="auto"/>
        <w:ind w:right="60" w:firstLine="472" w:firstLineChars="197"/>
        <w:jc w:val="left"/>
        <w:outlineLvl w:val="0"/>
        <w:rPr>
          <w:rFonts w:hint="eastAsia" w:ascii="宋体" w:hAnsi="宋体" w:cs="宋体"/>
          <w:color w:val="auto"/>
          <w:sz w:val="24"/>
          <w:highlight w:val="none"/>
        </w:rPr>
      </w:pPr>
      <w:r>
        <w:rPr>
          <w:rFonts w:hint="eastAsia" w:ascii="宋体" w:hAnsi="宋体" w:cs="宋体"/>
          <w:color w:val="auto"/>
          <w:kern w:val="0"/>
          <w:sz w:val="24"/>
          <w:highlight w:val="none"/>
        </w:rPr>
        <w:t>提供关于供应商财务状况和依法缴纳税收及社会保障资金的书面承诺函（格式详见附件）</w:t>
      </w:r>
      <w:r>
        <w:rPr>
          <w:rFonts w:hint="eastAsia" w:ascii="宋体" w:hAnsi="宋体" w:cs="宋体"/>
          <w:color w:val="auto"/>
          <w:sz w:val="24"/>
          <w:highlight w:val="none"/>
        </w:rPr>
        <w:t>；</w:t>
      </w:r>
    </w:p>
    <w:p>
      <w:pPr>
        <w:widowControl/>
        <w:numPr>
          <w:ilvl w:val="0"/>
          <w:numId w:val="5"/>
        </w:numPr>
        <w:spacing w:line="360" w:lineRule="auto"/>
        <w:ind w:right="60" w:firstLine="472" w:firstLineChars="197"/>
        <w:jc w:val="left"/>
        <w:outlineLvl w:val="0"/>
        <w:rPr>
          <w:rFonts w:ascii="宋体" w:hAnsi="宋体" w:cs="宋体"/>
          <w:color w:val="auto"/>
          <w:sz w:val="24"/>
          <w:highlight w:val="none"/>
        </w:rPr>
      </w:pPr>
      <w:r>
        <w:rPr>
          <w:rFonts w:hint="eastAsia" w:ascii="宋体" w:hAnsi="宋体" w:cs="宋体"/>
          <w:color w:val="auto"/>
          <w:kern w:val="0"/>
          <w:sz w:val="24"/>
          <w:highlight w:val="none"/>
        </w:rPr>
        <w:t>具备履行合同所必需的设备和专业技术能力的承诺函（格式详见附件）</w:t>
      </w:r>
      <w:r>
        <w:rPr>
          <w:rFonts w:hint="eastAsia" w:ascii="宋体" w:hAnsi="宋体" w:cs="宋体"/>
          <w:color w:val="auto"/>
          <w:sz w:val="24"/>
          <w:highlight w:val="none"/>
        </w:rPr>
        <w:t>；</w:t>
      </w:r>
    </w:p>
    <w:p>
      <w:pPr>
        <w:widowControl/>
        <w:numPr>
          <w:ilvl w:val="0"/>
          <w:numId w:val="5"/>
        </w:numPr>
        <w:spacing w:line="360" w:lineRule="auto"/>
        <w:ind w:right="60" w:firstLine="472" w:firstLineChars="197"/>
        <w:jc w:val="left"/>
        <w:outlineLvl w:val="0"/>
        <w:rPr>
          <w:rFonts w:ascii="宋体" w:hAnsi="宋体" w:cs="宋体"/>
          <w:color w:val="auto"/>
          <w:sz w:val="24"/>
          <w:highlight w:val="none"/>
        </w:rPr>
      </w:pPr>
      <w:r>
        <w:rPr>
          <w:rFonts w:hint="eastAsia" w:asciiTheme="minorEastAsia" w:hAnsiTheme="minorEastAsia" w:eastAsiaTheme="minorEastAsia"/>
          <w:color w:val="auto"/>
          <w:kern w:val="0"/>
          <w:sz w:val="24"/>
          <w:highlight w:val="none"/>
        </w:rPr>
        <w:t>《中小企业声明函》落实政府采购政策需满足资格要求声明函等[提供中小企业声明函（格式详见附件）或残疾人福利性单位声明函（格式详见附件）或监狱企业证明文件]</w:t>
      </w:r>
      <w:r>
        <w:rPr>
          <w:rFonts w:hint="eastAsia" w:asciiTheme="minorEastAsia" w:hAnsiTheme="minorEastAsia" w:eastAsiaTheme="minorEastAsia"/>
          <w:color w:val="auto"/>
          <w:kern w:val="0"/>
          <w:sz w:val="24"/>
          <w:highlight w:val="none"/>
          <w:lang w:eastAsia="zh-CN"/>
        </w:rPr>
        <w:t>。</w:t>
      </w:r>
    </w:p>
    <w:p>
      <w:pPr>
        <w:widowControl/>
        <w:numPr>
          <w:ilvl w:val="0"/>
          <w:numId w:val="5"/>
        </w:numPr>
        <w:spacing w:line="360" w:lineRule="auto"/>
        <w:ind w:right="60" w:firstLine="472" w:firstLineChars="197"/>
        <w:jc w:val="left"/>
        <w:outlineLvl w:val="0"/>
        <w:rPr>
          <w:rFonts w:hint="eastAsia" w:cs="Times New Roman" w:asciiTheme="minorEastAsia" w:hAnsiTheme="minorEastAsia" w:eastAsiaTheme="minorEastAsia"/>
          <w:color w:val="auto"/>
          <w:kern w:val="0"/>
          <w:sz w:val="24"/>
          <w:highlight w:val="none"/>
        </w:rPr>
      </w:pPr>
      <w:r>
        <w:rPr>
          <w:rFonts w:hint="eastAsia" w:cs="Times New Roman" w:asciiTheme="minorEastAsia" w:hAnsiTheme="minorEastAsia" w:eastAsiaTheme="minorEastAsia"/>
          <w:color w:val="auto"/>
          <w:kern w:val="0"/>
          <w:sz w:val="24"/>
          <w:highlight w:val="none"/>
        </w:rPr>
        <w:t>(提供采购公告中符合供应商特定条件的有效资质证书扫描件(投标供应商特定条件中有要求的必须提供)，以及需要说明的其他资料</w:t>
      </w:r>
      <w:r>
        <w:rPr>
          <w:rFonts w:hint="eastAsia" w:cs="Times New Roman" w:asciiTheme="minorEastAsia" w:hAnsiTheme="minorEastAsia" w:eastAsiaTheme="minorEastAsia"/>
          <w:color w:val="auto"/>
          <w:kern w:val="0"/>
          <w:sz w:val="24"/>
          <w:highlight w:val="none"/>
          <w:lang w:eastAsia="zh-CN"/>
        </w:rPr>
        <w:t>；</w:t>
      </w:r>
    </w:p>
    <w:p>
      <w:pPr>
        <w:snapToGrid w:val="0"/>
        <w:spacing w:line="360" w:lineRule="auto"/>
        <w:ind w:firstLine="482" w:firstLineChars="200"/>
        <w:rPr>
          <w:rFonts w:ascii="宋体" w:hAnsi="宋体" w:cs="宋体"/>
          <w:color w:val="auto"/>
          <w:sz w:val="24"/>
          <w:highlight w:val="none"/>
          <w:u w:val="single"/>
        </w:rPr>
      </w:pPr>
      <w:r>
        <w:rPr>
          <w:rFonts w:hint="eastAsia" w:asciiTheme="minorEastAsia" w:hAnsiTheme="minorEastAsia" w:eastAsiaTheme="minorEastAsia"/>
          <w:b/>
          <w:color w:val="auto"/>
          <w:sz w:val="24"/>
          <w:highlight w:val="none"/>
        </w:rPr>
        <w:t>2、</w:t>
      </w:r>
      <w:r>
        <w:rPr>
          <w:rFonts w:hint="eastAsia" w:ascii="宋体" w:hAnsi="宋体"/>
          <w:b/>
          <w:color w:val="auto"/>
          <w:sz w:val="24"/>
          <w:highlight w:val="none"/>
        </w:rPr>
        <w:t>商务与技术文件的组成：</w:t>
      </w:r>
    </w:p>
    <w:p>
      <w:pPr>
        <w:snapToGrid w:val="0"/>
        <w:spacing w:line="360" w:lineRule="auto"/>
        <w:ind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（1）投标人基本情况表（</w:t>
      </w:r>
      <w:r>
        <w:rPr>
          <w:rFonts w:hint="eastAsia" w:ascii="宋体" w:hAnsi="宋体" w:cs="宋体"/>
          <w:color w:val="auto"/>
          <w:kern w:val="0"/>
          <w:sz w:val="24"/>
          <w:highlight w:val="none"/>
        </w:rPr>
        <w:t>格式详见附件</w:t>
      </w:r>
      <w:r>
        <w:rPr>
          <w:rFonts w:hint="eastAsia" w:ascii="宋体" w:hAnsi="宋体" w:cs="宋体"/>
          <w:color w:val="auto"/>
          <w:sz w:val="24"/>
          <w:szCs w:val="24"/>
          <w:highlight w:val="none"/>
          <w:lang w:eastAsia="zh-CN"/>
        </w:rPr>
        <w:t>）；</w:t>
      </w:r>
    </w:p>
    <w:p>
      <w:pPr>
        <w:snapToGrid w:val="0"/>
        <w:spacing w:line="360" w:lineRule="auto"/>
        <w:ind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（2）技术方案（根据评分标准分章节自拟）；</w:t>
      </w:r>
    </w:p>
    <w:p>
      <w:pPr>
        <w:snapToGrid w:val="0"/>
        <w:spacing w:line="360" w:lineRule="auto"/>
        <w:ind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（3）</w:t>
      </w:r>
      <w:r>
        <w:rPr>
          <w:rFonts w:hint="eastAsia" w:ascii="宋体" w:hAnsi="宋体" w:cs="宋体"/>
          <w:color w:val="auto"/>
          <w:sz w:val="24"/>
          <w:szCs w:val="24"/>
          <w:highlight w:val="none"/>
          <w:lang w:val="en-US" w:eastAsia="zh-CN"/>
        </w:rPr>
        <w:t>设备一览表</w:t>
      </w:r>
      <w:r>
        <w:rPr>
          <w:rFonts w:hint="eastAsia" w:ascii="宋体" w:hAnsi="宋体" w:cs="宋体"/>
          <w:color w:val="auto"/>
          <w:sz w:val="24"/>
          <w:szCs w:val="24"/>
          <w:highlight w:val="none"/>
          <w:lang w:eastAsia="zh-CN"/>
        </w:rPr>
        <w:t>（</w:t>
      </w:r>
      <w:r>
        <w:rPr>
          <w:rFonts w:hint="eastAsia" w:ascii="宋体" w:hAnsi="宋体" w:cs="宋体"/>
          <w:color w:val="auto"/>
          <w:kern w:val="0"/>
          <w:sz w:val="24"/>
          <w:highlight w:val="none"/>
        </w:rPr>
        <w:t>格式详见附件</w:t>
      </w:r>
      <w:r>
        <w:rPr>
          <w:rFonts w:hint="eastAsia" w:ascii="宋体" w:hAnsi="宋体" w:cs="宋体"/>
          <w:color w:val="auto"/>
          <w:sz w:val="24"/>
          <w:szCs w:val="24"/>
          <w:highlight w:val="none"/>
          <w:lang w:eastAsia="zh-CN"/>
        </w:rPr>
        <w:t>）；</w:t>
      </w:r>
    </w:p>
    <w:p>
      <w:pPr>
        <w:snapToGrid w:val="0"/>
        <w:spacing w:line="360" w:lineRule="auto"/>
        <w:ind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（4）技术需求响应表（</w:t>
      </w:r>
      <w:r>
        <w:rPr>
          <w:rFonts w:hint="eastAsia" w:ascii="宋体" w:hAnsi="宋体" w:cs="宋体"/>
          <w:color w:val="auto"/>
          <w:kern w:val="0"/>
          <w:sz w:val="24"/>
          <w:highlight w:val="none"/>
        </w:rPr>
        <w:t>格式详见附件</w:t>
      </w:r>
      <w:r>
        <w:rPr>
          <w:rFonts w:hint="eastAsia" w:ascii="宋体" w:hAnsi="宋体" w:cs="宋体"/>
          <w:color w:val="auto"/>
          <w:sz w:val="24"/>
          <w:szCs w:val="24"/>
          <w:highlight w:val="none"/>
          <w:lang w:eastAsia="zh-CN"/>
        </w:rPr>
        <w:t>）；</w:t>
      </w:r>
    </w:p>
    <w:p>
      <w:pPr>
        <w:snapToGrid w:val="0"/>
        <w:spacing w:line="360" w:lineRule="auto"/>
        <w:ind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（5）商务需求响应表（</w:t>
      </w:r>
      <w:r>
        <w:rPr>
          <w:rFonts w:hint="eastAsia" w:ascii="宋体" w:hAnsi="宋体" w:cs="宋体"/>
          <w:color w:val="auto"/>
          <w:kern w:val="0"/>
          <w:sz w:val="24"/>
          <w:highlight w:val="none"/>
        </w:rPr>
        <w:t>格式详见附件</w:t>
      </w:r>
      <w:r>
        <w:rPr>
          <w:rFonts w:hint="eastAsia" w:ascii="宋体" w:hAnsi="宋体" w:cs="宋体"/>
          <w:color w:val="auto"/>
          <w:sz w:val="24"/>
          <w:szCs w:val="24"/>
          <w:highlight w:val="none"/>
          <w:lang w:eastAsia="zh-CN"/>
        </w:rPr>
        <w:t>）；</w:t>
      </w:r>
    </w:p>
    <w:p>
      <w:pPr>
        <w:snapToGrid w:val="0"/>
        <w:spacing w:line="360" w:lineRule="auto"/>
        <w:ind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（6）证书一览表（与本项目相关的认证证书或文件；</w:t>
      </w:r>
      <w:r>
        <w:rPr>
          <w:rFonts w:hint="eastAsia" w:ascii="宋体" w:hAnsi="宋体" w:cs="宋体"/>
          <w:color w:val="auto"/>
          <w:kern w:val="0"/>
          <w:sz w:val="24"/>
          <w:highlight w:val="none"/>
        </w:rPr>
        <w:t>格式详见附件</w:t>
      </w:r>
      <w:r>
        <w:rPr>
          <w:rFonts w:hint="eastAsia" w:ascii="宋体" w:hAnsi="宋体" w:cs="宋体"/>
          <w:color w:val="auto"/>
          <w:sz w:val="24"/>
          <w:szCs w:val="24"/>
          <w:highlight w:val="none"/>
          <w:lang w:eastAsia="zh-CN"/>
        </w:rPr>
        <w:t>）；</w:t>
      </w:r>
    </w:p>
    <w:p>
      <w:pPr>
        <w:snapToGrid w:val="0"/>
        <w:spacing w:line="360" w:lineRule="auto"/>
        <w:ind w:firstLine="480" w:firstLineChars="200"/>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eastAsia="zh-CN"/>
        </w:rPr>
        <w:t>（7）投标人类似项目实施情况一览表（如有，</w:t>
      </w:r>
      <w:r>
        <w:rPr>
          <w:rFonts w:hint="eastAsia" w:ascii="宋体" w:hAnsi="宋体" w:cs="宋体"/>
          <w:color w:val="auto"/>
          <w:kern w:val="0"/>
          <w:sz w:val="24"/>
          <w:highlight w:val="none"/>
        </w:rPr>
        <w:t>格式详见附件</w:t>
      </w:r>
      <w:r>
        <w:rPr>
          <w:rFonts w:hint="eastAsia" w:ascii="宋体" w:hAnsi="宋体" w:cs="宋体"/>
          <w:color w:val="auto"/>
          <w:sz w:val="24"/>
          <w:szCs w:val="24"/>
          <w:highlight w:val="none"/>
          <w:lang w:eastAsia="zh-CN"/>
        </w:rPr>
        <w:t>）；</w:t>
      </w:r>
    </w:p>
    <w:p>
      <w:pPr>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eastAsia="zh-CN"/>
        </w:rPr>
        <w:t>（8）符合招标文件规定的其他证明文件及评分标准中涉及的其他材料(如有)。</w:t>
      </w:r>
    </w:p>
    <w:p>
      <w:pPr>
        <w:autoSpaceDE w:val="0"/>
        <w:autoSpaceDN w:val="0"/>
        <w:adjustRightInd w:val="0"/>
        <w:spacing w:line="360" w:lineRule="auto"/>
        <w:ind w:left="426" w:firstLine="65" w:firstLineChars="27"/>
        <w:rPr>
          <w:rFonts w:asciiTheme="minorEastAsia" w:hAnsiTheme="minorEastAsia" w:eastAsiaTheme="minorEastAsia"/>
          <w:b/>
          <w:color w:val="auto"/>
          <w:kern w:val="0"/>
          <w:sz w:val="24"/>
          <w:highlight w:val="none"/>
        </w:rPr>
      </w:pPr>
      <w:r>
        <w:rPr>
          <w:rFonts w:hint="eastAsia" w:asciiTheme="minorEastAsia" w:hAnsiTheme="minorEastAsia" w:eastAsiaTheme="minorEastAsia"/>
          <w:b/>
          <w:color w:val="auto"/>
          <w:kern w:val="0"/>
          <w:sz w:val="24"/>
          <w:highlight w:val="none"/>
        </w:rPr>
        <w:t>3、报价文件的组成</w:t>
      </w:r>
    </w:p>
    <w:p>
      <w:pPr>
        <w:autoSpaceDE w:val="0"/>
        <w:autoSpaceDN w:val="0"/>
        <w:adjustRightInd w:val="0"/>
        <w:spacing w:line="360" w:lineRule="auto"/>
        <w:ind w:firstLine="480" w:firstLineChars="200"/>
        <w:rPr>
          <w:rFonts w:hint="eastAsia" w:eastAsia="宋体" w:asciiTheme="minorEastAsia" w:hAnsiTheme="minorEastAsia"/>
          <w:color w:val="auto"/>
          <w:kern w:val="0"/>
          <w:sz w:val="24"/>
          <w:highlight w:val="none"/>
          <w:lang w:eastAsia="zh-CN"/>
        </w:rPr>
      </w:pPr>
      <w:r>
        <w:rPr>
          <w:rFonts w:hint="eastAsia" w:asciiTheme="minorEastAsia" w:hAnsiTheme="minorEastAsia" w:eastAsiaTheme="minorEastAsia"/>
          <w:color w:val="auto"/>
          <w:kern w:val="0"/>
          <w:sz w:val="24"/>
          <w:highlight w:val="none"/>
        </w:rPr>
        <w:t>（1）开标一览表</w:t>
      </w:r>
      <w:r>
        <w:rPr>
          <w:rFonts w:hint="eastAsia" w:ascii="宋体" w:hAnsi="宋体" w:cs="宋体"/>
          <w:color w:val="auto"/>
          <w:sz w:val="24"/>
          <w:highlight w:val="none"/>
        </w:rPr>
        <w:t>（格式见附件）</w:t>
      </w:r>
      <w:r>
        <w:rPr>
          <w:rFonts w:hint="eastAsia" w:ascii="宋体" w:hAnsi="宋体" w:cs="宋体"/>
          <w:color w:val="auto"/>
          <w:sz w:val="24"/>
          <w:highlight w:val="none"/>
          <w:lang w:eastAsia="zh-CN"/>
        </w:rPr>
        <w:t>；</w:t>
      </w:r>
    </w:p>
    <w:p>
      <w:pPr>
        <w:autoSpaceDE w:val="0"/>
        <w:autoSpaceDN w:val="0"/>
        <w:adjustRightInd w:val="0"/>
        <w:spacing w:line="360" w:lineRule="auto"/>
        <w:ind w:firstLine="480" w:firstLineChars="200"/>
        <w:rPr>
          <w:rFonts w:hint="eastAsia" w:asciiTheme="minorEastAsia" w:hAnsiTheme="minorEastAsia" w:eastAsiaTheme="minorEastAsia"/>
          <w:b/>
          <w:color w:val="auto"/>
          <w:kern w:val="0"/>
          <w:sz w:val="24"/>
          <w:highlight w:val="none"/>
        </w:rPr>
      </w:pPr>
      <w:r>
        <w:rPr>
          <w:rFonts w:hint="eastAsia" w:asciiTheme="minorEastAsia" w:hAnsiTheme="minorEastAsia" w:eastAsiaTheme="minorEastAsia"/>
          <w:color w:val="auto"/>
          <w:kern w:val="0"/>
          <w:sz w:val="24"/>
          <w:highlight w:val="none"/>
        </w:rPr>
        <w:t>（</w:t>
      </w:r>
      <w:r>
        <w:rPr>
          <w:rFonts w:hint="eastAsia" w:asciiTheme="minorEastAsia" w:hAnsiTheme="minorEastAsia" w:eastAsiaTheme="minorEastAsia"/>
          <w:color w:val="auto"/>
          <w:kern w:val="0"/>
          <w:sz w:val="24"/>
          <w:highlight w:val="none"/>
          <w:lang w:val="en-US" w:eastAsia="zh-CN"/>
        </w:rPr>
        <w:t>2</w:t>
      </w:r>
      <w:r>
        <w:rPr>
          <w:rFonts w:hint="eastAsia" w:asciiTheme="minorEastAsia" w:hAnsiTheme="minorEastAsia" w:eastAsiaTheme="minorEastAsia"/>
          <w:color w:val="auto"/>
          <w:kern w:val="0"/>
          <w:sz w:val="24"/>
          <w:highlight w:val="none"/>
        </w:rPr>
        <w:t>）针对报价投标人认为其他需要说明的</w:t>
      </w:r>
      <w:r>
        <w:rPr>
          <w:rFonts w:hint="eastAsia" w:asciiTheme="minorEastAsia" w:hAnsiTheme="minorEastAsia" w:eastAsiaTheme="minorEastAsia"/>
          <w:color w:val="auto"/>
          <w:kern w:val="0"/>
          <w:sz w:val="24"/>
          <w:highlight w:val="none"/>
          <w:lang w:eastAsia="zh-CN"/>
        </w:rPr>
        <w:t>（</w:t>
      </w:r>
      <w:r>
        <w:rPr>
          <w:rFonts w:hint="eastAsia" w:asciiTheme="minorEastAsia" w:hAnsiTheme="minorEastAsia" w:eastAsiaTheme="minorEastAsia"/>
          <w:color w:val="auto"/>
          <w:kern w:val="0"/>
          <w:sz w:val="24"/>
          <w:highlight w:val="none"/>
          <w:lang w:val="en-US" w:eastAsia="zh-CN"/>
        </w:rPr>
        <w:t>如有</w:t>
      </w:r>
      <w:r>
        <w:rPr>
          <w:rFonts w:hint="eastAsia" w:asciiTheme="minorEastAsia" w:hAnsiTheme="minorEastAsia" w:eastAsiaTheme="minorEastAsia"/>
          <w:color w:val="auto"/>
          <w:kern w:val="0"/>
          <w:sz w:val="24"/>
          <w:highlight w:val="none"/>
          <w:lang w:eastAsia="zh-CN"/>
        </w:rPr>
        <w:t>）</w:t>
      </w:r>
      <w:r>
        <w:rPr>
          <w:rFonts w:hint="eastAsia" w:asciiTheme="minorEastAsia" w:hAnsiTheme="minorEastAsia" w:eastAsiaTheme="minorEastAsia"/>
          <w:color w:val="auto"/>
          <w:kern w:val="0"/>
          <w:sz w:val="24"/>
          <w:highlight w:val="none"/>
        </w:rPr>
        <w:t>。</w:t>
      </w:r>
    </w:p>
    <w:p>
      <w:pPr>
        <w:pStyle w:val="8"/>
        <w:spacing w:line="360" w:lineRule="auto"/>
        <w:ind w:firstLine="482" w:firstLineChars="200"/>
        <w:rPr>
          <w:rFonts w:asciiTheme="minorEastAsia" w:hAnsiTheme="minorEastAsia" w:eastAsiaTheme="minorEastAsia"/>
          <w:b/>
          <w:color w:val="auto"/>
          <w:kern w:val="0"/>
          <w:sz w:val="24"/>
          <w:highlight w:val="none"/>
        </w:rPr>
      </w:pPr>
      <w:r>
        <w:rPr>
          <w:rFonts w:hint="eastAsia" w:asciiTheme="minorEastAsia" w:hAnsiTheme="minorEastAsia" w:eastAsiaTheme="minorEastAsia"/>
          <w:b/>
          <w:color w:val="auto"/>
          <w:kern w:val="0"/>
          <w:sz w:val="24"/>
          <w:highlight w:val="none"/>
        </w:rPr>
        <w:t>（二）投标报价</w:t>
      </w:r>
    </w:p>
    <w:p>
      <w:pPr>
        <w:pStyle w:val="8"/>
        <w:spacing w:line="360" w:lineRule="auto"/>
        <w:ind w:firstLine="480" w:firstLineChars="200"/>
        <w:rPr>
          <w:rFonts w:asciiTheme="minorEastAsia" w:hAnsiTheme="minorEastAsia" w:eastAsiaTheme="minorEastAsia"/>
          <w:bCs/>
          <w:color w:val="auto"/>
          <w:kern w:val="0"/>
          <w:sz w:val="24"/>
          <w:highlight w:val="none"/>
        </w:rPr>
      </w:pPr>
      <w:r>
        <w:rPr>
          <w:rFonts w:hint="eastAsia" w:asciiTheme="minorEastAsia" w:hAnsiTheme="minorEastAsia" w:eastAsiaTheme="minorEastAsia"/>
          <w:bCs/>
          <w:color w:val="auto"/>
          <w:kern w:val="0"/>
          <w:sz w:val="24"/>
          <w:highlight w:val="none"/>
        </w:rPr>
        <w:t>1.投标人应按照招标需求内容、责任范围以及合同条款进行报价。并按“开标一览表”规定的格式报出总价。投标总价中不得包含招标文件要求以外的内容，否则，在评标时不予核减。</w:t>
      </w:r>
    </w:p>
    <w:p>
      <w:pPr>
        <w:pStyle w:val="8"/>
        <w:spacing w:line="360" w:lineRule="auto"/>
        <w:ind w:firstLine="480" w:firstLineChars="200"/>
        <w:rPr>
          <w:rFonts w:hint="eastAsia" w:asciiTheme="minorEastAsia" w:hAnsiTheme="minorEastAsia" w:eastAsiaTheme="minorEastAsia"/>
          <w:bCs/>
          <w:color w:val="auto"/>
          <w:kern w:val="0"/>
          <w:sz w:val="24"/>
          <w:highlight w:val="none"/>
        </w:rPr>
      </w:pPr>
      <w:r>
        <w:rPr>
          <w:rFonts w:hint="eastAsia" w:asciiTheme="minorEastAsia" w:hAnsiTheme="minorEastAsia" w:eastAsiaTheme="minorEastAsia"/>
          <w:bCs/>
          <w:color w:val="auto"/>
          <w:kern w:val="0"/>
          <w:sz w:val="24"/>
          <w:highlight w:val="none"/>
        </w:rPr>
        <w:t>2.投标报价包括本项目采购需求和投入使用的所有费用，包括（但不限于）材料、设备、劳务、人员工资、奖金、各种加班费、食宿与交通、手续审批、安全、管理、质保、保险、利润、税金、</w:t>
      </w:r>
      <w:r>
        <w:rPr>
          <w:rFonts w:hint="eastAsia" w:ascii="宋体" w:hAnsi="宋体" w:cs="宋体"/>
          <w:color w:val="auto"/>
          <w:sz w:val="24"/>
          <w:highlight w:val="none"/>
          <w:lang w:val="en-US" w:eastAsia="zh-CN"/>
        </w:rPr>
        <w:t>验收费用、</w:t>
      </w:r>
      <w:r>
        <w:rPr>
          <w:rFonts w:hint="eastAsia" w:asciiTheme="minorEastAsia" w:hAnsiTheme="minorEastAsia" w:eastAsiaTheme="minorEastAsia"/>
          <w:bCs/>
          <w:color w:val="auto"/>
          <w:kern w:val="0"/>
          <w:sz w:val="24"/>
          <w:highlight w:val="none"/>
        </w:rPr>
        <w:t>政策性文件规定及合同包含的所有风险、责任</w:t>
      </w:r>
      <w:r>
        <w:rPr>
          <w:rFonts w:hint="eastAsia" w:asciiTheme="minorEastAsia" w:hAnsiTheme="minorEastAsia" w:eastAsiaTheme="minorEastAsia"/>
          <w:bCs/>
          <w:color w:val="auto"/>
          <w:kern w:val="0"/>
          <w:sz w:val="24"/>
          <w:highlight w:val="none"/>
          <w:lang w:eastAsia="zh-CN"/>
        </w:rPr>
        <w:t>、</w:t>
      </w:r>
      <w:r>
        <w:rPr>
          <w:rFonts w:hint="eastAsia" w:asciiTheme="minorEastAsia" w:hAnsiTheme="minorEastAsia" w:eastAsiaTheme="minorEastAsia"/>
          <w:bCs/>
          <w:color w:val="auto"/>
          <w:kern w:val="0"/>
          <w:sz w:val="24"/>
          <w:highlight w:val="none"/>
          <w:lang w:val="en-US" w:eastAsia="zh-CN"/>
        </w:rPr>
        <w:t>招标代理服务费</w:t>
      </w:r>
      <w:r>
        <w:rPr>
          <w:rFonts w:hint="eastAsia" w:asciiTheme="minorEastAsia" w:hAnsiTheme="minorEastAsia" w:eastAsiaTheme="minorEastAsia"/>
          <w:bCs/>
          <w:color w:val="auto"/>
          <w:kern w:val="0"/>
          <w:sz w:val="24"/>
          <w:highlight w:val="none"/>
        </w:rPr>
        <w:t>等所有费用（即整个项目直至履约完成，采购人不再另行支付费用）全部费用已包含在开标一览表的投标总报价中。</w:t>
      </w:r>
    </w:p>
    <w:p>
      <w:pPr>
        <w:pStyle w:val="8"/>
        <w:spacing w:line="360" w:lineRule="auto"/>
        <w:ind w:firstLine="480" w:firstLineChars="200"/>
        <w:rPr>
          <w:rFonts w:asciiTheme="minorEastAsia" w:hAnsiTheme="minorEastAsia" w:eastAsiaTheme="minorEastAsia"/>
          <w:bCs/>
          <w:color w:val="auto"/>
          <w:kern w:val="0"/>
          <w:sz w:val="24"/>
          <w:highlight w:val="none"/>
        </w:rPr>
      </w:pPr>
      <w:r>
        <w:rPr>
          <w:rFonts w:hint="eastAsia" w:asciiTheme="minorEastAsia" w:hAnsiTheme="minorEastAsia" w:eastAsiaTheme="minorEastAsia"/>
          <w:bCs/>
          <w:color w:val="auto"/>
          <w:kern w:val="0"/>
          <w:sz w:val="24"/>
          <w:highlight w:val="none"/>
        </w:rPr>
        <w:t>3.投标报价不得为选择性报价和附有条件的报价。</w:t>
      </w:r>
    </w:p>
    <w:p>
      <w:pPr>
        <w:pStyle w:val="8"/>
        <w:spacing w:line="360" w:lineRule="auto"/>
        <w:ind w:firstLine="482" w:firstLineChars="200"/>
        <w:rPr>
          <w:rFonts w:asciiTheme="minorEastAsia" w:hAnsiTheme="minorEastAsia" w:eastAsiaTheme="minorEastAsia"/>
          <w:b/>
          <w:color w:val="auto"/>
          <w:kern w:val="0"/>
          <w:sz w:val="24"/>
          <w:highlight w:val="none"/>
        </w:rPr>
      </w:pPr>
      <w:r>
        <w:rPr>
          <w:rFonts w:hint="eastAsia" w:asciiTheme="minorEastAsia" w:hAnsiTheme="minorEastAsia" w:eastAsiaTheme="minorEastAsia"/>
          <w:b/>
          <w:color w:val="auto"/>
          <w:kern w:val="0"/>
          <w:sz w:val="24"/>
          <w:highlight w:val="none"/>
        </w:rPr>
        <w:t>（三）投标文件的有效期</w:t>
      </w:r>
    </w:p>
    <w:p>
      <w:pPr>
        <w:pStyle w:val="8"/>
        <w:spacing w:line="360" w:lineRule="auto"/>
        <w:ind w:firstLine="480" w:firstLineChars="200"/>
        <w:rPr>
          <w:rFonts w:ascii="宋体" w:hAnsi="宋体"/>
          <w:color w:val="auto"/>
          <w:sz w:val="24"/>
          <w:highlight w:val="none"/>
          <w:lang w:val="en-GB"/>
        </w:rPr>
      </w:pPr>
      <w:r>
        <w:rPr>
          <w:rFonts w:hint="eastAsia" w:ascii="宋体" w:hAnsi="宋体"/>
          <w:color w:val="auto"/>
          <w:sz w:val="24"/>
          <w:highlight w:val="none"/>
        </w:rPr>
        <w:t>1.投标文件有效期为</w:t>
      </w:r>
      <w:r>
        <w:rPr>
          <w:rFonts w:hint="eastAsia" w:ascii="宋体" w:hAnsi="宋体"/>
          <w:color w:val="auto"/>
          <w:sz w:val="24"/>
          <w:highlight w:val="none"/>
          <w:lang w:val="en-GB"/>
        </w:rPr>
        <w:t>投标截止日起90天。</w:t>
      </w:r>
    </w:p>
    <w:p>
      <w:pPr>
        <w:pStyle w:val="8"/>
        <w:spacing w:line="360" w:lineRule="auto"/>
        <w:ind w:firstLine="480" w:firstLineChars="200"/>
        <w:rPr>
          <w:rFonts w:ascii="宋体" w:hAnsi="宋体"/>
          <w:color w:val="auto"/>
          <w:sz w:val="24"/>
          <w:highlight w:val="none"/>
          <w:lang w:val="en-GB"/>
        </w:rPr>
      </w:pPr>
      <w:r>
        <w:rPr>
          <w:rFonts w:hint="eastAsia" w:ascii="宋体" w:hAnsi="宋体"/>
          <w:color w:val="auto"/>
          <w:sz w:val="24"/>
          <w:highlight w:val="none"/>
        </w:rPr>
        <w:t>2.</w:t>
      </w:r>
      <w:r>
        <w:rPr>
          <w:rFonts w:hint="eastAsia" w:ascii="宋体" w:hAnsi="宋体"/>
          <w:color w:val="auto"/>
          <w:sz w:val="24"/>
          <w:highlight w:val="none"/>
          <w:lang w:val="en-GB"/>
        </w:rPr>
        <w:t>在特殊情况下，采购人可与投标人协商延长投标文件的有效期，这种要求和答复均以书面形式进行。</w:t>
      </w:r>
    </w:p>
    <w:p>
      <w:pPr>
        <w:snapToGrid w:val="0"/>
        <w:spacing w:line="360" w:lineRule="auto"/>
        <w:ind w:firstLine="480" w:firstLineChars="200"/>
        <w:outlineLvl w:val="0"/>
        <w:rPr>
          <w:rFonts w:asciiTheme="minorEastAsia" w:hAnsiTheme="minorEastAsia" w:eastAsiaTheme="minorEastAsia"/>
          <w:color w:val="auto"/>
          <w:sz w:val="24"/>
          <w:highlight w:val="none"/>
        </w:rPr>
      </w:pPr>
      <w:r>
        <w:rPr>
          <w:rFonts w:hint="eastAsia" w:ascii="宋体" w:hAnsi="宋体"/>
          <w:color w:val="auto"/>
          <w:sz w:val="24"/>
          <w:highlight w:val="none"/>
        </w:rPr>
        <w:t>3.</w:t>
      </w:r>
      <w:r>
        <w:rPr>
          <w:rFonts w:asciiTheme="minorEastAsia" w:hAnsiTheme="minorEastAsia" w:eastAsiaTheme="minorEastAsia"/>
          <w:color w:val="auto"/>
          <w:sz w:val="24"/>
          <w:highlight w:val="none"/>
        </w:rPr>
        <w:t>中标人的</w:t>
      </w:r>
      <w:r>
        <w:rPr>
          <w:rFonts w:hint="eastAsia" w:asciiTheme="minorEastAsia" w:hAnsiTheme="minorEastAsia" w:eastAsiaTheme="minorEastAsia"/>
          <w:color w:val="auto"/>
          <w:sz w:val="24"/>
          <w:highlight w:val="none"/>
        </w:rPr>
        <w:t>投标文件</w:t>
      </w:r>
      <w:r>
        <w:rPr>
          <w:rFonts w:asciiTheme="minorEastAsia" w:hAnsiTheme="minorEastAsia" w:eastAsiaTheme="minorEastAsia"/>
          <w:color w:val="auto"/>
          <w:sz w:val="24"/>
          <w:highlight w:val="none"/>
        </w:rPr>
        <w:t>自开标之日起至合同履行完毕均应保持有效。</w:t>
      </w:r>
    </w:p>
    <w:p>
      <w:pPr>
        <w:snapToGrid w:val="0"/>
        <w:spacing w:line="360" w:lineRule="auto"/>
        <w:ind w:firstLine="482" w:firstLineChars="200"/>
        <w:outlineLvl w:val="0"/>
        <w:rPr>
          <w:rFonts w:asciiTheme="minorEastAsia" w:hAnsiTheme="minorEastAsia" w:eastAsiaTheme="minorEastAsia"/>
          <w:b/>
          <w:color w:val="auto"/>
          <w:kern w:val="0"/>
          <w:sz w:val="24"/>
          <w:highlight w:val="none"/>
        </w:rPr>
      </w:pPr>
      <w:r>
        <w:rPr>
          <w:rFonts w:hint="eastAsia" w:asciiTheme="minorEastAsia" w:hAnsiTheme="minorEastAsia" w:eastAsiaTheme="minorEastAsia"/>
          <w:b/>
          <w:color w:val="auto"/>
          <w:kern w:val="0"/>
          <w:sz w:val="24"/>
          <w:highlight w:val="none"/>
        </w:rPr>
        <w:t>（四）投标文件的签署</w:t>
      </w:r>
    </w:p>
    <w:p>
      <w:pPr>
        <w:pStyle w:val="8"/>
        <w:spacing w:line="360" w:lineRule="auto"/>
        <w:ind w:firstLine="480" w:firstLineChars="200"/>
        <w:rPr>
          <w:rFonts w:asciiTheme="minorEastAsia" w:hAnsiTheme="minorEastAsia" w:eastAsiaTheme="minorEastAsia"/>
          <w:bCs/>
          <w:color w:val="auto"/>
          <w:kern w:val="0"/>
          <w:sz w:val="24"/>
          <w:highlight w:val="none"/>
        </w:rPr>
      </w:pPr>
      <w:r>
        <w:rPr>
          <w:rFonts w:hint="eastAsia" w:asciiTheme="minorEastAsia" w:hAnsiTheme="minorEastAsia" w:eastAsiaTheme="minorEastAsia"/>
          <w:bCs/>
          <w:color w:val="auto"/>
          <w:kern w:val="0"/>
          <w:sz w:val="24"/>
          <w:highlight w:val="none"/>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8"/>
        <w:spacing w:line="360" w:lineRule="auto"/>
        <w:ind w:firstLine="480" w:firstLineChars="200"/>
        <w:rPr>
          <w:rFonts w:asciiTheme="minorEastAsia" w:hAnsiTheme="minorEastAsia" w:eastAsiaTheme="minorEastAsia"/>
          <w:bCs/>
          <w:color w:val="auto"/>
          <w:kern w:val="0"/>
          <w:sz w:val="24"/>
          <w:highlight w:val="none"/>
        </w:rPr>
      </w:pPr>
      <w:r>
        <w:rPr>
          <w:rFonts w:hint="eastAsia" w:asciiTheme="minorEastAsia" w:hAnsiTheme="minorEastAsia" w:eastAsiaTheme="minorEastAsia"/>
          <w:bCs/>
          <w:color w:val="auto"/>
          <w:kern w:val="0"/>
          <w:sz w:val="24"/>
          <w:highlight w:val="none"/>
        </w:rPr>
        <w:t>2.投标文件中所有的插字、涂改和增删，必须由法定代表人或经其正式授权的代表在旁边签字或盖章才有效。</w:t>
      </w:r>
    </w:p>
    <w:p>
      <w:pPr>
        <w:autoSpaceDE w:val="0"/>
        <w:autoSpaceDN w:val="0"/>
        <w:adjustRightInd w:val="0"/>
        <w:spacing w:line="360" w:lineRule="auto"/>
        <w:ind w:firstLine="482" w:firstLineChars="200"/>
        <w:rPr>
          <w:rFonts w:asciiTheme="minorEastAsia" w:hAnsiTheme="minorEastAsia"/>
          <w:b/>
          <w:bCs/>
          <w:color w:val="auto"/>
          <w:sz w:val="24"/>
          <w:highlight w:val="none"/>
        </w:rPr>
      </w:pPr>
      <w:r>
        <w:rPr>
          <w:rFonts w:hint="eastAsia" w:asciiTheme="minorEastAsia" w:hAnsiTheme="minorEastAsia"/>
          <w:b/>
          <w:bCs/>
          <w:color w:val="auto"/>
          <w:sz w:val="24"/>
          <w:highlight w:val="none"/>
        </w:rPr>
        <w:t>（五）</w:t>
      </w:r>
      <w:r>
        <w:rPr>
          <w:rFonts w:hint="eastAsia" w:asciiTheme="minorEastAsia" w:hAnsiTheme="minorEastAsia" w:eastAsiaTheme="minorEastAsia"/>
          <w:b/>
          <w:bCs/>
          <w:color w:val="auto"/>
          <w:sz w:val="24"/>
          <w:highlight w:val="none"/>
        </w:rPr>
        <w:t>投标文件</w:t>
      </w:r>
      <w:r>
        <w:rPr>
          <w:rFonts w:hint="eastAsia" w:asciiTheme="minorEastAsia" w:hAnsiTheme="minorEastAsia"/>
          <w:b/>
          <w:bCs/>
          <w:color w:val="auto"/>
          <w:sz w:val="24"/>
          <w:highlight w:val="none"/>
        </w:rPr>
        <w:t>的递交要求</w:t>
      </w:r>
    </w:p>
    <w:p>
      <w:pPr>
        <w:tabs>
          <w:tab w:val="left" w:pos="1418"/>
        </w:tabs>
        <w:autoSpaceDE w:val="0"/>
        <w:autoSpaceDN w:val="0"/>
        <w:adjustRightInd w:val="0"/>
        <w:spacing w:line="360" w:lineRule="auto"/>
        <w:ind w:firstLine="480" w:firstLineChars="200"/>
        <w:rPr>
          <w:rFonts w:hint="eastAsia" w:asciiTheme="minorEastAsia" w:hAnsiTheme="minorEastAsia" w:eastAsiaTheme="minorEastAsia"/>
          <w:color w:val="auto"/>
          <w:kern w:val="0"/>
          <w:sz w:val="24"/>
          <w:highlight w:val="none"/>
        </w:rPr>
      </w:pPr>
      <w:r>
        <w:rPr>
          <w:rFonts w:hint="eastAsia" w:asciiTheme="majorEastAsia" w:hAnsiTheme="majorEastAsia" w:eastAsiaTheme="majorEastAsia" w:cstheme="majorEastAsia"/>
          <w:color w:val="auto"/>
          <w:sz w:val="24"/>
          <w:highlight w:val="none"/>
        </w:rPr>
        <w:t>按照前附表要求提交，</w:t>
      </w:r>
      <w:r>
        <w:rPr>
          <w:rFonts w:hint="eastAsia" w:asciiTheme="minorEastAsia" w:hAnsiTheme="minorEastAsia" w:eastAsiaTheme="minorEastAsia"/>
          <w:color w:val="auto"/>
          <w:kern w:val="0"/>
          <w:sz w:val="24"/>
          <w:highlight w:val="none"/>
        </w:rPr>
        <w:t>如采购组织机构延长截止时间和开标时间，采购组织机构和投标人的权利和义务将受到新的截止时间和开标时间的约束。</w:t>
      </w:r>
    </w:p>
    <w:p>
      <w:pPr>
        <w:pStyle w:val="2"/>
        <w:rPr>
          <w:color w:val="auto"/>
          <w:highlight w:val="none"/>
        </w:rPr>
      </w:pPr>
    </w:p>
    <w:p>
      <w:pPr>
        <w:snapToGrid w:val="0"/>
        <w:spacing w:line="360" w:lineRule="auto"/>
        <w:ind w:firstLine="482" w:firstLineChars="200"/>
        <w:rPr>
          <w:rFonts w:asciiTheme="minorEastAsia" w:hAnsiTheme="minorEastAsia" w:eastAsiaTheme="minorEastAsia"/>
          <w:b/>
          <w:color w:val="auto"/>
          <w:kern w:val="0"/>
          <w:sz w:val="24"/>
          <w:highlight w:val="none"/>
        </w:rPr>
      </w:pPr>
      <w:r>
        <w:rPr>
          <w:rFonts w:hint="eastAsia" w:asciiTheme="minorEastAsia" w:hAnsiTheme="minorEastAsia" w:eastAsiaTheme="minorEastAsia"/>
          <w:b/>
          <w:color w:val="auto"/>
          <w:kern w:val="0"/>
          <w:sz w:val="24"/>
          <w:highlight w:val="none"/>
        </w:rPr>
        <w:t>五、开标</w:t>
      </w:r>
    </w:p>
    <w:p>
      <w:pPr>
        <w:autoSpaceDE w:val="0"/>
        <w:autoSpaceDN w:val="0"/>
        <w:adjustRightInd w:val="0"/>
        <w:spacing w:line="360" w:lineRule="auto"/>
        <w:ind w:firstLine="482" w:firstLineChars="200"/>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（一）开</w:t>
      </w:r>
      <w:r>
        <w:rPr>
          <w:rFonts w:hint="eastAsia" w:asciiTheme="minorEastAsia" w:hAnsiTheme="minorEastAsia" w:eastAsiaTheme="minorEastAsia"/>
          <w:b/>
          <w:color w:val="auto"/>
          <w:sz w:val="24"/>
          <w:highlight w:val="none"/>
        </w:rPr>
        <w:t>标</w:t>
      </w:r>
      <w:r>
        <w:rPr>
          <w:rFonts w:asciiTheme="minorEastAsia" w:hAnsiTheme="minorEastAsia" w:eastAsiaTheme="minorEastAsia"/>
          <w:b/>
          <w:color w:val="auto"/>
          <w:sz w:val="24"/>
          <w:highlight w:val="none"/>
        </w:rPr>
        <w:t>程序</w:t>
      </w:r>
    </w:p>
    <w:p>
      <w:pPr>
        <w:pStyle w:val="8"/>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1.开标时间到后，主持人准时组织开标；</w:t>
      </w:r>
    </w:p>
    <w:p>
      <w:pPr>
        <w:pStyle w:val="8"/>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2.宣布开标纪律；</w:t>
      </w:r>
    </w:p>
    <w:p>
      <w:pPr>
        <w:pStyle w:val="8"/>
        <w:spacing w:line="360" w:lineRule="auto"/>
        <w:ind w:firstLine="480" w:firstLineChars="200"/>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3.宣布采购组织机构工作人员；</w:t>
      </w:r>
    </w:p>
    <w:p>
      <w:pPr>
        <w:pStyle w:val="8"/>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4.投标人登录政采云平台，用“项目采购-开标评标”功能对电子投标文件进行在线解密。在线解密时间为开标时间起半个小时内；</w:t>
      </w:r>
    </w:p>
    <w:p>
      <w:pPr>
        <w:pStyle w:val="8"/>
        <w:spacing w:line="360" w:lineRule="auto"/>
        <w:ind w:firstLine="480" w:firstLineChars="200"/>
        <w:rPr>
          <w:color w:val="auto"/>
          <w:sz w:val="24"/>
          <w:szCs w:val="22"/>
          <w:highlight w:val="none"/>
        </w:rPr>
      </w:pPr>
      <w:r>
        <w:rPr>
          <w:rFonts w:hint="eastAsia" w:cs="宋体" w:asciiTheme="minorEastAsia" w:hAnsiTheme="minorEastAsia" w:eastAsiaTheme="minorEastAsia"/>
          <w:color w:val="auto"/>
          <w:sz w:val="24"/>
          <w:szCs w:val="24"/>
          <w:highlight w:val="none"/>
        </w:rPr>
        <w:t>5.采</w:t>
      </w:r>
      <w:r>
        <w:rPr>
          <w:rFonts w:hint="eastAsia"/>
          <w:color w:val="auto"/>
          <w:sz w:val="24"/>
          <w:szCs w:val="22"/>
          <w:highlight w:val="none"/>
        </w:rPr>
        <w:t>购组织机构工作人员当众宣布投标人名称、投标价格和招标文件规定的需要宣布的其他内容；（以开标一览表要求为准）</w:t>
      </w:r>
    </w:p>
    <w:p>
      <w:pPr>
        <w:pStyle w:val="8"/>
        <w:spacing w:line="360" w:lineRule="auto"/>
        <w:ind w:firstLine="480" w:firstLineChars="200"/>
        <w:rPr>
          <w:rFonts w:cs="宋体" w:asciiTheme="minorEastAsia" w:hAnsiTheme="minorEastAsia" w:eastAsiaTheme="minorEastAsia"/>
          <w:color w:val="auto"/>
          <w:sz w:val="24"/>
          <w:szCs w:val="24"/>
          <w:highlight w:val="none"/>
        </w:rPr>
      </w:pPr>
      <w:r>
        <w:rPr>
          <w:rFonts w:hint="eastAsia" w:cs="宋体" w:asciiTheme="minorEastAsia" w:hAnsiTheme="minorEastAsia" w:eastAsiaTheme="minorEastAsia"/>
          <w:color w:val="auto"/>
          <w:sz w:val="24"/>
          <w:szCs w:val="24"/>
          <w:highlight w:val="none"/>
        </w:rPr>
        <w:t>6.公布开标结果。</w:t>
      </w:r>
    </w:p>
    <w:p>
      <w:pPr>
        <w:pStyle w:val="8"/>
        <w:spacing w:line="360" w:lineRule="auto"/>
        <w:ind w:firstLine="482" w:firstLineChars="200"/>
        <w:rPr>
          <w:b/>
          <w:bCs/>
          <w:color w:val="auto"/>
          <w:sz w:val="24"/>
          <w:szCs w:val="22"/>
          <w:highlight w:val="none"/>
        </w:rPr>
      </w:pPr>
      <w:r>
        <w:rPr>
          <w:rFonts w:hint="eastAsia"/>
          <w:b/>
          <w:bCs/>
          <w:color w:val="auto"/>
          <w:sz w:val="24"/>
          <w:szCs w:val="22"/>
          <w:highlight w:val="none"/>
        </w:rPr>
        <w:t>（二）开标异议</w:t>
      </w:r>
    </w:p>
    <w:p>
      <w:pPr>
        <w:pStyle w:val="8"/>
        <w:spacing w:line="360" w:lineRule="auto"/>
        <w:ind w:firstLine="480" w:firstLineChars="200"/>
        <w:rPr>
          <w:color w:val="auto"/>
          <w:sz w:val="24"/>
          <w:szCs w:val="22"/>
          <w:highlight w:val="none"/>
        </w:rPr>
      </w:pPr>
      <w:r>
        <w:rPr>
          <w:rFonts w:hint="eastAsia"/>
          <w:color w:val="auto"/>
          <w:sz w:val="24"/>
          <w:szCs w:val="22"/>
          <w:highlight w:val="none"/>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8"/>
        <w:spacing w:line="360" w:lineRule="auto"/>
        <w:ind w:firstLine="482" w:firstLineChars="200"/>
        <w:rPr>
          <w:color w:val="auto"/>
          <w:sz w:val="24"/>
          <w:szCs w:val="22"/>
          <w:highlight w:val="none"/>
        </w:rPr>
      </w:pPr>
      <w:r>
        <w:rPr>
          <w:rFonts w:hint="eastAsia"/>
          <w:b/>
          <w:bCs/>
          <w:color w:val="auto"/>
          <w:sz w:val="24"/>
          <w:szCs w:val="22"/>
          <w:highlight w:val="none"/>
        </w:rPr>
        <w:t>（三）</w:t>
      </w:r>
      <w:r>
        <w:rPr>
          <w:rFonts w:hint="eastAsia"/>
          <w:color w:val="auto"/>
          <w:sz w:val="24"/>
          <w:szCs w:val="22"/>
          <w:highlight w:val="none"/>
        </w:rPr>
        <w:t>投标人不足三家，不得开标。</w:t>
      </w:r>
    </w:p>
    <w:p>
      <w:pPr>
        <w:pStyle w:val="12"/>
        <w:snapToGrid w:val="0"/>
        <w:spacing w:line="360" w:lineRule="auto"/>
        <w:ind w:firstLine="482" w:firstLineChars="200"/>
        <w:outlineLvl w:val="1"/>
        <w:rPr>
          <w:rFonts w:asciiTheme="minorEastAsia" w:hAnsiTheme="minorEastAsia"/>
          <w:b/>
          <w:color w:val="auto"/>
          <w:sz w:val="24"/>
          <w:highlight w:val="none"/>
        </w:rPr>
      </w:pPr>
      <w:r>
        <w:rPr>
          <w:rFonts w:hint="eastAsia" w:asciiTheme="minorEastAsia" w:hAnsiTheme="minorEastAsia" w:eastAsiaTheme="minorEastAsia"/>
          <w:b/>
          <w:color w:val="auto"/>
          <w:sz w:val="24"/>
          <w:highlight w:val="none"/>
        </w:rPr>
        <w:t>五、评标（详见第四章）</w:t>
      </w:r>
    </w:p>
    <w:p>
      <w:pPr>
        <w:pStyle w:val="17"/>
        <w:spacing w:before="0" w:beforeAutospacing="0" w:after="0" w:afterAutospacing="0" w:line="360" w:lineRule="auto"/>
        <w:ind w:firstLine="482" w:firstLineChars="200"/>
        <w:jc w:val="both"/>
        <w:rPr>
          <w:rFonts w:hint="default" w:asciiTheme="minorEastAsia" w:hAnsiTheme="minorEastAsia" w:eastAsiaTheme="minorEastAsia"/>
          <w:b/>
          <w:color w:val="auto"/>
          <w:highlight w:val="none"/>
        </w:rPr>
      </w:pPr>
      <w:r>
        <w:rPr>
          <w:rFonts w:asciiTheme="minorEastAsia" w:hAnsiTheme="minorEastAsia" w:eastAsiaTheme="minorEastAsia"/>
          <w:b/>
          <w:color w:val="auto"/>
          <w:highlight w:val="none"/>
        </w:rPr>
        <w:t>六、定标</w:t>
      </w:r>
    </w:p>
    <w:p>
      <w:pPr>
        <w:pStyle w:val="17"/>
        <w:spacing w:before="0" w:beforeAutospacing="0" w:after="0" w:afterAutospacing="0" w:line="360" w:lineRule="auto"/>
        <w:ind w:firstLine="480" w:firstLineChars="20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（一）</w:t>
      </w:r>
      <w:r>
        <w:rPr>
          <w:color w:val="auto"/>
          <w:highlight w:val="none"/>
        </w:rPr>
        <w:t>确定中标人。</w:t>
      </w:r>
      <w:r>
        <w:rPr>
          <w:rFonts w:asciiTheme="minorEastAsia" w:hAnsiTheme="minorEastAsia" w:eastAsiaTheme="minorEastAsia"/>
          <w:color w:val="auto"/>
          <w:highlight w:val="none"/>
        </w:rPr>
        <w:t>评标委员会根据采购单位的</w:t>
      </w:r>
      <w:r>
        <w:rPr>
          <w:color w:val="auto"/>
          <w:highlight w:val="none"/>
        </w:rPr>
        <w:t>《授权意见确认书》</w:t>
      </w:r>
      <w:r>
        <w:rPr>
          <w:rFonts w:asciiTheme="minorEastAsia" w:hAnsiTheme="minorEastAsia" w:eastAsiaTheme="minorEastAsia"/>
          <w:color w:val="auto"/>
          <w:highlight w:val="none"/>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0" w:firstLineChars="200"/>
        <w:rPr>
          <w:rFonts w:ascii="宋体" w:hAnsi="宋体"/>
          <w:color w:val="auto"/>
          <w:kern w:val="0"/>
          <w:sz w:val="24"/>
          <w:highlight w:val="none"/>
        </w:rPr>
      </w:pPr>
      <w:r>
        <w:rPr>
          <w:rFonts w:hint="eastAsia" w:asciiTheme="minorEastAsia" w:hAnsiTheme="minorEastAsia" w:eastAsiaTheme="minorEastAsia"/>
          <w:color w:val="auto"/>
          <w:sz w:val="24"/>
          <w:highlight w:val="none"/>
        </w:rPr>
        <w:t>（二）</w:t>
      </w:r>
      <w:r>
        <w:rPr>
          <w:rFonts w:hint="eastAsia" w:ascii="宋体" w:hAnsi="宋体"/>
          <w:color w:val="auto"/>
          <w:kern w:val="0"/>
          <w:sz w:val="24"/>
          <w:highlight w:val="none"/>
        </w:rPr>
        <w:t>发布</w:t>
      </w:r>
      <w:r>
        <w:rPr>
          <w:color w:val="auto"/>
          <w:sz w:val="24"/>
          <w:highlight w:val="none"/>
        </w:rPr>
        <w:t>中标</w:t>
      </w:r>
      <w:r>
        <w:rPr>
          <w:rFonts w:hint="eastAsia" w:ascii="宋体" w:hAnsi="宋体"/>
          <w:color w:val="auto"/>
          <w:kern w:val="0"/>
          <w:sz w:val="24"/>
          <w:highlight w:val="none"/>
        </w:rPr>
        <w:t>结果公告。采购组织机构自中标人</w:t>
      </w:r>
      <w:r>
        <w:rPr>
          <w:rFonts w:ascii="宋体" w:hAnsi="宋体"/>
          <w:color w:val="auto"/>
          <w:kern w:val="0"/>
          <w:sz w:val="24"/>
          <w:highlight w:val="none"/>
        </w:rPr>
        <w:t>确定</w:t>
      </w:r>
      <w:r>
        <w:rPr>
          <w:rFonts w:hint="eastAsia" w:ascii="宋体" w:hAnsi="宋体"/>
          <w:color w:val="auto"/>
          <w:kern w:val="0"/>
          <w:sz w:val="24"/>
          <w:highlight w:val="none"/>
        </w:rPr>
        <w:t>之日起</w:t>
      </w:r>
      <w:r>
        <w:rPr>
          <w:rFonts w:ascii="宋体" w:hAnsi="宋体"/>
          <w:color w:val="auto"/>
          <w:kern w:val="0"/>
          <w:sz w:val="24"/>
          <w:highlight w:val="none"/>
        </w:rPr>
        <w:t>2个工作日内</w:t>
      </w:r>
      <w:r>
        <w:rPr>
          <w:rFonts w:hint="eastAsia" w:ascii="宋体" w:hAnsi="宋体"/>
          <w:color w:val="auto"/>
          <w:kern w:val="0"/>
          <w:sz w:val="24"/>
          <w:highlight w:val="none"/>
        </w:rPr>
        <w:t>，</w:t>
      </w:r>
      <w:r>
        <w:rPr>
          <w:rFonts w:ascii="宋体" w:hAnsi="宋体"/>
          <w:color w:val="auto"/>
          <w:kern w:val="0"/>
          <w:sz w:val="24"/>
          <w:highlight w:val="none"/>
        </w:rPr>
        <w:t>在</w:t>
      </w:r>
      <w:r>
        <w:rPr>
          <w:rFonts w:hint="eastAsia" w:ascii="宋体" w:hAnsi="宋体"/>
          <w:color w:val="auto"/>
          <w:kern w:val="0"/>
          <w:sz w:val="24"/>
          <w:highlight w:val="none"/>
        </w:rPr>
        <w:t>浙江</w:t>
      </w:r>
      <w:r>
        <w:rPr>
          <w:rFonts w:ascii="宋体" w:hAnsi="宋体"/>
          <w:color w:val="auto"/>
          <w:kern w:val="0"/>
          <w:sz w:val="24"/>
          <w:highlight w:val="none"/>
        </w:rPr>
        <w:t>省</w:t>
      </w:r>
      <w:r>
        <w:rPr>
          <w:rFonts w:hint="eastAsia" w:ascii="宋体" w:hAnsi="宋体"/>
          <w:color w:val="auto"/>
          <w:kern w:val="0"/>
          <w:sz w:val="24"/>
          <w:highlight w:val="none"/>
        </w:rPr>
        <w:t>政府采购</w:t>
      </w:r>
      <w:r>
        <w:rPr>
          <w:rFonts w:ascii="宋体" w:hAnsi="宋体"/>
          <w:color w:val="auto"/>
          <w:kern w:val="0"/>
          <w:sz w:val="24"/>
          <w:highlight w:val="none"/>
        </w:rPr>
        <w:t>网</w:t>
      </w:r>
      <w:r>
        <w:rPr>
          <w:rFonts w:hint="eastAsia" w:ascii="宋体" w:hAnsi="宋体"/>
          <w:color w:val="auto"/>
          <w:kern w:val="0"/>
          <w:sz w:val="24"/>
          <w:highlight w:val="none"/>
        </w:rPr>
        <w:t>和台州市公共资源交易网上</w:t>
      </w:r>
      <w:r>
        <w:rPr>
          <w:rFonts w:ascii="宋体" w:hAnsi="宋体"/>
          <w:color w:val="auto"/>
          <w:kern w:val="0"/>
          <w:sz w:val="24"/>
          <w:highlight w:val="none"/>
        </w:rPr>
        <w:t>公告</w:t>
      </w:r>
      <w:r>
        <w:rPr>
          <w:rFonts w:hint="eastAsia" w:ascii="宋体" w:hAnsi="宋体"/>
          <w:color w:val="auto"/>
          <w:kern w:val="0"/>
          <w:sz w:val="24"/>
          <w:highlight w:val="none"/>
        </w:rPr>
        <w:t>中标结果，</w:t>
      </w:r>
      <w:r>
        <w:rPr>
          <w:color w:val="auto"/>
          <w:sz w:val="24"/>
          <w:highlight w:val="none"/>
        </w:rPr>
        <w:t>中标结果公告期为 1 个工作日</w:t>
      </w:r>
      <w:r>
        <w:rPr>
          <w:rFonts w:hint="eastAsia" w:ascii="宋体" w:hAnsi="宋体"/>
          <w:color w:val="auto"/>
          <w:kern w:val="0"/>
          <w:sz w:val="24"/>
          <w:highlight w:val="none"/>
        </w:rPr>
        <w:t>。</w:t>
      </w:r>
    </w:p>
    <w:p>
      <w:pPr>
        <w:pStyle w:val="9"/>
        <w:spacing w:line="360" w:lineRule="auto"/>
        <w:ind w:firstLine="480" w:firstLineChars="200"/>
        <w:jc w:val="both"/>
        <w:rPr>
          <w:color w:val="auto"/>
          <w:highlight w:val="none"/>
        </w:rPr>
      </w:pPr>
      <w:r>
        <w:rPr>
          <w:rFonts w:hint="eastAsia" w:ascii="宋体" w:hAnsi="宋体"/>
          <w:color w:val="auto"/>
          <w:kern w:val="0"/>
          <w:sz w:val="24"/>
          <w:highlight w:val="none"/>
        </w:rPr>
        <w:t>（三）发放中标通知书。采购组织机构在发布中标结果公告的同时，</w:t>
      </w:r>
      <w:r>
        <w:rPr>
          <w:rFonts w:hint="eastAsia"/>
          <w:color w:val="auto"/>
          <w:sz w:val="24"/>
          <w:highlight w:val="none"/>
        </w:rPr>
        <w:t>通过政采云平台</w:t>
      </w:r>
      <w:r>
        <w:rPr>
          <w:rFonts w:hint="eastAsia" w:ascii="宋体" w:hAnsi="宋体"/>
          <w:color w:val="auto"/>
          <w:kern w:val="0"/>
          <w:sz w:val="24"/>
          <w:highlight w:val="none"/>
        </w:rPr>
        <w:t>向中标人</w:t>
      </w:r>
      <w:r>
        <w:rPr>
          <w:rFonts w:hint="eastAsia"/>
          <w:color w:val="auto"/>
          <w:sz w:val="24"/>
          <w:highlight w:val="none"/>
        </w:rPr>
        <w:t>发放中标通知书</w:t>
      </w:r>
      <w:r>
        <w:rPr>
          <w:rFonts w:hint="eastAsia" w:ascii="宋体" w:hAnsi="宋体"/>
          <w:color w:val="auto"/>
          <w:kern w:val="0"/>
          <w:sz w:val="24"/>
          <w:highlight w:val="none"/>
        </w:rPr>
        <w:t>。</w:t>
      </w:r>
    </w:p>
    <w:p>
      <w:pPr>
        <w:spacing w:line="360" w:lineRule="auto"/>
        <w:ind w:firstLine="482" w:firstLineChars="200"/>
        <w:rPr>
          <w:rFonts w:ascii="宋体" w:hAnsi="宋体"/>
          <w:color w:val="auto"/>
          <w:kern w:val="0"/>
          <w:sz w:val="24"/>
          <w:highlight w:val="none"/>
        </w:rPr>
      </w:pPr>
      <w:r>
        <w:rPr>
          <w:rFonts w:hint="eastAsia" w:asciiTheme="minorEastAsia" w:hAnsiTheme="minorEastAsia" w:eastAsiaTheme="minorEastAsia"/>
          <w:b/>
          <w:color w:val="auto"/>
          <w:sz w:val="24"/>
          <w:highlight w:val="none"/>
        </w:rPr>
        <w:t>七</w:t>
      </w:r>
      <w:r>
        <w:rPr>
          <w:rFonts w:asciiTheme="minorEastAsia" w:hAnsiTheme="minorEastAsia" w:eastAsiaTheme="minorEastAsia"/>
          <w:b/>
          <w:color w:val="auto"/>
          <w:sz w:val="24"/>
          <w:highlight w:val="none"/>
        </w:rPr>
        <w:t>、</w:t>
      </w:r>
      <w:r>
        <w:rPr>
          <w:rFonts w:hint="eastAsia" w:ascii="宋体" w:hAnsi="宋体"/>
          <w:b/>
          <w:color w:val="auto"/>
          <w:kern w:val="0"/>
          <w:sz w:val="24"/>
          <w:highlight w:val="none"/>
        </w:rPr>
        <w:t>合同签订及公告</w:t>
      </w:r>
    </w:p>
    <w:p>
      <w:pPr>
        <w:spacing w:line="360" w:lineRule="auto"/>
        <w:ind w:firstLine="482" w:firstLineChars="200"/>
        <w:rPr>
          <w:rFonts w:ascii="宋体" w:hAnsi="宋体"/>
          <w:b/>
          <w:color w:val="auto"/>
          <w:kern w:val="0"/>
          <w:sz w:val="24"/>
          <w:highlight w:val="none"/>
        </w:rPr>
      </w:pPr>
      <w:r>
        <w:rPr>
          <w:rFonts w:hint="eastAsia" w:ascii="宋体" w:hAnsi="宋体"/>
          <w:b/>
          <w:color w:val="auto"/>
          <w:sz w:val="24"/>
          <w:highlight w:val="none"/>
        </w:rPr>
        <w:t>（一）签订合同</w:t>
      </w:r>
    </w:p>
    <w:p>
      <w:pPr>
        <w:pStyle w:val="17"/>
        <w:spacing w:before="0" w:beforeAutospacing="0" w:after="0" w:afterAutospacing="0" w:line="360" w:lineRule="auto"/>
        <w:ind w:firstLine="480" w:firstLineChars="200"/>
        <w:jc w:val="both"/>
        <w:rPr>
          <w:rFonts w:hint="default"/>
          <w:color w:val="auto"/>
          <w:highlight w:val="none"/>
        </w:rPr>
      </w:pPr>
      <w:r>
        <w:rPr>
          <w:color w:val="auto"/>
          <w:highlight w:val="none"/>
        </w:rPr>
        <w:t>1.采购人应当自中标通知书发出之日起30日内，按照招标文件和中标人投标文件内容要求，与中标人签订书面合同或者电子合同。所签订的合同不得对招标文件确定的事项和中标人投标文件作实质性修改。</w:t>
      </w:r>
    </w:p>
    <w:p>
      <w:pPr>
        <w:pStyle w:val="17"/>
        <w:spacing w:before="0" w:beforeAutospacing="0" w:after="0" w:afterAutospacing="0" w:line="360" w:lineRule="auto"/>
        <w:ind w:firstLine="480" w:firstLineChars="200"/>
        <w:jc w:val="both"/>
        <w:rPr>
          <w:rFonts w:hint="default"/>
          <w:color w:val="auto"/>
          <w:highlight w:val="none"/>
        </w:rPr>
      </w:pPr>
      <w:r>
        <w:rPr>
          <w:color w:val="auto"/>
          <w:highlight w:val="none"/>
        </w:rPr>
        <w:t>2.采购人不得向中标人提出任何不合理的要求作为签订合同的条件。</w:t>
      </w:r>
    </w:p>
    <w:p>
      <w:pPr>
        <w:pStyle w:val="17"/>
        <w:spacing w:before="0" w:beforeAutospacing="0" w:after="0" w:afterAutospacing="0" w:line="360" w:lineRule="auto"/>
        <w:ind w:firstLine="480" w:firstLineChars="200"/>
        <w:jc w:val="both"/>
        <w:rPr>
          <w:rFonts w:hint="default"/>
          <w:color w:val="auto"/>
          <w:highlight w:val="none"/>
        </w:rPr>
      </w:pPr>
      <w:r>
        <w:rPr>
          <w:color w:val="auto"/>
          <w:highlight w:val="none"/>
        </w:rPr>
        <w:t>3.中标人无故拖延、拒签合同的,将取消中标资格。</w:t>
      </w:r>
    </w:p>
    <w:p>
      <w:pPr>
        <w:pStyle w:val="17"/>
        <w:spacing w:before="0" w:beforeAutospacing="0" w:after="0" w:afterAutospacing="0" w:line="360" w:lineRule="auto"/>
        <w:ind w:firstLine="480" w:firstLineChars="200"/>
        <w:jc w:val="both"/>
        <w:rPr>
          <w:rFonts w:hint="default"/>
          <w:color w:val="auto"/>
          <w:highlight w:val="none"/>
        </w:rPr>
      </w:pPr>
      <w:r>
        <w:rPr>
          <w:color w:val="auto"/>
          <w:highlight w:val="none"/>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17"/>
        <w:spacing w:before="0" w:beforeAutospacing="0" w:after="0" w:afterAutospacing="0" w:line="360" w:lineRule="auto"/>
        <w:ind w:firstLine="480" w:firstLineChars="200"/>
        <w:jc w:val="both"/>
        <w:rPr>
          <w:rFonts w:hint="default"/>
          <w:color w:val="auto"/>
          <w:highlight w:val="none"/>
        </w:rPr>
      </w:pPr>
      <w:r>
        <w:rPr>
          <w:color w:val="auto"/>
          <w:highlight w:val="none"/>
        </w:rPr>
        <w:t>5.询问或者质疑事项可能影响中标结果的，采购人应当暂停签订合同，已经签订合同的，应当中止履行合同。</w:t>
      </w:r>
    </w:p>
    <w:p>
      <w:pPr>
        <w:pStyle w:val="17"/>
        <w:spacing w:before="0" w:beforeAutospacing="0" w:after="0" w:afterAutospacing="0" w:line="360" w:lineRule="auto"/>
        <w:ind w:firstLine="482" w:firstLineChars="200"/>
        <w:jc w:val="both"/>
        <w:rPr>
          <w:rFonts w:hint="default" w:cs="仿宋_GB2312"/>
          <w:b/>
          <w:color w:val="auto"/>
          <w:highlight w:val="none"/>
        </w:rPr>
      </w:pPr>
      <w:r>
        <w:rPr>
          <w:b/>
          <w:color w:val="auto"/>
          <w:highlight w:val="none"/>
        </w:rPr>
        <w:t>（二）合同公告及备案</w:t>
      </w:r>
    </w:p>
    <w:p>
      <w:pPr>
        <w:pStyle w:val="3"/>
        <w:spacing w:after="0" w:line="360" w:lineRule="auto"/>
        <w:ind w:left="0" w:leftChars="0" w:firstLine="480" w:firstLineChars="200"/>
        <w:rPr>
          <w:rFonts w:ascii="宋体" w:hAnsi="宋体"/>
          <w:color w:val="auto"/>
          <w:sz w:val="24"/>
          <w:highlight w:val="none"/>
        </w:rPr>
      </w:pPr>
      <w:r>
        <w:rPr>
          <w:rFonts w:hint="eastAsia" w:ascii="宋体" w:hAnsi="宋体"/>
          <w:color w:val="auto"/>
          <w:sz w:val="24"/>
          <w:highlight w:val="none"/>
        </w:rPr>
        <w:t>1.采购人应当自合同签订之日起2个工作日内，</w:t>
      </w:r>
      <w:r>
        <w:rPr>
          <w:rFonts w:ascii="宋体" w:hAnsi="宋体"/>
          <w:color w:val="auto"/>
          <w:kern w:val="0"/>
          <w:sz w:val="24"/>
          <w:highlight w:val="none"/>
        </w:rPr>
        <w:t>在省级以上财政部门指定的</w:t>
      </w:r>
      <w:r>
        <w:rPr>
          <w:rFonts w:hint="eastAsia" w:ascii="宋体" w:hAnsi="宋体"/>
          <w:color w:val="auto"/>
          <w:kern w:val="0"/>
          <w:sz w:val="24"/>
          <w:highlight w:val="none"/>
        </w:rPr>
        <w:t>政府采购信息发布</w:t>
      </w:r>
      <w:r>
        <w:rPr>
          <w:rFonts w:ascii="宋体" w:hAnsi="宋体"/>
          <w:color w:val="auto"/>
          <w:kern w:val="0"/>
          <w:sz w:val="24"/>
          <w:highlight w:val="none"/>
        </w:rPr>
        <w:t>媒体及相关网站</w:t>
      </w:r>
      <w:r>
        <w:rPr>
          <w:rFonts w:hint="eastAsia" w:ascii="宋体" w:hAnsi="宋体"/>
          <w:color w:val="auto"/>
          <w:kern w:val="0"/>
          <w:sz w:val="24"/>
          <w:highlight w:val="none"/>
        </w:rPr>
        <w:t>上</w:t>
      </w:r>
      <w:r>
        <w:rPr>
          <w:rFonts w:ascii="宋体" w:hAnsi="宋体"/>
          <w:color w:val="auto"/>
          <w:kern w:val="0"/>
          <w:sz w:val="24"/>
          <w:highlight w:val="none"/>
        </w:rPr>
        <w:t>公告</w:t>
      </w:r>
      <w:r>
        <w:rPr>
          <w:rFonts w:hint="eastAsia" w:ascii="宋体" w:hAnsi="宋体"/>
          <w:color w:val="auto"/>
          <w:sz w:val="24"/>
          <w:highlight w:val="none"/>
        </w:rPr>
        <w:t>。</w:t>
      </w:r>
    </w:p>
    <w:p>
      <w:pPr>
        <w:pStyle w:val="9"/>
        <w:spacing w:line="360" w:lineRule="auto"/>
        <w:ind w:firstLine="480" w:firstLineChars="200"/>
        <w:jc w:val="both"/>
        <w:rPr>
          <w:rFonts w:ascii="宋体" w:hAnsi="宋体"/>
          <w:color w:val="auto"/>
          <w:sz w:val="24"/>
          <w:highlight w:val="none"/>
        </w:rPr>
      </w:pPr>
      <w:r>
        <w:rPr>
          <w:rFonts w:hint="eastAsia" w:ascii="宋体" w:hAnsi="宋体"/>
          <w:color w:val="auto"/>
          <w:sz w:val="24"/>
          <w:highlight w:val="none"/>
        </w:rPr>
        <w:t>2.采购人应当自合同签订之日起7个工作日内，</w:t>
      </w:r>
      <w:r>
        <w:rPr>
          <w:rFonts w:hint="eastAsia"/>
          <w:color w:val="auto"/>
          <w:sz w:val="24"/>
          <w:highlight w:val="none"/>
        </w:rPr>
        <w:t>将合同通过政采云平台提交至</w:t>
      </w:r>
      <w:r>
        <w:rPr>
          <w:rFonts w:hint="eastAsia" w:ascii="宋体" w:hAnsi="宋体"/>
          <w:color w:val="auto"/>
          <w:sz w:val="24"/>
          <w:highlight w:val="none"/>
        </w:rPr>
        <w:t>同级人民政府财政部门备案存档。</w:t>
      </w:r>
    </w:p>
    <w:p>
      <w:pPr>
        <w:pStyle w:val="9"/>
        <w:spacing w:line="360" w:lineRule="auto"/>
        <w:ind w:firstLine="482" w:firstLineChars="200"/>
        <w:jc w:val="both"/>
        <w:rPr>
          <w:rFonts w:ascii="宋体" w:hAnsi="宋体"/>
          <w:b/>
          <w:bCs/>
          <w:color w:val="auto"/>
          <w:sz w:val="24"/>
          <w:highlight w:val="none"/>
        </w:rPr>
      </w:pPr>
      <w:r>
        <w:rPr>
          <w:rFonts w:hint="eastAsia" w:ascii="宋体" w:hAnsi="宋体"/>
          <w:b/>
          <w:bCs/>
          <w:color w:val="auto"/>
          <w:sz w:val="24"/>
          <w:highlight w:val="none"/>
        </w:rPr>
        <w:t>八、询问、质疑与投诉</w:t>
      </w:r>
    </w:p>
    <w:p>
      <w:pPr>
        <w:pStyle w:val="9"/>
        <w:spacing w:line="360" w:lineRule="auto"/>
        <w:ind w:firstLine="482" w:firstLineChars="200"/>
        <w:jc w:val="both"/>
        <w:rPr>
          <w:rFonts w:ascii="宋体" w:hAnsi="宋体"/>
          <w:b/>
          <w:bCs/>
          <w:color w:val="auto"/>
          <w:sz w:val="24"/>
          <w:highlight w:val="none"/>
        </w:rPr>
      </w:pPr>
      <w:r>
        <w:rPr>
          <w:rFonts w:hint="eastAsia" w:ascii="宋体" w:hAnsi="宋体"/>
          <w:b/>
          <w:bCs/>
          <w:color w:val="auto"/>
          <w:sz w:val="24"/>
          <w:highlight w:val="none"/>
        </w:rPr>
        <w:t>（一）询问</w:t>
      </w:r>
    </w:p>
    <w:p>
      <w:pPr>
        <w:pStyle w:val="9"/>
        <w:spacing w:line="360" w:lineRule="auto"/>
        <w:ind w:firstLine="480" w:firstLineChars="200"/>
        <w:jc w:val="both"/>
        <w:rPr>
          <w:rFonts w:ascii="宋体" w:hAnsi="宋体"/>
          <w:color w:val="auto"/>
          <w:sz w:val="24"/>
          <w:highlight w:val="none"/>
        </w:rPr>
      </w:pPr>
      <w:r>
        <w:rPr>
          <w:rFonts w:hint="eastAsia" w:ascii="宋体" w:hAnsi="宋体"/>
          <w:color w:val="auto"/>
          <w:sz w:val="24"/>
          <w:highlight w:val="none"/>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w:t>
      </w:r>
      <w:r>
        <w:rPr>
          <w:rFonts w:hint="eastAsia"/>
          <w:color w:val="auto"/>
          <w:sz w:val="24"/>
          <w:highlight w:val="none"/>
        </w:rPr>
        <w:t>第一章“</w:t>
      </w:r>
      <w:r>
        <w:rPr>
          <w:rFonts w:hint="eastAsia" w:ascii="宋体" w:hAnsi="宋体"/>
          <w:color w:val="auto"/>
          <w:sz w:val="24"/>
          <w:highlight w:val="none"/>
        </w:rPr>
        <w:t>投标邀请</w:t>
      </w:r>
      <w:r>
        <w:rPr>
          <w:rFonts w:hint="eastAsia"/>
          <w:color w:val="auto"/>
          <w:sz w:val="24"/>
          <w:highlight w:val="none"/>
        </w:rPr>
        <w:t>”</w:t>
      </w:r>
      <w:r>
        <w:rPr>
          <w:rFonts w:hint="eastAsia" w:ascii="宋体" w:hAnsi="宋体"/>
          <w:color w:val="auto"/>
          <w:sz w:val="24"/>
          <w:highlight w:val="none"/>
        </w:rPr>
        <w:t>中“采购人、采购组织机构的名称、地址和联系方式”。</w:t>
      </w:r>
    </w:p>
    <w:p>
      <w:pPr>
        <w:pStyle w:val="9"/>
        <w:spacing w:line="360" w:lineRule="auto"/>
        <w:ind w:firstLine="482" w:firstLineChars="200"/>
        <w:jc w:val="both"/>
        <w:rPr>
          <w:rFonts w:ascii="宋体" w:hAnsi="宋体"/>
          <w:b/>
          <w:bCs/>
          <w:color w:val="auto"/>
          <w:sz w:val="24"/>
          <w:highlight w:val="none"/>
        </w:rPr>
      </w:pPr>
      <w:r>
        <w:rPr>
          <w:rFonts w:hint="eastAsia" w:ascii="宋体" w:hAnsi="宋体"/>
          <w:b/>
          <w:bCs/>
          <w:color w:val="auto"/>
          <w:sz w:val="24"/>
          <w:highlight w:val="none"/>
        </w:rPr>
        <w:t>（二）质疑</w:t>
      </w:r>
    </w:p>
    <w:p>
      <w:pPr>
        <w:pStyle w:val="9"/>
        <w:spacing w:line="360" w:lineRule="auto"/>
        <w:ind w:firstLine="480" w:firstLineChars="200"/>
        <w:jc w:val="both"/>
        <w:rPr>
          <w:rFonts w:ascii="宋体" w:hAnsi="宋体"/>
          <w:color w:val="auto"/>
          <w:sz w:val="24"/>
          <w:highlight w:val="none"/>
        </w:rPr>
      </w:pPr>
      <w:r>
        <w:rPr>
          <w:rFonts w:hint="eastAsia" w:ascii="宋体" w:hAnsi="宋体"/>
          <w:color w:val="auto"/>
          <w:sz w:val="24"/>
          <w:highlight w:val="none"/>
        </w:rPr>
        <w:t>1.报名本项目的投标人认为招标文件、采购过程和中标结果使自己的权益受到损害的，以书面形式或政采云平台的质疑系统一次性向采购人或采购组织机构提出质疑：</w:t>
      </w:r>
    </w:p>
    <w:p>
      <w:pPr>
        <w:pStyle w:val="9"/>
        <w:spacing w:line="360" w:lineRule="auto"/>
        <w:ind w:firstLine="480" w:firstLineChars="200"/>
        <w:jc w:val="both"/>
        <w:rPr>
          <w:rFonts w:ascii="宋体" w:hAnsi="宋体"/>
          <w:color w:val="auto"/>
          <w:sz w:val="24"/>
          <w:highlight w:val="none"/>
        </w:rPr>
      </w:pPr>
      <w:r>
        <w:rPr>
          <w:rFonts w:hint="eastAsia" w:ascii="宋体" w:hAnsi="宋体"/>
          <w:color w:val="auto"/>
          <w:sz w:val="24"/>
          <w:highlight w:val="none"/>
        </w:rPr>
        <w:t>（1）投标人认为招标文件的内容损害其权益的，应当自获取之日起（获取截止日之后收到招标文件的，以获取截止日为准）7个工作日内提出质疑；</w:t>
      </w:r>
    </w:p>
    <w:p>
      <w:pPr>
        <w:pStyle w:val="9"/>
        <w:spacing w:line="360" w:lineRule="auto"/>
        <w:ind w:firstLine="480" w:firstLineChars="200"/>
        <w:jc w:val="both"/>
        <w:rPr>
          <w:rFonts w:ascii="宋体" w:hAnsi="宋体"/>
          <w:color w:val="auto"/>
          <w:sz w:val="24"/>
          <w:highlight w:val="none"/>
        </w:rPr>
      </w:pPr>
      <w:r>
        <w:rPr>
          <w:rFonts w:hint="eastAsia" w:ascii="宋体" w:hAnsi="宋体"/>
          <w:color w:val="auto"/>
          <w:sz w:val="24"/>
          <w:highlight w:val="none"/>
        </w:rPr>
        <w:t>（2）投标人对采购过程提出质疑的，应当在各采购程序环节结束之日起7个工作日内提出质疑；</w:t>
      </w:r>
    </w:p>
    <w:p>
      <w:pPr>
        <w:pStyle w:val="9"/>
        <w:spacing w:line="360" w:lineRule="auto"/>
        <w:ind w:firstLine="480" w:firstLineChars="200"/>
        <w:jc w:val="both"/>
        <w:rPr>
          <w:rFonts w:ascii="宋体" w:hAnsi="宋体"/>
          <w:color w:val="auto"/>
          <w:sz w:val="24"/>
          <w:highlight w:val="none"/>
        </w:rPr>
      </w:pPr>
      <w:r>
        <w:rPr>
          <w:rFonts w:hint="eastAsia" w:ascii="宋体" w:hAnsi="宋体"/>
          <w:color w:val="auto"/>
          <w:sz w:val="24"/>
          <w:highlight w:val="none"/>
        </w:rPr>
        <w:t>（3）投标人对中标结果提出质疑的，应当在中标结果公告期限届满之日起7个工作日内提出质疑；</w:t>
      </w:r>
    </w:p>
    <w:p>
      <w:pPr>
        <w:pStyle w:val="9"/>
        <w:spacing w:line="360" w:lineRule="auto"/>
        <w:ind w:firstLine="480" w:firstLineChars="200"/>
        <w:jc w:val="both"/>
        <w:rPr>
          <w:rFonts w:ascii="宋体" w:hAnsi="宋体"/>
          <w:color w:val="auto"/>
          <w:sz w:val="24"/>
          <w:highlight w:val="none"/>
        </w:rPr>
      </w:pPr>
      <w:r>
        <w:rPr>
          <w:rFonts w:hint="eastAsia" w:ascii="宋体" w:hAnsi="宋体"/>
          <w:color w:val="auto"/>
          <w:sz w:val="24"/>
          <w:highlight w:val="none"/>
        </w:rPr>
        <w:t>2.采购人或采购组织机构在收到投标人的书面质疑后7个工作日内作出答复，并以书面形式或政采云平台回复质疑投标人和其他有关投标人，但答复内容不涉及商业秘密。</w:t>
      </w:r>
    </w:p>
    <w:p>
      <w:pPr>
        <w:pStyle w:val="9"/>
        <w:spacing w:line="360" w:lineRule="auto"/>
        <w:ind w:firstLine="480" w:firstLineChars="200"/>
        <w:jc w:val="both"/>
        <w:rPr>
          <w:rFonts w:ascii="宋体" w:hAnsi="宋体"/>
          <w:color w:val="auto"/>
          <w:sz w:val="24"/>
          <w:highlight w:val="none"/>
        </w:rPr>
      </w:pPr>
      <w:r>
        <w:rPr>
          <w:rFonts w:hint="eastAsia" w:ascii="宋体" w:hAnsi="宋体"/>
          <w:color w:val="auto"/>
          <w:sz w:val="24"/>
          <w:highlight w:val="none"/>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9"/>
        <w:spacing w:line="360" w:lineRule="auto"/>
        <w:ind w:firstLine="482" w:firstLineChars="200"/>
        <w:jc w:val="both"/>
        <w:rPr>
          <w:rFonts w:ascii="宋体" w:hAnsi="宋体"/>
          <w:b/>
          <w:bCs/>
          <w:color w:val="auto"/>
          <w:sz w:val="24"/>
          <w:highlight w:val="none"/>
        </w:rPr>
      </w:pPr>
      <w:r>
        <w:rPr>
          <w:rFonts w:hint="eastAsia" w:ascii="宋体" w:hAnsi="宋体"/>
          <w:b/>
          <w:bCs/>
          <w:color w:val="auto"/>
          <w:sz w:val="24"/>
          <w:highlight w:val="none"/>
        </w:rPr>
        <w:t>（三）投诉</w:t>
      </w:r>
    </w:p>
    <w:p>
      <w:pPr>
        <w:pStyle w:val="9"/>
        <w:spacing w:line="360" w:lineRule="auto"/>
        <w:ind w:firstLine="480" w:firstLineChars="200"/>
        <w:jc w:val="both"/>
        <w:rPr>
          <w:rFonts w:asciiTheme="minorEastAsia" w:hAnsiTheme="minorEastAsia" w:eastAsiaTheme="minorEastAsia"/>
          <w:b/>
          <w:color w:val="auto"/>
          <w:sz w:val="36"/>
          <w:szCs w:val="36"/>
          <w:highlight w:val="none"/>
        </w:rPr>
      </w:pPr>
      <w:r>
        <w:rPr>
          <w:rFonts w:hint="eastAsia" w:ascii="宋体" w:hAnsi="宋体"/>
          <w:color w:val="auto"/>
          <w:sz w:val="24"/>
          <w:highlight w:val="none"/>
        </w:rPr>
        <w:t>投标人对采购人或采购组织机构的质疑答复不满意或在规定时间内未得到答复的，可以在答复期满后15个工作日内，向同级政府采购监督管理机构投诉。</w:t>
      </w:r>
      <w:r>
        <w:rPr>
          <w:rFonts w:hint="eastAsia" w:ascii="宋体" w:hAnsi="宋体"/>
          <w:color w:val="auto"/>
          <w:sz w:val="24"/>
          <w:highlight w:val="none"/>
        </w:rPr>
        <w:br w:type="page"/>
      </w:r>
    </w:p>
    <w:p>
      <w:pPr>
        <w:numPr>
          <w:ilvl w:val="0"/>
          <w:numId w:val="4"/>
        </w:numPr>
        <w:spacing w:line="360" w:lineRule="auto"/>
        <w:jc w:val="center"/>
        <w:rPr>
          <w:rFonts w:asciiTheme="minorEastAsia" w:hAnsiTheme="minorEastAsia" w:eastAsiaTheme="minorEastAsia"/>
          <w:b/>
          <w:color w:val="auto"/>
          <w:sz w:val="36"/>
          <w:szCs w:val="36"/>
          <w:highlight w:val="none"/>
        </w:rPr>
      </w:pPr>
      <w:bookmarkStart w:id="34" w:name="_Toc13072_WPSOffice_Level1"/>
      <w:r>
        <w:rPr>
          <w:rFonts w:hint="eastAsia" w:asciiTheme="minorEastAsia" w:hAnsiTheme="minorEastAsia" w:eastAsiaTheme="minorEastAsia"/>
          <w:b/>
          <w:color w:val="auto"/>
          <w:sz w:val="36"/>
          <w:szCs w:val="36"/>
          <w:highlight w:val="none"/>
        </w:rPr>
        <w:t>招标需求</w:t>
      </w:r>
      <w:bookmarkEnd w:id="34"/>
    </w:p>
    <w:p>
      <w:pPr>
        <w:pStyle w:val="24"/>
        <w:numPr>
          <w:ilvl w:val="0"/>
          <w:numId w:val="6"/>
        </w:numPr>
        <w:spacing w:line="360" w:lineRule="auto"/>
        <w:ind w:firstLineChars="0"/>
        <w:rPr>
          <w:rFonts w:asciiTheme="majorEastAsia" w:hAnsiTheme="majorEastAsia" w:eastAsiaTheme="majorEastAsia" w:cstheme="minorBidi"/>
          <w:b/>
          <w:bCs/>
          <w:color w:val="auto"/>
          <w:kern w:val="0"/>
          <w:sz w:val="30"/>
          <w:szCs w:val="30"/>
          <w:highlight w:val="none"/>
        </w:rPr>
      </w:pPr>
      <w:r>
        <w:rPr>
          <w:rFonts w:hint="eastAsia" w:asciiTheme="majorEastAsia" w:hAnsiTheme="majorEastAsia" w:eastAsiaTheme="majorEastAsia" w:cstheme="minorBidi"/>
          <w:b/>
          <w:bCs/>
          <w:color w:val="auto"/>
          <w:kern w:val="0"/>
          <w:sz w:val="30"/>
          <w:szCs w:val="30"/>
          <w:highlight w:val="none"/>
        </w:rPr>
        <w:t>采购项目一览表</w:t>
      </w:r>
    </w:p>
    <w:p>
      <w:pPr>
        <w:tabs>
          <w:tab w:val="left" w:pos="8280"/>
        </w:tabs>
        <w:autoSpaceDE w:val="0"/>
        <w:autoSpaceDN w:val="0"/>
        <w:adjustRightInd w:val="0"/>
        <w:spacing w:line="360" w:lineRule="auto"/>
        <w:ind w:right="25" w:firstLine="280"/>
        <w:rPr>
          <w:rFonts w:asciiTheme="majorEastAsia" w:hAnsiTheme="majorEastAsia" w:eastAsiaTheme="majorEastAsia"/>
          <w:color w:val="auto"/>
          <w:sz w:val="24"/>
          <w:highlight w:val="none"/>
        </w:rPr>
      </w:pPr>
      <w:r>
        <w:rPr>
          <w:rFonts w:hint="eastAsia" w:asciiTheme="majorEastAsia" w:hAnsiTheme="majorEastAsia" w:eastAsiaTheme="majorEastAsia"/>
          <w:color w:val="auto"/>
          <w:sz w:val="24"/>
          <w:highlight w:val="none"/>
        </w:rPr>
        <w:t>本次招标共</w:t>
      </w:r>
      <w:r>
        <w:rPr>
          <w:rFonts w:asciiTheme="majorEastAsia" w:hAnsiTheme="majorEastAsia" w:eastAsiaTheme="majorEastAsia"/>
          <w:color w:val="auto"/>
          <w:sz w:val="24"/>
          <w:highlight w:val="none"/>
          <w:u w:val="single"/>
        </w:rPr>
        <w:t>1</w:t>
      </w:r>
      <w:r>
        <w:rPr>
          <w:rFonts w:hint="eastAsia" w:asciiTheme="majorEastAsia" w:hAnsiTheme="majorEastAsia" w:eastAsiaTheme="majorEastAsia"/>
          <w:color w:val="auto"/>
          <w:sz w:val="24"/>
          <w:highlight w:val="none"/>
        </w:rPr>
        <w:t>个标段，具体内容如下表：</w:t>
      </w:r>
    </w:p>
    <w:tbl>
      <w:tblPr>
        <w:tblStyle w:val="19"/>
        <w:tblW w:w="10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1185"/>
        <w:gridCol w:w="975"/>
        <w:gridCol w:w="714"/>
        <w:gridCol w:w="622"/>
        <w:gridCol w:w="1003"/>
        <w:gridCol w:w="1268"/>
        <w:gridCol w:w="2843"/>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jc w:val="center"/>
        </w:trPr>
        <w:tc>
          <w:tcPr>
            <w:tcW w:w="608"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序号</w:t>
            </w:r>
          </w:p>
        </w:tc>
        <w:tc>
          <w:tcPr>
            <w:tcW w:w="1185" w:type="dxa"/>
            <w:vAlign w:val="center"/>
          </w:tcPr>
          <w:p>
            <w:pPr>
              <w:tabs>
                <w:tab w:val="left" w:pos="8280"/>
              </w:tabs>
              <w:autoSpaceDE w:val="0"/>
              <w:autoSpaceDN w:val="0"/>
              <w:adjustRightInd w:val="0"/>
              <w:spacing w:line="360" w:lineRule="auto"/>
              <w:ind w:right="25" w:firstLine="120" w:firstLineChars="50"/>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标项内容</w:t>
            </w:r>
          </w:p>
        </w:tc>
        <w:tc>
          <w:tcPr>
            <w:tcW w:w="975"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b/>
                <w:color w:val="auto"/>
                <w:sz w:val="24"/>
                <w:highlight w:val="none"/>
              </w:rPr>
            </w:pPr>
            <w:r>
              <w:rPr>
                <w:rFonts w:hint="eastAsia" w:ascii="宋体" w:hAnsi="宋体" w:cs="宋体"/>
                <w:b/>
                <w:color w:val="auto"/>
                <w:kern w:val="0"/>
                <w:sz w:val="24"/>
                <w:highlight w:val="none"/>
              </w:rPr>
              <w:t>简要技术要求</w:t>
            </w:r>
          </w:p>
        </w:tc>
        <w:tc>
          <w:tcPr>
            <w:tcW w:w="714"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数量</w:t>
            </w:r>
          </w:p>
        </w:tc>
        <w:tc>
          <w:tcPr>
            <w:tcW w:w="622"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单位</w:t>
            </w:r>
          </w:p>
        </w:tc>
        <w:tc>
          <w:tcPr>
            <w:tcW w:w="1003"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预算</w:t>
            </w:r>
          </w:p>
          <w:p>
            <w:pPr>
              <w:tabs>
                <w:tab w:val="left" w:pos="8280"/>
              </w:tabs>
              <w:autoSpaceDE w:val="0"/>
              <w:autoSpaceDN w:val="0"/>
              <w:adjustRightInd w:val="0"/>
              <w:spacing w:line="360" w:lineRule="auto"/>
              <w:ind w:right="25"/>
              <w:jc w:val="center"/>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（万元）</w:t>
            </w:r>
          </w:p>
        </w:tc>
        <w:tc>
          <w:tcPr>
            <w:tcW w:w="1268" w:type="dxa"/>
            <w:vAlign w:val="center"/>
          </w:tcPr>
          <w:p>
            <w:pPr>
              <w:tabs>
                <w:tab w:val="left" w:pos="8280"/>
              </w:tabs>
              <w:autoSpaceDE w:val="0"/>
              <w:autoSpaceDN w:val="0"/>
              <w:adjustRightInd w:val="0"/>
              <w:spacing w:line="360" w:lineRule="auto"/>
              <w:ind w:right="25" w:firstLine="240"/>
              <w:jc w:val="center"/>
              <w:rPr>
                <w:rFonts w:asciiTheme="minorEastAsia" w:hAnsiTheme="minorEastAsia"/>
                <w:b/>
                <w:color w:val="auto"/>
                <w:sz w:val="24"/>
                <w:highlight w:val="none"/>
              </w:rPr>
            </w:pPr>
            <w:r>
              <w:rPr>
                <w:rFonts w:hint="eastAsia" w:ascii="宋体" w:hAnsi="宋体" w:cs="宋体"/>
                <w:b/>
                <w:color w:val="auto"/>
                <w:sz w:val="24"/>
                <w:highlight w:val="none"/>
              </w:rPr>
              <w:t>交货期（交付期）</w:t>
            </w:r>
          </w:p>
        </w:tc>
        <w:tc>
          <w:tcPr>
            <w:tcW w:w="2843" w:type="dxa"/>
            <w:vAlign w:val="center"/>
          </w:tcPr>
          <w:p>
            <w:pPr>
              <w:tabs>
                <w:tab w:val="left" w:pos="8280"/>
              </w:tabs>
              <w:autoSpaceDE w:val="0"/>
              <w:autoSpaceDN w:val="0"/>
              <w:adjustRightInd w:val="0"/>
              <w:spacing w:line="360" w:lineRule="auto"/>
              <w:ind w:right="25"/>
              <w:jc w:val="center"/>
              <w:rPr>
                <w:rFonts w:ascii="宋体" w:hAnsi="宋体" w:cs="宋体"/>
                <w:b/>
                <w:color w:val="auto"/>
                <w:sz w:val="24"/>
                <w:highlight w:val="none"/>
              </w:rPr>
            </w:pPr>
            <w:r>
              <w:rPr>
                <w:rFonts w:hint="eastAsia" w:ascii="宋体" w:hAnsi="宋体" w:cs="宋体"/>
                <w:b/>
                <w:color w:val="auto"/>
                <w:sz w:val="24"/>
                <w:highlight w:val="none"/>
              </w:rPr>
              <w:t>维护地点</w:t>
            </w:r>
          </w:p>
        </w:tc>
        <w:tc>
          <w:tcPr>
            <w:tcW w:w="1777" w:type="dxa"/>
            <w:vAlign w:val="center"/>
          </w:tcPr>
          <w:p>
            <w:pPr>
              <w:tabs>
                <w:tab w:val="left" w:pos="180"/>
                <w:tab w:val="left" w:pos="360"/>
                <w:tab w:val="left" w:pos="540"/>
                <w:tab w:val="left" w:pos="8280"/>
              </w:tabs>
              <w:autoSpaceDE w:val="0"/>
              <w:autoSpaceDN w:val="0"/>
              <w:adjustRightInd w:val="0"/>
              <w:spacing w:before="100" w:line="500" w:lineRule="exact"/>
              <w:ind w:right="23" w:rightChars="0"/>
              <w:jc w:val="center"/>
              <w:rPr>
                <w:rFonts w:hint="eastAsia" w:ascii="宋体" w:hAnsi="宋体" w:cs="宋体"/>
                <w:b/>
                <w:color w:val="auto"/>
                <w:sz w:val="24"/>
                <w:highlight w:val="none"/>
              </w:rPr>
            </w:pPr>
            <w:r>
              <w:rPr>
                <w:rFonts w:hint="eastAsia" w:ascii="宋体" w:hAnsi="宋体" w:eastAsia="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7" w:hRule="atLeast"/>
          <w:jc w:val="center"/>
        </w:trPr>
        <w:tc>
          <w:tcPr>
            <w:tcW w:w="608"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p>
        </w:tc>
        <w:tc>
          <w:tcPr>
            <w:tcW w:w="1185"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lang w:eastAsia="zh-CN"/>
              </w:rPr>
              <w:t>2023年台州市区交通标线采购项目（重新招标）</w:t>
            </w:r>
          </w:p>
        </w:tc>
        <w:tc>
          <w:tcPr>
            <w:tcW w:w="975"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详见技术需求</w:t>
            </w:r>
          </w:p>
        </w:tc>
        <w:tc>
          <w:tcPr>
            <w:tcW w:w="714"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p>
        </w:tc>
        <w:tc>
          <w:tcPr>
            <w:tcW w:w="622"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w:t>
            </w:r>
          </w:p>
        </w:tc>
        <w:tc>
          <w:tcPr>
            <w:tcW w:w="1003" w:type="dxa"/>
            <w:vAlign w:val="center"/>
          </w:tcPr>
          <w:p>
            <w:pPr>
              <w:tabs>
                <w:tab w:val="left" w:pos="8280"/>
              </w:tabs>
              <w:autoSpaceDE w:val="0"/>
              <w:autoSpaceDN w:val="0"/>
              <w:adjustRightInd w:val="0"/>
              <w:spacing w:line="360" w:lineRule="auto"/>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lang w:val="en-US" w:eastAsia="zh-CN"/>
              </w:rPr>
              <w:t>6</w:t>
            </w:r>
            <w:r>
              <w:rPr>
                <w:rFonts w:hint="eastAsia" w:asciiTheme="minorEastAsia" w:hAnsiTheme="minorEastAsia" w:eastAsiaTheme="minorEastAsia"/>
                <w:color w:val="auto"/>
                <w:sz w:val="24"/>
                <w:highlight w:val="none"/>
              </w:rPr>
              <w:t>00</w:t>
            </w:r>
          </w:p>
        </w:tc>
        <w:tc>
          <w:tcPr>
            <w:tcW w:w="1268" w:type="dxa"/>
            <w:vAlign w:val="center"/>
          </w:tcPr>
          <w:p>
            <w:pPr>
              <w:tabs>
                <w:tab w:val="left" w:pos="8280"/>
              </w:tabs>
              <w:autoSpaceDE w:val="0"/>
              <w:autoSpaceDN w:val="0"/>
              <w:adjustRightInd w:val="0"/>
              <w:spacing w:line="360" w:lineRule="auto"/>
              <w:ind w:right="25"/>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合同签订后120天</w:t>
            </w:r>
          </w:p>
        </w:tc>
        <w:tc>
          <w:tcPr>
            <w:tcW w:w="2843" w:type="dxa"/>
            <w:vAlign w:val="center"/>
          </w:tcPr>
          <w:p>
            <w:pPr>
              <w:tabs>
                <w:tab w:val="left" w:pos="8280"/>
              </w:tabs>
              <w:autoSpaceDE w:val="0"/>
              <w:autoSpaceDN w:val="0"/>
              <w:adjustRightInd w:val="0"/>
              <w:spacing w:line="360" w:lineRule="auto"/>
              <w:ind w:right="25"/>
              <w:jc w:val="center"/>
              <w:rPr>
                <w:rFonts w:hint="eastAsia" w:cs="Times New Roman" w:asciiTheme="minorEastAsia" w:hAnsiTheme="minorEastAsia" w:eastAsiaTheme="minorEastAsia"/>
                <w:color w:val="auto"/>
                <w:sz w:val="24"/>
                <w:highlight w:val="none"/>
              </w:rPr>
            </w:pPr>
            <w:r>
              <w:rPr>
                <w:rFonts w:hint="eastAsia" w:cs="Times New Roman" w:asciiTheme="minorEastAsia" w:hAnsiTheme="minorEastAsia" w:eastAsiaTheme="minorEastAsia"/>
                <w:color w:val="auto"/>
                <w:sz w:val="24"/>
                <w:highlight w:val="none"/>
              </w:rPr>
              <w:t>椒江区域、黄岩区域、路桥区域、台州湾产业集聚区管委会区域、台州经济开发区管委会区域内的道路</w:t>
            </w:r>
          </w:p>
        </w:tc>
        <w:tc>
          <w:tcPr>
            <w:tcW w:w="1777" w:type="dxa"/>
            <w:vAlign w:val="center"/>
          </w:tcPr>
          <w:p>
            <w:pPr>
              <w:tabs>
                <w:tab w:val="left" w:pos="8280"/>
              </w:tabs>
              <w:autoSpaceDE w:val="0"/>
              <w:autoSpaceDN w:val="0"/>
              <w:adjustRightInd w:val="0"/>
              <w:spacing w:line="360" w:lineRule="auto"/>
              <w:ind w:right="25"/>
              <w:jc w:val="center"/>
              <w:rPr>
                <w:rFonts w:hint="eastAsia" w:cs="Times New Roman" w:asciiTheme="minorEastAsia" w:hAnsiTheme="minorEastAsia" w:eastAsiaTheme="minorEastAsia"/>
                <w:color w:val="auto"/>
                <w:sz w:val="24"/>
                <w:highlight w:val="none"/>
              </w:rPr>
            </w:pPr>
            <w:r>
              <w:rPr>
                <w:rFonts w:hint="eastAsia" w:cs="Times New Roman" w:asciiTheme="minorEastAsia" w:hAnsiTheme="minorEastAsia" w:eastAsiaTheme="minorEastAsia"/>
                <w:color w:val="auto"/>
                <w:sz w:val="24"/>
                <w:highlight w:val="none"/>
              </w:rPr>
              <w:t>本项目采用结算率报价，结算率不得高于</w:t>
            </w:r>
            <w:r>
              <w:rPr>
                <w:rFonts w:hint="eastAsia" w:cs="Times New Roman" w:asciiTheme="minorEastAsia" w:hAnsiTheme="minorEastAsia" w:eastAsiaTheme="minorEastAsia"/>
                <w:color w:val="auto"/>
                <w:sz w:val="24"/>
                <w:highlight w:val="none"/>
                <w:lang w:val="en-US" w:eastAsia="zh-CN"/>
              </w:rPr>
              <w:t>100</w:t>
            </w:r>
            <w:r>
              <w:rPr>
                <w:rFonts w:hint="eastAsia" w:cs="Times New Roman" w:asciiTheme="minorEastAsia" w:hAnsiTheme="minorEastAsia" w:eastAsiaTheme="minorEastAsia"/>
                <w:color w:val="auto"/>
                <w:sz w:val="24"/>
                <w:highlight w:val="none"/>
              </w:rPr>
              <w:t>%。</w:t>
            </w:r>
          </w:p>
        </w:tc>
      </w:tr>
    </w:tbl>
    <w:p>
      <w:pPr>
        <w:pStyle w:val="5"/>
        <w:spacing w:before="156" w:beforeLines="50"/>
        <w:ind w:right="23" w:firstLine="482" w:firstLineChars="200"/>
        <w:rPr>
          <w:color w:val="auto"/>
          <w:highlight w:val="none"/>
        </w:rPr>
      </w:pPr>
      <w:r>
        <w:rPr>
          <w:rFonts w:hint="eastAsia"/>
          <w:color w:val="auto"/>
          <w:sz w:val="24"/>
          <w:szCs w:val="24"/>
          <w:highlight w:val="none"/>
        </w:rPr>
        <w:t>备注</w:t>
      </w:r>
      <w:r>
        <w:rPr>
          <w:rFonts w:hint="eastAsia"/>
          <w:b w:val="0"/>
          <w:color w:val="auto"/>
          <w:sz w:val="24"/>
          <w:szCs w:val="24"/>
          <w:highlight w:val="none"/>
        </w:rPr>
        <w:t>：</w:t>
      </w:r>
      <w:r>
        <w:rPr>
          <w:rFonts w:hint="eastAsia" w:cs="宋体"/>
          <w:b w:val="0"/>
          <w:color w:val="auto"/>
          <w:sz w:val="24"/>
          <w:szCs w:val="24"/>
          <w:highlight w:val="none"/>
        </w:rPr>
        <w:t>1.本项目总结算价不超过</w:t>
      </w:r>
      <w:r>
        <w:rPr>
          <w:rFonts w:hint="eastAsia" w:cs="宋体"/>
          <w:b w:val="0"/>
          <w:color w:val="auto"/>
          <w:sz w:val="24"/>
          <w:szCs w:val="24"/>
          <w:highlight w:val="none"/>
          <w:lang w:val="en-US" w:eastAsia="zh-CN"/>
        </w:rPr>
        <w:t>6</w:t>
      </w:r>
      <w:r>
        <w:rPr>
          <w:rFonts w:hint="eastAsia" w:cs="宋体"/>
          <w:b w:val="0"/>
          <w:color w:val="auto"/>
          <w:sz w:val="24"/>
          <w:szCs w:val="24"/>
          <w:highlight w:val="none"/>
        </w:rPr>
        <w:t>00万元，实际发生工作量按实结算。</w:t>
      </w:r>
    </w:p>
    <w:p>
      <w:pPr>
        <w:pStyle w:val="24"/>
        <w:numPr>
          <w:ilvl w:val="0"/>
          <w:numId w:val="6"/>
        </w:numPr>
        <w:spacing w:line="360" w:lineRule="auto"/>
        <w:ind w:firstLineChars="0"/>
        <w:rPr>
          <w:rFonts w:asciiTheme="majorEastAsia" w:hAnsiTheme="majorEastAsia" w:eastAsiaTheme="majorEastAsia" w:cstheme="minorBidi"/>
          <w:b/>
          <w:bCs/>
          <w:color w:val="auto"/>
          <w:kern w:val="0"/>
          <w:sz w:val="30"/>
          <w:szCs w:val="30"/>
          <w:highlight w:val="none"/>
        </w:rPr>
      </w:pPr>
      <w:r>
        <w:rPr>
          <w:rFonts w:hint="eastAsia" w:asciiTheme="majorEastAsia" w:hAnsiTheme="majorEastAsia" w:eastAsiaTheme="majorEastAsia" w:cstheme="minorBidi"/>
          <w:b/>
          <w:bCs/>
          <w:color w:val="auto"/>
          <w:kern w:val="0"/>
          <w:sz w:val="30"/>
          <w:szCs w:val="30"/>
          <w:highlight w:val="none"/>
        </w:rPr>
        <w:t>采购内容及要求</w:t>
      </w:r>
    </w:p>
    <w:p>
      <w:pPr>
        <w:numPr>
          <w:ilvl w:val="0"/>
          <w:numId w:val="7"/>
        </w:numPr>
        <w:spacing w:line="360" w:lineRule="auto"/>
        <w:ind w:firstLine="482" w:firstLineChars="200"/>
        <w:rPr>
          <w:rFonts w:asciiTheme="minorEastAsia" w:hAnsiTheme="minorEastAsia" w:eastAsiaTheme="minorEastAsia"/>
          <w:color w:val="auto"/>
          <w:sz w:val="24"/>
          <w:highlight w:val="none"/>
        </w:rPr>
      </w:pPr>
      <w:r>
        <w:rPr>
          <w:rFonts w:hint="eastAsia" w:ascii="宋体" w:hAnsi="宋体" w:cs="宋体"/>
          <w:b/>
          <w:bCs/>
          <w:color w:val="auto"/>
          <w:sz w:val="24"/>
          <w:highlight w:val="none"/>
        </w:rPr>
        <w:t>采购清单</w:t>
      </w:r>
    </w:p>
    <w:p>
      <w:pPr>
        <w:numPr>
          <w:ilvl w:val="0"/>
          <w:numId w:val="0"/>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材料数量均为预估工作量，履约时以实际发生工作量结算，结算金额不超过本项目预算</w:t>
      </w:r>
    </w:p>
    <w:tbl>
      <w:tblPr>
        <w:tblStyle w:val="19"/>
        <w:tblpPr w:leftFromText="180" w:rightFromText="180" w:vertAnchor="text" w:horzAnchor="page" w:tblpXSpec="center" w:tblpY="549"/>
        <w:tblOverlap w:val="never"/>
        <w:tblW w:w="9755" w:type="dxa"/>
        <w:jc w:val="center"/>
        <w:tblLayout w:type="fixed"/>
        <w:tblCellMar>
          <w:top w:w="0" w:type="dxa"/>
          <w:left w:w="0" w:type="dxa"/>
          <w:bottom w:w="0" w:type="dxa"/>
          <w:right w:w="0" w:type="dxa"/>
        </w:tblCellMar>
      </w:tblPr>
      <w:tblGrid>
        <w:gridCol w:w="738"/>
        <w:gridCol w:w="1467"/>
        <w:gridCol w:w="1642"/>
        <w:gridCol w:w="658"/>
        <w:gridCol w:w="1176"/>
        <w:gridCol w:w="1395"/>
        <w:gridCol w:w="1200"/>
        <w:gridCol w:w="1479"/>
      </w:tblGrid>
      <w:tr>
        <w:tblPrEx>
          <w:tblCellMar>
            <w:top w:w="0" w:type="dxa"/>
            <w:left w:w="0" w:type="dxa"/>
            <w:bottom w:w="0" w:type="dxa"/>
            <w:right w:w="0" w:type="dxa"/>
          </w:tblCellMar>
        </w:tblPrEx>
        <w:trPr>
          <w:trHeight w:val="605" w:hRule="atLeast"/>
          <w:jc w:val="center"/>
        </w:trPr>
        <w:tc>
          <w:tcPr>
            <w:tcW w:w="975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highlight w:val="none"/>
              </w:rPr>
            </w:pPr>
            <w:r>
              <w:rPr>
                <w:rFonts w:hint="eastAsia" w:ascii="宋体" w:hAnsi="宋体" w:cs="宋体"/>
                <w:b/>
                <w:color w:val="auto"/>
                <w:kern w:val="0"/>
                <w:szCs w:val="21"/>
                <w:highlight w:val="none"/>
                <w:lang w:bidi="ar"/>
              </w:rPr>
              <w:t>一、标线类</w:t>
            </w:r>
          </w:p>
        </w:tc>
      </w:tr>
      <w:tr>
        <w:tblPrEx>
          <w:tblCellMar>
            <w:top w:w="0" w:type="dxa"/>
            <w:left w:w="0" w:type="dxa"/>
            <w:bottom w:w="0" w:type="dxa"/>
            <w:right w:w="0" w:type="dxa"/>
          </w:tblCellMar>
        </w:tblPrEx>
        <w:trPr>
          <w:trHeight w:val="341"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编号</w:t>
            </w:r>
          </w:p>
        </w:tc>
        <w:tc>
          <w:tcPr>
            <w:tcW w:w="1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highlight w:val="none"/>
              </w:rPr>
            </w:pPr>
            <w:r>
              <w:rPr>
                <w:rFonts w:hint="eastAsia" w:ascii="宋体" w:hAnsi="宋体" w:cs="宋体"/>
                <w:b/>
                <w:color w:val="auto"/>
                <w:kern w:val="0"/>
                <w:szCs w:val="21"/>
                <w:highlight w:val="none"/>
                <w:lang w:bidi="ar"/>
              </w:rPr>
              <w:t>内容/材料</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highlight w:val="none"/>
              </w:rPr>
            </w:pPr>
            <w:r>
              <w:rPr>
                <w:rFonts w:hint="eastAsia" w:ascii="宋体" w:hAnsi="宋体" w:cs="宋体"/>
                <w:b/>
                <w:color w:val="auto"/>
                <w:kern w:val="0"/>
                <w:szCs w:val="21"/>
                <w:highlight w:val="none"/>
                <w:lang w:bidi="ar"/>
              </w:rPr>
              <w:t>规格</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highlight w:val="none"/>
              </w:rPr>
            </w:pPr>
            <w:r>
              <w:rPr>
                <w:rFonts w:hint="eastAsia" w:ascii="宋体" w:hAnsi="宋体" w:cs="宋体"/>
                <w:b/>
                <w:color w:val="auto"/>
                <w:kern w:val="0"/>
                <w:szCs w:val="21"/>
                <w:highlight w:val="none"/>
                <w:lang w:bidi="ar"/>
              </w:rPr>
              <w:t>单位</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highlight w:val="none"/>
              </w:rPr>
            </w:pPr>
            <w:r>
              <w:rPr>
                <w:rFonts w:hint="eastAsia" w:ascii="宋体" w:hAnsi="宋体" w:cs="宋体"/>
                <w:b/>
                <w:color w:val="auto"/>
                <w:kern w:val="0"/>
                <w:szCs w:val="21"/>
                <w:highlight w:val="none"/>
                <w:lang w:bidi="ar"/>
              </w:rPr>
              <w:t>数量（预估）</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highlight w:val="none"/>
              </w:rPr>
            </w:pPr>
            <w:r>
              <w:rPr>
                <w:rFonts w:ascii="宋体" w:hAnsi="宋体" w:cs="宋体"/>
                <w:b/>
                <w:color w:val="auto"/>
                <w:kern w:val="0"/>
                <w:szCs w:val="21"/>
                <w:highlight w:val="none"/>
                <w:lang w:bidi="ar"/>
              </w:rPr>
              <w:t>上限</w:t>
            </w:r>
            <w:r>
              <w:rPr>
                <w:rFonts w:hint="eastAsia" w:ascii="宋体" w:hAnsi="宋体" w:cs="宋体"/>
                <w:b/>
                <w:color w:val="auto"/>
                <w:kern w:val="0"/>
                <w:szCs w:val="21"/>
                <w:highlight w:val="none"/>
                <w:lang w:bidi="ar"/>
              </w:rPr>
              <w:t>单价（元）</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highlight w:val="none"/>
              </w:rPr>
            </w:pPr>
            <w:r>
              <w:rPr>
                <w:rFonts w:hint="eastAsia" w:ascii="宋体" w:hAnsi="宋体" w:cs="宋体"/>
                <w:b/>
                <w:color w:val="auto"/>
                <w:kern w:val="0"/>
                <w:szCs w:val="21"/>
                <w:highlight w:val="none"/>
                <w:lang w:bidi="ar"/>
              </w:rPr>
              <w:t>小计（元）</w:t>
            </w:r>
          </w:p>
        </w:tc>
        <w:tc>
          <w:tcPr>
            <w:tcW w:w="1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highlight w:val="none"/>
              </w:rPr>
            </w:pPr>
            <w:r>
              <w:rPr>
                <w:rFonts w:hint="eastAsia" w:ascii="宋体" w:hAnsi="宋体" w:cs="宋体"/>
                <w:b/>
                <w:color w:val="auto"/>
                <w:kern w:val="0"/>
                <w:szCs w:val="21"/>
                <w:highlight w:val="none"/>
                <w:lang w:bidi="ar"/>
              </w:rPr>
              <w:t>备注</w:t>
            </w:r>
          </w:p>
        </w:tc>
      </w:tr>
      <w:tr>
        <w:tblPrEx>
          <w:tblCellMar>
            <w:top w:w="0" w:type="dxa"/>
            <w:left w:w="0" w:type="dxa"/>
            <w:bottom w:w="0" w:type="dxa"/>
            <w:right w:w="0" w:type="dxa"/>
          </w:tblCellMar>
        </w:tblPrEx>
        <w:trPr>
          <w:trHeight w:val="341"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w:t>
            </w:r>
          </w:p>
        </w:tc>
        <w:tc>
          <w:tcPr>
            <w:tcW w:w="1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普通热熔标线</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cs="宋体"/>
                <w:color w:val="auto"/>
                <w:sz w:val="20"/>
                <w:highlight w:val="none"/>
              </w:rPr>
              <w:t>热熔反光型标线 厚度</w:t>
            </w:r>
            <w:r>
              <w:rPr>
                <w:rFonts w:hint="eastAsia" w:ascii="宋体" w:hAnsi="宋体" w:cs="宋体"/>
                <w:color w:val="auto"/>
                <w:sz w:val="20"/>
                <w:highlight w:val="none"/>
                <w:lang w:val="en-US" w:eastAsia="zh-CN"/>
              </w:rPr>
              <w:t>1.8</w:t>
            </w:r>
            <w:r>
              <w:rPr>
                <w:rFonts w:hint="eastAsia" w:ascii="宋体" w:hAnsi="宋体" w:cs="宋体"/>
                <w:color w:val="auto"/>
                <w:sz w:val="20"/>
                <w:highlight w:val="none"/>
              </w:rPr>
              <w:t>mm以上，均匀撒布反光珠</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m</w:t>
            </w:r>
            <w:r>
              <w:rPr>
                <w:rStyle w:val="25"/>
                <w:color w:val="auto"/>
                <w:highlight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color w:val="auto"/>
                <w:szCs w:val="21"/>
                <w:highlight w:val="none"/>
                <w:lang w:val="en-US"/>
              </w:rPr>
            </w:pPr>
            <w:r>
              <w:rPr>
                <w:rFonts w:hint="eastAsia" w:ascii="宋体" w:hAnsi="宋体" w:cs="宋体"/>
                <w:i w:val="0"/>
                <w:iCs w:val="0"/>
                <w:color w:val="auto"/>
                <w:kern w:val="0"/>
                <w:sz w:val="21"/>
                <w:szCs w:val="21"/>
                <w:highlight w:val="none"/>
                <w:u w:val="none"/>
                <w:lang w:val="en-US" w:eastAsia="zh-CN" w:bidi="ar"/>
              </w:rPr>
              <w:t>64000</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auto"/>
                <w:szCs w:val="21"/>
                <w:highlight w:val="none"/>
                <w:lang w:val="en-US" w:eastAsia="zh-CN"/>
              </w:rPr>
            </w:pPr>
            <w:r>
              <w:rPr>
                <w:rFonts w:hint="eastAsia" w:ascii="宋体" w:hAnsi="宋体" w:cs="宋体"/>
                <w:i w:val="0"/>
                <w:iCs w:val="0"/>
                <w:color w:val="auto"/>
                <w:kern w:val="0"/>
                <w:sz w:val="21"/>
                <w:szCs w:val="21"/>
                <w:highlight w:val="none"/>
                <w:u w:val="none"/>
                <w:lang w:val="en-US" w:eastAsia="zh-CN" w:bidi="ar"/>
              </w:rPr>
              <w:t>45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color w:val="auto"/>
                <w:szCs w:val="21"/>
                <w:highlight w:val="none"/>
                <w:lang w:val="en-US"/>
              </w:rPr>
            </w:pPr>
            <w:r>
              <w:rPr>
                <w:rFonts w:hint="eastAsia" w:ascii="宋体" w:hAnsi="宋体" w:cs="宋体"/>
                <w:i w:val="0"/>
                <w:iCs w:val="0"/>
                <w:color w:val="auto"/>
                <w:kern w:val="0"/>
                <w:sz w:val="21"/>
                <w:szCs w:val="21"/>
                <w:highlight w:val="none"/>
                <w:u w:val="none"/>
                <w:lang w:val="en-US" w:eastAsia="zh-CN" w:bidi="ar"/>
              </w:rPr>
              <w:t>2880000</w:t>
            </w:r>
          </w:p>
        </w:tc>
        <w:tc>
          <w:tcPr>
            <w:tcW w:w="1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highlight w:val="none"/>
              </w:rPr>
            </w:pPr>
            <w:r>
              <w:rPr>
                <w:rFonts w:hint="eastAsia" w:ascii="宋体" w:hAnsi="宋体" w:cs="宋体"/>
                <w:color w:val="auto"/>
                <w:kern w:val="0"/>
                <w:szCs w:val="21"/>
                <w:highlight w:val="none"/>
                <w:lang w:bidi="ar"/>
              </w:rPr>
              <w:t>详见技术参数，含部分的彩色标线</w:t>
            </w:r>
          </w:p>
        </w:tc>
      </w:tr>
      <w:tr>
        <w:tblPrEx>
          <w:tblCellMar>
            <w:top w:w="0" w:type="dxa"/>
            <w:left w:w="0" w:type="dxa"/>
            <w:bottom w:w="0" w:type="dxa"/>
            <w:right w:w="0" w:type="dxa"/>
          </w:tblCellMar>
        </w:tblPrEx>
        <w:trPr>
          <w:trHeight w:val="341"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2</w:t>
            </w:r>
          </w:p>
        </w:tc>
        <w:tc>
          <w:tcPr>
            <w:tcW w:w="1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普通热熔振荡标线</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热熔型厚度≥</w:t>
            </w:r>
            <w:r>
              <w:rPr>
                <w:rStyle w:val="26"/>
                <w:rFonts w:eastAsia="宋体"/>
                <w:color w:val="auto"/>
                <w:highlight w:val="none"/>
                <w:lang w:val="en-US" w:eastAsia="zh-CN" w:bidi="ar"/>
              </w:rPr>
              <w:t>6mm,</w:t>
            </w:r>
            <w:r>
              <w:rPr>
                <w:rStyle w:val="27"/>
                <w:color w:val="auto"/>
                <w:highlight w:val="none"/>
                <w:lang w:val="en-US" w:eastAsia="zh-CN" w:bidi="ar"/>
              </w:rPr>
              <w:t>长划</w:t>
            </w:r>
            <w:r>
              <w:rPr>
                <w:rStyle w:val="26"/>
                <w:rFonts w:eastAsia="宋体"/>
                <w:color w:val="auto"/>
                <w:highlight w:val="none"/>
                <w:lang w:val="en-US" w:eastAsia="zh-CN" w:bidi="ar"/>
              </w:rPr>
              <w:t>70mm</w:t>
            </w:r>
            <w:r>
              <w:rPr>
                <w:rStyle w:val="27"/>
                <w:color w:val="auto"/>
                <w:highlight w:val="none"/>
                <w:lang w:val="en-US" w:eastAsia="zh-CN" w:bidi="ar"/>
              </w:rPr>
              <w:t>空</w:t>
            </w:r>
            <w:r>
              <w:rPr>
                <w:rStyle w:val="26"/>
                <w:rFonts w:eastAsia="宋体"/>
                <w:color w:val="auto"/>
                <w:highlight w:val="none"/>
                <w:lang w:val="en-US" w:eastAsia="zh-CN" w:bidi="ar"/>
              </w:rPr>
              <w:t>110mm,</w:t>
            </w:r>
            <w:r>
              <w:rPr>
                <w:rStyle w:val="27"/>
                <w:color w:val="auto"/>
                <w:highlight w:val="none"/>
                <w:lang w:val="en-US" w:eastAsia="zh-CN" w:bidi="ar"/>
              </w:rPr>
              <w:t>宽</w:t>
            </w:r>
            <w:r>
              <w:rPr>
                <w:rStyle w:val="26"/>
                <w:rFonts w:eastAsia="宋体"/>
                <w:color w:val="auto"/>
                <w:highlight w:val="none"/>
                <w:lang w:val="en-US" w:eastAsia="zh-CN" w:bidi="ar"/>
              </w:rPr>
              <w:t>150mm</w:t>
            </w:r>
            <w:r>
              <w:rPr>
                <w:rStyle w:val="27"/>
                <w:color w:val="auto"/>
                <w:highlight w:val="none"/>
                <w:lang w:val="en-US" w:eastAsia="zh-CN" w:bidi="ar"/>
              </w:rPr>
              <w:t>线划</w:t>
            </w:r>
            <w:r>
              <w:rPr>
                <w:rStyle w:val="26"/>
                <w:rFonts w:eastAsia="宋体"/>
                <w:color w:val="auto"/>
                <w:highlight w:val="none"/>
                <w:lang w:val="en-US" w:eastAsia="zh-CN" w:bidi="ar"/>
              </w:rPr>
              <w:t>3</w:t>
            </w:r>
            <w:r>
              <w:rPr>
                <w:rStyle w:val="27"/>
                <w:color w:val="auto"/>
                <w:highlight w:val="none"/>
                <w:lang w:val="en-US" w:eastAsia="zh-CN" w:bidi="ar"/>
              </w:rPr>
              <w:t>颗</w:t>
            </w:r>
            <w:r>
              <w:rPr>
                <w:rStyle w:val="26"/>
                <w:rFonts w:eastAsia="宋体"/>
                <w:color w:val="auto"/>
                <w:highlight w:val="none"/>
                <w:lang w:val="en-US" w:eastAsia="zh-CN" w:bidi="ar"/>
              </w:rPr>
              <w:t>;</w:t>
            </w:r>
            <w:r>
              <w:rPr>
                <w:rStyle w:val="27"/>
                <w:color w:val="auto"/>
                <w:highlight w:val="none"/>
                <w:lang w:val="en-US" w:eastAsia="zh-CN" w:bidi="ar"/>
              </w:rPr>
              <w:t>宽</w:t>
            </w:r>
            <w:r>
              <w:rPr>
                <w:rStyle w:val="26"/>
                <w:rFonts w:eastAsia="宋体"/>
                <w:color w:val="auto"/>
                <w:highlight w:val="none"/>
                <w:lang w:val="en-US" w:eastAsia="zh-CN" w:bidi="ar"/>
              </w:rPr>
              <w:t>200mm</w:t>
            </w:r>
            <w:r>
              <w:rPr>
                <w:rStyle w:val="27"/>
                <w:color w:val="auto"/>
                <w:highlight w:val="none"/>
                <w:lang w:val="en-US" w:eastAsia="zh-CN" w:bidi="ar"/>
              </w:rPr>
              <w:t>线划</w:t>
            </w:r>
            <w:r>
              <w:rPr>
                <w:rStyle w:val="26"/>
                <w:rFonts w:eastAsia="宋体"/>
                <w:color w:val="auto"/>
                <w:highlight w:val="none"/>
                <w:lang w:val="en-US" w:eastAsia="zh-CN" w:bidi="ar"/>
              </w:rPr>
              <w:t>4</w:t>
            </w:r>
            <w:r>
              <w:rPr>
                <w:rStyle w:val="27"/>
                <w:color w:val="auto"/>
                <w:highlight w:val="none"/>
                <w:lang w:val="en-US" w:eastAsia="zh-CN" w:bidi="ar"/>
              </w:rPr>
              <w:t>颗。其中纵向减速震荡标线按照每个</w:t>
            </w:r>
            <w:r>
              <w:rPr>
                <w:rStyle w:val="26"/>
                <w:rFonts w:eastAsia="宋体"/>
                <w:color w:val="auto"/>
                <w:highlight w:val="none"/>
                <w:lang w:val="en-US" w:eastAsia="zh-CN" w:bidi="ar"/>
              </w:rPr>
              <w:t>0.3</w:t>
            </w:r>
            <w:r>
              <w:rPr>
                <w:rStyle w:val="27"/>
                <w:color w:val="auto"/>
                <w:highlight w:val="none"/>
                <w:lang w:val="en-US" w:eastAsia="zh-CN" w:bidi="ar"/>
              </w:rPr>
              <w:t>平方米计算（包含尾部变小部分）</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m</w:t>
            </w:r>
            <w:r>
              <w:rPr>
                <w:rStyle w:val="25"/>
                <w:color w:val="auto"/>
                <w:highlight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color w:val="auto"/>
                <w:szCs w:val="21"/>
                <w:highlight w:val="none"/>
                <w:lang w:val="en-US"/>
              </w:rPr>
            </w:pPr>
            <w:r>
              <w:rPr>
                <w:rFonts w:hint="eastAsia" w:ascii="宋体" w:hAnsi="宋体" w:cs="宋体"/>
                <w:i w:val="0"/>
                <w:iCs w:val="0"/>
                <w:color w:val="auto"/>
                <w:kern w:val="0"/>
                <w:sz w:val="21"/>
                <w:szCs w:val="21"/>
                <w:highlight w:val="none"/>
                <w:u w:val="none"/>
                <w:lang w:val="en-US" w:eastAsia="zh-CN" w:bidi="ar"/>
              </w:rPr>
              <w:t>6770</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cs="宋体"/>
                <w:i w:val="0"/>
                <w:iCs w:val="0"/>
                <w:color w:val="auto"/>
                <w:kern w:val="0"/>
                <w:sz w:val="21"/>
                <w:szCs w:val="21"/>
                <w:highlight w:val="none"/>
                <w:u w:val="none"/>
                <w:lang w:val="en-US" w:eastAsia="zh-CN" w:bidi="ar"/>
              </w:rPr>
              <w:t>6770</w:t>
            </w:r>
            <w:r>
              <w:rPr>
                <w:rFonts w:hint="eastAsia" w:ascii="宋体" w:hAnsi="宋体" w:eastAsia="宋体" w:cs="宋体"/>
                <w:i w:val="0"/>
                <w:iCs w:val="0"/>
                <w:color w:val="auto"/>
                <w:kern w:val="0"/>
                <w:sz w:val="21"/>
                <w:szCs w:val="21"/>
                <w:highlight w:val="none"/>
                <w:u w:val="none"/>
                <w:lang w:val="en-US" w:eastAsia="zh-CN" w:bidi="ar"/>
              </w:rPr>
              <w:t>00</w:t>
            </w:r>
          </w:p>
        </w:tc>
        <w:tc>
          <w:tcPr>
            <w:tcW w:w="1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Cs w:val="21"/>
                <w:highlight w:val="none"/>
                <w:lang w:val="en-US" w:eastAsia="zh-CN"/>
              </w:rPr>
            </w:pPr>
            <w:r>
              <w:rPr>
                <w:rFonts w:hint="eastAsia" w:ascii="宋体" w:hAnsi="宋体" w:cs="宋体"/>
                <w:color w:val="auto"/>
                <w:kern w:val="0"/>
                <w:szCs w:val="21"/>
                <w:highlight w:val="none"/>
                <w:lang w:val="en-US" w:eastAsia="zh-CN" w:bidi="ar"/>
              </w:rPr>
              <w:t xml:space="preserve"> </w:t>
            </w:r>
            <w:r>
              <w:rPr>
                <w:rFonts w:hint="eastAsia" w:ascii="宋体" w:hAnsi="宋体" w:cs="宋体"/>
                <w:color w:val="auto"/>
                <w:kern w:val="0"/>
                <w:szCs w:val="21"/>
                <w:highlight w:val="none"/>
                <w:lang w:bidi="ar"/>
              </w:rPr>
              <w:t>其中纵向减速震荡标线按照每个0.3平方米计算（包含尾部变小部分）</w:t>
            </w:r>
          </w:p>
        </w:tc>
      </w:tr>
      <w:tr>
        <w:tblPrEx>
          <w:tblCellMar>
            <w:top w:w="0" w:type="dxa"/>
            <w:left w:w="0" w:type="dxa"/>
            <w:bottom w:w="0" w:type="dxa"/>
            <w:right w:w="0" w:type="dxa"/>
          </w:tblCellMar>
        </w:tblPrEx>
        <w:trPr>
          <w:trHeight w:val="341"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3</w:t>
            </w:r>
          </w:p>
        </w:tc>
        <w:tc>
          <w:tcPr>
            <w:tcW w:w="1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彩色防滑路面标线</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厚度≥3.0mm，含地面、夯平、图形制作、底胶浸倒、陶珠散布、余珠清除。</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m</w:t>
            </w:r>
            <w:r>
              <w:rPr>
                <w:rStyle w:val="25"/>
                <w:color w:val="auto"/>
                <w:highlight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200</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200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40000</w:t>
            </w:r>
          </w:p>
        </w:tc>
        <w:tc>
          <w:tcPr>
            <w:tcW w:w="1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83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4</w:t>
            </w:r>
          </w:p>
        </w:tc>
        <w:tc>
          <w:tcPr>
            <w:tcW w:w="1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双组份反光型标线（喷涂）</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详见技术参数</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m</w:t>
            </w:r>
            <w:r>
              <w:rPr>
                <w:rStyle w:val="25"/>
                <w:color w:val="auto"/>
                <w:highlight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color w:val="auto"/>
                <w:szCs w:val="21"/>
                <w:highlight w:val="none"/>
                <w:lang w:val="en-US"/>
              </w:rPr>
            </w:pPr>
            <w:r>
              <w:rPr>
                <w:rFonts w:hint="eastAsia" w:ascii="宋体" w:hAnsi="宋体" w:cs="宋体"/>
                <w:i w:val="0"/>
                <w:iCs w:val="0"/>
                <w:color w:val="auto"/>
                <w:kern w:val="0"/>
                <w:sz w:val="21"/>
                <w:szCs w:val="21"/>
                <w:highlight w:val="none"/>
                <w:u w:val="none"/>
                <w:lang w:val="en-US" w:eastAsia="zh-CN" w:bidi="ar"/>
              </w:rPr>
              <w:t>2000</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80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160000</w:t>
            </w:r>
          </w:p>
        </w:tc>
        <w:tc>
          <w:tcPr>
            <w:tcW w:w="1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341"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w:t>
            </w:r>
          </w:p>
        </w:tc>
        <w:tc>
          <w:tcPr>
            <w:tcW w:w="1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双组份突起型反光标线（甩涂）</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详见技术参数</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m</w:t>
            </w:r>
            <w:r>
              <w:rPr>
                <w:rStyle w:val="25"/>
                <w:color w:val="auto"/>
                <w:highlight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color w:val="auto"/>
                <w:szCs w:val="21"/>
                <w:highlight w:val="none"/>
                <w:lang w:val="en-US"/>
              </w:rPr>
            </w:pPr>
            <w:r>
              <w:rPr>
                <w:rFonts w:hint="eastAsia" w:ascii="宋体" w:hAnsi="宋体" w:cs="宋体"/>
                <w:i w:val="0"/>
                <w:iCs w:val="0"/>
                <w:color w:val="auto"/>
                <w:kern w:val="0"/>
                <w:sz w:val="21"/>
                <w:szCs w:val="21"/>
                <w:highlight w:val="none"/>
                <w:u w:val="none"/>
                <w:lang w:val="en-US" w:eastAsia="zh-CN" w:bidi="ar"/>
              </w:rPr>
              <w:t>10300</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120</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color w:val="auto"/>
                <w:szCs w:val="21"/>
                <w:highlight w:val="none"/>
                <w:lang w:val="en-US"/>
              </w:rPr>
            </w:pPr>
            <w:r>
              <w:rPr>
                <w:rFonts w:hint="eastAsia" w:ascii="宋体" w:hAnsi="宋体" w:cs="宋体"/>
                <w:i w:val="0"/>
                <w:iCs w:val="0"/>
                <w:color w:val="auto"/>
                <w:kern w:val="0"/>
                <w:sz w:val="21"/>
                <w:szCs w:val="21"/>
                <w:highlight w:val="none"/>
                <w:u w:val="none"/>
                <w:lang w:val="en-US" w:eastAsia="zh-CN" w:bidi="ar"/>
              </w:rPr>
              <w:t>1236000</w:t>
            </w:r>
          </w:p>
        </w:tc>
        <w:tc>
          <w:tcPr>
            <w:tcW w:w="1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315"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6</w:t>
            </w:r>
          </w:p>
        </w:tc>
        <w:tc>
          <w:tcPr>
            <w:tcW w:w="1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热熔雨夜标线</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kern w:val="0"/>
                <w:szCs w:val="21"/>
                <w:highlight w:val="none"/>
                <w:lang w:bidi="ar"/>
              </w:rPr>
            </w:pPr>
            <w:r>
              <w:rPr>
                <w:rFonts w:hint="eastAsia" w:ascii="宋体" w:hAnsi="宋体" w:eastAsia="宋体" w:cs="宋体"/>
                <w:i w:val="0"/>
                <w:iCs w:val="0"/>
                <w:color w:val="auto"/>
                <w:kern w:val="0"/>
                <w:sz w:val="21"/>
                <w:szCs w:val="21"/>
                <w:highlight w:val="none"/>
                <w:u w:val="none"/>
                <w:lang w:val="en-US" w:eastAsia="zh-CN" w:bidi="ar"/>
              </w:rPr>
              <w:t>详见技术参数</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m</w:t>
            </w:r>
            <w:r>
              <w:rPr>
                <w:rStyle w:val="25"/>
                <w:color w:val="auto"/>
                <w:highlight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500</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178</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89000</w:t>
            </w:r>
          </w:p>
        </w:tc>
        <w:tc>
          <w:tcPr>
            <w:tcW w:w="1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329"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7</w:t>
            </w:r>
          </w:p>
        </w:tc>
        <w:tc>
          <w:tcPr>
            <w:tcW w:w="1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高压水除线</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超高压水磨清洗法，清除老标线，无明显痕迹</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m</w:t>
            </w:r>
            <w:r>
              <w:rPr>
                <w:rStyle w:val="25"/>
                <w:color w:val="auto"/>
                <w:highlight w:val="none"/>
                <w:lang w:val="en-US" w:eastAsia="zh-CN" w:bidi="ar"/>
              </w:rPr>
              <w:t>2</w:t>
            </w:r>
          </w:p>
        </w:tc>
        <w:tc>
          <w:tcPr>
            <w:tcW w:w="11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color w:val="auto"/>
                <w:szCs w:val="21"/>
                <w:highlight w:val="none"/>
                <w:lang w:val="en-US"/>
              </w:rPr>
            </w:pPr>
            <w:r>
              <w:rPr>
                <w:rFonts w:hint="eastAsia" w:ascii="宋体" w:hAnsi="宋体" w:cs="宋体"/>
                <w:i w:val="0"/>
                <w:iCs w:val="0"/>
                <w:color w:val="auto"/>
                <w:kern w:val="0"/>
                <w:sz w:val="21"/>
                <w:szCs w:val="21"/>
                <w:highlight w:val="none"/>
                <w:u w:val="none"/>
                <w:lang w:val="en-US" w:eastAsia="zh-CN" w:bidi="ar"/>
              </w:rPr>
              <w:t>20400</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auto"/>
                <w:szCs w:val="21"/>
                <w:highlight w:val="none"/>
              </w:rPr>
            </w:pPr>
            <w:r>
              <w:rPr>
                <w:rFonts w:hint="eastAsia" w:ascii="宋体" w:hAnsi="宋体" w:eastAsia="宋体" w:cs="宋体"/>
                <w:i w:val="0"/>
                <w:iCs w:val="0"/>
                <w:color w:val="auto"/>
                <w:kern w:val="0"/>
                <w:sz w:val="21"/>
                <w:szCs w:val="21"/>
                <w:highlight w:val="none"/>
                <w:u w:val="none"/>
                <w:lang w:val="en-US" w:eastAsia="zh-CN" w:bidi="ar"/>
              </w:rPr>
              <w:t>45</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cs="宋体"/>
                <w:color w:val="auto"/>
                <w:szCs w:val="21"/>
                <w:highlight w:val="none"/>
                <w:lang w:val="en-US"/>
              </w:rPr>
            </w:pPr>
            <w:r>
              <w:rPr>
                <w:rFonts w:hint="eastAsia" w:ascii="宋体" w:hAnsi="宋体" w:cs="宋体"/>
                <w:i w:val="0"/>
                <w:iCs w:val="0"/>
                <w:color w:val="auto"/>
                <w:kern w:val="0"/>
                <w:sz w:val="21"/>
                <w:szCs w:val="21"/>
                <w:highlight w:val="none"/>
                <w:u w:val="none"/>
                <w:lang w:val="en-US" w:eastAsia="zh-CN" w:bidi="ar"/>
              </w:rPr>
              <w:t>918000</w:t>
            </w:r>
          </w:p>
        </w:tc>
        <w:tc>
          <w:tcPr>
            <w:tcW w:w="14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924" w:hRule="atLeast"/>
          <w:jc w:val="center"/>
        </w:trPr>
        <w:tc>
          <w:tcPr>
            <w:tcW w:w="975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highlight w:val="none"/>
              </w:rPr>
            </w:pPr>
            <w:r>
              <w:rPr>
                <w:rFonts w:hint="eastAsia" w:ascii="宋体" w:hAnsi="宋体" w:cs="宋体"/>
                <w:b/>
                <w:bCs/>
                <w:color w:val="auto"/>
                <w:szCs w:val="21"/>
                <w:highlight w:val="none"/>
              </w:rPr>
              <w:t>共计</w:t>
            </w:r>
            <w:r>
              <w:rPr>
                <w:rFonts w:hint="eastAsia" w:ascii="宋体" w:hAnsi="宋体" w:cs="宋体"/>
                <w:b/>
                <w:bCs/>
                <w:color w:val="auto"/>
                <w:szCs w:val="21"/>
                <w:highlight w:val="none"/>
                <w:u w:val="single"/>
              </w:rPr>
              <w:t xml:space="preserve">  </w:t>
            </w:r>
            <w:r>
              <w:rPr>
                <w:rFonts w:hint="eastAsia" w:ascii="宋体" w:hAnsi="宋体" w:cs="宋体"/>
                <w:b/>
                <w:bCs/>
                <w:color w:val="auto"/>
                <w:szCs w:val="21"/>
                <w:highlight w:val="none"/>
                <w:u w:val="single"/>
                <w:lang w:val="en-US" w:eastAsia="zh-CN"/>
              </w:rPr>
              <w:t>6</w:t>
            </w:r>
            <w:r>
              <w:rPr>
                <w:rFonts w:hint="eastAsia" w:ascii="宋体" w:hAnsi="宋体" w:cs="宋体"/>
                <w:b/>
                <w:bCs/>
                <w:color w:val="auto"/>
                <w:szCs w:val="21"/>
                <w:highlight w:val="none"/>
                <w:u w:val="single"/>
              </w:rPr>
              <w:t>000000 元</w:t>
            </w:r>
          </w:p>
        </w:tc>
      </w:tr>
    </w:tbl>
    <w:p>
      <w:pPr>
        <w:numPr>
          <w:ilvl w:val="0"/>
          <w:numId w:val="0"/>
        </w:numPr>
        <w:spacing w:line="360" w:lineRule="auto"/>
        <w:rPr>
          <w:rFonts w:hint="eastAsia" w:ascii="宋体" w:hAnsi="宋体" w:eastAsia="宋体" w:cs="宋体"/>
          <w:b/>
          <w:bCs/>
          <w:color w:val="auto"/>
          <w:sz w:val="24"/>
          <w:highlight w:val="none"/>
          <w:lang w:val="en-US" w:eastAsia="zh-CN"/>
        </w:rPr>
      </w:pPr>
      <w:r>
        <w:rPr>
          <w:rFonts w:hint="eastAsia" w:ascii="宋体" w:hAnsi="宋体" w:cs="宋体"/>
          <w:b/>
          <w:bCs/>
          <w:color w:val="auto"/>
          <w:sz w:val="24"/>
          <w:highlight w:val="none"/>
          <w:lang w:val="en-US" w:eastAsia="zh-CN"/>
        </w:rPr>
        <w:t>注：</w:t>
      </w:r>
      <w:r>
        <w:rPr>
          <w:rFonts w:hint="eastAsia" w:ascii="黑体" w:hAnsi="黑体" w:eastAsia="黑体"/>
          <w:b/>
          <w:color w:val="auto"/>
          <w:kern w:val="28"/>
          <w:sz w:val="24"/>
          <w:highlight w:val="none"/>
        </w:rPr>
        <w:t>最终的结算价（最终结算金额=</w:t>
      </w:r>
      <w:r>
        <w:rPr>
          <w:rFonts w:hint="eastAsia" w:ascii="黑体" w:hAnsi="黑体" w:eastAsia="黑体"/>
          <w:b/>
          <w:color w:val="auto"/>
          <w:kern w:val="28"/>
          <w:sz w:val="24"/>
          <w:highlight w:val="none"/>
          <w:lang w:val="en-US" w:eastAsia="zh-CN"/>
        </w:rPr>
        <w:t>实际工作量</w:t>
      </w:r>
      <w:r>
        <w:rPr>
          <w:rFonts w:hint="eastAsia" w:ascii="黑体" w:hAnsi="黑体" w:eastAsia="黑体"/>
          <w:b/>
          <w:color w:val="auto"/>
          <w:kern w:val="28"/>
          <w:sz w:val="24"/>
          <w:highlight w:val="none"/>
        </w:rPr>
        <w:t>*成交单价，成交单价=</w:t>
      </w:r>
      <w:r>
        <w:rPr>
          <w:rFonts w:hint="eastAsia" w:ascii="黑体" w:hAnsi="黑体" w:eastAsia="黑体"/>
          <w:b/>
          <w:color w:val="auto"/>
          <w:kern w:val="28"/>
          <w:sz w:val="24"/>
          <w:highlight w:val="none"/>
          <w:lang w:val="en-US" w:eastAsia="zh-CN"/>
        </w:rPr>
        <w:t>上限</w:t>
      </w:r>
      <w:r>
        <w:rPr>
          <w:rFonts w:hint="eastAsia" w:ascii="黑体" w:hAnsi="黑体" w:eastAsia="黑体"/>
          <w:b/>
          <w:color w:val="auto"/>
          <w:kern w:val="28"/>
          <w:sz w:val="24"/>
          <w:highlight w:val="none"/>
        </w:rPr>
        <w:t>单价*成交结算率）</w:t>
      </w:r>
    </w:p>
    <w:p>
      <w:pPr>
        <w:numPr>
          <w:ilvl w:val="0"/>
          <w:numId w:val="7"/>
        </w:num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技术标准和要求</w:t>
      </w:r>
    </w:p>
    <w:p>
      <w:pPr>
        <w:pStyle w:val="21"/>
        <w:rPr>
          <w:color w:val="auto"/>
          <w:highlight w:val="none"/>
        </w:rPr>
      </w:pPr>
    </w:p>
    <w:p>
      <w:pPr>
        <w:spacing w:line="360" w:lineRule="auto"/>
        <w:ind w:firstLine="354" w:firstLineChars="147"/>
        <w:rPr>
          <w:rFonts w:ascii="宋体" w:hAnsi="宋体"/>
          <w:b/>
          <w:color w:val="auto"/>
          <w:sz w:val="24"/>
          <w:highlight w:val="none"/>
        </w:rPr>
      </w:pPr>
      <w:r>
        <w:rPr>
          <w:rFonts w:hint="eastAsia" w:ascii="宋体" w:hAnsi="宋体"/>
          <w:b/>
          <w:color w:val="auto"/>
          <w:sz w:val="24"/>
          <w:highlight w:val="none"/>
        </w:rPr>
        <w:t>2.1、供货要求</w:t>
      </w:r>
    </w:p>
    <w:p>
      <w:pPr>
        <w:spacing w:line="360" w:lineRule="auto"/>
        <w:ind w:firstLine="352" w:firstLineChars="147"/>
        <w:rPr>
          <w:rFonts w:ascii="宋体" w:hAnsi="宋体"/>
          <w:color w:val="auto"/>
          <w:sz w:val="24"/>
          <w:highlight w:val="none"/>
        </w:rPr>
      </w:pPr>
      <w:r>
        <w:rPr>
          <w:rFonts w:hint="eastAsia" w:ascii="宋体" w:hAnsi="宋体"/>
          <w:color w:val="auto"/>
          <w:sz w:val="24"/>
          <w:highlight w:val="none"/>
        </w:rPr>
        <w:t>（1）本项目采购内容为标线（包含修补市区标线13.5万平方米左右，除线2万平方米左右等）及其全部附件、辅材、备品备件、专用工具等为完成本项目所需的所有设备的提供，人工及技术和售后服务等。</w:t>
      </w:r>
    </w:p>
    <w:p>
      <w:pPr>
        <w:spacing w:line="360" w:lineRule="auto"/>
        <w:ind w:firstLine="352" w:firstLineChars="147"/>
        <w:rPr>
          <w:color w:val="auto"/>
          <w:sz w:val="24"/>
          <w:highlight w:val="none"/>
        </w:rPr>
      </w:pPr>
      <w:r>
        <w:rPr>
          <w:rFonts w:hint="eastAsia" w:ascii="宋体" w:hAnsi="宋体"/>
          <w:color w:val="auto"/>
          <w:sz w:val="24"/>
          <w:highlight w:val="none"/>
        </w:rPr>
        <w:t>（2）本次招标将从资格审查、制造、供货、运输、安装、备品配件、验收、售后服务、维修技术力量、培训等各个方面，对投标供应商进行全方位的综合考评。</w:t>
      </w:r>
    </w:p>
    <w:p>
      <w:pPr>
        <w:spacing w:line="360" w:lineRule="auto"/>
        <w:ind w:firstLine="354" w:firstLineChars="147"/>
        <w:rPr>
          <w:rFonts w:ascii="宋体" w:hAnsi="宋体"/>
          <w:color w:val="auto"/>
          <w:sz w:val="24"/>
          <w:highlight w:val="none"/>
        </w:rPr>
      </w:pPr>
      <w:r>
        <w:rPr>
          <w:rFonts w:hint="eastAsia" w:ascii="宋体" w:hAnsi="宋体"/>
          <w:b/>
          <w:color w:val="auto"/>
          <w:sz w:val="24"/>
          <w:highlight w:val="none"/>
        </w:rPr>
        <w:t>2.2、技术规范及规格要求</w:t>
      </w:r>
      <w:r>
        <w:rPr>
          <w:rFonts w:ascii="宋体" w:hAnsi="宋体"/>
          <w:b/>
          <w:color w:val="auto"/>
          <w:sz w:val="24"/>
          <w:highlight w:val="none"/>
        </w:rPr>
        <w:tab/>
      </w:r>
    </w:p>
    <w:p>
      <w:pPr>
        <w:spacing w:line="360" w:lineRule="auto"/>
        <w:ind w:firstLine="354" w:firstLineChars="147"/>
        <w:rPr>
          <w:rFonts w:ascii="宋体" w:hAnsi="宋体"/>
          <w:b/>
          <w:color w:val="auto"/>
          <w:sz w:val="24"/>
          <w:highlight w:val="none"/>
        </w:rPr>
      </w:pPr>
      <w:r>
        <w:rPr>
          <w:rFonts w:hint="eastAsia" w:ascii="宋体" w:hAnsi="宋体"/>
          <w:b/>
          <w:color w:val="auto"/>
          <w:sz w:val="24"/>
          <w:highlight w:val="none"/>
        </w:rPr>
        <w:t>2.2.1、技术规范</w:t>
      </w:r>
    </w:p>
    <w:p>
      <w:pPr>
        <w:spacing w:line="360" w:lineRule="auto"/>
        <w:ind w:firstLine="352" w:firstLineChars="147"/>
        <w:rPr>
          <w:rFonts w:ascii="宋体" w:hAnsi="宋体"/>
          <w:color w:val="auto"/>
          <w:sz w:val="24"/>
          <w:highlight w:val="none"/>
        </w:rPr>
      </w:pPr>
      <w:r>
        <w:rPr>
          <w:rFonts w:hint="eastAsia" w:ascii="宋体" w:hAnsi="宋体"/>
          <w:color w:val="auto"/>
          <w:sz w:val="24"/>
          <w:highlight w:val="none"/>
        </w:rPr>
        <w:t>（1）《道路交通标志和标线》（GB5768）</w:t>
      </w:r>
    </w:p>
    <w:p>
      <w:pPr>
        <w:spacing w:line="360" w:lineRule="auto"/>
        <w:ind w:firstLine="360" w:firstLineChars="150"/>
        <w:rPr>
          <w:rFonts w:ascii="宋体" w:hAnsi="宋体"/>
          <w:color w:val="auto"/>
          <w:sz w:val="24"/>
          <w:highlight w:val="none"/>
        </w:rPr>
      </w:pPr>
      <w:r>
        <w:rPr>
          <w:rFonts w:hint="eastAsia" w:ascii="宋体" w:hAnsi="宋体"/>
          <w:color w:val="auto"/>
          <w:sz w:val="24"/>
          <w:highlight w:val="none"/>
        </w:rPr>
        <w:t>（2）《道路交通反光膜》(GB/T 18833－2012)</w:t>
      </w:r>
    </w:p>
    <w:p>
      <w:pPr>
        <w:spacing w:line="360" w:lineRule="auto"/>
        <w:ind w:firstLine="360" w:firstLineChars="150"/>
        <w:rPr>
          <w:rFonts w:ascii="宋体" w:hAnsi="宋体"/>
          <w:color w:val="auto"/>
          <w:sz w:val="24"/>
          <w:highlight w:val="none"/>
        </w:rPr>
      </w:pPr>
      <w:r>
        <w:rPr>
          <w:rFonts w:hint="eastAsia" w:ascii="宋体" w:hAnsi="宋体"/>
          <w:color w:val="auto"/>
          <w:sz w:val="24"/>
          <w:highlight w:val="none"/>
        </w:rPr>
        <w:t>（3）《交通建设工程工程量清单计价规范第1部分 公路工程(DB33T628.1-2007)</w:t>
      </w:r>
    </w:p>
    <w:p>
      <w:pPr>
        <w:spacing w:line="360" w:lineRule="auto"/>
        <w:ind w:firstLine="360" w:firstLineChars="150"/>
        <w:rPr>
          <w:rFonts w:ascii="宋体" w:hAnsi="宋体" w:cs="宋体"/>
          <w:color w:val="auto"/>
          <w:sz w:val="24"/>
          <w:highlight w:val="none"/>
        </w:rPr>
      </w:pPr>
      <w:r>
        <w:rPr>
          <w:rFonts w:hint="eastAsia" w:ascii="宋体" w:hAnsi="宋体"/>
          <w:color w:val="auto"/>
          <w:sz w:val="24"/>
          <w:highlight w:val="none"/>
        </w:rPr>
        <w:t>（4）</w:t>
      </w:r>
      <w:r>
        <w:rPr>
          <w:rFonts w:hint="eastAsia" w:ascii="宋体" w:hAnsi="宋体" w:cs="宋体"/>
          <w:color w:val="auto"/>
          <w:sz w:val="24"/>
          <w:highlight w:val="none"/>
        </w:rPr>
        <w:t>《公安交通管理外场设备基础施工通用要求》（GA/T 652-2017）</w:t>
      </w:r>
    </w:p>
    <w:p>
      <w:pPr>
        <w:spacing w:line="360" w:lineRule="auto"/>
        <w:ind w:firstLine="360" w:firstLineChars="150"/>
        <w:rPr>
          <w:rFonts w:ascii="宋体" w:hAnsi="宋体"/>
          <w:color w:val="auto"/>
          <w:sz w:val="24"/>
          <w:highlight w:val="none"/>
        </w:rPr>
      </w:pPr>
      <w:r>
        <w:rPr>
          <w:rFonts w:hint="eastAsia" w:ascii="宋体" w:hAnsi="宋体"/>
          <w:color w:val="auto"/>
          <w:sz w:val="24"/>
          <w:highlight w:val="none"/>
        </w:rPr>
        <w:t>（5）《城市道路交叉口设计规程》</w:t>
      </w:r>
      <w:r>
        <w:rPr>
          <w:rFonts w:ascii="宋体" w:hAnsi="宋体"/>
          <w:color w:val="auto"/>
          <w:sz w:val="24"/>
          <w:highlight w:val="none"/>
        </w:rPr>
        <w:t>(CJJ152-2010)</w:t>
      </w:r>
    </w:p>
    <w:p>
      <w:pPr>
        <w:spacing w:line="360" w:lineRule="auto"/>
        <w:ind w:firstLine="360" w:firstLineChars="150"/>
        <w:rPr>
          <w:rFonts w:ascii="宋体" w:hAnsi="宋体"/>
          <w:color w:val="auto"/>
          <w:sz w:val="24"/>
          <w:highlight w:val="none"/>
        </w:rPr>
      </w:pPr>
      <w:r>
        <w:rPr>
          <w:rFonts w:hint="eastAsia" w:ascii="宋体" w:hAnsi="宋体"/>
          <w:color w:val="auto"/>
          <w:sz w:val="24"/>
          <w:highlight w:val="none"/>
        </w:rPr>
        <w:t>（6）《城市道路工程设计规范》</w:t>
      </w:r>
      <w:r>
        <w:rPr>
          <w:rFonts w:ascii="宋体" w:hAnsi="宋体"/>
          <w:color w:val="auto"/>
          <w:sz w:val="24"/>
          <w:highlight w:val="none"/>
        </w:rPr>
        <w:t>(CJJ37-2012)</w:t>
      </w:r>
    </w:p>
    <w:p>
      <w:pPr>
        <w:spacing w:line="360" w:lineRule="auto"/>
        <w:ind w:firstLine="360" w:firstLineChars="150"/>
        <w:rPr>
          <w:rFonts w:ascii="宋体" w:hAnsi="宋体"/>
          <w:color w:val="auto"/>
          <w:sz w:val="24"/>
          <w:highlight w:val="none"/>
        </w:rPr>
      </w:pPr>
      <w:r>
        <w:rPr>
          <w:rFonts w:hint="eastAsia" w:ascii="宋体" w:hAnsi="宋体"/>
          <w:color w:val="auto"/>
          <w:sz w:val="24"/>
          <w:highlight w:val="none"/>
        </w:rPr>
        <w:t>（7）《城市道路机动车道宽度设计规范》</w:t>
      </w:r>
      <w:r>
        <w:rPr>
          <w:rFonts w:ascii="宋体" w:hAnsi="宋体"/>
          <w:color w:val="auto"/>
          <w:sz w:val="24"/>
          <w:highlight w:val="none"/>
        </w:rPr>
        <w:t>(DB331057-2008)</w:t>
      </w:r>
    </w:p>
    <w:p>
      <w:pPr>
        <w:spacing w:line="360" w:lineRule="auto"/>
        <w:ind w:firstLine="360" w:firstLineChars="150"/>
        <w:rPr>
          <w:rFonts w:ascii="宋体" w:hAnsi="宋体"/>
          <w:color w:val="auto"/>
          <w:sz w:val="24"/>
          <w:highlight w:val="none"/>
        </w:rPr>
      </w:pPr>
      <w:r>
        <w:rPr>
          <w:rFonts w:hint="eastAsia" w:ascii="宋体" w:hAnsi="宋体"/>
          <w:color w:val="auto"/>
          <w:sz w:val="24"/>
          <w:highlight w:val="none"/>
        </w:rPr>
        <w:t>（8）《道路交通标线质量要求和检测方法》</w:t>
      </w:r>
      <w:r>
        <w:rPr>
          <w:rFonts w:ascii="宋体" w:hAnsi="宋体"/>
          <w:color w:val="auto"/>
          <w:sz w:val="24"/>
          <w:highlight w:val="none"/>
        </w:rPr>
        <w:t>(GBT16311-2005)</w:t>
      </w:r>
    </w:p>
    <w:p>
      <w:pPr>
        <w:spacing w:line="360" w:lineRule="auto"/>
        <w:ind w:firstLine="360" w:firstLineChars="150"/>
        <w:rPr>
          <w:rFonts w:ascii="宋体" w:hAnsi="宋体"/>
          <w:color w:val="auto"/>
          <w:sz w:val="24"/>
          <w:highlight w:val="none"/>
        </w:rPr>
      </w:pPr>
      <w:r>
        <w:rPr>
          <w:rFonts w:hint="eastAsia" w:ascii="宋体" w:hAnsi="宋体"/>
          <w:color w:val="auto"/>
          <w:sz w:val="24"/>
          <w:highlight w:val="none"/>
        </w:rPr>
        <w:t>（9）《浙江省城市道路交通标志和标线设置规范》(DB33</w:t>
      </w:r>
      <w:r>
        <w:rPr>
          <w:rFonts w:hint="eastAsia" w:ascii="宋体" w:hAnsi="宋体" w:cs="宋体"/>
          <w:color w:val="auto"/>
          <w:sz w:val="24"/>
          <w:highlight w:val="none"/>
        </w:rPr>
        <w:t>/</w:t>
      </w:r>
      <w:r>
        <w:rPr>
          <w:rFonts w:hint="eastAsia" w:ascii="宋体" w:hAnsi="宋体"/>
          <w:color w:val="auto"/>
          <w:sz w:val="24"/>
          <w:highlight w:val="none"/>
        </w:rPr>
        <w:t xml:space="preserve">T818-2010) </w:t>
      </w:r>
    </w:p>
    <w:p>
      <w:pPr>
        <w:spacing w:line="360" w:lineRule="auto"/>
        <w:ind w:firstLine="360" w:firstLineChars="150"/>
        <w:rPr>
          <w:rFonts w:ascii="宋体" w:hAnsi="宋体"/>
          <w:color w:val="auto"/>
          <w:sz w:val="24"/>
          <w:highlight w:val="none"/>
        </w:rPr>
      </w:pPr>
      <w:r>
        <w:rPr>
          <w:rFonts w:hint="eastAsia" w:ascii="宋体" w:hAnsi="宋体"/>
          <w:color w:val="auto"/>
          <w:sz w:val="24"/>
          <w:highlight w:val="none"/>
        </w:rPr>
        <w:t>（10）</w:t>
      </w:r>
      <w:r>
        <w:rPr>
          <w:rFonts w:ascii="宋体" w:hAnsi="宋体"/>
          <w:color w:val="auto"/>
          <w:sz w:val="24"/>
          <w:highlight w:val="none"/>
        </w:rPr>
        <w:t xml:space="preserve"> JTJ001—2003</w:t>
      </w:r>
      <w:r>
        <w:rPr>
          <w:rFonts w:hint="eastAsia" w:ascii="宋体" w:hAnsi="宋体"/>
          <w:color w:val="auto"/>
          <w:sz w:val="24"/>
          <w:highlight w:val="none"/>
        </w:rPr>
        <w:t>《公路工程技术标准》行业标准。</w:t>
      </w:r>
      <w:r>
        <w:rPr>
          <w:rFonts w:ascii="宋体" w:hAnsi="宋体"/>
          <w:color w:val="auto"/>
          <w:sz w:val="24"/>
          <w:highlight w:val="none"/>
        </w:rPr>
        <w:t xml:space="preserve"> </w:t>
      </w:r>
    </w:p>
    <w:p>
      <w:pPr>
        <w:spacing w:line="360" w:lineRule="auto"/>
        <w:ind w:firstLine="360" w:firstLineChars="150"/>
        <w:rPr>
          <w:rFonts w:ascii="宋体" w:hAnsi="宋体"/>
          <w:color w:val="auto"/>
          <w:sz w:val="24"/>
          <w:highlight w:val="none"/>
        </w:rPr>
      </w:pPr>
      <w:r>
        <w:rPr>
          <w:rFonts w:hint="eastAsia" w:ascii="宋体" w:hAnsi="宋体"/>
          <w:color w:val="auto"/>
          <w:sz w:val="24"/>
          <w:highlight w:val="none"/>
        </w:rPr>
        <w:t>（11）</w:t>
      </w:r>
      <w:r>
        <w:rPr>
          <w:rFonts w:ascii="宋体" w:hAnsi="宋体"/>
          <w:color w:val="auto"/>
          <w:sz w:val="24"/>
          <w:highlight w:val="none"/>
        </w:rPr>
        <w:t>DBJ08-39-1994</w:t>
      </w:r>
      <w:r>
        <w:rPr>
          <w:rFonts w:hint="eastAsia" w:ascii="宋体" w:hAnsi="宋体"/>
          <w:color w:val="auto"/>
          <w:sz w:val="24"/>
          <w:highlight w:val="none"/>
        </w:rPr>
        <w:t>《道路交通管理设施设置技术规范》。</w:t>
      </w:r>
      <w:r>
        <w:rPr>
          <w:rFonts w:ascii="宋体" w:hAnsi="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（12）《城市道路交通标志和标线设置规范》（GB51038-2015)</w:t>
      </w:r>
    </w:p>
    <w:p>
      <w:pPr>
        <w:spacing w:line="360" w:lineRule="auto"/>
        <w:ind w:firstLine="360" w:firstLineChars="150"/>
        <w:rPr>
          <w:rFonts w:hint="default" w:ascii="宋体" w:hAnsi="宋体" w:eastAsia="宋体"/>
          <w:color w:val="auto"/>
          <w:sz w:val="24"/>
          <w:highlight w:val="none"/>
          <w:lang w:val="en-US" w:eastAsia="zh-CN"/>
        </w:rPr>
      </w:pPr>
      <w:r>
        <w:rPr>
          <w:rFonts w:hint="eastAsia" w:ascii="宋体" w:hAnsi="宋体" w:cs="宋体"/>
          <w:color w:val="auto"/>
          <w:sz w:val="24"/>
          <w:highlight w:val="none"/>
        </w:rPr>
        <w:t>（13）</w:t>
      </w:r>
      <w:r>
        <w:rPr>
          <w:rFonts w:hint="eastAsia"/>
          <w:color w:val="auto"/>
          <w:sz w:val="24"/>
          <w:highlight w:val="none"/>
        </w:rPr>
        <w:t>《路面标线涂料》</w:t>
      </w:r>
      <w:r>
        <w:rPr>
          <w:rFonts w:hint="eastAsia" w:ascii="宋体" w:hAnsi="宋体"/>
          <w:color w:val="auto"/>
          <w:sz w:val="24"/>
          <w:highlight w:val="none"/>
        </w:rPr>
        <w:t>JT/T280-20</w:t>
      </w:r>
      <w:r>
        <w:rPr>
          <w:rFonts w:hint="eastAsia" w:ascii="宋体" w:hAnsi="宋体"/>
          <w:color w:val="auto"/>
          <w:sz w:val="24"/>
          <w:highlight w:val="none"/>
          <w:lang w:val="en-US" w:eastAsia="zh-CN"/>
        </w:rPr>
        <w:t>22</w:t>
      </w:r>
    </w:p>
    <w:p>
      <w:pPr>
        <w:spacing w:line="360" w:lineRule="auto"/>
        <w:ind w:firstLine="360" w:firstLineChars="150"/>
        <w:rPr>
          <w:color w:val="auto"/>
          <w:sz w:val="24"/>
          <w:highlight w:val="none"/>
        </w:rPr>
      </w:pPr>
      <w:r>
        <w:rPr>
          <w:rFonts w:hint="eastAsia"/>
          <w:color w:val="auto"/>
          <w:sz w:val="24"/>
          <w:highlight w:val="none"/>
        </w:rPr>
        <w:t>（14）按现行的国家、省、市施工验收规范、质量评定标准及有关规定。合同工期内的标准、规范，招标文件中的技术要求等</w:t>
      </w:r>
      <w:r>
        <w:rPr>
          <w:color w:val="auto"/>
          <w:sz w:val="24"/>
          <w:highlight w:val="none"/>
        </w:rPr>
        <w:t>。</w:t>
      </w:r>
      <w:r>
        <w:rPr>
          <w:rFonts w:hint="eastAsia"/>
          <w:color w:val="auto"/>
          <w:sz w:val="24"/>
          <w:highlight w:val="none"/>
        </w:rPr>
        <w:t>如有新版标准则按新发行的标准执行。</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rPr>
        <w:t>2.2.2、技术规格及要求</w:t>
      </w:r>
    </w:p>
    <w:p>
      <w:pPr>
        <w:autoSpaceDE w:val="0"/>
        <w:autoSpaceDN w:val="0"/>
        <w:adjustRightInd w:val="0"/>
        <w:snapToGrid w:val="0"/>
        <w:spacing w:line="360" w:lineRule="auto"/>
        <w:rPr>
          <w:rFonts w:ascii="宋体" w:hAnsi="宋体" w:cs="宋体"/>
          <w:b/>
          <w:color w:val="auto"/>
          <w:sz w:val="24"/>
          <w:highlight w:val="none"/>
          <w:lang w:val="zh-CN" w:bidi="ar"/>
        </w:rPr>
      </w:pPr>
      <w:r>
        <w:rPr>
          <w:rFonts w:hint="eastAsia" w:ascii="宋体" w:hAnsi="宋体" w:cs="宋体"/>
          <w:b/>
          <w:color w:val="auto"/>
          <w:sz w:val="24"/>
          <w:highlight w:val="none"/>
          <w:lang w:val="zh-CN" w:bidi="ar"/>
        </w:rPr>
        <w:t>反光热熔标线</w:t>
      </w:r>
    </w:p>
    <w:p>
      <w:pPr>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①密度（g/cm3）:1.8~2.3</w:t>
      </w:r>
    </w:p>
    <w:p>
      <w:pPr>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②软化点(℃):90~125</w:t>
      </w:r>
    </w:p>
    <w:p>
      <w:pPr>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③选用热熔型反光涂料，内含反光微珠必须≥</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0%，施划时面洒反光微珠</w:t>
      </w:r>
    </w:p>
    <w:p>
      <w:pPr>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④初始施划时逆反射系数：白色≥150，黄色≥100</w:t>
      </w:r>
    </w:p>
    <w:p>
      <w:pPr>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⑤不粘胎干燥时间≤3min，开放交通干燥时间≤6min</w:t>
      </w:r>
    </w:p>
    <w:p>
      <w:pPr>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⑥抗压强度（MPa）:≥12</w:t>
      </w:r>
    </w:p>
    <w:p>
      <w:pPr>
        <w:autoSpaceDE w:val="0"/>
        <w:autoSpaceDN w:val="0"/>
        <w:snapToGrid w:val="0"/>
        <w:spacing w:line="360" w:lineRule="auto"/>
        <w:rPr>
          <w:rFonts w:ascii="宋体" w:hAnsi="宋体" w:cs="宋体"/>
          <w:b/>
          <w:color w:val="auto"/>
          <w:sz w:val="24"/>
          <w:highlight w:val="none"/>
          <w:lang w:val="zh-CN" w:bidi="ar"/>
        </w:rPr>
      </w:pPr>
      <w:r>
        <w:rPr>
          <w:rFonts w:hint="eastAsia" w:ascii="宋体" w:hAnsi="宋体" w:cs="宋体"/>
          <w:color w:val="auto"/>
          <w:sz w:val="24"/>
          <w:highlight w:val="none"/>
        </w:rPr>
        <w:t>⑦耐磨性（mg）:200 转/1000g 后减重≤80（JM—100 橡胶砂轮）</w:t>
      </w:r>
    </w:p>
    <w:p>
      <w:pPr>
        <w:autoSpaceDE w:val="0"/>
        <w:autoSpaceDN w:val="0"/>
        <w:adjustRightInd w:val="0"/>
        <w:snapToGrid w:val="0"/>
        <w:spacing w:line="360" w:lineRule="auto"/>
        <w:rPr>
          <w:rFonts w:ascii="宋体" w:hAnsi="宋体" w:cs="宋体"/>
          <w:b/>
          <w:color w:val="auto"/>
          <w:sz w:val="24"/>
          <w:highlight w:val="none"/>
          <w:lang w:bidi="ar"/>
        </w:rPr>
      </w:pPr>
      <w:r>
        <w:rPr>
          <w:rFonts w:hint="eastAsia" w:ascii="宋体" w:hAnsi="宋体" w:cs="宋体"/>
          <w:b/>
          <w:color w:val="auto"/>
          <w:sz w:val="24"/>
          <w:highlight w:val="none"/>
          <w:lang w:bidi="ar"/>
        </w:rPr>
        <w:t>热熔突起型标线</w:t>
      </w:r>
    </w:p>
    <w:p>
      <w:pPr>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①密度（g/cm3）:1.8~2.3</w:t>
      </w:r>
    </w:p>
    <w:p>
      <w:pPr>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②软化点(℃):≥100</w:t>
      </w:r>
    </w:p>
    <w:p>
      <w:pPr>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③选用热熔型反光涂料，内含反光微珠必须≥</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0%，施划时面洒反光微珠</w:t>
      </w:r>
    </w:p>
    <w:p>
      <w:pPr>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④不粘胎干燥时间≤3min，开放交通干燥时间≤6min</w:t>
      </w:r>
    </w:p>
    <w:p>
      <w:pPr>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⑤抗压强度（MPa）:23℃±1≥12,50℃±2≥2,</w:t>
      </w:r>
    </w:p>
    <w:p>
      <w:pPr>
        <w:autoSpaceDE w:val="0"/>
        <w:autoSpaceDN w:val="0"/>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⑥热熔型厚度≥6mm,长划70mm空110mm,宽150mm线划3颗;宽200mm线划4颗</w:t>
      </w:r>
    </w:p>
    <w:p>
      <w:pPr>
        <w:autoSpaceDE w:val="0"/>
        <w:autoSpaceDN w:val="0"/>
        <w:adjustRightInd w:val="0"/>
        <w:snapToGrid w:val="0"/>
        <w:spacing w:line="360" w:lineRule="auto"/>
        <w:rPr>
          <w:rFonts w:ascii="宋体" w:hAnsi="宋体" w:cs="宋体"/>
          <w:b/>
          <w:color w:val="auto"/>
          <w:sz w:val="24"/>
          <w:highlight w:val="none"/>
          <w:lang w:bidi="ar"/>
        </w:rPr>
      </w:pPr>
      <w:r>
        <w:rPr>
          <w:rFonts w:hint="eastAsia" w:ascii="宋体" w:hAnsi="宋体" w:cs="宋体"/>
          <w:b/>
          <w:color w:val="auto"/>
          <w:sz w:val="24"/>
          <w:highlight w:val="none"/>
          <w:lang w:val="zh-CN" w:bidi="ar"/>
        </w:rPr>
        <w:t>反光水性标线</w:t>
      </w:r>
      <w:r>
        <w:rPr>
          <w:rFonts w:hint="eastAsia" w:ascii="宋体" w:hAnsi="宋体" w:cs="宋体"/>
          <w:b/>
          <w:color w:val="auto"/>
          <w:sz w:val="24"/>
          <w:highlight w:val="none"/>
          <w:lang w:bidi="ar"/>
        </w:rPr>
        <w:t>°</w:t>
      </w:r>
    </w:p>
    <w:p>
      <w:pPr>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①粘度（KU 值）:80～120</w:t>
      </w:r>
    </w:p>
    <w:p>
      <w:pPr>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②密度（g/cm3）:≥1.6</w:t>
      </w:r>
    </w:p>
    <w:p>
      <w:pPr>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③选用环保型水性标线涂料</w:t>
      </w:r>
    </w:p>
    <w:p>
      <w:pPr>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④施划时面撒反光微珠</w:t>
      </w:r>
    </w:p>
    <w:p>
      <w:pPr>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⑤初始施划时逆反射系数：白色≥200，黄色≥150</w:t>
      </w:r>
    </w:p>
    <w:p>
      <w:pPr>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⑥标线厚度≥0.7mm</w:t>
      </w:r>
    </w:p>
    <w:p>
      <w:pPr>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⑦不粘胎干燥时间≤10min，开放交通干燥时间≤20min</w:t>
      </w:r>
    </w:p>
    <w:p>
      <w:pPr>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⑧耐磨性（mg）:200 转/1000g 后减重≤40</w:t>
      </w:r>
    </w:p>
    <w:p>
      <w:pPr>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⑨固体含量（%）:≥75</w:t>
      </w:r>
    </w:p>
    <w:p>
      <w:pPr>
        <w:autoSpaceDE w:val="0"/>
        <w:autoSpaceDN w:val="0"/>
        <w:adjustRightInd w:val="0"/>
        <w:snapToGrid w:val="0"/>
        <w:spacing w:line="360" w:lineRule="auto"/>
        <w:rPr>
          <w:rFonts w:ascii="宋体" w:hAnsi="宋体" w:cs="宋体"/>
          <w:b/>
          <w:color w:val="auto"/>
          <w:sz w:val="24"/>
          <w:highlight w:val="none"/>
          <w:lang w:val="zh-CN" w:bidi="ar"/>
        </w:rPr>
      </w:pPr>
      <w:r>
        <w:rPr>
          <w:rFonts w:hint="eastAsia" w:ascii="宋体" w:hAnsi="宋体" w:cs="宋体"/>
          <w:b/>
          <w:color w:val="auto"/>
          <w:sz w:val="24"/>
          <w:highlight w:val="none"/>
          <w:lang w:val="zh-CN" w:bidi="ar"/>
        </w:rPr>
        <w:t>双组份反光型</w:t>
      </w:r>
      <w:r>
        <w:rPr>
          <w:rFonts w:hint="eastAsia" w:ascii="宋体" w:hAnsi="宋体" w:cs="宋体"/>
          <w:b/>
          <w:color w:val="auto"/>
          <w:sz w:val="24"/>
          <w:highlight w:val="none"/>
          <w:lang w:val="en-US" w:eastAsia="zh-CN" w:bidi="ar"/>
        </w:rPr>
        <w:t>标线</w:t>
      </w:r>
      <w:r>
        <w:rPr>
          <w:rFonts w:hint="eastAsia" w:ascii="宋体" w:hAnsi="宋体" w:cs="宋体"/>
          <w:b/>
          <w:color w:val="auto"/>
          <w:sz w:val="24"/>
          <w:highlight w:val="none"/>
          <w:lang w:val="zh-CN" w:bidi="ar"/>
        </w:rPr>
        <w:t>（喷涂）</w:t>
      </w:r>
    </w:p>
    <w:p>
      <w:pPr>
        <w:pStyle w:val="24"/>
        <w:numPr>
          <w:ilvl w:val="0"/>
          <w:numId w:val="8"/>
        </w:numPr>
        <w:autoSpaceDE w:val="0"/>
        <w:autoSpaceDN w:val="0"/>
        <w:snapToGrid w:val="0"/>
        <w:spacing w:line="360" w:lineRule="auto"/>
        <w:ind w:firstLineChars="0"/>
        <w:rPr>
          <w:rFonts w:ascii="宋体" w:hAnsi="宋体" w:cs="宋体"/>
          <w:color w:val="auto"/>
          <w:sz w:val="24"/>
          <w:highlight w:val="none"/>
        </w:rPr>
      </w:pPr>
      <w:r>
        <w:rPr>
          <w:rFonts w:hint="eastAsia" w:ascii="宋体" w:hAnsi="宋体" w:cs="宋体"/>
          <w:color w:val="auto"/>
          <w:sz w:val="24"/>
          <w:highlight w:val="none"/>
          <w:lang w:val="zh-CN"/>
        </w:rPr>
        <w:t>材料密度（g/cm</w:t>
      </w:r>
      <w:r>
        <w:rPr>
          <w:rFonts w:hint="eastAsia" w:ascii="宋体" w:hAnsi="宋体" w:cs="宋体"/>
          <w:color w:val="auto"/>
          <w:sz w:val="18"/>
          <w:szCs w:val="18"/>
          <w:highlight w:val="none"/>
          <w:vertAlign w:val="superscript"/>
          <w:lang w:val="zh-CN"/>
        </w:rPr>
        <w:t>3</w:t>
      </w:r>
      <w:r>
        <w:rPr>
          <w:rFonts w:hint="eastAsia" w:ascii="宋体" w:hAnsi="宋体" w:cs="宋体"/>
          <w:color w:val="auto"/>
          <w:sz w:val="24"/>
          <w:highlight w:val="none"/>
          <w:lang w:val="zh-CN"/>
        </w:rPr>
        <w:t>）：</w:t>
      </w:r>
      <w:r>
        <w:rPr>
          <w:rFonts w:ascii="宋体" w:hAnsi="宋体"/>
          <w:color w:val="auto"/>
          <w:sz w:val="24"/>
          <w:highlight w:val="none"/>
        </w:rPr>
        <w:t>1.5~2.0</w:t>
      </w:r>
    </w:p>
    <w:p>
      <w:pPr>
        <w:pStyle w:val="24"/>
        <w:numPr>
          <w:ilvl w:val="0"/>
          <w:numId w:val="8"/>
        </w:numPr>
        <w:autoSpaceDE w:val="0"/>
        <w:autoSpaceDN w:val="0"/>
        <w:snapToGrid w:val="0"/>
        <w:spacing w:line="360" w:lineRule="auto"/>
        <w:ind w:firstLineChars="0"/>
        <w:rPr>
          <w:rFonts w:ascii="宋体" w:hAnsi="宋体" w:cs="宋体"/>
          <w:color w:val="auto"/>
          <w:sz w:val="24"/>
          <w:highlight w:val="none"/>
        </w:rPr>
      </w:pPr>
      <w:r>
        <w:rPr>
          <w:rFonts w:ascii="宋体" w:hAnsi="宋体" w:cs="宋体"/>
          <w:color w:val="auto"/>
          <w:sz w:val="24"/>
          <w:highlight w:val="none"/>
          <w:lang w:val="zh-CN"/>
        </w:rPr>
        <w:t>施工性能</w:t>
      </w:r>
      <w:r>
        <w:rPr>
          <w:rFonts w:hint="eastAsia" w:ascii="宋体" w:hAnsi="宋体" w:cs="宋体"/>
          <w:color w:val="auto"/>
          <w:sz w:val="24"/>
          <w:highlight w:val="none"/>
          <w:lang w:val="zh-CN"/>
        </w:rPr>
        <w:t>：按生产厂的要求，</w:t>
      </w:r>
      <w:r>
        <w:rPr>
          <w:rFonts w:ascii="宋体" w:hAnsi="宋体" w:cs="宋体"/>
          <w:color w:val="auto"/>
          <w:sz w:val="24"/>
          <w:highlight w:val="none"/>
          <w:lang w:val="zh-CN"/>
        </w:rPr>
        <w:t>将A、B组份按一定比例混合搅拌均匀后，施工性能良好</w:t>
      </w:r>
    </w:p>
    <w:p>
      <w:pPr>
        <w:pStyle w:val="24"/>
        <w:numPr>
          <w:ilvl w:val="0"/>
          <w:numId w:val="8"/>
        </w:numPr>
        <w:autoSpaceDE w:val="0"/>
        <w:autoSpaceDN w:val="0"/>
        <w:snapToGrid w:val="0"/>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涂膜外观：涂膜固化后应无皱纹、斑点、起泡、裂纹、脱落、粘贴等现象</w:t>
      </w:r>
    </w:p>
    <w:p>
      <w:pPr>
        <w:pStyle w:val="24"/>
        <w:numPr>
          <w:ilvl w:val="0"/>
          <w:numId w:val="8"/>
        </w:numPr>
        <w:autoSpaceDE w:val="0"/>
        <w:autoSpaceDN w:val="0"/>
        <w:snapToGrid w:val="0"/>
        <w:spacing w:line="360" w:lineRule="auto"/>
        <w:ind w:firstLineChars="0"/>
        <w:rPr>
          <w:rFonts w:ascii="宋体" w:hAnsi="宋体" w:cs="宋体"/>
          <w:color w:val="auto"/>
          <w:sz w:val="24"/>
          <w:highlight w:val="none"/>
        </w:rPr>
      </w:pPr>
      <w:r>
        <w:rPr>
          <w:rFonts w:hint="eastAsia" w:ascii="宋体" w:hAnsi="宋体" w:cs="宋体"/>
          <w:color w:val="auto"/>
          <w:sz w:val="24"/>
          <w:highlight w:val="none"/>
          <w:lang w:val="zh-CN"/>
        </w:rPr>
        <w:t>不粘胎干燥时间：≤</w:t>
      </w:r>
      <w:r>
        <w:rPr>
          <w:rFonts w:ascii="宋体" w:hAnsi="宋体" w:cs="宋体"/>
          <w:color w:val="auto"/>
          <w:sz w:val="24"/>
          <w:highlight w:val="none"/>
          <w:lang w:val="zh-CN"/>
        </w:rPr>
        <w:t>30</w:t>
      </w:r>
      <w:r>
        <w:rPr>
          <w:rFonts w:hint="eastAsia" w:ascii="宋体" w:hAnsi="宋体" w:cs="宋体"/>
          <w:color w:val="auto"/>
          <w:sz w:val="24"/>
          <w:highlight w:val="none"/>
          <w:lang w:val="zh-CN"/>
        </w:rPr>
        <w:t>min</w:t>
      </w:r>
    </w:p>
    <w:p>
      <w:pPr>
        <w:pStyle w:val="24"/>
        <w:numPr>
          <w:ilvl w:val="0"/>
          <w:numId w:val="8"/>
        </w:numPr>
        <w:autoSpaceDE w:val="0"/>
        <w:autoSpaceDN w:val="0"/>
        <w:snapToGrid w:val="0"/>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耐磨性（mg）:200转/1000g后减重≤</w:t>
      </w:r>
      <w:r>
        <w:rPr>
          <w:rFonts w:ascii="宋体" w:hAnsi="宋体" w:cs="宋体"/>
          <w:color w:val="auto"/>
          <w:sz w:val="24"/>
          <w:highlight w:val="none"/>
        </w:rPr>
        <w:t>4</w:t>
      </w:r>
      <w:r>
        <w:rPr>
          <w:rFonts w:hint="eastAsia" w:ascii="宋体" w:hAnsi="宋体" w:cs="宋体"/>
          <w:color w:val="auto"/>
          <w:sz w:val="24"/>
          <w:highlight w:val="none"/>
        </w:rPr>
        <w:t>0</w:t>
      </w:r>
      <w:r>
        <w:rPr>
          <w:rFonts w:ascii="宋体" w:hAnsi="宋体" w:cs="宋体"/>
          <w:color w:val="auto"/>
          <w:sz w:val="24"/>
          <w:highlight w:val="none"/>
        </w:rPr>
        <w:t xml:space="preserve">  (</w:t>
      </w:r>
      <w:r>
        <w:rPr>
          <w:rFonts w:hint="eastAsia" w:ascii="宋体" w:hAnsi="宋体" w:cs="宋体"/>
          <w:color w:val="auto"/>
          <w:sz w:val="24"/>
          <w:highlight w:val="none"/>
        </w:rPr>
        <w:t>JM</w:t>
      </w:r>
      <w:r>
        <w:rPr>
          <w:rFonts w:ascii="宋体" w:hAnsi="宋体" w:cs="宋体"/>
          <w:color w:val="auto"/>
          <w:sz w:val="24"/>
          <w:highlight w:val="none"/>
        </w:rPr>
        <w:t xml:space="preserve">-100 </w:t>
      </w:r>
      <w:r>
        <w:rPr>
          <w:rFonts w:hint="eastAsia" w:ascii="宋体" w:hAnsi="宋体" w:cs="宋体"/>
          <w:color w:val="auto"/>
          <w:sz w:val="24"/>
          <w:highlight w:val="none"/>
        </w:rPr>
        <w:t>橡胶砂轮</w:t>
      </w:r>
      <w:r>
        <w:rPr>
          <w:rFonts w:ascii="宋体" w:hAnsi="宋体" w:cs="宋体"/>
          <w:color w:val="auto"/>
          <w:sz w:val="24"/>
          <w:highlight w:val="none"/>
        </w:rPr>
        <w:t>)</w:t>
      </w:r>
    </w:p>
    <w:p>
      <w:pPr>
        <w:pStyle w:val="24"/>
        <w:numPr>
          <w:ilvl w:val="0"/>
          <w:numId w:val="8"/>
        </w:numPr>
        <w:autoSpaceDE w:val="0"/>
        <w:autoSpaceDN w:val="0"/>
        <w:snapToGrid w:val="0"/>
        <w:spacing w:line="360" w:lineRule="auto"/>
        <w:ind w:firstLineChars="0"/>
        <w:rPr>
          <w:rFonts w:ascii="宋体" w:hAnsi="宋体" w:cs="宋体"/>
          <w:color w:val="auto"/>
          <w:sz w:val="24"/>
          <w:highlight w:val="none"/>
          <w:lang w:val="zh-CN"/>
        </w:rPr>
      </w:pPr>
      <w:r>
        <w:rPr>
          <w:rFonts w:hint="eastAsia" w:ascii="宋体" w:hAnsi="宋体" w:cs="宋体"/>
          <w:color w:val="auto"/>
          <w:sz w:val="24"/>
          <w:highlight w:val="none"/>
          <w:lang w:val="zh-CN"/>
        </w:rPr>
        <w:t>预混玻璃微珠含量：≥</w:t>
      </w:r>
      <w:r>
        <w:rPr>
          <w:rFonts w:ascii="宋体" w:hAnsi="宋体" w:cs="宋体"/>
          <w:color w:val="auto"/>
          <w:sz w:val="24"/>
          <w:highlight w:val="none"/>
          <w:lang w:val="zh-CN"/>
        </w:rPr>
        <w:t>3</w:t>
      </w:r>
      <w:r>
        <w:rPr>
          <w:rFonts w:hint="eastAsia" w:ascii="宋体" w:hAnsi="宋体" w:cs="宋体"/>
          <w:color w:val="auto"/>
          <w:sz w:val="24"/>
          <w:highlight w:val="none"/>
          <w:lang w:val="zh-CN"/>
        </w:rPr>
        <w:t>0%，标线厚度：≥0.</w:t>
      </w:r>
      <w:r>
        <w:rPr>
          <w:rFonts w:ascii="宋体" w:hAnsi="宋体" w:cs="宋体"/>
          <w:color w:val="auto"/>
          <w:sz w:val="24"/>
          <w:highlight w:val="none"/>
          <w:lang w:val="zh-CN"/>
        </w:rPr>
        <w:t>5</w:t>
      </w:r>
      <w:r>
        <w:rPr>
          <w:rFonts w:hint="eastAsia" w:ascii="宋体" w:hAnsi="宋体" w:cs="宋体"/>
          <w:color w:val="auto"/>
          <w:sz w:val="24"/>
          <w:highlight w:val="none"/>
          <w:lang w:val="zh-CN"/>
        </w:rPr>
        <w:t>mm</w:t>
      </w:r>
    </w:p>
    <w:p>
      <w:pPr>
        <w:pStyle w:val="24"/>
        <w:numPr>
          <w:ilvl w:val="0"/>
          <w:numId w:val="8"/>
        </w:numPr>
        <w:autoSpaceDE w:val="0"/>
        <w:autoSpaceDN w:val="0"/>
        <w:snapToGrid w:val="0"/>
        <w:spacing w:line="360" w:lineRule="auto"/>
        <w:ind w:firstLineChars="0"/>
        <w:rPr>
          <w:rFonts w:ascii="宋体" w:hAnsi="宋体" w:cs="宋体"/>
          <w:color w:val="auto"/>
          <w:sz w:val="24"/>
          <w:highlight w:val="none"/>
          <w:lang w:val="zh-CN"/>
        </w:rPr>
      </w:pPr>
      <w:r>
        <w:rPr>
          <w:rFonts w:hint="eastAsia" w:ascii="宋体" w:hAnsi="宋体" w:cs="宋体"/>
          <w:color w:val="auto"/>
          <w:sz w:val="24"/>
          <w:highlight w:val="none"/>
          <w:lang w:val="zh-CN"/>
        </w:rPr>
        <w:t>初始施划逆反射系数：白色≥</w:t>
      </w:r>
      <w:r>
        <w:rPr>
          <w:rFonts w:hint="eastAsia" w:ascii="宋体" w:hAnsi="宋体" w:cs="宋体"/>
          <w:color w:val="auto"/>
          <w:sz w:val="24"/>
          <w:highlight w:val="none"/>
          <w:lang w:val="en-US" w:eastAsia="zh-CN"/>
        </w:rPr>
        <w:t>35</w:t>
      </w:r>
      <w:r>
        <w:rPr>
          <w:rFonts w:hint="eastAsia" w:ascii="宋体" w:hAnsi="宋体" w:cs="宋体"/>
          <w:color w:val="auto"/>
          <w:sz w:val="24"/>
          <w:highlight w:val="none"/>
          <w:lang w:val="zh-CN"/>
        </w:rPr>
        <w:t>0，黄色≥</w:t>
      </w:r>
      <w:r>
        <w:rPr>
          <w:rFonts w:hint="eastAsia" w:ascii="宋体" w:hAnsi="宋体" w:cs="宋体"/>
          <w:color w:val="auto"/>
          <w:sz w:val="24"/>
          <w:highlight w:val="none"/>
          <w:lang w:val="en-US" w:eastAsia="zh-CN"/>
        </w:rPr>
        <w:t>20</w:t>
      </w:r>
      <w:r>
        <w:rPr>
          <w:rFonts w:hint="eastAsia" w:ascii="宋体" w:hAnsi="宋体" w:cs="宋体"/>
          <w:color w:val="auto"/>
          <w:sz w:val="24"/>
          <w:highlight w:val="none"/>
          <w:lang w:val="zh-CN"/>
        </w:rPr>
        <w:t>0</w:t>
      </w:r>
    </w:p>
    <w:p>
      <w:pPr>
        <w:pStyle w:val="24"/>
        <w:numPr>
          <w:ilvl w:val="0"/>
          <w:numId w:val="8"/>
        </w:numPr>
        <w:autoSpaceDE w:val="0"/>
        <w:autoSpaceDN w:val="0"/>
        <w:snapToGrid w:val="0"/>
        <w:spacing w:line="360" w:lineRule="auto"/>
        <w:ind w:firstLineChars="0"/>
        <w:rPr>
          <w:rFonts w:ascii="宋体" w:hAnsi="宋体" w:cs="宋体"/>
          <w:color w:val="auto"/>
          <w:sz w:val="24"/>
          <w:highlight w:val="none"/>
        </w:rPr>
      </w:pPr>
      <w:r>
        <w:rPr>
          <w:rFonts w:ascii="宋体" w:hAnsi="宋体" w:cs="宋体"/>
          <w:color w:val="auto"/>
          <w:sz w:val="24"/>
          <w:highlight w:val="none"/>
          <w:lang w:val="zh-CN"/>
        </w:rPr>
        <w:t>耐水性</w:t>
      </w:r>
      <w:r>
        <w:rPr>
          <w:rFonts w:hint="eastAsia" w:ascii="宋体" w:hAnsi="宋体" w:cs="宋体"/>
          <w:color w:val="auto"/>
          <w:sz w:val="24"/>
          <w:highlight w:val="none"/>
          <w:lang w:val="zh-CN"/>
        </w:rPr>
        <w:t>：</w:t>
      </w:r>
      <w:r>
        <w:rPr>
          <w:rFonts w:ascii="宋体" w:hAnsi="宋体" w:cs="宋体"/>
          <w:color w:val="auto"/>
          <w:sz w:val="24"/>
          <w:highlight w:val="none"/>
          <w:lang w:val="zh-CN"/>
        </w:rPr>
        <w:t>在水中浸24h应无异常现象</w:t>
      </w:r>
    </w:p>
    <w:p>
      <w:pPr>
        <w:pStyle w:val="24"/>
        <w:numPr>
          <w:ilvl w:val="0"/>
          <w:numId w:val="8"/>
        </w:numPr>
        <w:autoSpaceDE w:val="0"/>
        <w:autoSpaceDN w:val="0"/>
        <w:snapToGrid w:val="0"/>
        <w:spacing w:line="360" w:lineRule="auto"/>
        <w:ind w:firstLineChars="0"/>
        <w:rPr>
          <w:rFonts w:ascii="宋体" w:hAnsi="宋体" w:cs="宋体"/>
          <w:color w:val="auto"/>
          <w:sz w:val="24"/>
          <w:highlight w:val="none"/>
        </w:rPr>
      </w:pPr>
      <w:r>
        <w:rPr>
          <w:rFonts w:ascii="宋体" w:hAnsi="宋体" w:cs="宋体"/>
          <w:color w:val="auto"/>
          <w:sz w:val="24"/>
          <w:highlight w:val="none"/>
          <w:lang w:val="zh-CN"/>
        </w:rPr>
        <w:t>耐碱性</w:t>
      </w:r>
      <w:r>
        <w:rPr>
          <w:rFonts w:hint="eastAsia" w:ascii="宋体" w:hAnsi="宋体" w:cs="宋体"/>
          <w:color w:val="auto"/>
          <w:sz w:val="24"/>
          <w:highlight w:val="none"/>
          <w:lang w:val="zh-CN"/>
        </w:rPr>
        <w:t>：</w:t>
      </w:r>
      <w:r>
        <w:rPr>
          <w:rFonts w:ascii="宋体" w:hAnsi="宋体" w:cs="宋体"/>
          <w:color w:val="auto"/>
          <w:sz w:val="24"/>
          <w:highlight w:val="none"/>
          <w:lang w:val="zh-CN"/>
        </w:rPr>
        <w:t>在氢氧化钙饱和溶液中浸24h应无异常</w:t>
      </w:r>
    </w:p>
    <w:p>
      <w:pPr>
        <w:pStyle w:val="16"/>
        <w:rPr>
          <w:color w:val="auto"/>
          <w:highlight w:val="none"/>
        </w:rPr>
      </w:pPr>
    </w:p>
    <w:p>
      <w:pPr>
        <w:autoSpaceDE w:val="0"/>
        <w:autoSpaceDN w:val="0"/>
        <w:adjustRightInd w:val="0"/>
        <w:snapToGrid w:val="0"/>
        <w:spacing w:line="360" w:lineRule="auto"/>
        <w:rPr>
          <w:rFonts w:ascii="宋体" w:hAnsi="宋体" w:cs="宋体"/>
          <w:b/>
          <w:color w:val="auto"/>
          <w:sz w:val="24"/>
          <w:highlight w:val="none"/>
          <w:lang w:val="zh-CN" w:bidi="ar"/>
        </w:rPr>
      </w:pPr>
      <w:r>
        <w:rPr>
          <w:rFonts w:hint="eastAsia" w:ascii="宋体" w:hAnsi="宋体" w:cs="宋体"/>
          <w:b/>
          <w:color w:val="auto"/>
          <w:sz w:val="24"/>
          <w:highlight w:val="none"/>
          <w:lang w:val="zh-CN" w:bidi="ar"/>
        </w:rPr>
        <w:t>双组份突起型反光</w:t>
      </w:r>
      <w:r>
        <w:rPr>
          <w:rFonts w:hint="eastAsia" w:ascii="宋体" w:hAnsi="宋体" w:cs="宋体"/>
          <w:b/>
          <w:color w:val="auto"/>
          <w:sz w:val="24"/>
          <w:highlight w:val="none"/>
          <w:lang w:val="en-US" w:eastAsia="zh-CN" w:bidi="ar"/>
        </w:rPr>
        <w:t>标线</w:t>
      </w:r>
      <w:r>
        <w:rPr>
          <w:rFonts w:hint="eastAsia" w:ascii="宋体" w:hAnsi="宋体" w:cs="宋体"/>
          <w:b/>
          <w:color w:val="auto"/>
          <w:sz w:val="24"/>
          <w:highlight w:val="none"/>
          <w:lang w:val="zh-CN" w:bidi="ar"/>
        </w:rPr>
        <w:t>（甩涂）</w:t>
      </w:r>
    </w:p>
    <w:p>
      <w:pPr>
        <w:pStyle w:val="24"/>
        <w:numPr>
          <w:ilvl w:val="0"/>
          <w:numId w:val="9"/>
        </w:numPr>
        <w:autoSpaceDE w:val="0"/>
        <w:autoSpaceDN w:val="0"/>
        <w:snapToGrid w:val="0"/>
        <w:spacing w:line="360" w:lineRule="auto"/>
        <w:ind w:firstLineChars="0"/>
        <w:rPr>
          <w:rFonts w:ascii="宋体" w:hAnsi="宋体" w:cs="宋体"/>
          <w:color w:val="auto"/>
          <w:sz w:val="24"/>
          <w:highlight w:val="none"/>
          <w:lang w:val="zh-CN"/>
        </w:rPr>
      </w:pPr>
      <w:bookmarkStart w:id="35" w:name="_Hlk129436754"/>
      <w:r>
        <w:rPr>
          <w:rFonts w:hint="eastAsia" w:ascii="宋体" w:hAnsi="宋体" w:cs="宋体"/>
          <w:color w:val="auto"/>
          <w:sz w:val="24"/>
          <w:highlight w:val="none"/>
          <w:lang w:val="zh-CN"/>
        </w:rPr>
        <w:t>材料密度（g/cm</w:t>
      </w:r>
      <w:r>
        <w:rPr>
          <w:rFonts w:hint="eastAsia" w:ascii="宋体" w:hAnsi="宋体" w:cs="宋体"/>
          <w:color w:val="auto"/>
          <w:sz w:val="18"/>
          <w:szCs w:val="18"/>
          <w:highlight w:val="none"/>
          <w:vertAlign w:val="superscript"/>
          <w:lang w:val="zh-CN"/>
        </w:rPr>
        <w:t>3</w:t>
      </w:r>
      <w:r>
        <w:rPr>
          <w:rFonts w:hint="eastAsia" w:ascii="宋体" w:hAnsi="宋体" w:cs="宋体"/>
          <w:color w:val="auto"/>
          <w:sz w:val="24"/>
          <w:highlight w:val="none"/>
          <w:lang w:val="zh-CN"/>
        </w:rPr>
        <w:t>）：</w:t>
      </w:r>
      <w:bookmarkEnd w:id="35"/>
      <w:r>
        <w:rPr>
          <w:rFonts w:ascii="宋体" w:hAnsi="宋体"/>
          <w:color w:val="auto"/>
          <w:sz w:val="24"/>
          <w:highlight w:val="none"/>
        </w:rPr>
        <w:t>1.5~2.0</w:t>
      </w:r>
    </w:p>
    <w:p>
      <w:pPr>
        <w:pStyle w:val="24"/>
        <w:numPr>
          <w:ilvl w:val="0"/>
          <w:numId w:val="9"/>
        </w:numPr>
        <w:autoSpaceDE w:val="0"/>
        <w:autoSpaceDN w:val="0"/>
        <w:snapToGrid w:val="0"/>
        <w:spacing w:line="360" w:lineRule="auto"/>
        <w:ind w:firstLineChars="0"/>
        <w:rPr>
          <w:rFonts w:ascii="宋体" w:hAnsi="宋体" w:cs="宋体"/>
          <w:color w:val="auto"/>
          <w:sz w:val="24"/>
          <w:highlight w:val="none"/>
        </w:rPr>
      </w:pPr>
      <w:r>
        <w:rPr>
          <w:rFonts w:ascii="宋体" w:hAnsi="宋体" w:cs="宋体"/>
          <w:color w:val="auto"/>
          <w:sz w:val="24"/>
          <w:highlight w:val="none"/>
          <w:lang w:val="zh-CN"/>
        </w:rPr>
        <w:t>施工性能</w:t>
      </w:r>
      <w:r>
        <w:rPr>
          <w:rFonts w:hint="eastAsia" w:ascii="宋体" w:hAnsi="宋体" w:cs="宋体"/>
          <w:color w:val="auto"/>
          <w:sz w:val="24"/>
          <w:highlight w:val="none"/>
          <w:lang w:val="zh-CN"/>
        </w:rPr>
        <w:t>：按生产厂的要求，</w:t>
      </w:r>
      <w:r>
        <w:rPr>
          <w:rFonts w:ascii="宋体" w:hAnsi="宋体" w:cs="宋体"/>
          <w:color w:val="auto"/>
          <w:sz w:val="24"/>
          <w:highlight w:val="none"/>
          <w:lang w:val="zh-CN"/>
        </w:rPr>
        <w:t>将A、B组份按一定比例混合搅拌均匀后，施工性能良好</w:t>
      </w:r>
    </w:p>
    <w:p>
      <w:pPr>
        <w:pStyle w:val="24"/>
        <w:numPr>
          <w:ilvl w:val="0"/>
          <w:numId w:val="9"/>
        </w:numPr>
        <w:autoSpaceDE w:val="0"/>
        <w:autoSpaceDN w:val="0"/>
        <w:snapToGrid w:val="0"/>
        <w:spacing w:line="360" w:lineRule="auto"/>
        <w:ind w:firstLineChars="0"/>
        <w:rPr>
          <w:rFonts w:ascii="宋体" w:hAnsi="宋体" w:cs="宋体"/>
          <w:color w:val="auto"/>
          <w:sz w:val="24"/>
          <w:highlight w:val="none"/>
        </w:rPr>
      </w:pPr>
      <w:r>
        <w:rPr>
          <w:rFonts w:hint="eastAsia" w:ascii="宋体" w:hAnsi="宋体" w:cs="宋体"/>
          <w:color w:val="auto"/>
          <w:sz w:val="24"/>
          <w:highlight w:val="none"/>
        </w:rPr>
        <w:t>涂膜外观：涂膜固化后应无皱纹、斑点、起泡、裂纹、脱落、粘贴等现象</w:t>
      </w:r>
    </w:p>
    <w:p>
      <w:pPr>
        <w:pStyle w:val="24"/>
        <w:numPr>
          <w:ilvl w:val="0"/>
          <w:numId w:val="9"/>
        </w:numPr>
        <w:autoSpaceDE w:val="0"/>
        <w:autoSpaceDN w:val="0"/>
        <w:snapToGrid w:val="0"/>
        <w:spacing w:line="360" w:lineRule="auto"/>
        <w:ind w:firstLineChars="0"/>
        <w:rPr>
          <w:rFonts w:ascii="宋体" w:hAnsi="宋体" w:cs="宋体"/>
          <w:color w:val="auto"/>
          <w:sz w:val="24"/>
          <w:highlight w:val="none"/>
        </w:rPr>
      </w:pPr>
      <w:r>
        <w:rPr>
          <w:rFonts w:hint="eastAsia" w:ascii="宋体" w:hAnsi="宋体" w:cs="宋体"/>
          <w:color w:val="auto"/>
          <w:sz w:val="24"/>
          <w:highlight w:val="none"/>
          <w:lang w:val="zh-CN"/>
        </w:rPr>
        <w:t>不粘胎干燥时间：≤3</w:t>
      </w:r>
      <w:r>
        <w:rPr>
          <w:rFonts w:ascii="宋体" w:hAnsi="宋体" w:cs="宋体"/>
          <w:color w:val="auto"/>
          <w:sz w:val="24"/>
          <w:highlight w:val="none"/>
          <w:lang w:val="zh-CN"/>
        </w:rPr>
        <w:t>0</w:t>
      </w:r>
      <w:r>
        <w:rPr>
          <w:rFonts w:hint="eastAsia" w:ascii="宋体" w:hAnsi="宋体" w:cs="宋体"/>
          <w:color w:val="auto"/>
          <w:sz w:val="24"/>
          <w:highlight w:val="none"/>
          <w:lang w:val="zh-CN"/>
        </w:rPr>
        <w:t>min</w:t>
      </w:r>
    </w:p>
    <w:p>
      <w:pPr>
        <w:pStyle w:val="24"/>
        <w:numPr>
          <w:ilvl w:val="0"/>
          <w:numId w:val="9"/>
        </w:numPr>
        <w:autoSpaceDE w:val="0"/>
        <w:autoSpaceDN w:val="0"/>
        <w:snapToGrid w:val="0"/>
        <w:spacing w:line="360" w:lineRule="auto"/>
        <w:ind w:firstLineChars="0"/>
        <w:rPr>
          <w:rFonts w:hint="eastAsia" w:ascii="宋体" w:hAnsi="宋体" w:cs="宋体"/>
          <w:color w:val="auto"/>
          <w:sz w:val="24"/>
          <w:highlight w:val="none"/>
        </w:rPr>
      </w:pPr>
      <w:r>
        <w:rPr>
          <w:rFonts w:hint="eastAsia" w:ascii="宋体" w:hAnsi="宋体" w:cs="宋体"/>
          <w:color w:val="auto"/>
          <w:sz w:val="24"/>
          <w:highlight w:val="none"/>
        </w:rPr>
        <w:t>耐磨性（mg）:200转/1000g后减重≤40  (JM-100 橡胶砂轮)</w:t>
      </w:r>
    </w:p>
    <w:p>
      <w:pPr>
        <w:pStyle w:val="24"/>
        <w:numPr>
          <w:ilvl w:val="0"/>
          <w:numId w:val="9"/>
        </w:numPr>
        <w:autoSpaceDE w:val="0"/>
        <w:autoSpaceDN w:val="0"/>
        <w:snapToGrid w:val="0"/>
        <w:spacing w:line="360" w:lineRule="auto"/>
        <w:ind w:firstLineChars="0"/>
        <w:rPr>
          <w:rFonts w:hint="eastAsia" w:ascii="宋体" w:hAnsi="宋体" w:cs="宋体"/>
          <w:color w:val="auto"/>
          <w:sz w:val="24"/>
          <w:highlight w:val="none"/>
        </w:rPr>
      </w:pPr>
      <w:r>
        <w:rPr>
          <w:rFonts w:hint="eastAsia" w:ascii="宋体" w:hAnsi="宋体" w:cs="宋体"/>
          <w:color w:val="auto"/>
          <w:sz w:val="24"/>
          <w:highlight w:val="none"/>
        </w:rPr>
        <w:t>预混玻璃微珠含量：≥30%，</w:t>
      </w:r>
      <w:r>
        <w:rPr>
          <w:rFonts w:hint="eastAsia" w:ascii="宋体" w:hAnsi="宋体" w:cs="宋体"/>
          <w:color w:val="auto"/>
          <w:sz w:val="24"/>
          <w:highlight w:val="none"/>
          <w:lang w:val="zh-CN"/>
        </w:rPr>
        <w:t>标线厚度：1-</w:t>
      </w:r>
      <w:r>
        <w:rPr>
          <w:rFonts w:hint="eastAsia" w:ascii="宋体" w:hAnsi="宋体" w:cs="宋体"/>
          <w:color w:val="auto"/>
          <w:sz w:val="24"/>
          <w:highlight w:val="none"/>
          <w:lang w:val="en-US" w:eastAsia="zh-CN"/>
        </w:rPr>
        <w:t>5</w:t>
      </w:r>
      <w:r>
        <w:rPr>
          <w:rFonts w:hint="eastAsia" w:ascii="宋体" w:hAnsi="宋体" w:cs="宋体"/>
          <w:color w:val="auto"/>
          <w:sz w:val="24"/>
          <w:highlight w:val="none"/>
          <w:lang w:val="zh-CN"/>
        </w:rPr>
        <w:t>mm</w:t>
      </w:r>
    </w:p>
    <w:p>
      <w:pPr>
        <w:pStyle w:val="24"/>
        <w:numPr>
          <w:ilvl w:val="0"/>
          <w:numId w:val="9"/>
        </w:numPr>
        <w:autoSpaceDE w:val="0"/>
        <w:autoSpaceDN w:val="0"/>
        <w:snapToGrid w:val="0"/>
        <w:spacing w:line="360" w:lineRule="auto"/>
        <w:ind w:firstLineChars="0"/>
        <w:rPr>
          <w:rFonts w:hint="eastAsia" w:ascii="宋体" w:hAnsi="宋体" w:cs="宋体"/>
          <w:color w:val="auto"/>
          <w:sz w:val="24"/>
          <w:highlight w:val="none"/>
          <w:lang w:val="zh-CN"/>
        </w:rPr>
      </w:pPr>
      <w:r>
        <w:rPr>
          <w:rFonts w:hint="eastAsia" w:ascii="宋体" w:hAnsi="宋体" w:cs="宋体"/>
          <w:color w:val="auto"/>
          <w:sz w:val="24"/>
          <w:highlight w:val="none"/>
          <w:lang w:val="zh-CN"/>
        </w:rPr>
        <w:t>初始施划时逆反射系数：白色≥</w:t>
      </w:r>
      <w:r>
        <w:rPr>
          <w:rFonts w:hint="eastAsia" w:ascii="宋体" w:hAnsi="宋体" w:cs="宋体"/>
          <w:color w:val="auto"/>
          <w:sz w:val="24"/>
          <w:highlight w:val="none"/>
          <w:lang w:val="en-US" w:eastAsia="zh-CN"/>
        </w:rPr>
        <w:t>3</w:t>
      </w:r>
      <w:r>
        <w:rPr>
          <w:rFonts w:hint="eastAsia" w:ascii="宋体" w:hAnsi="宋体" w:cs="宋体"/>
          <w:color w:val="auto"/>
          <w:sz w:val="24"/>
          <w:highlight w:val="none"/>
          <w:lang w:val="zh-CN"/>
        </w:rPr>
        <w:t>50，黄色≥200（</w:t>
      </w:r>
      <w:r>
        <w:rPr>
          <w:rFonts w:hint="eastAsia" w:ascii="宋体" w:hAnsi="宋体" w:cs="宋体"/>
          <w:color w:val="auto"/>
          <w:sz w:val="24"/>
          <w:highlight w:val="none"/>
        </w:rPr>
        <w:t>初始施划时逆反射系数：白色≥350，黄色≥200</w:t>
      </w:r>
      <w:r>
        <w:rPr>
          <w:rFonts w:hint="eastAsia" w:ascii="宋体" w:hAnsi="宋体" w:cs="宋体"/>
          <w:color w:val="auto"/>
          <w:sz w:val="24"/>
          <w:highlight w:val="none"/>
          <w:lang w:val="zh-CN"/>
        </w:rPr>
        <w:t>）</w:t>
      </w:r>
    </w:p>
    <w:p>
      <w:pPr>
        <w:pStyle w:val="24"/>
        <w:numPr>
          <w:ilvl w:val="0"/>
          <w:numId w:val="9"/>
        </w:numPr>
        <w:autoSpaceDE w:val="0"/>
        <w:autoSpaceDN w:val="0"/>
        <w:snapToGrid w:val="0"/>
        <w:spacing w:line="360" w:lineRule="auto"/>
        <w:ind w:firstLineChars="0"/>
        <w:rPr>
          <w:rFonts w:hint="eastAsia" w:ascii="宋体" w:hAnsi="宋体" w:cs="宋体"/>
          <w:color w:val="auto"/>
          <w:sz w:val="24"/>
          <w:highlight w:val="none"/>
          <w:lang w:val="zh-CN"/>
        </w:rPr>
      </w:pPr>
      <w:r>
        <w:rPr>
          <w:rFonts w:hint="eastAsia" w:ascii="宋体" w:hAnsi="宋体" w:cs="宋体"/>
          <w:color w:val="auto"/>
          <w:sz w:val="24"/>
          <w:highlight w:val="none"/>
          <w:lang w:val="zh-CN"/>
        </w:rPr>
        <w:t>遮盖率：60-80%</w:t>
      </w:r>
    </w:p>
    <w:p>
      <w:pPr>
        <w:pStyle w:val="24"/>
        <w:numPr>
          <w:ilvl w:val="0"/>
          <w:numId w:val="9"/>
        </w:numPr>
        <w:autoSpaceDE w:val="0"/>
        <w:autoSpaceDN w:val="0"/>
        <w:snapToGrid w:val="0"/>
        <w:spacing w:line="360" w:lineRule="auto"/>
        <w:ind w:firstLineChars="0"/>
        <w:rPr>
          <w:rFonts w:ascii="宋体" w:hAnsi="宋体" w:cs="宋体"/>
          <w:color w:val="auto"/>
          <w:sz w:val="24"/>
          <w:highlight w:val="none"/>
          <w:lang w:val="zh-CN"/>
        </w:rPr>
      </w:pPr>
      <w:r>
        <w:rPr>
          <w:rFonts w:ascii="宋体" w:hAnsi="宋体" w:cs="宋体"/>
          <w:color w:val="auto"/>
          <w:sz w:val="24"/>
          <w:highlight w:val="none"/>
          <w:lang w:val="zh-CN"/>
        </w:rPr>
        <w:t>耐水性</w:t>
      </w:r>
      <w:r>
        <w:rPr>
          <w:rFonts w:hint="eastAsia" w:ascii="宋体" w:hAnsi="宋体" w:cs="宋体"/>
          <w:color w:val="auto"/>
          <w:sz w:val="24"/>
          <w:highlight w:val="none"/>
          <w:lang w:val="zh-CN"/>
        </w:rPr>
        <w:t>：</w:t>
      </w:r>
      <w:r>
        <w:rPr>
          <w:rFonts w:ascii="宋体" w:hAnsi="宋体" w:cs="宋体"/>
          <w:color w:val="auto"/>
          <w:sz w:val="24"/>
          <w:highlight w:val="none"/>
          <w:lang w:val="zh-CN"/>
        </w:rPr>
        <w:t>在水中浸24h应无异常现象</w:t>
      </w:r>
    </w:p>
    <w:p>
      <w:pPr>
        <w:pStyle w:val="24"/>
        <w:numPr>
          <w:ilvl w:val="0"/>
          <w:numId w:val="9"/>
        </w:numPr>
        <w:autoSpaceDE w:val="0"/>
        <w:autoSpaceDN w:val="0"/>
        <w:snapToGrid w:val="0"/>
        <w:spacing w:line="360" w:lineRule="auto"/>
        <w:ind w:firstLineChars="0"/>
        <w:rPr>
          <w:rFonts w:ascii="宋体" w:hAnsi="宋体" w:cs="宋体"/>
          <w:color w:val="auto"/>
          <w:sz w:val="24"/>
          <w:highlight w:val="none"/>
          <w:lang w:val="zh-CN"/>
        </w:rPr>
      </w:pPr>
      <w:r>
        <w:rPr>
          <w:rFonts w:ascii="宋体" w:hAnsi="宋体" w:cs="宋体"/>
          <w:color w:val="auto"/>
          <w:sz w:val="24"/>
          <w:highlight w:val="none"/>
          <w:lang w:val="zh-CN"/>
        </w:rPr>
        <w:t>耐碱性</w:t>
      </w:r>
      <w:r>
        <w:rPr>
          <w:rFonts w:hint="eastAsia" w:ascii="宋体" w:hAnsi="宋体" w:cs="宋体"/>
          <w:color w:val="auto"/>
          <w:sz w:val="24"/>
          <w:highlight w:val="none"/>
          <w:lang w:val="zh-CN"/>
        </w:rPr>
        <w:t>：</w:t>
      </w:r>
      <w:r>
        <w:rPr>
          <w:rFonts w:ascii="宋体" w:hAnsi="宋体" w:cs="宋体"/>
          <w:color w:val="auto"/>
          <w:sz w:val="24"/>
          <w:highlight w:val="none"/>
          <w:lang w:val="zh-CN"/>
        </w:rPr>
        <w:t>在氢氧化钙饱和溶液中浸24h应无异常</w:t>
      </w:r>
    </w:p>
    <w:p>
      <w:pPr>
        <w:pStyle w:val="18"/>
        <w:ind w:firstLine="210"/>
        <w:rPr>
          <w:color w:val="auto"/>
          <w:highlight w:val="none"/>
          <w:lang w:val="zh-CN"/>
        </w:rPr>
      </w:pPr>
    </w:p>
    <w:p>
      <w:pPr>
        <w:autoSpaceDE w:val="0"/>
        <w:autoSpaceDN w:val="0"/>
        <w:adjustRightInd w:val="0"/>
        <w:snapToGrid w:val="0"/>
        <w:spacing w:line="360" w:lineRule="auto"/>
        <w:rPr>
          <w:rFonts w:ascii="宋体" w:hAnsi="宋体" w:cs="宋体"/>
          <w:b/>
          <w:color w:val="auto"/>
          <w:sz w:val="24"/>
          <w:highlight w:val="none"/>
        </w:rPr>
      </w:pPr>
      <w:r>
        <w:rPr>
          <w:rFonts w:hint="eastAsia" w:ascii="宋体" w:hAnsi="宋体" w:cs="宋体"/>
          <w:b/>
          <w:color w:val="auto"/>
          <w:sz w:val="24"/>
          <w:highlight w:val="none"/>
          <w:lang w:bidi="ar"/>
        </w:rPr>
        <w:t>热熔雨夜标线的技术要求</w:t>
      </w:r>
    </w:p>
    <w:p>
      <w:pPr>
        <w:autoSpaceDE w:val="0"/>
        <w:autoSpaceDN w:val="0"/>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lang w:bidi="ar"/>
        </w:rPr>
        <w:t>1、热熔雨夜标线应符合</w:t>
      </w:r>
      <w:r>
        <w:rPr>
          <w:rFonts w:hint="eastAsia" w:ascii="宋体" w:hAnsi="宋体" w:cs="Calibri Light"/>
          <w:color w:val="auto"/>
          <w:kern w:val="0"/>
          <w:sz w:val="24"/>
          <w:highlight w:val="none"/>
        </w:rPr>
        <w:t>最新的</w:t>
      </w:r>
      <w:r>
        <w:rPr>
          <w:rFonts w:hint="eastAsia" w:ascii="宋体" w:hAnsi="宋体" w:cs="宋体"/>
          <w:color w:val="auto"/>
          <w:sz w:val="24"/>
          <w:highlight w:val="none"/>
          <w:lang w:bidi="ar"/>
        </w:rPr>
        <w:t>GB/T 16311《道路交通标线质量要求和检测方法》关于热熔标线的相关技术要求。</w:t>
      </w:r>
    </w:p>
    <w:p>
      <w:pPr>
        <w:autoSpaceDE w:val="0"/>
        <w:autoSpaceDN w:val="0"/>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lang w:bidi="ar"/>
        </w:rPr>
        <w:t>（1）</w:t>
      </w:r>
      <w:r>
        <w:rPr>
          <w:rFonts w:hint="eastAsia" w:ascii="宋体" w:hAnsi="宋体" w:cs="宋体"/>
          <w:snapToGrid w:val="0"/>
          <w:color w:val="auto"/>
          <w:sz w:val="24"/>
          <w:highlight w:val="none"/>
          <w:lang w:bidi="ar"/>
        </w:rPr>
        <w:t xml:space="preserve"> </w:t>
      </w:r>
      <w:r>
        <w:rPr>
          <w:rFonts w:hint="eastAsia" w:ascii="宋体" w:hAnsi="宋体" w:cs="宋体"/>
          <w:color w:val="auto"/>
          <w:sz w:val="24"/>
          <w:highlight w:val="none"/>
          <w:lang w:bidi="ar"/>
        </w:rPr>
        <w:t>热熔雨夜标线，白色反光标线的逆反射色应为白色，黄色反光标线的逆反射色应为黄色，测试方法应符合JT/T690的相关说明。</w:t>
      </w:r>
    </w:p>
    <w:p>
      <w:pPr>
        <w:autoSpaceDE w:val="0"/>
        <w:autoSpaceDN w:val="0"/>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lang w:bidi="ar"/>
        </w:rPr>
        <w:t>（2）光学逆反射性能</w:t>
      </w:r>
    </w:p>
    <w:p>
      <w:pPr>
        <w:autoSpaceDE w:val="0"/>
        <w:autoSpaceDN w:val="0"/>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lang w:bidi="ar"/>
        </w:rPr>
        <w:t>a. 新划白色标线的初始逆反射亮度系数应满足，干燥状态下的平均值不低于500 mcd·m-2·lx-1,潮湿状态下的平均值不低于350mcd·m-2·lx-1。新划黄色标线的初始逆反射亮度系数应满足，干燥状态下的平均值不低于350 mcd·m-2·lx-1,潮湿状态下的平均值不低于150 mcd·m-2·lx-1。</w:t>
      </w:r>
    </w:p>
    <w:p>
      <w:pPr>
        <w:autoSpaceDE w:val="0"/>
        <w:autoSpaceDN w:val="0"/>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lang w:bidi="ar"/>
        </w:rPr>
        <w:t>干燥状态的测试方法参考ASTM E1710，潮湿状态的测试方法参考ASTM E2177，测试仪器以Delta公司的LTL-X设备为准。</w:t>
      </w:r>
    </w:p>
    <w:p>
      <w:pPr>
        <w:autoSpaceDE w:val="0"/>
        <w:autoSpaceDN w:val="0"/>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lang w:bidi="ar"/>
        </w:rPr>
        <w:t>b. 正常使用期间，雨夜反光标线应满足夜间可视的要求。</w:t>
      </w:r>
    </w:p>
    <w:p>
      <w:pPr>
        <w:autoSpaceDE w:val="0"/>
        <w:autoSpaceDN w:val="0"/>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lang w:bidi="ar"/>
        </w:rPr>
        <w:t>三个月后，干燥状态下白色边线亮度系数平均值不低于300 mcd·m-2·lx-1，潮湿状态下白色边线亮度系数的平均值不低于150 mcd·m-2·lx-1。</w:t>
      </w:r>
    </w:p>
    <w:p>
      <w:pPr>
        <w:autoSpaceDE w:val="0"/>
        <w:autoSpaceDN w:val="0"/>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lang w:bidi="ar"/>
        </w:rPr>
        <w:t>三个月后，干燥状态下黄色边线亮度系数平均值不低于200 mcd·m-2·lx-1，潮湿状态下黄色边线亮度系数的平均值不低于100 mcd·m-2·lx-1。</w:t>
      </w:r>
    </w:p>
    <w:p>
      <w:pPr>
        <w:autoSpaceDE w:val="0"/>
        <w:autoSpaceDN w:val="0"/>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lang w:bidi="ar"/>
        </w:rPr>
        <w:t>干燥状态的测试方法参考ASTM E1710，潮湿状态的测试方法参考ASTM E2177，测试仪器以Delta公司的LTL-X设备为准。</w:t>
      </w:r>
    </w:p>
    <w:p>
      <w:pPr>
        <w:numPr>
          <w:ilvl w:val="0"/>
          <w:numId w:val="10"/>
        </w:numPr>
        <w:autoSpaceDE w:val="0"/>
        <w:autoSpaceDN w:val="0"/>
        <w:adjustRightInd w:val="0"/>
        <w:snapToGrid w:val="0"/>
        <w:spacing w:line="360" w:lineRule="auto"/>
        <w:rPr>
          <w:rFonts w:ascii="宋体" w:hAnsi="宋体" w:cs="宋体"/>
          <w:color w:val="auto"/>
          <w:sz w:val="24"/>
          <w:highlight w:val="none"/>
          <w:lang w:bidi="ar"/>
        </w:rPr>
      </w:pPr>
      <w:r>
        <w:rPr>
          <w:rFonts w:hint="eastAsia" w:ascii="宋体" w:hAnsi="宋体" w:cs="宋体"/>
          <w:color w:val="auto"/>
          <w:sz w:val="24"/>
          <w:highlight w:val="none"/>
          <w:lang w:bidi="ar"/>
        </w:rPr>
        <w:t>在热熔标线施划表面撒播白色或黄色雨夜反光珠和玻璃珠，雨夜珠撒播量不低于260g/m2，玻璃珠撒播量不低于600g/m2。雨夜珠应为全天候高亮雨夜珠，外观为不规则形状，表层为微晶陶瓷珠涂层结构。</w:t>
      </w:r>
    </w:p>
    <w:p>
      <w:pPr>
        <w:pStyle w:val="8"/>
        <w:spacing w:line="360" w:lineRule="auto"/>
        <w:ind w:firstLine="0"/>
        <w:rPr>
          <w:rFonts w:ascii="宋体" w:hAnsi="宋体" w:cs="宋体"/>
          <w:color w:val="auto"/>
          <w:sz w:val="24"/>
          <w:szCs w:val="24"/>
          <w:highlight w:val="none"/>
        </w:rPr>
      </w:pPr>
      <w:r>
        <w:rPr>
          <w:rFonts w:hint="eastAsia" w:ascii="宋体" w:hAnsi="宋体" w:cs="宋体"/>
          <w:b/>
          <w:color w:val="auto"/>
          <w:sz w:val="24"/>
          <w:szCs w:val="24"/>
          <w:highlight w:val="none"/>
          <w:lang w:bidi="ar"/>
        </w:rPr>
        <w:t>雨夜标线涂料的技术要求：</w:t>
      </w:r>
    </w:p>
    <w:p>
      <w:pPr>
        <w:autoSpaceDE w:val="0"/>
        <w:autoSpaceDN w:val="0"/>
        <w:adjustRightInd w:val="0"/>
        <w:snapToGrid w:val="0"/>
        <w:spacing w:line="360" w:lineRule="auto"/>
        <w:rPr>
          <w:rFonts w:ascii="宋体" w:hAnsi="宋体" w:cs="宋体"/>
          <w:color w:val="auto"/>
          <w:sz w:val="24"/>
          <w:highlight w:val="none"/>
          <w:lang w:bidi="ar"/>
        </w:rPr>
      </w:pPr>
      <w:r>
        <w:rPr>
          <w:rFonts w:hint="eastAsia" w:ascii="宋体" w:hAnsi="宋体" w:cs="宋体"/>
          <w:color w:val="auto"/>
          <w:sz w:val="24"/>
          <w:highlight w:val="none"/>
          <w:lang w:bidi="ar"/>
        </w:rPr>
        <w:t>热熔涂料基本组成应满足</w:t>
      </w:r>
      <w:r>
        <w:rPr>
          <w:rFonts w:hint="eastAsia" w:ascii="宋体" w:hAnsi="宋体" w:cs="宋体"/>
          <w:color w:val="auto"/>
          <w:sz w:val="24"/>
          <w:highlight w:val="yellow"/>
          <w:lang w:bidi="ar"/>
        </w:rPr>
        <w:t>JT/T280-2022</w:t>
      </w:r>
      <w:r>
        <w:rPr>
          <w:rFonts w:hint="eastAsia" w:ascii="宋体" w:hAnsi="宋体" w:cs="宋体"/>
          <w:color w:val="auto"/>
          <w:sz w:val="24"/>
          <w:highlight w:val="none"/>
          <w:lang w:bidi="ar"/>
        </w:rPr>
        <w:t>的要求</w:t>
      </w:r>
    </w:p>
    <w:tbl>
      <w:tblPr>
        <w:tblStyle w:val="19"/>
        <w:tblW w:w="7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60"/>
        <w:gridCol w:w="3085"/>
        <w:gridCol w:w="18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序号</w:t>
            </w:r>
          </w:p>
        </w:tc>
        <w:tc>
          <w:tcPr>
            <w:tcW w:w="3085"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项目</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技术要求</w:t>
            </w:r>
          </w:p>
        </w:tc>
        <w:tc>
          <w:tcPr>
            <w:tcW w:w="162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1</w:t>
            </w:r>
          </w:p>
        </w:tc>
        <w:tc>
          <w:tcPr>
            <w:tcW w:w="3085"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rPr>
                <w:rFonts w:ascii="宋体" w:hAnsi="宋体" w:cs="宋体"/>
                <w:color w:val="auto"/>
                <w:szCs w:val="21"/>
                <w:highlight w:val="none"/>
              </w:rPr>
            </w:pPr>
            <w:r>
              <w:rPr>
                <w:rFonts w:hint="eastAsia" w:ascii="宋体" w:hAnsi="宋体" w:cs="宋体"/>
                <w:color w:val="auto"/>
                <w:szCs w:val="21"/>
                <w:highlight w:val="none"/>
                <w:lang w:bidi="ar"/>
              </w:rPr>
              <w:t>密度，g/cm3</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2.0-2.6</w:t>
            </w:r>
          </w:p>
        </w:tc>
        <w:tc>
          <w:tcPr>
            <w:tcW w:w="1620" w:type="dxa"/>
            <w:vMerge w:val="restart"/>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JTT 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2</w:t>
            </w:r>
          </w:p>
        </w:tc>
        <w:tc>
          <w:tcPr>
            <w:tcW w:w="3085"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rPr>
                <w:rFonts w:ascii="宋体" w:hAnsi="宋体" w:cs="宋体"/>
                <w:color w:val="auto"/>
                <w:szCs w:val="21"/>
                <w:highlight w:val="none"/>
              </w:rPr>
            </w:pPr>
            <w:r>
              <w:rPr>
                <w:rFonts w:hint="eastAsia" w:ascii="宋体" w:hAnsi="宋体" w:cs="宋体"/>
                <w:color w:val="auto"/>
                <w:szCs w:val="21"/>
                <w:highlight w:val="none"/>
                <w:lang w:bidi="ar"/>
              </w:rPr>
              <w:t>软化点，℃，不低于</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105</w:t>
            </w: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3</w:t>
            </w:r>
          </w:p>
        </w:tc>
        <w:tc>
          <w:tcPr>
            <w:tcW w:w="3085"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rPr>
                <w:rFonts w:ascii="宋体" w:hAnsi="宋体" w:cs="宋体"/>
                <w:color w:val="auto"/>
                <w:szCs w:val="21"/>
                <w:highlight w:val="none"/>
              </w:rPr>
            </w:pPr>
            <w:r>
              <w:rPr>
                <w:rFonts w:hint="eastAsia" w:ascii="宋体" w:hAnsi="宋体" w:cs="宋体"/>
                <w:color w:val="auto"/>
                <w:szCs w:val="21"/>
                <w:highlight w:val="none"/>
                <w:lang w:bidi="ar"/>
              </w:rPr>
              <w:t>不粘胎干燥时间，min，不高于</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 3</w:t>
            </w: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960" w:type="dxa"/>
            <w:vMerge w:val="restart"/>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4</w:t>
            </w:r>
          </w:p>
        </w:tc>
        <w:tc>
          <w:tcPr>
            <w:tcW w:w="3085"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rPr>
                <w:rFonts w:ascii="宋体" w:hAnsi="宋体" w:cs="宋体"/>
                <w:color w:val="auto"/>
                <w:szCs w:val="21"/>
                <w:highlight w:val="none"/>
              </w:rPr>
            </w:pPr>
            <w:r>
              <w:rPr>
                <w:rFonts w:hint="eastAsia" w:ascii="宋体" w:hAnsi="宋体" w:cs="宋体"/>
                <w:color w:val="auto"/>
                <w:szCs w:val="21"/>
                <w:highlight w:val="none"/>
                <w:lang w:bidi="ar"/>
              </w:rPr>
              <w:t>色度性能（白色、黄色）</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 </w:t>
            </w: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960" w:type="dxa"/>
            <w:vMerge w:val="continue"/>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center"/>
          </w:tcPr>
          <w:p>
            <w:pPr>
              <w:rPr>
                <w:rFonts w:ascii="宋体" w:hAnsi="宋体" w:cs="宋体"/>
                <w:color w:val="auto"/>
                <w:szCs w:val="21"/>
                <w:highlight w:val="none"/>
              </w:rPr>
            </w:pPr>
          </w:p>
        </w:tc>
        <w:tc>
          <w:tcPr>
            <w:tcW w:w="3085"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rPr>
                <w:rFonts w:ascii="宋体" w:hAnsi="宋体" w:cs="宋体"/>
                <w:color w:val="auto"/>
                <w:szCs w:val="21"/>
                <w:highlight w:val="none"/>
              </w:rPr>
            </w:pPr>
            <w:r>
              <w:rPr>
                <w:rFonts w:hint="eastAsia" w:ascii="宋体" w:hAnsi="宋体" w:cs="宋体"/>
                <w:color w:val="auto"/>
                <w:szCs w:val="21"/>
                <w:highlight w:val="none"/>
                <w:lang w:bidi="ar"/>
              </w:rPr>
              <w:t>     色品坐标</w:t>
            </w:r>
          </w:p>
        </w:tc>
        <w:tc>
          <w:tcPr>
            <w:tcW w:w="1800"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满足</w:t>
            </w:r>
            <w:r>
              <w:rPr>
                <w:rFonts w:hint="eastAsia" w:ascii="宋体" w:hAnsi="宋体" w:cs="宋体"/>
                <w:color w:val="auto"/>
                <w:szCs w:val="21"/>
                <w:highlight w:val="yellow"/>
                <w:lang w:bidi="ar"/>
              </w:rPr>
              <w:t>JT/T280-2022</w:t>
            </w: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960" w:type="dxa"/>
            <w:vMerge w:val="continue"/>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center"/>
          </w:tcPr>
          <w:p>
            <w:pPr>
              <w:rPr>
                <w:rFonts w:ascii="宋体" w:hAnsi="宋体" w:cs="宋体"/>
                <w:color w:val="auto"/>
                <w:szCs w:val="21"/>
                <w:highlight w:val="none"/>
              </w:rPr>
            </w:pPr>
          </w:p>
        </w:tc>
        <w:tc>
          <w:tcPr>
            <w:tcW w:w="3085"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rPr>
                <w:rFonts w:ascii="宋体" w:hAnsi="宋体" w:cs="宋体"/>
                <w:color w:val="auto"/>
                <w:szCs w:val="21"/>
                <w:highlight w:val="none"/>
              </w:rPr>
            </w:pPr>
            <w:r>
              <w:rPr>
                <w:rFonts w:hint="eastAsia" w:ascii="宋体" w:hAnsi="宋体" w:cs="宋体"/>
                <w:color w:val="auto"/>
                <w:szCs w:val="21"/>
                <w:highlight w:val="none"/>
                <w:lang w:bidi="ar"/>
              </w:rPr>
              <w:t>      亮度因数</w:t>
            </w: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rPr>
                <w:rFonts w:ascii="宋体" w:hAnsi="宋体" w:cs="宋体"/>
                <w:color w:val="auto"/>
                <w:szCs w:val="21"/>
                <w:highlight w:val="none"/>
              </w:rPr>
            </w:pP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5</w:t>
            </w:r>
          </w:p>
        </w:tc>
        <w:tc>
          <w:tcPr>
            <w:tcW w:w="3085"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rPr>
                <w:rFonts w:ascii="宋体" w:hAnsi="宋体" w:cs="宋体"/>
                <w:color w:val="auto"/>
                <w:szCs w:val="21"/>
                <w:highlight w:val="none"/>
              </w:rPr>
            </w:pPr>
            <w:r>
              <w:rPr>
                <w:rFonts w:hint="eastAsia" w:ascii="宋体" w:hAnsi="宋体" w:cs="宋体"/>
                <w:color w:val="auto"/>
                <w:szCs w:val="21"/>
                <w:highlight w:val="none"/>
                <w:lang w:bidi="ar"/>
              </w:rPr>
              <w:t>抗压强度，Mpa，不低于</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15</w:t>
            </w: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6</w:t>
            </w:r>
          </w:p>
        </w:tc>
        <w:tc>
          <w:tcPr>
            <w:tcW w:w="3085"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rPr>
                <w:rFonts w:ascii="宋体" w:hAnsi="宋体" w:cs="宋体"/>
                <w:color w:val="auto"/>
                <w:szCs w:val="21"/>
                <w:highlight w:val="none"/>
              </w:rPr>
            </w:pPr>
            <w:r>
              <w:rPr>
                <w:rFonts w:hint="eastAsia" w:ascii="宋体" w:hAnsi="宋体" w:cs="宋体"/>
                <w:color w:val="auto"/>
                <w:szCs w:val="21"/>
                <w:highlight w:val="none"/>
                <w:lang w:bidi="ar"/>
              </w:rPr>
              <w:t>耐磨性，mg，不高于</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70</w:t>
            </w: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7</w:t>
            </w:r>
          </w:p>
        </w:tc>
        <w:tc>
          <w:tcPr>
            <w:tcW w:w="3085"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rPr>
                <w:rFonts w:ascii="宋体" w:hAnsi="宋体" w:cs="宋体"/>
                <w:color w:val="auto"/>
                <w:szCs w:val="21"/>
                <w:highlight w:val="none"/>
              </w:rPr>
            </w:pPr>
            <w:r>
              <w:rPr>
                <w:rFonts w:hint="eastAsia" w:ascii="宋体" w:hAnsi="宋体" w:cs="宋体"/>
                <w:color w:val="auto"/>
                <w:szCs w:val="21"/>
                <w:highlight w:val="none"/>
                <w:lang w:bidi="ar"/>
              </w:rPr>
              <w:t>玻璃珠含量，%，不低于</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bidi="ar"/>
              </w:rPr>
              <w:t>30</w:t>
            </w: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8</w:t>
            </w:r>
          </w:p>
        </w:tc>
        <w:tc>
          <w:tcPr>
            <w:tcW w:w="3085"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rPr>
                <w:rFonts w:ascii="宋体" w:hAnsi="宋体" w:cs="宋体"/>
                <w:color w:val="auto"/>
                <w:szCs w:val="21"/>
                <w:highlight w:val="none"/>
              </w:rPr>
            </w:pPr>
            <w:r>
              <w:rPr>
                <w:rFonts w:hint="eastAsia" w:ascii="宋体" w:hAnsi="宋体" w:cs="宋体"/>
                <w:color w:val="auto"/>
                <w:szCs w:val="21"/>
                <w:highlight w:val="none"/>
                <w:lang w:bidi="ar"/>
              </w:rPr>
              <w:t>流动度，S</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35±5</w:t>
            </w: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9</w:t>
            </w:r>
          </w:p>
        </w:tc>
        <w:tc>
          <w:tcPr>
            <w:tcW w:w="3085"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rPr>
                <w:rFonts w:ascii="宋体" w:hAnsi="宋体" w:cs="宋体"/>
                <w:color w:val="auto"/>
                <w:szCs w:val="21"/>
                <w:highlight w:val="none"/>
              </w:rPr>
            </w:pPr>
            <w:r>
              <w:rPr>
                <w:rFonts w:hint="eastAsia" w:ascii="宋体" w:hAnsi="宋体" w:cs="宋体"/>
                <w:color w:val="auto"/>
                <w:szCs w:val="21"/>
                <w:highlight w:val="none"/>
                <w:lang w:bidi="ar"/>
              </w:rPr>
              <w:t>耐水性</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通过</w:t>
            </w: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10</w:t>
            </w:r>
          </w:p>
        </w:tc>
        <w:tc>
          <w:tcPr>
            <w:tcW w:w="3085"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rPr>
                <w:rFonts w:ascii="宋体" w:hAnsi="宋体" w:cs="宋体"/>
                <w:color w:val="auto"/>
                <w:szCs w:val="21"/>
                <w:highlight w:val="none"/>
              </w:rPr>
            </w:pPr>
            <w:r>
              <w:rPr>
                <w:rFonts w:hint="eastAsia" w:ascii="宋体" w:hAnsi="宋体" w:cs="宋体"/>
                <w:color w:val="auto"/>
                <w:szCs w:val="21"/>
                <w:highlight w:val="none"/>
                <w:lang w:bidi="ar"/>
              </w:rPr>
              <w:t>耐碱性</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通过</w:t>
            </w: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11</w:t>
            </w:r>
          </w:p>
        </w:tc>
        <w:tc>
          <w:tcPr>
            <w:tcW w:w="3085"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rPr>
                <w:rFonts w:ascii="宋体" w:hAnsi="宋体" w:cs="宋体"/>
                <w:color w:val="auto"/>
                <w:szCs w:val="21"/>
                <w:highlight w:val="none"/>
              </w:rPr>
            </w:pPr>
            <w:r>
              <w:rPr>
                <w:rFonts w:hint="eastAsia" w:ascii="宋体" w:hAnsi="宋体" w:cs="宋体"/>
                <w:color w:val="auto"/>
                <w:szCs w:val="21"/>
                <w:highlight w:val="none"/>
                <w:lang w:bidi="ar"/>
              </w:rPr>
              <w:t>低温开裂性</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通过</w:t>
            </w: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12</w:t>
            </w:r>
          </w:p>
        </w:tc>
        <w:tc>
          <w:tcPr>
            <w:tcW w:w="3085"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rPr>
                <w:rFonts w:ascii="宋体" w:hAnsi="宋体" w:cs="宋体"/>
                <w:color w:val="auto"/>
                <w:szCs w:val="21"/>
                <w:highlight w:val="none"/>
              </w:rPr>
            </w:pPr>
            <w:r>
              <w:rPr>
                <w:rFonts w:hint="eastAsia" w:ascii="宋体" w:hAnsi="宋体" w:cs="宋体"/>
                <w:color w:val="auto"/>
                <w:szCs w:val="21"/>
                <w:highlight w:val="none"/>
                <w:lang w:bidi="ar"/>
              </w:rPr>
              <w:t>加热稳定性</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通过</w:t>
            </w:r>
          </w:p>
        </w:tc>
        <w:tc>
          <w:tcPr>
            <w:tcW w:w="1620" w:type="dxa"/>
            <w:vMerge w:val="continue"/>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13</w:t>
            </w:r>
          </w:p>
        </w:tc>
        <w:tc>
          <w:tcPr>
            <w:tcW w:w="3085"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rPr>
                <w:rFonts w:ascii="宋体" w:hAnsi="宋体" w:cs="宋体"/>
                <w:color w:val="auto"/>
                <w:szCs w:val="21"/>
                <w:highlight w:val="none"/>
              </w:rPr>
            </w:pPr>
            <w:r>
              <w:rPr>
                <w:rFonts w:hint="eastAsia" w:ascii="宋体" w:hAnsi="宋体" w:cs="宋体"/>
                <w:color w:val="auto"/>
                <w:szCs w:val="21"/>
                <w:highlight w:val="none"/>
                <w:lang w:bidi="ar"/>
              </w:rPr>
              <w:t>表面邵氏硬度，D，不低于</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70</w:t>
            </w:r>
          </w:p>
        </w:tc>
        <w:tc>
          <w:tcPr>
            <w:tcW w:w="162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邵氏硬度计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14</w:t>
            </w:r>
          </w:p>
        </w:tc>
        <w:tc>
          <w:tcPr>
            <w:tcW w:w="3085"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rPr>
                <w:rFonts w:ascii="宋体" w:hAnsi="宋体" w:cs="宋体"/>
                <w:color w:val="auto"/>
                <w:szCs w:val="21"/>
                <w:highlight w:val="none"/>
              </w:rPr>
            </w:pPr>
            <w:r>
              <w:rPr>
                <w:rFonts w:hint="eastAsia" w:ascii="宋体" w:hAnsi="宋体" w:cs="宋体"/>
                <w:color w:val="auto"/>
                <w:szCs w:val="21"/>
                <w:highlight w:val="none"/>
                <w:lang w:bidi="ar"/>
              </w:rPr>
              <w:t>落球冲击强度，N.m，不低于</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0.75</w:t>
            </w:r>
          </w:p>
        </w:tc>
        <w:tc>
          <w:tcPr>
            <w:tcW w:w="162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冲击强度仪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15</w:t>
            </w:r>
          </w:p>
        </w:tc>
        <w:tc>
          <w:tcPr>
            <w:tcW w:w="3085"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rPr>
                <w:rFonts w:ascii="宋体" w:hAnsi="宋体" w:cs="宋体"/>
                <w:color w:val="auto"/>
                <w:szCs w:val="21"/>
                <w:highlight w:val="none"/>
              </w:rPr>
            </w:pPr>
            <w:r>
              <w:rPr>
                <w:rFonts w:hint="eastAsia" w:ascii="宋体" w:hAnsi="宋体" w:cs="宋体"/>
                <w:color w:val="auto"/>
                <w:szCs w:val="21"/>
                <w:highlight w:val="none"/>
                <w:lang w:bidi="ar"/>
              </w:rPr>
              <w:t>总有机物含量，wt%，不低于</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19</w:t>
            </w:r>
          </w:p>
        </w:tc>
        <w:tc>
          <w:tcPr>
            <w:tcW w:w="162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高温烧结法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0" w:hRule="atLeast"/>
          <w:jc w:val="center"/>
        </w:trPr>
        <w:tc>
          <w:tcPr>
            <w:tcW w:w="96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16</w:t>
            </w:r>
          </w:p>
        </w:tc>
        <w:tc>
          <w:tcPr>
            <w:tcW w:w="3085"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rPr>
                <w:rFonts w:ascii="宋体" w:hAnsi="宋体" w:cs="宋体"/>
                <w:color w:val="auto"/>
                <w:szCs w:val="21"/>
                <w:highlight w:val="none"/>
              </w:rPr>
            </w:pPr>
            <w:r>
              <w:rPr>
                <w:rFonts w:hint="eastAsia" w:ascii="宋体" w:hAnsi="宋体" w:cs="宋体"/>
                <w:color w:val="auto"/>
                <w:szCs w:val="21"/>
                <w:highlight w:val="none"/>
                <w:lang w:bidi="ar"/>
              </w:rPr>
              <w:t>Elements粘结性能</w:t>
            </w:r>
          </w:p>
        </w:tc>
        <w:tc>
          <w:tcPr>
            <w:tcW w:w="180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通过</w:t>
            </w:r>
          </w:p>
        </w:tc>
        <w:tc>
          <w:tcPr>
            <w:tcW w:w="1620" w:type="dxa"/>
            <w:tcBorders>
              <w:top w:val="single" w:color="auto" w:sz="4" w:space="0"/>
              <w:left w:val="single" w:color="auto" w:sz="4" w:space="0"/>
              <w:bottom w:val="single" w:color="auto" w:sz="4" w:space="0"/>
              <w:right w:val="single" w:color="auto" w:sz="4" w:space="0"/>
            </w:tcBorders>
            <w:shd w:val="clear" w:color="auto" w:fill="auto"/>
            <w:noWrap/>
            <w:tcMar>
              <w:left w:w="108" w:type="dxa"/>
              <w:right w:w="108" w:type="dxa"/>
            </w:tcMar>
            <w:vAlign w:val="bottom"/>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lang w:bidi="ar"/>
              </w:rPr>
              <w:t>内部</w:t>
            </w:r>
          </w:p>
        </w:tc>
      </w:tr>
    </w:tbl>
    <w:p>
      <w:pPr>
        <w:autoSpaceDE w:val="0"/>
        <w:autoSpaceDN w:val="0"/>
        <w:adjustRightInd w:val="0"/>
        <w:snapToGrid w:val="0"/>
        <w:spacing w:line="440" w:lineRule="exact"/>
        <w:jc w:val="center"/>
        <w:rPr>
          <w:b/>
          <w:color w:val="auto"/>
          <w:szCs w:val="21"/>
          <w:highlight w:val="none"/>
        </w:rPr>
      </w:pPr>
      <w:r>
        <w:rPr>
          <w:rFonts w:hint="eastAsia" w:cs="宋体"/>
          <w:b/>
          <w:color w:val="auto"/>
          <w:szCs w:val="21"/>
          <w:highlight w:val="none"/>
          <w:lang w:bidi="ar"/>
        </w:rPr>
        <w:t>热熔涂料配方性能指标</w:t>
      </w:r>
    </w:p>
    <w:p>
      <w:pPr>
        <w:pStyle w:val="8"/>
        <w:jc w:val="center"/>
        <w:rPr>
          <w:color w:val="auto"/>
          <w:szCs w:val="21"/>
          <w:highlight w:val="none"/>
        </w:rPr>
      </w:pPr>
    </w:p>
    <w:p>
      <w:pPr>
        <w:autoSpaceDE w:val="0"/>
        <w:autoSpaceDN w:val="0"/>
        <w:adjustRightInd w:val="0"/>
        <w:snapToGrid w:val="0"/>
        <w:spacing w:line="360" w:lineRule="auto"/>
        <w:rPr>
          <w:rFonts w:ascii="宋体" w:hAnsi="宋体" w:cs="宋体"/>
          <w:b/>
          <w:color w:val="auto"/>
          <w:sz w:val="24"/>
          <w:highlight w:val="none"/>
        </w:rPr>
      </w:pPr>
      <w:r>
        <w:rPr>
          <w:rFonts w:hint="eastAsia" w:ascii="宋体" w:hAnsi="宋体" w:cs="宋体"/>
          <w:b/>
          <w:color w:val="auto"/>
          <w:sz w:val="24"/>
          <w:highlight w:val="none"/>
          <w:lang w:bidi="ar"/>
        </w:rPr>
        <w:t>面撒玻璃珠的技术指标</w:t>
      </w:r>
    </w:p>
    <w:p>
      <w:pPr>
        <w:autoSpaceDE w:val="0"/>
        <w:autoSpaceDN w:val="0"/>
        <w:adjustRightInd w:val="0"/>
        <w:snapToGrid w:val="0"/>
        <w:spacing w:line="360" w:lineRule="auto"/>
        <w:rPr>
          <w:rFonts w:ascii="宋体" w:hAnsi="宋体" w:cs="宋体"/>
          <w:color w:val="auto"/>
          <w:sz w:val="24"/>
          <w:highlight w:val="none"/>
        </w:rPr>
      </w:pPr>
      <w:r>
        <w:rPr>
          <w:rFonts w:hint="eastAsia" w:ascii="宋体" w:hAnsi="宋体" w:cs="宋体"/>
          <w:color w:val="auto"/>
          <w:sz w:val="24"/>
          <w:highlight w:val="none"/>
          <w:lang w:bidi="ar"/>
        </w:rPr>
        <w:t>玻璃珠应满足</w:t>
      </w:r>
      <w:r>
        <w:rPr>
          <w:rFonts w:hint="eastAsia" w:ascii="宋体" w:hAnsi="宋体" w:cs="宋体"/>
          <w:color w:val="auto"/>
          <w:sz w:val="24"/>
          <w:highlight w:val="none"/>
          <w:lang w:eastAsia="zh-CN" w:bidi="ar"/>
        </w:rPr>
        <w:t>GB/T 24722-2020</w:t>
      </w:r>
      <w:r>
        <w:rPr>
          <w:rFonts w:hint="eastAsia" w:ascii="宋体" w:hAnsi="宋体" w:cs="宋体"/>
          <w:color w:val="auto"/>
          <w:sz w:val="24"/>
          <w:highlight w:val="none"/>
          <w:lang w:bidi="ar"/>
        </w:rPr>
        <w:t>的标准，玻璃珠应为无色透明的球体结构，成圆率不低于80%，玻璃珠表面应没有坑槽或划痕，折射率不低于1.5。平均粒径在0.8-1.2 mm。</w:t>
      </w:r>
    </w:p>
    <w:p>
      <w:pPr>
        <w:autoSpaceDE w:val="0"/>
        <w:autoSpaceDN w:val="0"/>
        <w:snapToGrid w:val="0"/>
        <w:spacing w:line="360" w:lineRule="auto"/>
        <w:rPr>
          <w:rFonts w:ascii="宋体" w:hAnsi="宋体" w:cs="宋体"/>
          <w:color w:val="auto"/>
          <w:sz w:val="24"/>
          <w:highlight w:val="none"/>
        </w:rPr>
      </w:pPr>
    </w:p>
    <w:p>
      <w:pPr>
        <w:autoSpaceDE w:val="0"/>
        <w:autoSpaceDN w:val="0"/>
        <w:snapToGrid w:val="0"/>
        <w:spacing w:line="360" w:lineRule="auto"/>
        <w:ind w:firstLine="120" w:firstLineChars="50"/>
        <w:rPr>
          <w:rFonts w:ascii="宋体" w:hAnsi="宋体" w:cs="宋体"/>
          <w:b/>
          <w:color w:val="auto"/>
          <w:sz w:val="24"/>
          <w:highlight w:val="none"/>
        </w:rPr>
      </w:pPr>
      <w:r>
        <w:rPr>
          <w:rFonts w:hint="eastAsia" w:ascii="宋体" w:hAnsi="宋体" w:cs="宋体"/>
          <w:b/>
          <w:color w:val="auto"/>
          <w:sz w:val="24"/>
          <w:highlight w:val="none"/>
        </w:rPr>
        <w:t>标线施划、除线要求</w:t>
      </w:r>
    </w:p>
    <w:p>
      <w:pPr>
        <w:autoSpaceDE w:val="0"/>
        <w:autoSpaceDN w:val="0"/>
        <w:snapToGrid w:val="0"/>
        <w:spacing w:line="360" w:lineRule="auto"/>
        <w:rPr>
          <w:rFonts w:ascii="宋体" w:hAnsi="宋体" w:cs="宋体"/>
          <w:color w:val="auto"/>
          <w:sz w:val="24"/>
          <w:highlight w:val="none"/>
        </w:rPr>
      </w:pPr>
      <w:r>
        <w:rPr>
          <w:rFonts w:hint="eastAsia" w:ascii="宋体" w:hAnsi="宋体" w:cs="宋体"/>
          <w:color w:val="auto"/>
          <w:sz w:val="24"/>
          <w:highlight w:val="none"/>
        </w:rPr>
        <w:t>（1）对需要铲除的旧线，要做到铲除后不会引起驾驶员的误解和投诉。</w:t>
      </w:r>
    </w:p>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kern w:val="0"/>
          <w:sz w:val="24"/>
          <w:highlight w:val="none"/>
        </w:rPr>
        <w:t>交叉路口驶入段的导向车道内应有导向箭头标明各车道的行驶方向。距路口最近的第一组导向箭头在距停止线2m处设置，第二组在导向车道的起始位置设置，箭头起始端部与导向车道线起始端部平齐，第三组作为预告箭头，在距第二组箭头前30m～50m间隔设置，预告箭头指示方向应与前方导向车道允许行驶方向保持一致。道路设计速度≤40km/h，导向箭头设置2组；道路设计速度40~100km/h，导向箭头设置3组。</w:t>
      </w:r>
    </w:p>
    <w:p>
      <w:pPr>
        <w:spacing w:line="360" w:lineRule="auto"/>
        <w:rPr>
          <w:rFonts w:ascii="宋体" w:hAnsi="宋体" w:cs="宋体"/>
          <w:color w:val="auto"/>
          <w:kern w:val="0"/>
          <w:sz w:val="24"/>
          <w:highlight w:val="none"/>
        </w:rPr>
      </w:pPr>
      <w:r>
        <w:rPr>
          <w:rFonts w:hint="eastAsia" w:ascii="宋体" w:hAnsi="宋体" w:cs="宋体"/>
          <w:color w:val="auto"/>
          <w:sz w:val="24"/>
          <w:highlight w:val="none"/>
        </w:rPr>
        <w:t>（3）</w:t>
      </w:r>
      <w:r>
        <w:rPr>
          <w:rFonts w:hint="eastAsia" w:ascii="宋体" w:hAnsi="宋体" w:cs="宋体"/>
          <w:color w:val="auto"/>
          <w:kern w:val="0"/>
          <w:sz w:val="24"/>
          <w:highlight w:val="none"/>
        </w:rPr>
        <w:t>标线施工注意：(a)交通标线的划法应符合国家和地方的有关规定，做到整齐、清晰、醒目,色泽与漆膜厚薄均匀；划漆线条流畅，线性规则。(b)交通标线材料应具有良好的耐磨性、防滑性和辨认性，并按照规范采用符合要求的涂料。(c)交通标线施工前要清洗地面，除净灰尘和泥土，然后按设计要求放样漆划。标线或底漆施划后，应放置锥形交通路标，待标线干燥后才能撤走。(d)交通标线施工禁止在雨天和潮湿冰冻的路面上进行。热熔型涂料施工时气温不低于10℃。(e)标线涂层厚度为1.8mm；突起型标线涂层突起部分的高度为3~7mm，基线的厚度为1.8mm。(f)撒布在标线涂层上的玻璃珠应分布均匀，其撒布量为0.3kg/ m</w:t>
      </w:r>
      <w:r>
        <w:rPr>
          <w:rFonts w:hint="eastAsia" w:ascii="宋体" w:hAnsi="宋体" w:cs="宋体"/>
          <w:color w:val="auto"/>
          <w:kern w:val="0"/>
          <w:sz w:val="24"/>
          <w:highlight w:val="none"/>
          <w:vertAlign w:val="superscript"/>
        </w:rPr>
        <w:t>2</w:t>
      </w:r>
      <w:r>
        <w:rPr>
          <w:rFonts w:hint="eastAsia" w:ascii="宋体" w:hAnsi="宋体" w:cs="宋体"/>
          <w:color w:val="auto"/>
          <w:kern w:val="0"/>
          <w:sz w:val="24"/>
          <w:highlight w:val="none"/>
        </w:rPr>
        <w:t>~0.4g/ m</w:t>
      </w:r>
      <w:r>
        <w:rPr>
          <w:rFonts w:hint="eastAsia" w:ascii="宋体" w:hAnsi="宋体" w:cs="宋体"/>
          <w:color w:val="auto"/>
          <w:kern w:val="0"/>
          <w:sz w:val="24"/>
          <w:highlight w:val="none"/>
          <w:vertAlign w:val="superscript"/>
        </w:rPr>
        <w:t>2</w:t>
      </w:r>
      <w:r>
        <w:rPr>
          <w:rFonts w:hint="eastAsia" w:ascii="宋体" w:hAnsi="宋体" w:cs="宋体"/>
          <w:color w:val="auto"/>
          <w:kern w:val="0"/>
          <w:sz w:val="24"/>
          <w:highlight w:val="none"/>
        </w:rPr>
        <w:t>。（g）标线施工前要和业主方一起踏看施工范围，制作施工计划，并每周向业主方反馈施工进度。</w:t>
      </w:r>
    </w:p>
    <w:p>
      <w:pPr>
        <w:spacing w:line="360" w:lineRule="auto"/>
        <w:rPr>
          <w:rFonts w:ascii="宋体" w:hAnsi="宋体" w:cs="宋体"/>
          <w:b/>
          <w:color w:val="auto"/>
          <w:sz w:val="24"/>
          <w:highlight w:val="none"/>
        </w:rPr>
      </w:pPr>
      <w:r>
        <w:rPr>
          <w:rFonts w:hint="eastAsia" w:ascii="宋体" w:hAnsi="宋体" w:cs="宋体"/>
          <w:bCs/>
          <w:color w:val="auto"/>
          <w:sz w:val="24"/>
          <w:highlight w:val="none"/>
        </w:rPr>
        <w:t>（4）设备的质量标准、检测标准、测试手段、安装标准</w:t>
      </w:r>
    </w:p>
    <w:p>
      <w:pPr>
        <w:spacing w:line="360" w:lineRule="auto"/>
        <w:rPr>
          <w:rFonts w:ascii="宋体" w:hAnsi="宋体" w:cs="宋体"/>
          <w:color w:val="auto"/>
          <w:sz w:val="24"/>
          <w:highlight w:val="none"/>
        </w:rPr>
      </w:pPr>
      <w:r>
        <w:rPr>
          <w:rFonts w:hint="eastAsia" w:ascii="宋体" w:hAnsi="宋体" w:cs="宋体"/>
          <w:color w:val="auto"/>
          <w:sz w:val="24"/>
          <w:highlight w:val="none"/>
        </w:rPr>
        <w:t>●JTGF80/1-2004《公路工程质量检验评定标准》</w:t>
      </w:r>
    </w:p>
    <w:p>
      <w:pPr>
        <w:spacing w:line="360" w:lineRule="auto"/>
        <w:rPr>
          <w:rFonts w:ascii="宋体" w:hAnsi="宋体" w:cs="宋体"/>
          <w:color w:val="auto"/>
          <w:sz w:val="24"/>
          <w:highlight w:val="none"/>
        </w:rPr>
      </w:pPr>
      <w:r>
        <w:rPr>
          <w:rFonts w:hint="eastAsia" w:ascii="宋体" w:hAnsi="宋体" w:cs="宋体"/>
          <w:color w:val="auto"/>
          <w:sz w:val="24"/>
          <w:highlight w:val="none"/>
        </w:rPr>
        <w:t>●GA/T652-2016《公安交通管理外场设备基础施工通用要求》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●GB/T16311-2005《道路交通标线质量要求和检测方法》等相关规范</w:t>
      </w:r>
    </w:p>
    <w:p>
      <w:pPr>
        <w:tabs>
          <w:tab w:val="left" w:pos="3589"/>
        </w:tabs>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验收时中标人应提供每个路口、路段标线的工作量清单，标线路口的工作量清单要描述各个方向的工作量。（道路交通标线的箭头、文字或字母、图形、区域等特殊路面标线按区域面积（以设计特殊标线前、后、左、右四侧的最外缘涂敷点或线连接成的顺中心线方向矩形面积）计算数量，其他路面标线按涂敷实际面积计算数量；路面标线玻璃珠包含在涂敷面积内，不单独计量。）</w:t>
      </w:r>
    </w:p>
    <w:p>
      <w:pPr>
        <w:tabs>
          <w:tab w:val="left" w:pos="3589"/>
        </w:tabs>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评标委员会现场对样品进行测量打分。中标人的样品由双方确认交由采购人进行封存保管，作为检验施工方施工质量、效果的标准之一，在本项目验收合格后退还。样品不能体现或影射任何与投标人有关的信息，否则按无效标处理。</w:t>
      </w:r>
    </w:p>
    <w:p>
      <w:pPr>
        <w:pStyle w:val="8"/>
        <w:numPr>
          <w:ilvl w:val="0"/>
          <w:numId w:val="7"/>
        </w:numP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中标单位职责、权限</w:t>
      </w:r>
    </w:p>
    <w:p>
      <w:pPr>
        <w:pStyle w:val="8"/>
        <w:spacing w:line="360" w:lineRule="auto"/>
        <w:ind w:firstLine="0"/>
        <w:rPr>
          <w:rFonts w:ascii="宋体" w:hAnsi="宋体" w:cs="宋体"/>
          <w:color w:val="auto"/>
          <w:sz w:val="24"/>
          <w:szCs w:val="24"/>
          <w:highlight w:val="none"/>
        </w:rPr>
      </w:pPr>
      <w:r>
        <w:rPr>
          <w:rFonts w:hint="eastAsia" w:ascii="宋体" w:hAnsi="宋体" w:cs="宋体"/>
          <w:color w:val="auto"/>
          <w:sz w:val="24"/>
          <w:szCs w:val="24"/>
          <w:highlight w:val="none"/>
        </w:rPr>
        <w:t xml:space="preserve">(1)按有关技术规范进行施工，确保项目质量。 </w:t>
      </w:r>
    </w:p>
    <w:p>
      <w:pPr>
        <w:pStyle w:val="8"/>
        <w:spacing w:line="360" w:lineRule="auto"/>
        <w:ind w:firstLine="0"/>
        <w:rPr>
          <w:rFonts w:ascii="宋体" w:hAnsi="宋体" w:cs="宋体"/>
          <w:color w:val="auto"/>
          <w:sz w:val="24"/>
          <w:szCs w:val="24"/>
          <w:highlight w:val="none"/>
        </w:rPr>
      </w:pPr>
      <w:r>
        <w:rPr>
          <w:rFonts w:hint="eastAsia" w:ascii="宋体" w:hAnsi="宋体" w:cs="宋体"/>
          <w:color w:val="auto"/>
          <w:sz w:val="24"/>
          <w:szCs w:val="24"/>
          <w:highlight w:val="none"/>
        </w:rPr>
        <w:t xml:space="preserve">(2)服从采购人、监理工作的进程安排，及时进场并保证工期。 </w:t>
      </w:r>
    </w:p>
    <w:p>
      <w:pPr>
        <w:pStyle w:val="8"/>
        <w:spacing w:line="360" w:lineRule="auto"/>
        <w:ind w:firstLine="0"/>
        <w:rPr>
          <w:rFonts w:ascii="宋体" w:hAnsi="宋体" w:cs="宋体"/>
          <w:color w:val="auto"/>
          <w:sz w:val="24"/>
          <w:szCs w:val="24"/>
          <w:highlight w:val="none"/>
        </w:rPr>
      </w:pPr>
      <w:r>
        <w:rPr>
          <w:rFonts w:hint="eastAsia" w:ascii="宋体" w:hAnsi="宋体" w:cs="宋体"/>
          <w:color w:val="auto"/>
          <w:sz w:val="24"/>
          <w:szCs w:val="24"/>
          <w:highlight w:val="none"/>
        </w:rPr>
        <w:t xml:space="preserve">(3)接到采购人更改通知时，按更改要求进行工程项目更改，并向监理报备。 </w:t>
      </w:r>
    </w:p>
    <w:p>
      <w:pPr>
        <w:pStyle w:val="8"/>
        <w:spacing w:line="360" w:lineRule="auto"/>
        <w:ind w:firstLine="0"/>
        <w:rPr>
          <w:rFonts w:ascii="宋体" w:hAnsi="宋体" w:cs="宋体"/>
          <w:color w:val="auto"/>
          <w:sz w:val="24"/>
          <w:szCs w:val="24"/>
          <w:highlight w:val="none"/>
        </w:rPr>
      </w:pPr>
      <w:r>
        <w:rPr>
          <w:rFonts w:hint="eastAsia" w:ascii="宋体" w:hAnsi="宋体" w:cs="宋体"/>
          <w:color w:val="auto"/>
          <w:sz w:val="24"/>
          <w:szCs w:val="24"/>
          <w:highlight w:val="none"/>
        </w:rPr>
        <w:t xml:space="preserve">(4)应严格按本次招投标的规定要求履行并承担自己的职责。 </w:t>
      </w:r>
    </w:p>
    <w:p>
      <w:pPr>
        <w:pStyle w:val="8"/>
        <w:spacing w:line="360" w:lineRule="auto"/>
        <w:ind w:firstLine="0"/>
        <w:rPr>
          <w:rFonts w:ascii="宋体" w:hAnsi="宋体" w:cs="宋体"/>
          <w:color w:val="auto"/>
          <w:sz w:val="24"/>
          <w:szCs w:val="24"/>
          <w:highlight w:val="none"/>
        </w:rPr>
      </w:pPr>
      <w:r>
        <w:rPr>
          <w:rFonts w:hint="eastAsia" w:ascii="宋体" w:hAnsi="宋体" w:cs="宋体"/>
          <w:color w:val="auto"/>
          <w:sz w:val="24"/>
          <w:szCs w:val="24"/>
          <w:highlight w:val="none"/>
        </w:rPr>
        <w:t xml:space="preserve">(5)按图纸要求、合同条款、技术规范等要求，承担项目的维修、维护等工作。 </w:t>
      </w:r>
    </w:p>
    <w:p>
      <w:pPr>
        <w:pStyle w:val="8"/>
        <w:spacing w:line="360" w:lineRule="auto"/>
        <w:ind w:firstLine="0"/>
        <w:rPr>
          <w:rFonts w:ascii="宋体" w:hAnsi="宋体" w:cs="宋体"/>
          <w:color w:val="auto"/>
          <w:sz w:val="24"/>
          <w:szCs w:val="24"/>
          <w:highlight w:val="none"/>
        </w:rPr>
      </w:pPr>
      <w:r>
        <w:rPr>
          <w:rFonts w:hint="eastAsia" w:ascii="宋体" w:hAnsi="宋体" w:cs="宋体"/>
          <w:color w:val="auto"/>
          <w:sz w:val="24"/>
          <w:szCs w:val="24"/>
          <w:highlight w:val="none"/>
        </w:rPr>
        <w:t xml:space="preserve">(6)所使用的主要原材料均需要提供检测报告或质量保证单。 </w:t>
      </w:r>
    </w:p>
    <w:p>
      <w:pPr>
        <w:pStyle w:val="8"/>
        <w:spacing w:line="360" w:lineRule="auto"/>
        <w:ind w:firstLine="0"/>
        <w:rPr>
          <w:rFonts w:ascii="宋体" w:hAnsi="宋体" w:cs="宋体"/>
          <w:color w:val="auto"/>
          <w:sz w:val="24"/>
          <w:szCs w:val="24"/>
          <w:highlight w:val="none"/>
        </w:rPr>
      </w:pPr>
      <w:r>
        <w:rPr>
          <w:rFonts w:hint="eastAsia" w:ascii="宋体" w:hAnsi="宋体" w:cs="宋体"/>
          <w:color w:val="auto"/>
          <w:sz w:val="24"/>
          <w:szCs w:val="24"/>
          <w:highlight w:val="none"/>
        </w:rPr>
        <w:t xml:space="preserve">(7)接受采购人的各项工作业务指导。 </w:t>
      </w:r>
    </w:p>
    <w:p>
      <w:pPr>
        <w:pStyle w:val="8"/>
        <w:spacing w:line="360" w:lineRule="auto"/>
        <w:ind w:firstLine="0"/>
        <w:rPr>
          <w:rFonts w:ascii="宋体" w:hAnsi="宋体" w:cs="宋体"/>
          <w:color w:val="auto"/>
          <w:sz w:val="24"/>
          <w:szCs w:val="24"/>
          <w:highlight w:val="none"/>
        </w:rPr>
      </w:pPr>
      <w:r>
        <w:rPr>
          <w:rFonts w:hint="eastAsia" w:ascii="宋体" w:hAnsi="宋体" w:cs="宋体"/>
          <w:color w:val="auto"/>
          <w:sz w:val="24"/>
          <w:szCs w:val="24"/>
          <w:highlight w:val="none"/>
        </w:rPr>
        <w:t xml:space="preserve">(8)负责施工场地的安全文明生产。 </w:t>
      </w:r>
    </w:p>
    <w:p>
      <w:pPr>
        <w:pStyle w:val="8"/>
        <w:spacing w:line="360" w:lineRule="auto"/>
        <w:ind w:firstLine="0"/>
        <w:rPr>
          <w:rFonts w:ascii="宋体" w:hAnsi="宋体" w:cs="宋体"/>
          <w:color w:val="auto"/>
          <w:sz w:val="24"/>
          <w:szCs w:val="24"/>
          <w:highlight w:val="none"/>
        </w:rPr>
      </w:pPr>
      <w:r>
        <w:rPr>
          <w:rFonts w:hint="eastAsia" w:ascii="宋体" w:hAnsi="宋体" w:cs="宋体"/>
          <w:color w:val="auto"/>
          <w:sz w:val="24"/>
          <w:szCs w:val="24"/>
          <w:highlight w:val="none"/>
        </w:rPr>
        <w:t xml:space="preserve">(9)建立项目施工的质量保证体系。 </w:t>
      </w:r>
    </w:p>
    <w:p>
      <w:pPr>
        <w:pStyle w:val="8"/>
        <w:spacing w:line="360" w:lineRule="auto"/>
        <w:ind w:firstLine="0"/>
        <w:rPr>
          <w:rFonts w:ascii="宋体" w:hAnsi="宋体" w:cs="宋体"/>
          <w:color w:val="auto"/>
          <w:sz w:val="24"/>
          <w:szCs w:val="24"/>
          <w:highlight w:val="none"/>
        </w:rPr>
      </w:pPr>
      <w:r>
        <w:rPr>
          <w:rFonts w:hint="eastAsia" w:ascii="宋体" w:hAnsi="宋体" w:cs="宋体"/>
          <w:color w:val="auto"/>
          <w:sz w:val="24"/>
          <w:szCs w:val="24"/>
          <w:highlight w:val="none"/>
        </w:rPr>
        <w:t xml:space="preserve">(10)负责交通安全设施施工场地、车辆、机械设备、原材料等的施工保障。 </w:t>
      </w:r>
    </w:p>
    <w:p>
      <w:pPr>
        <w:pStyle w:val="8"/>
        <w:spacing w:line="360" w:lineRule="auto"/>
        <w:ind w:firstLine="0"/>
        <w:rPr>
          <w:rFonts w:ascii="宋体" w:hAnsi="宋体" w:cs="宋体"/>
          <w:color w:val="auto"/>
          <w:sz w:val="24"/>
          <w:szCs w:val="24"/>
          <w:highlight w:val="none"/>
        </w:rPr>
      </w:pPr>
      <w:r>
        <w:rPr>
          <w:rFonts w:hint="eastAsia" w:ascii="宋体" w:hAnsi="宋体" w:cs="宋体"/>
          <w:color w:val="auto"/>
          <w:sz w:val="24"/>
          <w:szCs w:val="24"/>
          <w:highlight w:val="none"/>
        </w:rPr>
        <w:t xml:space="preserve">(11)接受交通警察局、监理对文明施工、安全施工、质量、施工时效等的监管。 </w:t>
      </w:r>
    </w:p>
    <w:p>
      <w:pPr>
        <w:pStyle w:val="8"/>
        <w:spacing w:line="360" w:lineRule="auto"/>
        <w:ind w:firstLine="0"/>
        <w:rPr>
          <w:rFonts w:ascii="宋体" w:hAnsi="宋体" w:cs="宋体"/>
          <w:color w:val="auto"/>
          <w:sz w:val="24"/>
          <w:szCs w:val="24"/>
          <w:highlight w:val="none"/>
        </w:rPr>
      </w:pPr>
      <w:r>
        <w:rPr>
          <w:rFonts w:hint="eastAsia" w:ascii="宋体" w:hAnsi="宋体" w:cs="宋体"/>
          <w:color w:val="auto"/>
          <w:sz w:val="24"/>
          <w:szCs w:val="24"/>
          <w:highlight w:val="none"/>
        </w:rPr>
        <w:t xml:space="preserve">(12)及时反馈联系单。 </w:t>
      </w:r>
    </w:p>
    <w:p>
      <w:pPr>
        <w:pStyle w:val="8"/>
        <w:spacing w:line="360" w:lineRule="auto"/>
        <w:ind w:firstLine="0"/>
        <w:rPr>
          <w:rFonts w:ascii="宋体" w:hAnsi="宋体" w:cs="宋体"/>
          <w:color w:val="auto"/>
          <w:sz w:val="24"/>
          <w:szCs w:val="24"/>
          <w:highlight w:val="none"/>
        </w:rPr>
      </w:pPr>
      <w:r>
        <w:rPr>
          <w:rFonts w:hint="eastAsia" w:ascii="宋体" w:hAnsi="宋体" w:cs="宋体"/>
          <w:color w:val="auto"/>
          <w:sz w:val="24"/>
          <w:szCs w:val="24"/>
          <w:highlight w:val="none"/>
        </w:rPr>
        <w:t xml:space="preserve">(13)中标人提供正常施工必须的所有人工（包括工种）、机械设备（包括车辆）、主要原材料等； </w:t>
      </w:r>
    </w:p>
    <w:p>
      <w:pPr>
        <w:pStyle w:val="8"/>
        <w:spacing w:line="360" w:lineRule="auto"/>
        <w:ind w:firstLine="0"/>
        <w:rPr>
          <w:rFonts w:ascii="宋体" w:hAnsi="宋体" w:cs="宋体"/>
          <w:color w:val="auto"/>
          <w:kern w:val="0"/>
          <w:sz w:val="24"/>
          <w:szCs w:val="24"/>
          <w:highlight w:val="none"/>
        </w:rPr>
      </w:pPr>
      <w:r>
        <w:rPr>
          <w:rFonts w:hint="eastAsia" w:ascii="宋体" w:hAnsi="宋体" w:cs="宋体"/>
          <w:color w:val="auto"/>
          <w:sz w:val="24"/>
          <w:szCs w:val="24"/>
          <w:highlight w:val="none"/>
        </w:rPr>
        <w:t>(</w:t>
      </w:r>
      <w:r>
        <w:rPr>
          <w:rFonts w:hint="eastAsia" w:ascii="宋体" w:hAnsi="宋体" w:cs="宋体"/>
          <w:color w:val="auto"/>
          <w:kern w:val="0"/>
          <w:sz w:val="24"/>
          <w:szCs w:val="24"/>
          <w:highlight w:val="none"/>
        </w:rPr>
        <w:t>14</w:t>
      </w:r>
      <w:r>
        <w:rPr>
          <w:rFonts w:hint="eastAsia" w:ascii="宋体" w:hAnsi="宋体" w:cs="宋体"/>
          <w:color w:val="auto"/>
          <w:sz w:val="24"/>
          <w:szCs w:val="24"/>
          <w:highlight w:val="none"/>
        </w:rPr>
        <w:t>)</w:t>
      </w:r>
      <w:r>
        <w:rPr>
          <w:rFonts w:hint="eastAsia" w:ascii="宋体" w:hAnsi="宋体" w:cs="宋体"/>
          <w:color w:val="auto"/>
          <w:kern w:val="0"/>
          <w:sz w:val="24"/>
          <w:szCs w:val="24"/>
          <w:highlight w:val="none"/>
        </w:rPr>
        <w:t xml:space="preserve">监理在巡查过程中发现中标单位在施工中不按国家有关标准设置，经采购人确认后，施工单位无条件返工，并承担因返工额外产生的费用； </w:t>
      </w:r>
    </w:p>
    <w:p>
      <w:pPr>
        <w:pStyle w:val="8"/>
        <w:spacing w:line="360" w:lineRule="auto"/>
        <w:ind w:firstLine="0"/>
        <w:rPr>
          <w:rFonts w:ascii="宋体" w:hAnsi="宋体" w:cs="宋体"/>
          <w:color w:val="auto"/>
          <w:kern w:val="0"/>
          <w:sz w:val="24"/>
          <w:szCs w:val="24"/>
          <w:highlight w:val="none"/>
        </w:rPr>
      </w:pPr>
      <w:r>
        <w:rPr>
          <w:rFonts w:hint="eastAsia" w:ascii="宋体" w:hAnsi="宋体" w:cs="宋体"/>
          <w:color w:val="auto"/>
          <w:sz w:val="24"/>
          <w:szCs w:val="24"/>
          <w:highlight w:val="none"/>
        </w:rPr>
        <w:t>(</w:t>
      </w:r>
      <w:r>
        <w:rPr>
          <w:rFonts w:hint="eastAsia" w:ascii="宋体" w:hAnsi="宋体" w:cs="宋体"/>
          <w:color w:val="auto"/>
          <w:kern w:val="0"/>
          <w:sz w:val="24"/>
          <w:szCs w:val="24"/>
          <w:highlight w:val="none"/>
        </w:rPr>
        <w:t>15</w:t>
      </w:r>
      <w:r>
        <w:rPr>
          <w:rFonts w:hint="eastAsia" w:ascii="宋体" w:hAnsi="宋体" w:cs="宋体"/>
          <w:color w:val="auto"/>
          <w:sz w:val="24"/>
          <w:szCs w:val="24"/>
          <w:highlight w:val="none"/>
        </w:rPr>
        <w:t>)</w:t>
      </w:r>
      <w:r>
        <w:rPr>
          <w:rFonts w:hint="eastAsia" w:ascii="宋体" w:hAnsi="宋体" w:cs="宋体"/>
          <w:color w:val="auto"/>
          <w:kern w:val="0"/>
          <w:sz w:val="24"/>
          <w:szCs w:val="24"/>
          <w:highlight w:val="none"/>
        </w:rPr>
        <w:t xml:space="preserve">施工结束后中标人提供完工清单，监理及采购人按规定验收； </w:t>
      </w:r>
    </w:p>
    <w:p>
      <w:pPr>
        <w:pStyle w:val="8"/>
        <w:spacing w:line="360" w:lineRule="auto"/>
        <w:ind w:firstLine="0"/>
        <w:rPr>
          <w:rFonts w:ascii="宋体" w:hAnsi="宋体" w:cs="宋体"/>
          <w:color w:val="auto"/>
          <w:kern w:val="0"/>
          <w:sz w:val="24"/>
          <w:szCs w:val="24"/>
          <w:highlight w:val="none"/>
        </w:rPr>
      </w:pPr>
      <w:r>
        <w:rPr>
          <w:rFonts w:hint="eastAsia" w:ascii="宋体" w:hAnsi="宋体" w:cs="宋体"/>
          <w:color w:val="auto"/>
          <w:sz w:val="24"/>
          <w:szCs w:val="24"/>
          <w:highlight w:val="none"/>
        </w:rPr>
        <w:t>(</w:t>
      </w:r>
      <w:r>
        <w:rPr>
          <w:rFonts w:hint="eastAsia" w:ascii="宋体" w:hAnsi="宋体" w:cs="宋体"/>
          <w:color w:val="auto"/>
          <w:kern w:val="0"/>
          <w:sz w:val="24"/>
          <w:szCs w:val="24"/>
          <w:highlight w:val="none"/>
        </w:rPr>
        <w:t>16</w:t>
      </w:r>
      <w:r>
        <w:rPr>
          <w:rFonts w:hint="eastAsia" w:ascii="宋体" w:hAnsi="宋体" w:cs="宋体"/>
          <w:color w:val="auto"/>
          <w:sz w:val="24"/>
          <w:szCs w:val="24"/>
          <w:highlight w:val="none"/>
        </w:rPr>
        <w:t>)</w:t>
      </w:r>
      <w:r>
        <w:rPr>
          <w:rFonts w:hint="eastAsia" w:ascii="宋体" w:hAnsi="宋体" w:cs="宋体"/>
          <w:color w:val="auto"/>
          <w:kern w:val="0"/>
          <w:sz w:val="24"/>
          <w:szCs w:val="24"/>
          <w:highlight w:val="none"/>
        </w:rPr>
        <w:t xml:space="preserve">中标单位有下列行为之一的，采购人有权终止合同。 </w:t>
      </w:r>
    </w:p>
    <w:p>
      <w:pPr>
        <w:pStyle w:val="8"/>
        <w:spacing w:line="360" w:lineRule="auto"/>
        <w:ind w:firstLine="0"/>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A、不符合工程技术标准的； </w:t>
      </w:r>
    </w:p>
    <w:p>
      <w:pPr>
        <w:pStyle w:val="8"/>
        <w:spacing w:line="360" w:lineRule="auto"/>
        <w:ind w:firstLine="0"/>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B、偷工减料的； </w:t>
      </w:r>
    </w:p>
    <w:p>
      <w:pPr>
        <w:pStyle w:val="8"/>
        <w:spacing w:line="360" w:lineRule="auto"/>
        <w:ind w:firstLine="0"/>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C、不按图施工的； </w:t>
      </w:r>
    </w:p>
    <w:p>
      <w:pPr>
        <w:pStyle w:val="8"/>
        <w:spacing w:line="360" w:lineRule="auto"/>
        <w:ind w:firstLine="0"/>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D、造成重特大责任事故的； </w:t>
      </w:r>
    </w:p>
    <w:p>
      <w:pPr>
        <w:pStyle w:val="8"/>
        <w:spacing w:line="360" w:lineRule="auto"/>
        <w:ind w:firstLine="0"/>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E、不文明安全施工的； </w:t>
      </w:r>
    </w:p>
    <w:p>
      <w:pPr>
        <w:pStyle w:val="8"/>
        <w:spacing w:line="360" w:lineRule="auto"/>
        <w:ind w:firstLine="0"/>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F、不服从现场民警指挥的； </w:t>
      </w:r>
    </w:p>
    <w:p>
      <w:pPr>
        <w:pStyle w:val="8"/>
        <w:spacing w:line="360" w:lineRule="auto"/>
        <w:ind w:firstLine="0"/>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G、擅自增设或变更交通安全设施的； </w:t>
      </w:r>
    </w:p>
    <w:p>
      <w:pPr>
        <w:pStyle w:val="8"/>
        <w:spacing w:line="360" w:lineRule="auto"/>
        <w:ind w:firstLine="0"/>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H、全部或部分工程违法转包； </w:t>
      </w:r>
    </w:p>
    <w:p>
      <w:pPr>
        <w:pStyle w:val="8"/>
        <w:spacing w:line="360" w:lineRule="auto"/>
        <w:ind w:firstLine="0"/>
        <w:rPr>
          <w:rFonts w:ascii="宋体" w:hAnsi="宋体" w:cs="宋体"/>
          <w:color w:val="auto"/>
          <w:kern w:val="0"/>
          <w:sz w:val="24"/>
          <w:szCs w:val="24"/>
          <w:highlight w:val="none"/>
        </w:rPr>
      </w:pPr>
      <w:r>
        <w:rPr>
          <w:rFonts w:hint="eastAsia" w:ascii="宋体" w:hAnsi="宋体" w:cs="宋体"/>
          <w:color w:val="auto"/>
          <w:kern w:val="0"/>
          <w:sz w:val="24"/>
          <w:szCs w:val="24"/>
          <w:highlight w:val="none"/>
        </w:rPr>
        <w:t>I、多次未按合同履行维护维修工作的；</w:t>
      </w:r>
    </w:p>
    <w:p>
      <w:pPr>
        <w:pStyle w:val="8"/>
        <w:spacing w:line="360" w:lineRule="auto"/>
        <w:ind w:firstLine="0"/>
        <w:rPr>
          <w:rFonts w:ascii="宋体" w:hAnsi="宋体" w:cs="宋体"/>
          <w:color w:val="auto"/>
          <w:kern w:val="0"/>
          <w:sz w:val="24"/>
          <w:szCs w:val="24"/>
          <w:highlight w:val="none"/>
        </w:rPr>
      </w:pPr>
      <w:r>
        <w:rPr>
          <w:rFonts w:hint="eastAsia" w:ascii="宋体" w:hAnsi="宋体" w:cs="宋体"/>
          <w:color w:val="auto"/>
          <w:sz w:val="24"/>
          <w:szCs w:val="24"/>
          <w:highlight w:val="none"/>
        </w:rPr>
        <w:t>(</w:t>
      </w:r>
      <w:r>
        <w:rPr>
          <w:rFonts w:hint="eastAsia" w:ascii="宋体" w:hAnsi="宋体" w:cs="宋体"/>
          <w:color w:val="auto"/>
          <w:kern w:val="0"/>
          <w:sz w:val="24"/>
          <w:szCs w:val="24"/>
          <w:highlight w:val="none"/>
        </w:rPr>
        <w:t>18</w:t>
      </w:r>
      <w:r>
        <w:rPr>
          <w:rFonts w:hint="eastAsia" w:ascii="宋体" w:hAnsi="宋体" w:cs="宋体"/>
          <w:color w:val="auto"/>
          <w:sz w:val="24"/>
          <w:szCs w:val="24"/>
          <w:highlight w:val="none"/>
        </w:rPr>
        <w:t>)</w:t>
      </w:r>
      <w:r>
        <w:rPr>
          <w:rFonts w:hint="eastAsia" w:ascii="宋体" w:hAnsi="宋体" w:cs="宋体"/>
          <w:color w:val="auto"/>
          <w:kern w:val="0"/>
          <w:sz w:val="24"/>
          <w:szCs w:val="24"/>
          <w:highlight w:val="none"/>
        </w:rPr>
        <w:t xml:space="preserve">中标人在开展施工前应先制定完善的施工方案，自行办理道路挖掘手续的审批手续，并承担相关费用，尽可能减小因施工对道路通行带来的影响，施工时服从现场交警的管理及指挥； </w:t>
      </w:r>
    </w:p>
    <w:p>
      <w:pPr>
        <w:pStyle w:val="8"/>
        <w:spacing w:line="360" w:lineRule="auto"/>
        <w:ind w:firstLine="0"/>
        <w:rPr>
          <w:rFonts w:ascii="宋体" w:hAnsi="宋体" w:cs="宋体"/>
          <w:color w:val="auto"/>
          <w:kern w:val="0"/>
          <w:sz w:val="24"/>
          <w:szCs w:val="24"/>
          <w:highlight w:val="none"/>
        </w:rPr>
      </w:pPr>
      <w:r>
        <w:rPr>
          <w:rFonts w:hint="eastAsia" w:ascii="宋体" w:hAnsi="宋体" w:cs="宋体"/>
          <w:color w:val="auto"/>
          <w:sz w:val="24"/>
          <w:szCs w:val="24"/>
          <w:highlight w:val="none"/>
        </w:rPr>
        <w:t>(</w:t>
      </w:r>
      <w:r>
        <w:rPr>
          <w:rFonts w:hint="eastAsia" w:ascii="宋体" w:hAnsi="宋体" w:cs="宋体"/>
          <w:color w:val="auto"/>
          <w:kern w:val="0"/>
          <w:sz w:val="24"/>
          <w:szCs w:val="24"/>
          <w:highlight w:val="none"/>
        </w:rPr>
        <w:t>19</w:t>
      </w:r>
      <w:r>
        <w:rPr>
          <w:rFonts w:hint="eastAsia" w:ascii="宋体" w:hAnsi="宋体" w:cs="宋体"/>
          <w:color w:val="auto"/>
          <w:sz w:val="24"/>
          <w:szCs w:val="24"/>
          <w:highlight w:val="none"/>
        </w:rPr>
        <w:t>)</w:t>
      </w:r>
      <w:r>
        <w:rPr>
          <w:rFonts w:hint="eastAsia" w:ascii="宋体" w:hAnsi="宋体" w:cs="宋体"/>
          <w:color w:val="auto"/>
          <w:kern w:val="0"/>
          <w:sz w:val="24"/>
          <w:szCs w:val="24"/>
          <w:highlight w:val="none"/>
        </w:rPr>
        <w:t>中标人在台州市区内需有专门的工作场地、工作人员、车辆、设备。</w:t>
      </w:r>
    </w:p>
    <w:p>
      <w:pPr>
        <w:pStyle w:val="24"/>
        <w:numPr>
          <w:ilvl w:val="0"/>
          <w:numId w:val="6"/>
        </w:numPr>
        <w:spacing w:line="360" w:lineRule="auto"/>
        <w:ind w:firstLineChars="0"/>
        <w:rPr>
          <w:rFonts w:asciiTheme="majorEastAsia" w:hAnsiTheme="majorEastAsia" w:eastAsiaTheme="majorEastAsia" w:cstheme="minorBidi"/>
          <w:b/>
          <w:bCs/>
          <w:color w:val="auto"/>
          <w:kern w:val="0"/>
          <w:sz w:val="30"/>
          <w:szCs w:val="30"/>
          <w:highlight w:val="none"/>
        </w:rPr>
      </w:pPr>
      <w:r>
        <w:rPr>
          <w:rFonts w:hint="eastAsia" w:asciiTheme="majorEastAsia" w:hAnsiTheme="majorEastAsia" w:eastAsiaTheme="majorEastAsia" w:cstheme="minorBidi"/>
          <w:b/>
          <w:bCs/>
          <w:color w:val="auto"/>
          <w:kern w:val="0"/>
          <w:sz w:val="30"/>
          <w:szCs w:val="30"/>
          <w:highlight w:val="none"/>
        </w:rPr>
        <w:t>商务需求</w:t>
      </w:r>
    </w:p>
    <w:p>
      <w:pPr>
        <w:tabs>
          <w:tab w:val="left" w:pos="0"/>
        </w:tabs>
        <w:spacing w:line="360" w:lineRule="auto"/>
        <w:rPr>
          <w:rFonts w:ascii="宋体" w:hAnsi="宋体" w:cs="宋体"/>
          <w:color w:val="auto"/>
          <w:sz w:val="24"/>
          <w:highlight w:val="none"/>
        </w:rPr>
      </w:pPr>
      <w:r>
        <w:rPr>
          <w:rFonts w:hint="eastAsia" w:ascii="宋体" w:hAnsi="宋体" w:cs="宋体"/>
          <w:b/>
          <w:bCs/>
          <w:color w:val="auto"/>
          <w:sz w:val="24"/>
          <w:highlight w:val="none"/>
        </w:rPr>
        <w:t>1、质保期</w:t>
      </w:r>
      <w:r>
        <w:rPr>
          <w:rFonts w:hint="eastAsia" w:ascii="宋体" w:hAnsi="宋体" w:cs="宋体"/>
          <w:color w:val="auto"/>
          <w:sz w:val="24"/>
          <w:highlight w:val="none"/>
        </w:rPr>
        <w:t>：质保期自</w:t>
      </w:r>
      <w:r>
        <w:rPr>
          <w:rFonts w:asciiTheme="minorEastAsia" w:hAnsiTheme="minorEastAsia" w:eastAsiaTheme="minorEastAsia"/>
          <w:color w:val="auto"/>
          <w:sz w:val="24"/>
          <w:highlight w:val="none"/>
        </w:rPr>
        <w:t>交</w:t>
      </w:r>
      <w:r>
        <w:rPr>
          <w:rFonts w:hint="eastAsia" w:asciiTheme="minorEastAsia" w:hAnsiTheme="minorEastAsia" w:eastAsiaTheme="minorEastAsia"/>
          <w:color w:val="auto"/>
          <w:sz w:val="24"/>
          <w:highlight w:val="none"/>
        </w:rPr>
        <w:t>付</w:t>
      </w:r>
      <w:r>
        <w:rPr>
          <w:rFonts w:asciiTheme="minorEastAsia" w:hAnsiTheme="minorEastAsia" w:eastAsiaTheme="minorEastAsia"/>
          <w:color w:val="auto"/>
          <w:sz w:val="24"/>
          <w:highlight w:val="none"/>
        </w:rPr>
        <w:t>验收合格之日起</w:t>
      </w:r>
      <w:r>
        <w:rPr>
          <w:rFonts w:hint="eastAsia" w:asciiTheme="minorEastAsia" w:hAnsiTheme="minorEastAsia" w:eastAsiaTheme="minorEastAsia"/>
          <w:color w:val="auto"/>
          <w:sz w:val="24"/>
          <w:highlight w:val="none"/>
        </w:rPr>
        <w:t>，</w:t>
      </w:r>
      <w:r>
        <w:rPr>
          <w:rFonts w:hint="eastAsia" w:ascii="宋体" w:hAnsi="宋体" w:cs="宋体"/>
          <w:color w:val="auto"/>
          <w:sz w:val="24"/>
          <w:highlight w:val="none"/>
        </w:rPr>
        <w:t>主次干道标线不少于1年，支路标线不少于2年（技术需求中有列明质保期的按照技术需求中的要求）</w:t>
      </w:r>
    </w:p>
    <w:p>
      <w:pPr>
        <w:tabs>
          <w:tab w:val="left" w:pos="0"/>
        </w:tabs>
        <w:spacing w:line="360" w:lineRule="auto"/>
        <w:rPr>
          <w:rFonts w:ascii="宋体" w:hAnsi="宋体" w:cs="宋体"/>
          <w:color w:val="auto"/>
          <w:sz w:val="24"/>
          <w:highlight w:val="none"/>
        </w:rPr>
      </w:pPr>
      <w:r>
        <w:rPr>
          <w:rFonts w:hint="eastAsia" w:ascii="宋体" w:hAnsi="宋体" w:cs="宋体"/>
          <w:b/>
          <w:bCs/>
          <w:color w:val="auto"/>
          <w:sz w:val="24"/>
          <w:highlight w:val="none"/>
        </w:rPr>
        <w:t>2、交货期（交付期）：</w:t>
      </w:r>
      <w:r>
        <w:rPr>
          <w:rFonts w:hint="eastAsia" w:ascii="宋体" w:hAnsi="宋体" w:cs="宋体"/>
          <w:color w:val="auto"/>
          <w:sz w:val="24"/>
          <w:highlight w:val="none"/>
        </w:rPr>
        <w:t>合同签订后120天。</w:t>
      </w:r>
    </w:p>
    <w:p>
      <w:pPr>
        <w:pStyle w:val="3"/>
        <w:spacing w:line="360" w:lineRule="auto"/>
        <w:ind w:left="0" w:leftChars="0"/>
        <w:rPr>
          <w:rFonts w:ascii="宋体" w:hAnsi="宋体" w:cs="宋体"/>
          <w:color w:val="auto"/>
          <w:sz w:val="24"/>
          <w:highlight w:val="none"/>
        </w:rPr>
      </w:pPr>
      <w:r>
        <w:rPr>
          <w:rFonts w:hint="eastAsia" w:ascii="宋体" w:hAnsi="宋体" w:cs="宋体"/>
          <w:b/>
          <w:bCs/>
          <w:color w:val="auto"/>
          <w:sz w:val="24"/>
          <w:highlight w:val="none"/>
        </w:rPr>
        <w:t>3、履约保证金：</w:t>
      </w:r>
      <w:r>
        <w:rPr>
          <w:rFonts w:hint="eastAsia" w:ascii="宋体" w:hAnsi="宋体" w:cs="宋体"/>
          <w:color w:val="auto"/>
          <w:sz w:val="24"/>
          <w:highlight w:val="none"/>
        </w:rPr>
        <w:t>履约保证金为</w:t>
      </w:r>
      <w:r>
        <w:rPr>
          <w:rFonts w:hint="eastAsia" w:ascii="宋体" w:hAnsi="宋体" w:cs="宋体"/>
          <w:color w:val="auto"/>
          <w:sz w:val="24"/>
          <w:highlight w:val="none"/>
          <w:lang w:val="en-US" w:eastAsia="zh-CN"/>
        </w:rPr>
        <w:t>60000元</w:t>
      </w:r>
      <w:r>
        <w:rPr>
          <w:rFonts w:hint="eastAsia" w:ascii="宋体" w:hAnsi="宋体" w:cs="宋体"/>
          <w:color w:val="auto"/>
          <w:sz w:val="24"/>
          <w:highlight w:val="none"/>
        </w:rPr>
        <w:t>，签订合同后 3 个工作日内</w:t>
      </w:r>
      <w:r>
        <w:rPr>
          <w:rFonts w:hint="eastAsia" w:ascii="宋体" w:hAnsi="宋体" w:cs="宋体"/>
          <w:color w:val="auto"/>
          <w:sz w:val="24"/>
          <w:highlight w:val="none"/>
          <w:lang w:val="en-US" w:eastAsia="zh-CN"/>
        </w:rPr>
        <w:t>向</w:t>
      </w:r>
      <w:r>
        <w:rPr>
          <w:rFonts w:hint="eastAsia" w:ascii="宋体" w:hAnsi="宋体" w:cs="宋体"/>
          <w:color w:val="auto"/>
          <w:sz w:val="24"/>
          <w:highlight w:val="none"/>
        </w:rPr>
        <w:t>采购人提交（履约保证金可采用支票、汇票、保函、担保等形式），验收合格后无息退还。</w:t>
      </w:r>
    </w:p>
    <w:p>
      <w:pPr>
        <w:spacing w:line="360" w:lineRule="auto"/>
        <w:rPr>
          <w:rFonts w:hint="eastAsia" w:ascii="宋体" w:hAnsi="宋体" w:eastAsia="宋体" w:cs="宋体"/>
          <w:color w:val="auto"/>
          <w:sz w:val="24"/>
          <w:highlight w:val="none"/>
          <w:lang w:eastAsia="zh-CN"/>
        </w:rPr>
      </w:pPr>
      <w:r>
        <w:rPr>
          <w:rFonts w:hint="eastAsia" w:ascii="宋体" w:hAnsi="宋体" w:cs="宋体"/>
          <w:b/>
          <w:bCs/>
          <w:color w:val="auto"/>
          <w:sz w:val="24"/>
          <w:highlight w:val="none"/>
        </w:rPr>
        <w:t>4、付款条件：</w:t>
      </w:r>
      <w:r>
        <w:rPr>
          <w:rFonts w:hint="eastAsia" w:ascii="宋体" w:hAnsi="宋体" w:cs="宋体"/>
          <w:color w:val="auto"/>
          <w:sz w:val="24"/>
          <w:highlight w:val="none"/>
        </w:rPr>
        <w:t>合同签订，中标人提供发票后7个工作日内，支付合同总额的</w:t>
      </w:r>
      <w:r>
        <w:rPr>
          <w:rFonts w:ascii="宋体" w:hAnsi="宋体" w:cs="宋体"/>
          <w:color w:val="auto"/>
          <w:sz w:val="24"/>
          <w:highlight w:val="none"/>
        </w:rPr>
        <w:t>40</w:t>
      </w:r>
      <w:r>
        <w:rPr>
          <w:rFonts w:hint="eastAsia" w:ascii="宋体" w:hAnsi="宋体" w:cs="宋体"/>
          <w:color w:val="auto"/>
          <w:sz w:val="24"/>
          <w:highlight w:val="none"/>
        </w:rPr>
        <w:t>%作为预付款，合同签订后120天内完成项目，通过初验中标人提供发票后7个工作日内支付至实际工程量结算金额的80%，项目整体竣工验收合格并经审核结束，中标人提供发票后7个工作日内支付剩余结算金额</w:t>
      </w:r>
      <w:r>
        <w:rPr>
          <w:rFonts w:hint="eastAsia" w:ascii="宋体" w:hAnsi="宋体" w:cs="宋体"/>
          <w:color w:val="auto"/>
          <w:sz w:val="24"/>
          <w:highlight w:val="none"/>
          <w:lang w:eastAsia="zh-CN"/>
        </w:rPr>
        <w:t>。</w:t>
      </w:r>
      <w:r>
        <w:rPr>
          <w:rFonts w:hint="eastAsia" w:hAnsi="宋体"/>
          <w:bCs/>
          <w:color w:val="auto"/>
          <w:sz w:val="24"/>
          <w:highlight w:val="none"/>
        </w:rPr>
        <w:t>以上款项支付期限为财政资金到位</w:t>
      </w:r>
      <w:r>
        <w:rPr>
          <w:rFonts w:hint="eastAsia" w:hAnsi="宋体"/>
          <w:bCs/>
          <w:color w:val="auto"/>
          <w:sz w:val="24"/>
          <w:highlight w:val="none"/>
          <w:lang w:eastAsia="zh-CN"/>
        </w:rPr>
        <w:t>。</w:t>
      </w:r>
    </w:p>
    <w:p>
      <w:pPr>
        <w:pStyle w:val="24"/>
        <w:spacing w:line="360" w:lineRule="auto"/>
        <w:ind w:firstLine="0" w:firstLineChars="0"/>
        <w:rPr>
          <w:rFonts w:ascii="宋体" w:hAnsi="宋体" w:cs="宋体"/>
          <w:b/>
          <w:bCs/>
          <w:color w:val="auto"/>
          <w:sz w:val="24"/>
          <w:szCs w:val="24"/>
          <w:highlight w:val="none"/>
        </w:rPr>
      </w:pPr>
      <w:r>
        <w:rPr>
          <w:rFonts w:hint="eastAsia" w:ascii="黑体" w:hAnsi="黑体" w:eastAsia="黑体"/>
          <w:b/>
          <w:color w:val="auto"/>
          <w:kern w:val="28"/>
          <w:sz w:val="24"/>
          <w:highlight w:val="none"/>
        </w:rPr>
        <w:t>最终的结算价（最终结算金额=</w:t>
      </w:r>
      <w:r>
        <w:rPr>
          <w:rFonts w:hint="eastAsia" w:ascii="黑体" w:hAnsi="黑体" w:eastAsia="黑体"/>
          <w:b/>
          <w:color w:val="auto"/>
          <w:kern w:val="28"/>
          <w:sz w:val="24"/>
          <w:highlight w:val="none"/>
          <w:lang w:val="en-US" w:eastAsia="zh-CN"/>
        </w:rPr>
        <w:t>实际工作量</w:t>
      </w:r>
      <w:r>
        <w:rPr>
          <w:rFonts w:hint="eastAsia" w:ascii="黑体" w:hAnsi="黑体" w:eastAsia="黑体"/>
          <w:b/>
          <w:color w:val="auto"/>
          <w:kern w:val="28"/>
          <w:sz w:val="24"/>
          <w:highlight w:val="none"/>
        </w:rPr>
        <w:t>*成交单价，成交单价=</w:t>
      </w:r>
      <w:r>
        <w:rPr>
          <w:rFonts w:hint="eastAsia" w:ascii="黑体" w:hAnsi="黑体" w:eastAsia="黑体"/>
          <w:b/>
          <w:color w:val="auto"/>
          <w:kern w:val="28"/>
          <w:sz w:val="24"/>
          <w:highlight w:val="none"/>
          <w:lang w:val="en-US" w:eastAsia="zh-CN"/>
        </w:rPr>
        <w:t>上限</w:t>
      </w:r>
      <w:r>
        <w:rPr>
          <w:rFonts w:hint="eastAsia" w:ascii="黑体" w:hAnsi="黑体" w:eastAsia="黑体"/>
          <w:b/>
          <w:color w:val="auto"/>
          <w:kern w:val="28"/>
          <w:sz w:val="24"/>
          <w:highlight w:val="none"/>
        </w:rPr>
        <w:t>单价*成交结算率）</w:t>
      </w:r>
      <w:r>
        <w:rPr>
          <w:rFonts w:hint="eastAsia" w:ascii="宋体" w:hAnsi="宋体" w:cs="宋体"/>
          <w:b/>
          <w:bCs/>
          <w:color w:val="auto"/>
          <w:sz w:val="24"/>
          <w:szCs w:val="24"/>
          <w:highlight w:val="none"/>
        </w:rPr>
        <w:t>5、其他说明：</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投标报价包含实现本项目的所有功能及安全保障工作所需费用，</w:t>
      </w:r>
      <w:r>
        <w:rPr>
          <w:rFonts w:hint="eastAsia" w:ascii="宋体" w:hAnsi="宋体" w:cs="宋体"/>
          <w:color w:val="auto"/>
          <w:sz w:val="24"/>
          <w:highlight w:val="none"/>
        </w:rPr>
        <w:t>其应包括（但不限于）材料、设备、劳务、人员工资、奖金、各种加班费、食宿与交通、手续审批、安全、管理、质保、保险、利润、税金、</w:t>
      </w:r>
      <w:r>
        <w:rPr>
          <w:rFonts w:hint="eastAsia" w:ascii="宋体" w:hAnsi="宋体" w:cs="宋体"/>
          <w:color w:val="auto"/>
          <w:sz w:val="24"/>
          <w:highlight w:val="none"/>
          <w:lang w:val="en-US" w:eastAsia="zh-CN"/>
        </w:rPr>
        <w:t>验收费用、招标代理服务费、</w:t>
      </w:r>
      <w:r>
        <w:rPr>
          <w:rFonts w:hint="eastAsia" w:ascii="宋体" w:hAnsi="宋体" w:cs="宋体"/>
          <w:color w:val="auto"/>
          <w:sz w:val="24"/>
          <w:highlight w:val="none"/>
        </w:rPr>
        <w:t>政策性文件规定及合同包含的所有风险、责任等所有费用（即整个项目直至履约完成，采购人不再另行支付费用）全部费用已包含在开标一览表的投标总报价中。</w:t>
      </w:r>
    </w:p>
    <w:p>
      <w:pPr>
        <w:pStyle w:val="8"/>
        <w:spacing w:line="360" w:lineRule="auto"/>
        <w:ind w:firstLine="482" w:firstLineChars="200"/>
        <w:rPr>
          <w:rFonts w:hint="eastAsia" w:asciiTheme="minorEastAsia" w:hAnsiTheme="minorEastAsia" w:eastAsiaTheme="minorEastAsia"/>
          <w:b/>
          <w:color w:val="auto"/>
          <w:kern w:val="0"/>
          <w:sz w:val="24"/>
          <w:highlight w:val="none"/>
        </w:rPr>
        <w:sectPr>
          <w:headerReference r:id="rId4" w:type="first"/>
          <w:headerReference r:id="rId3" w:type="default"/>
          <w:footerReference r:id="rId5" w:type="default"/>
          <w:pgSz w:w="11906" w:h="16838"/>
          <w:pgMar w:top="1440" w:right="1418" w:bottom="1440" w:left="1418" w:header="851" w:footer="851" w:gutter="0"/>
          <w:cols w:space="720" w:num="1"/>
          <w:docGrid w:linePitch="312" w:charSpace="0"/>
        </w:sectPr>
      </w:pPr>
    </w:p>
    <w:p>
      <w:pPr>
        <w:pStyle w:val="12"/>
        <w:tabs>
          <w:tab w:val="left" w:pos="630"/>
        </w:tabs>
        <w:snapToGrid w:val="0"/>
        <w:spacing w:line="360" w:lineRule="auto"/>
        <w:jc w:val="center"/>
        <w:rPr>
          <w:rFonts w:asciiTheme="minorEastAsia" w:hAnsiTheme="minorEastAsia" w:eastAsiaTheme="minorEastAsia"/>
          <w:b/>
          <w:color w:val="auto"/>
          <w:sz w:val="32"/>
          <w:szCs w:val="32"/>
          <w:highlight w:val="none"/>
        </w:rPr>
      </w:pPr>
      <w:bookmarkStart w:id="36" w:name="_Toc31173_WPSOffice_Level1"/>
      <w:r>
        <w:rPr>
          <w:rFonts w:hint="eastAsia" w:asciiTheme="minorEastAsia" w:hAnsiTheme="minorEastAsia" w:eastAsiaTheme="minorEastAsia"/>
          <w:b/>
          <w:color w:val="auto"/>
          <w:sz w:val="32"/>
          <w:szCs w:val="32"/>
          <w:highlight w:val="none"/>
        </w:rPr>
        <w:t>第四章  评标</w:t>
      </w:r>
      <w:bookmarkEnd w:id="36"/>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一、评标方法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综合评分法,是指投标文件满足招标文件全部实质性要求，且按照评审因素的量化指标评审得分最高的投标人为</w:t>
      </w:r>
      <w:r>
        <w:rPr>
          <w:rFonts w:hint="eastAsia" w:ascii="宋体" w:hAnsi="宋体" w:cs="宋体"/>
          <w:color w:val="auto"/>
          <w:sz w:val="24"/>
          <w:highlight w:val="none"/>
          <w:lang w:eastAsia="zh-CN"/>
        </w:rPr>
        <w:t>第一</w:t>
      </w:r>
      <w:r>
        <w:rPr>
          <w:rFonts w:hint="eastAsia" w:ascii="宋体" w:hAnsi="宋体" w:cs="宋体"/>
          <w:color w:val="auto"/>
          <w:sz w:val="24"/>
          <w:highlight w:val="none"/>
        </w:rPr>
        <w:t>中标候选人</w:t>
      </w:r>
      <w:r>
        <w:rPr>
          <w:rFonts w:hint="eastAsia" w:ascii="宋体" w:hAnsi="宋体" w:cs="宋体"/>
          <w:color w:val="auto"/>
          <w:sz w:val="24"/>
          <w:highlight w:val="none"/>
          <w:lang w:eastAsia="zh-CN"/>
        </w:rPr>
        <w:t>，次</w:t>
      </w:r>
      <w:r>
        <w:rPr>
          <w:rFonts w:hint="eastAsia" w:ascii="宋体" w:hAnsi="宋体" w:cs="宋体"/>
          <w:color w:val="auto"/>
          <w:sz w:val="24"/>
          <w:highlight w:val="none"/>
        </w:rPr>
        <w:t>高的投标人为</w:t>
      </w:r>
      <w:r>
        <w:rPr>
          <w:rFonts w:hint="eastAsia" w:ascii="宋体" w:hAnsi="宋体" w:cs="宋体"/>
          <w:color w:val="auto"/>
          <w:sz w:val="24"/>
          <w:highlight w:val="none"/>
          <w:lang w:eastAsia="zh-CN"/>
        </w:rPr>
        <w:t>第二</w:t>
      </w:r>
      <w:r>
        <w:rPr>
          <w:rFonts w:hint="eastAsia" w:ascii="宋体" w:hAnsi="宋体" w:cs="宋体"/>
          <w:color w:val="auto"/>
          <w:sz w:val="24"/>
          <w:highlight w:val="none"/>
        </w:rPr>
        <w:t>中标候选人的评标方法。</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二、评标原则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（二）任何单位和个人不得干扰、影响评标的正常进行；评标委员会及有关工作人员应不带任何倾向性和启发性，不得向外界透露任何与评标有关的内容，不得私下与投标人接触。</w:t>
      </w:r>
    </w:p>
    <w:p>
      <w:pPr>
        <w:pStyle w:val="2"/>
        <w:spacing w:after="0" w:line="360" w:lineRule="auto"/>
        <w:ind w:left="0" w:leftChars="0"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三、评标委员会</w:t>
      </w:r>
    </w:p>
    <w:p>
      <w:pPr>
        <w:pStyle w:val="8"/>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（一）本项目评标委员会由采购人代表和评审专家组成。</w:t>
      </w:r>
    </w:p>
    <w:p>
      <w:pPr>
        <w:pStyle w:val="8"/>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（二）评标委员会成员与参与投标的供应商有下列情形之一的，应当回避：</w:t>
      </w:r>
    </w:p>
    <w:p>
      <w:pPr>
        <w:pStyle w:val="8"/>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1.参加采购活动前3年内与供应商存在劳动关系；</w:t>
      </w:r>
    </w:p>
    <w:p>
      <w:pPr>
        <w:pStyle w:val="8"/>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2.参加采购活动前3年内担任供应商的董事、监事；</w:t>
      </w:r>
    </w:p>
    <w:p>
      <w:pPr>
        <w:pStyle w:val="8"/>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3.参加采购活动前3年内是供应商的控股股东或者实际控制人；</w:t>
      </w:r>
    </w:p>
    <w:p>
      <w:pPr>
        <w:pStyle w:val="8"/>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4.与供应商的法定代表人或者负责人有夫妻、直系血亲、三代以内旁系血亲或者近姻亲关系；</w:t>
      </w:r>
    </w:p>
    <w:p>
      <w:pPr>
        <w:pStyle w:val="8"/>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5.与供应商有其他可能影响政府采购活动公平、公正进行的关系。</w:t>
      </w:r>
    </w:p>
    <w:p>
      <w:pPr>
        <w:pStyle w:val="8"/>
        <w:spacing w:line="360" w:lineRule="auto"/>
        <w:ind w:firstLine="482" w:firstLineChars="200"/>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（三）评标委员会负责具体评标事务，并独立履行下列职责：</w:t>
      </w:r>
    </w:p>
    <w:p>
      <w:pPr>
        <w:pStyle w:val="8"/>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1.审查、评价投标文件是否符合招标文件的商务、技术等实质性要求；</w:t>
      </w:r>
    </w:p>
    <w:p>
      <w:pPr>
        <w:pStyle w:val="8"/>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2.要求投标人对投标文件有关事项作出澄清或者说明；</w:t>
      </w:r>
    </w:p>
    <w:p>
      <w:pPr>
        <w:pStyle w:val="8"/>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3.对投标文件进行比较和评价；</w:t>
      </w:r>
    </w:p>
    <w:p>
      <w:pPr>
        <w:pStyle w:val="8"/>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4.确定中标候选人名单，以及根据采购人委托直接确定中标人；</w:t>
      </w:r>
    </w:p>
    <w:p>
      <w:pPr>
        <w:pStyle w:val="8"/>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5.向采购人、采购组织机构或者有关部门报告评标中发现的违法行为；</w:t>
      </w:r>
    </w:p>
    <w:p>
      <w:pPr>
        <w:pStyle w:val="8"/>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6.法律法规规定的其他职责。</w:t>
      </w:r>
    </w:p>
    <w:p>
      <w:pPr>
        <w:pStyle w:val="17"/>
        <w:spacing w:before="0" w:beforeAutospacing="0" w:after="0" w:afterAutospacing="0" w:line="360" w:lineRule="auto"/>
        <w:ind w:firstLine="482" w:firstLineChars="200"/>
        <w:jc w:val="both"/>
        <w:rPr>
          <w:rFonts w:hint="default" w:asciiTheme="minorEastAsia" w:hAnsiTheme="minorEastAsia" w:eastAsiaTheme="minorEastAsia"/>
          <w:b/>
          <w:color w:val="auto"/>
          <w:highlight w:val="none"/>
        </w:rPr>
      </w:pPr>
      <w:r>
        <w:rPr>
          <w:rFonts w:asciiTheme="minorEastAsia" w:hAnsiTheme="minorEastAsia" w:eastAsiaTheme="minorEastAsia"/>
          <w:b/>
          <w:color w:val="auto"/>
          <w:highlight w:val="none"/>
        </w:rPr>
        <w:t>四、无效标情形</w:t>
      </w:r>
    </w:p>
    <w:p>
      <w:pPr>
        <w:adjustRightInd w:val="0"/>
        <w:snapToGrid w:val="0"/>
        <w:spacing w:line="360" w:lineRule="auto"/>
        <w:ind w:firstLine="480" w:firstLineChars="200"/>
        <w:rPr>
          <w:rFonts w:asciiTheme="minorEastAsia" w:hAnsiTheme="minorEastAsia" w:eastAsiaTheme="minorEastAsia"/>
          <w:b/>
          <w:bCs/>
          <w:color w:val="auto"/>
          <w:sz w:val="24"/>
          <w:highlight w:val="none"/>
        </w:rPr>
      </w:pPr>
      <w:r>
        <w:rPr>
          <w:rFonts w:hint="eastAsia" w:asciiTheme="minorEastAsia" w:hAnsiTheme="minorEastAsia" w:eastAsiaTheme="minorEastAsia"/>
          <w:color w:val="auto"/>
          <w:kern w:val="0"/>
          <w:sz w:val="24"/>
          <w:highlight w:val="none"/>
        </w:rPr>
        <w:t>（一）在资格证明文件或商务与技术文件中出现投标报价的，或者报价文件中报价的货物跟商务与技术文件中的投标货物出现重大偏差的；</w:t>
      </w:r>
    </w:p>
    <w:p>
      <w:pPr>
        <w:pStyle w:val="17"/>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（二）不具备招标文件中规定的资格要求的；</w:t>
      </w:r>
      <w:r>
        <w:rPr>
          <w:rFonts w:hint="default" w:asciiTheme="minorEastAsia" w:hAnsiTheme="minorEastAsia" w:eastAsiaTheme="minorEastAsia"/>
          <w:color w:val="auto"/>
          <w:highlight w:val="none"/>
        </w:rPr>
        <w:tab/>
      </w:r>
    </w:p>
    <w:p>
      <w:pPr>
        <w:pStyle w:val="17"/>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（三）投标文件含有采购人不能接受的附加条件的；</w:t>
      </w:r>
    </w:p>
    <w:p>
      <w:pPr>
        <w:pStyle w:val="9"/>
        <w:spacing w:line="360" w:lineRule="auto"/>
        <w:ind w:firstLine="480" w:firstLineChars="200"/>
        <w:jc w:val="both"/>
        <w:rPr>
          <w:rFonts w:asciiTheme="minorEastAsia" w:hAnsiTheme="minorEastAsia" w:eastAsiaTheme="minorEastAsia"/>
          <w:bCs/>
          <w:color w:val="auto"/>
          <w:kern w:val="0"/>
          <w:sz w:val="24"/>
          <w:highlight w:val="none"/>
        </w:rPr>
      </w:pPr>
      <w:r>
        <w:rPr>
          <w:rFonts w:hint="eastAsia" w:asciiTheme="minorEastAsia" w:hAnsiTheme="minorEastAsia" w:eastAsiaTheme="minorEastAsia"/>
          <w:color w:val="auto"/>
          <w:kern w:val="0"/>
          <w:sz w:val="24"/>
          <w:highlight w:val="none"/>
        </w:rPr>
        <w:t>（四）</w:t>
      </w:r>
      <w:r>
        <w:rPr>
          <w:rFonts w:hint="eastAsia" w:cs="Times New Roman" w:asciiTheme="minorEastAsia" w:hAnsiTheme="minorEastAsia" w:eastAsiaTheme="minorEastAsia"/>
          <w:color w:val="auto"/>
          <w:kern w:val="0"/>
          <w:sz w:val="24"/>
          <w:szCs w:val="24"/>
          <w:highlight w:val="none"/>
          <w:lang w:val="en-US" w:eastAsia="zh-CN" w:bidi="ar-SA"/>
        </w:rPr>
        <w:t>评标委员会认为投标人的报价明显低于其他通过符合性审查投标人的报价，有可能影响产品质量或者不能诚信履约的，投标人在限定的时间内不能证明其报价合理性的，评标委员会应当将其作为无效投标处理；</w:t>
      </w:r>
    </w:p>
    <w:p>
      <w:pPr>
        <w:pStyle w:val="17"/>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（五）报价超过招标文件中规定的预算金额/最高限价</w:t>
      </w:r>
      <w:r>
        <w:rPr>
          <w:rFonts w:hint="eastAsia" w:asciiTheme="minorEastAsia" w:hAnsiTheme="minorEastAsia" w:eastAsiaTheme="minorEastAsia"/>
          <w:color w:val="auto"/>
          <w:highlight w:val="none"/>
          <w:lang w:eastAsia="zh-CN"/>
        </w:rPr>
        <w:t>或未填写投标报价的</w:t>
      </w:r>
      <w:r>
        <w:rPr>
          <w:rFonts w:asciiTheme="minorEastAsia" w:hAnsiTheme="minorEastAsia" w:eastAsiaTheme="minorEastAsia"/>
          <w:color w:val="auto"/>
          <w:highlight w:val="none"/>
        </w:rPr>
        <w:t xml:space="preserve">；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w:t>
      </w:r>
      <w:r>
        <w:rPr>
          <w:rFonts w:hint="eastAsia" w:asciiTheme="minorEastAsia" w:hAnsiTheme="minorEastAsia" w:eastAsiaTheme="minorEastAsia"/>
          <w:color w:val="auto"/>
          <w:kern w:val="0"/>
          <w:sz w:val="24"/>
          <w:highlight w:val="none"/>
          <w:lang w:val="en-US" w:eastAsia="zh-CN"/>
        </w:rPr>
        <w:t>六</w:t>
      </w:r>
      <w:r>
        <w:rPr>
          <w:rFonts w:hint="eastAsia" w:asciiTheme="minorEastAsia" w:hAnsiTheme="minorEastAsia" w:eastAsiaTheme="minorEastAsia"/>
          <w:color w:val="auto"/>
          <w:kern w:val="0"/>
          <w:sz w:val="24"/>
          <w:highlight w:val="none"/>
        </w:rPr>
        <w:t>）投标参数未如实填写，完全复制粘贴招标参数的；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w:t>
      </w:r>
      <w:r>
        <w:rPr>
          <w:rFonts w:hint="eastAsia" w:asciiTheme="minorEastAsia" w:hAnsiTheme="minorEastAsia" w:eastAsiaTheme="minorEastAsia"/>
          <w:color w:val="auto"/>
          <w:kern w:val="0"/>
          <w:sz w:val="24"/>
          <w:highlight w:val="none"/>
          <w:lang w:val="en-US" w:eastAsia="zh-CN"/>
        </w:rPr>
        <w:t>七</w:t>
      </w:r>
      <w:r>
        <w:rPr>
          <w:rFonts w:hint="eastAsia" w:asciiTheme="minorEastAsia" w:hAnsiTheme="minorEastAsia" w:eastAsiaTheme="minorEastAsia"/>
          <w:color w:val="auto"/>
          <w:kern w:val="0"/>
          <w:sz w:val="24"/>
          <w:highlight w:val="none"/>
        </w:rPr>
        <w:t xml:space="preserve">）投标文件存在虚假材料的；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w:t>
      </w:r>
      <w:r>
        <w:rPr>
          <w:rFonts w:hint="eastAsia" w:asciiTheme="minorEastAsia" w:hAnsiTheme="minorEastAsia" w:eastAsiaTheme="minorEastAsia"/>
          <w:color w:val="auto"/>
          <w:kern w:val="0"/>
          <w:sz w:val="24"/>
          <w:highlight w:val="none"/>
          <w:lang w:val="en-US" w:eastAsia="zh-CN"/>
        </w:rPr>
        <w:t>八</w:t>
      </w:r>
      <w:r>
        <w:rPr>
          <w:rFonts w:hint="eastAsia" w:asciiTheme="minorEastAsia" w:hAnsiTheme="minorEastAsia" w:eastAsiaTheme="minorEastAsia"/>
          <w:color w:val="auto"/>
          <w:kern w:val="0"/>
          <w:sz w:val="24"/>
          <w:highlight w:val="none"/>
        </w:rPr>
        <w:t>）有</w:t>
      </w:r>
      <w:r>
        <w:rPr>
          <w:rFonts w:asciiTheme="minorEastAsia" w:hAnsiTheme="minorEastAsia" w:eastAsiaTheme="minorEastAsia"/>
          <w:color w:val="auto"/>
          <w:kern w:val="0"/>
          <w:sz w:val="24"/>
          <w:highlight w:val="none"/>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color w:val="auto"/>
          <w:kern w:val="0"/>
          <w:sz w:val="24"/>
          <w:highlight w:val="none"/>
        </w:rPr>
        <w:t>，并移送采购监管部门</w:t>
      </w:r>
      <w:r>
        <w:rPr>
          <w:rFonts w:asciiTheme="minorEastAsia" w:hAnsiTheme="minorEastAsia" w:eastAsiaTheme="minorEastAsia"/>
          <w:color w:val="auto"/>
          <w:kern w:val="0"/>
          <w:sz w:val="24"/>
          <w:highlight w:val="none"/>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不同投标人的投标文件由同一单位或者个人编制；</w:t>
      </w:r>
    </w:p>
    <w:p>
      <w:pPr>
        <w:pStyle w:val="17"/>
        <w:spacing w:before="0" w:beforeAutospacing="0" w:after="0" w:afterAutospacing="0" w:line="360" w:lineRule="auto"/>
        <w:ind w:firstLine="480" w:firstLineChars="20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2.不同投标人委托同一单位或者个人办理投标事宜；</w:t>
      </w:r>
    </w:p>
    <w:p>
      <w:pPr>
        <w:pStyle w:val="17"/>
        <w:spacing w:before="0" w:beforeAutospacing="0" w:after="0" w:afterAutospacing="0" w:line="360" w:lineRule="auto"/>
        <w:ind w:firstLine="480" w:firstLineChars="200"/>
        <w:jc w:val="both"/>
        <w:rPr>
          <w:rFonts w:hint="default" w:asciiTheme="minorEastAsia" w:hAnsiTheme="minorEastAsia" w:eastAsiaTheme="minorEastAsia"/>
          <w:color w:val="auto"/>
          <w:highlight w:val="none"/>
        </w:rPr>
      </w:pPr>
      <w:r>
        <w:rPr>
          <w:rFonts w:asciiTheme="minorEastAsia" w:hAnsiTheme="minorEastAsia" w:eastAsiaTheme="minorEastAsia"/>
          <w:color w:val="auto"/>
          <w:highlight w:val="none"/>
        </w:rPr>
        <w:t>3.不同投标人的投标文件载明的项目管理成员或者联系人员为同一人；</w:t>
      </w:r>
    </w:p>
    <w:p>
      <w:pPr>
        <w:pStyle w:val="17"/>
        <w:spacing w:before="0" w:beforeAutospacing="0" w:after="0" w:afterAutospacing="0" w:line="360" w:lineRule="auto"/>
        <w:ind w:firstLine="480" w:firstLineChars="200"/>
        <w:jc w:val="both"/>
        <w:rPr>
          <w:rFonts w:asciiTheme="minorEastAsia" w:hAnsiTheme="minorEastAsia" w:eastAsiaTheme="minorEastAsia"/>
          <w:color w:val="auto"/>
          <w:highlight w:val="none"/>
        </w:rPr>
      </w:pPr>
      <w:r>
        <w:rPr>
          <w:rFonts w:asciiTheme="minorEastAsia" w:hAnsiTheme="minorEastAsia" w:eastAsiaTheme="minorEastAsia"/>
          <w:color w:val="auto"/>
          <w:highlight w:val="none"/>
        </w:rPr>
        <w:t>4.不同投标人的投标文件异常一致或者投标报价呈规律性差异；</w:t>
      </w:r>
    </w:p>
    <w:p>
      <w:pPr>
        <w:pStyle w:val="17"/>
        <w:spacing w:before="0" w:beforeAutospacing="0" w:after="0" w:afterAutospacing="0" w:line="360" w:lineRule="auto"/>
        <w:ind w:firstLine="480" w:firstLineChars="200"/>
        <w:jc w:val="both"/>
        <w:rPr>
          <w:rFonts w:hint="default" w:asciiTheme="minorEastAsia" w:hAnsiTheme="minorEastAsia" w:eastAsiaTheme="minorEastAsia"/>
          <w:color w:val="auto"/>
          <w:highlight w:val="none"/>
        </w:rPr>
      </w:pPr>
      <w:r>
        <w:rPr>
          <w:rFonts w:hint="eastAsia" w:ascii="黑体" w:hAnsi="黑体" w:eastAsia="黑体" w:cs="黑体"/>
          <w:color w:val="auto"/>
          <w:szCs w:val="21"/>
          <w:highlight w:val="none"/>
          <w:shd w:val="clear" w:color="auto" w:fill="FFFFFF"/>
        </w:rPr>
        <w:t>5.不同投标人的投标文件相互混装；</w:t>
      </w:r>
    </w:p>
    <w:p>
      <w:pPr>
        <w:pStyle w:val="17"/>
        <w:spacing w:before="0" w:beforeAutospacing="0" w:after="0" w:afterAutospacing="0" w:line="360" w:lineRule="auto"/>
        <w:ind w:firstLine="480" w:firstLineChars="200"/>
        <w:jc w:val="both"/>
        <w:rPr>
          <w:rFonts w:hint="default" w:asciiTheme="minorEastAsia" w:hAnsiTheme="minorEastAsia"/>
          <w:color w:val="auto"/>
          <w:highlight w:val="none"/>
        </w:rPr>
      </w:pPr>
      <w:r>
        <w:rPr>
          <w:rFonts w:asciiTheme="minorEastAsia" w:hAnsiTheme="minorEastAsia" w:eastAsiaTheme="minorEastAsia"/>
          <w:color w:val="auto"/>
          <w:highlight w:val="none"/>
        </w:rPr>
        <w:t>（</w:t>
      </w:r>
      <w:r>
        <w:rPr>
          <w:rFonts w:hint="eastAsia" w:asciiTheme="minorEastAsia" w:hAnsiTheme="minorEastAsia" w:eastAsiaTheme="minorEastAsia"/>
          <w:color w:val="auto"/>
          <w:highlight w:val="none"/>
          <w:lang w:val="en-US" w:eastAsia="zh-CN"/>
        </w:rPr>
        <w:t>九</w:t>
      </w:r>
      <w:r>
        <w:rPr>
          <w:rFonts w:asciiTheme="minorEastAsia" w:hAnsiTheme="minorEastAsia" w:eastAsiaTheme="minorEastAsia"/>
          <w:color w:val="auto"/>
          <w:highlight w:val="none"/>
        </w:rPr>
        <w:t>）</w:t>
      </w:r>
      <w:r>
        <w:rPr>
          <w:rFonts w:cs="宋体"/>
          <w:color w:val="auto"/>
          <w:highlight w:val="none"/>
        </w:rPr>
        <w:t>实质性要求（招标文件中打“▲”内容）不响应的；</w:t>
      </w:r>
    </w:p>
    <w:p>
      <w:pPr>
        <w:pStyle w:val="8"/>
        <w:spacing w:line="360" w:lineRule="auto"/>
        <w:ind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（十）商务条款不响应的；</w:t>
      </w:r>
    </w:p>
    <w:p>
      <w:pPr>
        <w:pStyle w:val="8"/>
        <w:spacing w:line="360" w:lineRule="auto"/>
        <w:ind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（十一）投标文件有效期不足的；</w:t>
      </w:r>
    </w:p>
    <w:p>
      <w:pPr>
        <w:pStyle w:val="8"/>
        <w:spacing w:line="360" w:lineRule="auto"/>
        <w:ind w:firstLine="480" w:firstLineChars="200"/>
        <w:rPr>
          <w:rFonts w:asciiTheme="minorEastAsia" w:hAnsiTheme="minorEastAsia" w:eastAsiaTheme="minorEastAsia"/>
          <w:color w:val="auto"/>
          <w:kern w:val="0"/>
          <w:sz w:val="24"/>
          <w:highlight w:val="none"/>
        </w:rPr>
      </w:pPr>
      <w:r>
        <w:rPr>
          <w:rFonts w:hint="eastAsia" w:asciiTheme="minorEastAsia" w:hAnsiTheme="minorEastAsia" w:eastAsiaTheme="minorEastAsia"/>
          <w:color w:val="auto"/>
          <w:kern w:val="0"/>
          <w:sz w:val="24"/>
          <w:highlight w:val="none"/>
        </w:rPr>
        <w:t>（十</w:t>
      </w:r>
      <w:r>
        <w:rPr>
          <w:rFonts w:hint="eastAsia" w:asciiTheme="minorEastAsia" w:hAnsiTheme="minorEastAsia" w:eastAsiaTheme="minorEastAsia"/>
          <w:color w:val="auto"/>
          <w:kern w:val="0"/>
          <w:sz w:val="24"/>
          <w:highlight w:val="none"/>
          <w:lang w:val="en-US" w:eastAsia="zh-CN"/>
        </w:rPr>
        <w:t>二</w:t>
      </w:r>
      <w:r>
        <w:rPr>
          <w:rFonts w:hint="eastAsia" w:asciiTheme="minorEastAsia" w:hAnsiTheme="minorEastAsia" w:eastAsiaTheme="minorEastAsia"/>
          <w:color w:val="auto"/>
          <w:kern w:val="0"/>
          <w:sz w:val="24"/>
          <w:highlight w:val="none"/>
        </w:rPr>
        <w:t>）</w:t>
      </w:r>
      <w:r>
        <w:rPr>
          <w:rFonts w:hint="eastAsia" w:ascii="黑体" w:hAnsi="黑体" w:eastAsia="黑体" w:cs="黑体"/>
          <w:color w:val="auto"/>
          <w:szCs w:val="21"/>
          <w:highlight w:val="none"/>
          <w:shd w:val="clear" w:color="auto" w:fill="FFFFFF"/>
        </w:rPr>
        <w:t>逾期或未按要求提交投标文件的；</w:t>
      </w:r>
    </w:p>
    <w:p>
      <w:pPr>
        <w:pStyle w:val="8"/>
        <w:spacing w:line="360" w:lineRule="auto"/>
        <w:ind w:firstLine="480" w:firstLineChars="200"/>
        <w:rPr>
          <w:rFonts w:asciiTheme="minorEastAsia" w:hAnsiTheme="minorEastAsia"/>
          <w:color w:val="auto"/>
          <w:kern w:val="0"/>
          <w:sz w:val="24"/>
          <w:highlight w:val="none"/>
        </w:rPr>
      </w:pPr>
      <w:r>
        <w:rPr>
          <w:rFonts w:hint="eastAsia" w:asciiTheme="minorEastAsia" w:hAnsiTheme="minorEastAsia" w:eastAsiaTheme="minorEastAsia"/>
          <w:color w:val="auto"/>
          <w:kern w:val="0"/>
          <w:sz w:val="24"/>
          <w:highlight w:val="none"/>
        </w:rPr>
        <w:t>（十</w:t>
      </w:r>
      <w:r>
        <w:rPr>
          <w:rFonts w:hint="eastAsia" w:asciiTheme="minorEastAsia" w:hAnsiTheme="minorEastAsia" w:eastAsiaTheme="minorEastAsia"/>
          <w:color w:val="auto"/>
          <w:kern w:val="0"/>
          <w:sz w:val="24"/>
          <w:highlight w:val="none"/>
          <w:lang w:val="en-US" w:eastAsia="zh-CN"/>
        </w:rPr>
        <w:t>三</w:t>
      </w:r>
      <w:r>
        <w:rPr>
          <w:rFonts w:hint="eastAsia" w:asciiTheme="minorEastAsia" w:hAnsiTheme="minorEastAsia" w:eastAsiaTheme="minorEastAsia"/>
          <w:color w:val="auto"/>
          <w:kern w:val="0"/>
          <w:sz w:val="24"/>
          <w:highlight w:val="none"/>
        </w:rPr>
        <w:t>）其他</w:t>
      </w:r>
      <w:r>
        <w:rPr>
          <w:rFonts w:ascii="宋体" w:hAnsi="宋体" w:cs="宋体"/>
          <w:color w:val="auto"/>
          <w:sz w:val="24"/>
          <w:szCs w:val="24"/>
          <w:highlight w:val="none"/>
        </w:rPr>
        <w:t>不符合法律法规相关规定的</w:t>
      </w:r>
      <w:r>
        <w:rPr>
          <w:rFonts w:hint="eastAsia" w:ascii="宋体" w:hAnsi="宋体" w:cs="宋体"/>
          <w:color w:val="auto"/>
          <w:sz w:val="24"/>
          <w:szCs w:val="24"/>
          <w:highlight w:val="none"/>
        </w:rPr>
        <w:t>。</w:t>
      </w:r>
    </w:p>
    <w:p>
      <w:pPr>
        <w:autoSpaceDE w:val="0"/>
        <w:autoSpaceDN w:val="0"/>
        <w:adjustRightInd w:val="0"/>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五、废标情形</w:t>
      </w:r>
    </w:p>
    <w:p>
      <w:pPr>
        <w:pStyle w:val="17"/>
        <w:spacing w:before="0" w:beforeAutospacing="0" w:after="0" w:afterAutospacing="0" w:line="360" w:lineRule="auto"/>
        <w:ind w:firstLine="480" w:firstLineChars="200"/>
        <w:jc w:val="both"/>
        <w:rPr>
          <w:rFonts w:hint="default" w:cs="宋体"/>
          <w:color w:val="auto"/>
          <w:highlight w:val="none"/>
        </w:rPr>
      </w:pPr>
      <w:r>
        <w:rPr>
          <w:rFonts w:asciiTheme="minorEastAsia" w:hAnsiTheme="minorEastAsia" w:eastAsiaTheme="minorEastAsia"/>
          <w:color w:val="auto"/>
          <w:highlight w:val="none"/>
        </w:rPr>
        <w:t>（一）</w:t>
      </w:r>
      <w:r>
        <w:rPr>
          <w:rFonts w:cs="宋体"/>
          <w:color w:val="auto"/>
          <w:highlight w:val="none"/>
        </w:rPr>
        <w:t>出现影响采购公正的违法、违规行为的；</w:t>
      </w:r>
    </w:p>
    <w:p>
      <w:pPr>
        <w:pStyle w:val="17"/>
        <w:spacing w:before="0" w:beforeAutospacing="0" w:after="0" w:afterAutospacing="0" w:line="360" w:lineRule="auto"/>
        <w:ind w:firstLine="480" w:firstLineChars="200"/>
        <w:jc w:val="both"/>
        <w:rPr>
          <w:rFonts w:hint="default" w:cs="宋体"/>
          <w:b/>
          <w:bCs/>
          <w:color w:val="auto"/>
          <w:highlight w:val="none"/>
        </w:rPr>
      </w:pPr>
      <w:r>
        <w:rPr>
          <w:rFonts w:asciiTheme="minorEastAsia" w:hAnsiTheme="minorEastAsia" w:eastAsiaTheme="minorEastAsia"/>
          <w:color w:val="auto"/>
          <w:highlight w:val="none"/>
        </w:rPr>
        <w:t>（二）</w:t>
      </w:r>
      <w:r>
        <w:rPr>
          <w:rFonts w:cs="宋体"/>
          <w:color w:val="auto"/>
          <w:highlight w:val="none"/>
        </w:rPr>
        <w:t>评标委员会发现招标文件存在歧义、重大缺陷导致评标工作无法进行，或者招标文件内容违反国家有关强制性规定的；</w:t>
      </w:r>
    </w:p>
    <w:p>
      <w:pPr>
        <w:pStyle w:val="17"/>
        <w:spacing w:before="0" w:beforeAutospacing="0" w:after="0" w:afterAutospacing="0" w:line="360" w:lineRule="auto"/>
        <w:ind w:firstLine="480" w:firstLineChars="200"/>
        <w:jc w:val="both"/>
        <w:rPr>
          <w:rFonts w:hint="default" w:cs="宋体"/>
          <w:color w:val="auto"/>
          <w:highlight w:val="none"/>
        </w:rPr>
      </w:pPr>
      <w:r>
        <w:rPr>
          <w:rFonts w:asciiTheme="minorEastAsia" w:hAnsiTheme="minorEastAsia" w:eastAsiaTheme="minorEastAsia"/>
          <w:color w:val="auto"/>
          <w:highlight w:val="none"/>
        </w:rPr>
        <w:t>（三）</w:t>
      </w:r>
      <w:r>
        <w:rPr>
          <w:rFonts w:cs="宋体"/>
          <w:color w:val="auto"/>
          <w:highlight w:val="none"/>
        </w:rPr>
        <w:t>因重大变故，采购任务取消的；</w:t>
      </w:r>
    </w:p>
    <w:p>
      <w:pPr>
        <w:pStyle w:val="17"/>
        <w:spacing w:before="0" w:beforeAutospacing="0" w:after="0" w:afterAutospacing="0" w:line="360" w:lineRule="auto"/>
        <w:ind w:firstLine="480" w:firstLineChars="200"/>
        <w:jc w:val="both"/>
        <w:rPr>
          <w:rFonts w:hint="default" w:cs="宋体"/>
          <w:color w:val="auto"/>
          <w:highlight w:val="none"/>
        </w:rPr>
      </w:pPr>
      <w:r>
        <w:rPr>
          <w:rFonts w:asciiTheme="minorEastAsia" w:hAnsiTheme="minorEastAsia" w:eastAsiaTheme="minorEastAsia"/>
          <w:color w:val="auto"/>
          <w:highlight w:val="none"/>
        </w:rPr>
        <w:t>（四）</w:t>
      </w:r>
      <w:r>
        <w:rPr>
          <w:rFonts w:cs="宋体"/>
          <w:color w:val="auto"/>
          <w:highlight w:val="none"/>
        </w:rPr>
        <w:t>法律、法规和招标文件规定的其他导致评标结果无效的。</w:t>
      </w:r>
    </w:p>
    <w:p>
      <w:pPr>
        <w:pStyle w:val="12"/>
        <w:snapToGrid w:val="0"/>
        <w:spacing w:line="360" w:lineRule="auto"/>
        <w:ind w:firstLine="482" w:firstLineChars="200"/>
        <w:rPr>
          <w:rFonts w:hAnsi="宋体" w:cs="宋体"/>
          <w:b/>
          <w:color w:val="auto"/>
          <w:sz w:val="24"/>
          <w:highlight w:val="none"/>
        </w:rPr>
      </w:pPr>
      <w:r>
        <w:rPr>
          <w:rFonts w:hint="eastAsia" w:hAnsi="宋体" w:cs="宋体"/>
          <w:b/>
          <w:color w:val="auto"/>
          <w:sz w:val="24"/>
          <w:highlight w:val="none"/>
        </w:rPr>
        <w:t>六、评标过程的监控</w:t>
      </w:r>
    </w:p>
    <w:p>
      <w:pPr>
        <w:pStyle w:val="17"/>
        <w:spacing w:before="0" w:beforeAutospacing="0" w:after="0" w:afterAutospacing="0" w:line="360" w:lineRule="auto"/>
        <w:ind w:firstLine="480" w:firstLineChars="200"/>
        <w:jc w:val="both"/>
        <w:rPr>
          <w:rFonts w:hint="default" w:cs="宋体"/>
          <w:color w:val="auto"/>
          <w:highlight w:val="none"/>
        </w:rPr>
      </w:pPr>
      <w:r>
        <w:rPr>
          <w:rFonts w:cs="宋体"/>
          <w:color w:val="auto"/>
          <w:highlight w:val="none"/>
        </w:rPr>
        <w:t>本项目评标过程实行全程录音、录像监控，政府采购监管部门视情进行现场监督，投标人在评标过程中所进行的试图影响评标结果的不公正活动，可能导致其投标被拒绝。</w:t>
      </w:r>
    </w:p>
    <w:p>
      <w:pPr>
        <w:pStyle w:val="12"/>
        <w:snapToGrid w:val="0"/>
        <w:spacing w:line="360" w:lineRule="auto"/>
        <w:ind w:firstLine="482" w:firstLineChars="200"/>
        <w:rPr>
          <w:rFonts w:hAnsi="宋体" w:cs="宋体"/>
          <w:b/>
          <w:bCs/>
          <w:color w:val="auto"/>
          <w:sz w:val="24"/>
          <w:highlight w:val="none"/>
        </w:rPr>
      </w:pPr>
      <w:r>
        <w:rPr>
          <w:rFonts w:hint="eastAsia" w:hAnsi="宋体" w:cs="宋体"/>
          <w:b/>
          <w:bCs/>
          <w:color w:val="auto"/>
          <w:sz w:val="24"/>
          <w:highlight w:val="none"/>
        </w:rPr>
        <w:t>七、政府采购政策落实</w:t>
      </w:r>
    </w:p>
    <w:p>
      <w:pPr>
        <w:autoSpaceDE w:val="0"/>
        <w:autoSpaceDN w:val="0"/>
        <w:adjustRightInd w:val="0"/>
        <w:spacing w:line="360" w:lineRule="auto"/>
        <w:ind w:firstLine="480" w:firstLineChars="200"/>
        <w:rPr>
          <w:rFonts w:ascii="宋体"/>
          <w:color w:val="auto"/>
          <w:sz w:val="24"/>
          <w:highlight w:val="none"/>
          <w:lang w:val="zh-CN"/>
        </w:rPr>
      </w:pPr>
      <w:r>
        <w:rPr>
          <w:rFonts w:hint="eastAsia" w:ascii="宋体"/>
          <w:color w:val="auto"/>
          <w:sz w:val="24"/>
          <w:highlight w:val="none"/>
        </w:rPr>
        <w:t>（一）</w:t>
      </w:r>
      <w:r>
        <w:rPr>
          <w:rFonts w:hint="eastAsia" w:ascii="宋体"/>
          <w:color w:val="auto"/>
          <w:sz w:val="24"/>
          <w:highlight w:val="none"/>
          <w:lang w:val="zh-CN"/>
        </w:rPr>
        <w:t>政府采购政策：</w:t>
      </w:r>
    </w:p>
    <w:p>
      <w:pPr>
        <w:autoSpaceDE w:val="0"/>
        <w:autoSpaceDN w:val="0"/>
        <w:adjustRightInd w:val="0"/>
        <w:spacing w:line="360" w:lineRule="auto"/>
        <w:ind w:firstLine="480" w:firstLineChars="200"/>
        <w:rPr>
          <w:rFonts w:ascii="宋体"/>
          <w:color w:val="auto"/>
          <w:sz w:val="24"/>
          <w:highlight w:val="none"/>
        </w:rPr>
      </w:pPr>
      <w:r>
        <w:rPr>
          <w:rFonts w:hint="eastAsia" w:ascii="宋体"/>
          <w:color w:val="auto"/>
          <w:sz w:val="24"/>
          <w:highlight w:val="none"/>
        </w:rPr>
        <w:t>1.</w:t>
      </w:r>
      <w:r>
        <w:rPr>
          <w:rFonts w:hint="eastAsia" w:ascii="宋体"/>
          <w:color w:val="auto"/>
          <w:sz w:val="24"/>
          <w:highlight w:val="none"/>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产品适用政府采购政策情况表》（</w:t>
      </w:r>
      <w:r>
        <w:rPr>
          <w:rFonts w:hint="eastAsia" w:ascii="宋体"/>
          <w:color w:val="auto"/>
          <w:sz w:val="24"/>
          <w:highlight w:val="none"/>
          <w:lang w:val="en-US" w:eastAsia="zh-CN"/>
        </w:rPr>
        <w:t>格式见附件</w:t>
      </w:r>
      <w:r>
        <w:rPr>
          <w:rFonts w:hint="eastAsia" w:ascii="宋体"/>
          <w:color w:val="auto"/>
          <w:sz w:val="24"/>
          <w:highlight w:val="none"/>
          <w:lang w:val="zh-CN"/>
        </w:rPr>
        <w:t>）、《</w:t>
      </w:r>
      <w:r>
        <w:rPr>
          <w:rFonts w:hint="eastAsia" w:ascii="宋体"/>
          <w:color w:val="auto"/>
          <w:sz w:val="24"/>
          <w:highlight w:val="none"/>
        </w:rPr>
        <w:t>中</w:t>
      </w:r>
      <w:r>
        <w:rPr>
          <w:rFonts w:hint="eastAsia" w:ascii="宋体"/>
          <w:color w:val="auto"/>
          <w:sz w:val="24"/>
          <w:highlight w:val="none"/>
          <w:lang w:val="zh-CN"/>
        </w:rPr>
        <w:t>小企业声明函》（</w:t>
      </w:r>
      <w:r>
        <w:rPr>
          <w:rFonts w:hint="eastAsia" w:ascii="宋体"/>
          <w:color w:val="auto"/>
          <w:sz w:val="24"/>
          <w:highlight w:val="none"/>
          <w:lang w:val="en-US" w:eastAsia="zh-CN"/>
        </w:rPr>
        <w:t>格式见附件</w:t>
      </w:r>
      <w:r>
        <w:rPr>
          <w:rFonts w:hint="eastAsia" w:ascii="宋体"/>
          <w:color w:val="auto"/>
          <w:sz w:val="24"/>
          <w:highlight w:val="none"/>
          <w:lang w:val="zh-CN"/>
        </w:rPr>
        <w:t>），</w:t>
      </w:r>
      <w:r>
        <w:rPr>
          <w:rFonts w:hint="eastAsia" w:ascii="宋体"/>
          <w:color w:val="auto"/>
          <w:sz w:val="24"/>
          <w:highlight w:val="none"/>
        </w:rPr>
        <w:t>投标人未提供以上资料或者经</w:t>
      </w:r>
      <w:r>
        <w:rPr>
          <w:rFonts w:hint="eastAsia" w:ascii="宋体"/>
          <w:color w:val="auto"/>
          <w:sz w:val="24"/>
          <w:highlight w:val="none"/>
          <w:lang w:val="zh-CN"/>
        </w:rPr>
        <w:t>评标委员会核查不符的</w:t>
      </w:r>
      <w:r>
        <w:rPr>
          <w:rFonts w:hint="eastAsia" w:ascii="宋体"/>
          <w:color w:val="auto"/>
          <w:sz w:val="24"/>
          <w:highlight w:val="none"/>
        </w:rPr>
        <w:t>，将不能享受</w:t>
      </w:r>
      <w:r>
        <w:rPr>
          <w:rFonts w:hint="eastAsia"/>
          <w:color w:val="auto"/>
          <w:sz w:val="24"/>
          <w:highlight w:val="none"/>
        </w:rPr>
        <w:t>相应的</w:t>
      </w:r>
      <w:r>
        <w:rPr>
          <w:rFonts w:hint="eastAsia" w:ascii="宋体"/>
          <w:color w:val="auto"/>
          <w:sz w:val="24"/>
          <w:highlight w:val="none"/>
        </w:rPr>
        <w:t>小微企业优惠政策。</w:t>
      </w:r>
    </w:p>
    <w:p>
      <w:pPr>
        <w:autoSpaceDE w:val="0"/>
        <w:autoSpaceDN w:val="0"/>
        <w:adjustRightInd w:val="0"/>
        <w:spacing w:line="360" w:lineRule="auto"/>
        <w:ind w:firstLine="480" w:firstLineChars="200"/>
        <w:rPr>
          <w:rFonts w:ascii="宋体"/>
          <w:color w:val="auto"/>
          <w:sz w:val="24"/>
          <w:highlight w:val="none"/>
          <w:lang w:val="zh-CN"/>
        </w:rPr>
      </w:pPr>
      <w:r>
        <w:rPr>
          <w:rFonts w:hint="eastAsia" w:ascii="宋体"/>
          <w:color w:val="auto"/>
          <w:sz w:val="24"/>
          <w:highlight w:val="none"/>
        </w:rPr>
        <w:t>2.</w:t>
      </w:r>
      <w:r>
        <w:rPr>
          <w:rFonts w:hint="eastAsia" w:ascii="宋体"/>
          <w:color w:val="auto"/>
          <w:sz w:val="24"/>
          <w:highlight w:val="none"/>
          <w:lang w:val="zh-CN"/>
        </w:rPr>
        <w:t>监狱企业参加政府采购活动时，应当提供由省级以上监狱管理局、戒毒管理局（含新疆生产建设兵团）出具的属于监狱企业的证明文件和《产品适用政府采购政策情况表》（</w:t>
      </w:r>
      <w:r>
        <w:rPr>
          <w:rFonts w:hint="eastAsia" w:ascii="宋体"/>
          <w:color w:val="auto"/>
          <w:sz w:val="24"/>
          <w:highlight w:val="none"/>
          <w:lang w:val="en-US" w:eastAsia="zh-CN"/>
        </w:rPr>
        <w:t>格式见附件</w:t>
      </w:r>
      <w:r>
        <w:rPr>
          <w:rFonts w:hint="eastAsia" w:ascii="宋体"/>
          <w:color w:val="auto"/>
          <w:sz w:val="24"/>
          <w:highlight w:val="none"/>
          <w:lang w:val="zh-CN"/>
        </w:rPr>
        <w:t>），视同小型、微型企业，享受小微企业政府采购优惠政策；</w:t>
      </w:r>
    </w:p>
    <w:p>
      <w:pPr>
        <w:autoSpaceDE w:val="0"/>
        <w:autoSpaceDN w:val="0"/>
        <w:adjustRightInd w:val="0"/>
        <w:spacing w:line="360" w:lineRule="auto"/>
        <w:ind w:firstLine="480" w:firstLineChars="200"/>
        <w:rPr>
          <w:rFonts w:hint="eastAsia" w:ascii="宋体"/>
          <w:color w:val="auto"/>
          <w:sz w:val="24"/>
          <w:highlight w:val="none"/>
          <w:lang w:val="zh-CN"/>
        </w:rPr>
      </w:pPr>
      <w:r>
        <w:rPr>
          <w:rFonts w:hint="eastAsia" w:ascii="宋体"/>
          <w:color w:val="auto"/>
          <w:sz w:val="24"/>
          <w:highlight w:val="none"/>
        </w:rPr>
        <w:t>3.</w:t>
      </w:r>
      <w:r>
        <w:rPr>
          <w:rFonts w:hint="eastAsia" w:ascii="宋体"/>
          <w:color w:val="auto"/>
          <w:sz w:val="24"/>
          <w:highlight w:val="none"/>
          <w:lang w:val="zh-CN"/>
        </w:rPr>
        <w:t>残疾人福利性单位在参加政府采购活动时，应提供《残疾人福利性单位声明函》（</w:t>
      </w:r>
      <w:r>
        <w:rPr>
          <w:rFonts w:hint="eastAsia" w:ascii="宋体"/>
          <w:color w:val="auto"/>
          <w:sz w:val="24"/>
          <w:highlight w:val="none"/>
          <w:lang w:val="en-US" w:eastAsia="zh-CN"/>
        </w:rPr>
        <w:t>格式见附件</w:t>
      </w:r>
      <w:r>
        <w:rPr>
          <w:rFonts w:hint="eastAsia" w:ascii="宋体"/>
          <w:color w:val="auto"/>
          <w:sz w:val="24"/>
          <w:highlight w:val="none"/>
          <w:lang w:val="zh-CN"/>
        </w:rPr>
        <w:t>）和《产品适用政府采购政策情况表》（</w:t>
      </w:r>
      <w:r>
        <w:rPr>
          <w:rFonts w:hint="eastAsia" w:ascii="宋体"/>
          <w:color w:val="auto"/>
          <w:sz w:val="24"/>
          <w:highlight w:val="none"/>
          <w:lang w:val="en-US" w:eastAsia="zh-CN"/>
        </w:rPr>
        <w:t>格式见附件</w:t>
      </w:r>
      <w:r>
        <w:rPr>
          <w:rFonts w:hint="eastAsia" w:ascii="宋体"/>
          <w:color w:val="auto"/>
          <w:sz w:val="24"/>
          <w:highlight w:val="none"/>
          <w:lang w:val="zh-CN"/>
        </w:rPr>
        <w:t>），视同小型、微型企业，享受小微企业政府采购优惠政策。</w:t>
      </w:r>
    </w:p>
    <w:p>
      <w:pPr>
        <w:pStyle w:val="9"/>
        <w:spacing w:line="360" w:lineRule="auto"/>
        <w:ind w:firstLine="480" w:firstLineChars="200"/>
        <w:jc w:val="both"/>
        <w:rPr>
          <w:rFonts w:hint="eastAsia" w:ascii="宋体" w:hAnsi="宋体" w:cs="宋体"/>
          <w:color w:val="auto"/>
          <w:sz w:val="24"/>
          <w:highlight w:val="none"/>
        </w:rPr>
      </w:pPr>
      <w:r>
        <w:rPr>
          <w:rFonts w:hint="eastAsia" w:ascii="宋体"/>
          <w:color w:val="auto"/>
          <w:sz w:val="24"/>
          <w:highlight w:val="none"/>
          <w:lang w:val="en-US" w:eastAsia="zh-CN"/>
        </w:rPr>
        <w:t>4.</w:t>
      </w:r>
      <w:r>
        <w:rPr>
          <w:rFonts w:hint="eastAsia" w:ascii="宋体" w:hAnsi="宋体" w:cs="宋体"/>
          <w:color w:val="auto"/>
          <w:sz w:val="24"/>
          <w:highlight w:val="none"/>
        </w:rPr>
        <w:t>投标产品中有符合最新一期行政主管部门公布的“节能产品政府采购品目清单”、“环境标志产品政府采购品目清单”标准的节能环保产品，应提供所投产品由国家确定的认证机关出具的节能产品、环保产品有效认证证书。【特别提示：节能和环境标志产品最新一期政府采购品目清单，可在“中国政府采购网”中查看】</w:t>
      </w:r>
    </w:p>
    <w:p>
      <w:pPr>
        <w:pStyle w:val="9"/>
        <w:spacing w:line="360" w:lineRule="auto"/>
        <w:ind w:firstLine="480" w:firstLineChars="200"/>
        <w:jc w:val="both"/>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rPr>
        <w:t>对于已列入品目清单的产品类别，采购人可在采购需求中提出更高的节约资源和保护环境要求，对符合条件的获证产品给予优先待遇。对于未列入品目清单的产品类别，鼓励采购人综合考虑节能、节水、环保、循环、低碳、再生、有机等因素，参考相关国家标准、行业标准或团体标准，在采购需求中提出相关绿色采购要求，促进绿色产品推广应用。</w:t>
      </w:r>
    </w:p>
    <w:p>
      <w:pPr>
        <w:autoSpaceDE w:val="0"/>
        <w:autoSpaceDN w:val="0"/>
        <w:adjustRightInd w:val="0"/>
        <w:spacing w:line="360" w:lineRule="auto"/>
        <w:ind w:firstLine="480" w:firstLineChars="200"/>
        <w:rPr>
          <w:color w:val="auto"/>
          <w:highlight w:val="none"/>
          <w:lang w:val="zh-CN"/>
        </w:rPr>
      </w:pPr>
      <w:r>
        <w:rPr>
          <w:rFonts w:hint="eastAsia" w:ascii="宋体"/>
          <w:color w:val="auto"/>
          <w:sz w:val="24"/>
          <w:highlight w:val="none"/>
        </w:rPr>
        <w:t>（二）价格扣除相关要求：</w:t>
      </w:r>
    </w:p>
    <w:p>
      <w:pPr>
        <w:pStyle w:val="12"/>
        <w:snapToGrid w:val="0"/>
        <w:spacing w:line="360" w:lineRule="auto"/>
        <w:ind w:firstLine="480" w:firstLineChars="200"/>
        <w:rPr>
          <w:rFonts w:hint="eastAsia" w:ascii="宋体"/>
          <w:color w:val="auto"/>
          <w:sz w:val="24"/>
          <w:highlight w:val="none"/>
          <w:lang w:val="zh-CN"/>
        </w:rPr>
      </w:pPr>
      <w:r>
        <w:rPr>
          <w:rFonts w:hint="eastAsia" w:hAnsi="宋体"/>
          <w:color w:val="auto"/>
          <w:sz w:val="24"/>
          <w:highlight w:val="none"/>
        </w:rPr>
        <w:t>本项目属于专门面向中小企业采购的项目均不给予价格扣除。</w:t>
      </w:r>
    </w:p>
    <w:p>
      <w:pPr>
        <w:pStyle w:val="12"/>
        <w:snapToGrid w:val="0"/>
        <w:spacing w:line="360" w:lineRule="auto"/>
        <w:ind w:firstLine="482" w:firstLineChars="200"/>
        <w:rPr>
          <w:rFonts w:hAnsi="宋体" w:cs="宋体"/>
          <w:b/>
          <w:bCs/>
          <w:color w:val="auto"/>
          <w:sz w:val="24"/>
          <w:highlight w:val="none"/>
        </w:rPr>
      </w:pPr>
      <w:r>
        <w:rPr>
          <w:rFonts w:hint="eastAsia" w:hAnsi="宋体" w:cs="宋体"/>
          <w:b/>
          <w:bCs/>
          <w:color w:val="auto"/>
          <w:sz w:val="24"/>
          <w:highlight w:val="none"/>
        </w:rPr>
        <w:t>八、评标程序</w:t>
      </w:r>
    </w:p>
    <w:p>
      <w:pPr>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（一）资格性审查</w:t>
      </w:r>
    </w:p>
    <w:p>
      <w:pPr>
        <w:pStyle w:val="9"/>
        <w:spacing w:line="360" w:lineRule="auto"/>
        <w:ind w:firstLine="480" w:firstLineChars="200"/>
        <w:jc w:val="both"/>
        <w:rPr>
          <w:rFonts w:ascii="宋体" w:hAnsi="宋体" w:cs="宋体"/>
          <w:color w:val="auto"/>
          <w:sz w:val="24"/>
          <w:highlight w:val="none"/>
        </w:rPr>
      </w:pPr>
      <w:r>
        <w:rPr>
          <w:rFonts w:hint="eastAsia" w:ascii="宋体" w:hAnsi="宋体" w:cs="宋体"/>
          <w:color w:val="auto"/>
          <w:sz w:val="24"/>
          <w:highlight w:val="none"/>
        </w:rPr>
        <w:t>投标文件解密后，采购人或采购组织机构依法对投标人的资格进行审查，对审查发现无效的进行必要的询标，在政采云平台公布无效投标的投标人名单、投标无效的原因。</w:t>
      </w:r>
    </w:p>
    <w:tbl>
      <w:tblPr>
        <w:tblStyle w:val="19"/>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694" w:type="dxa"/>
            <w:shd w:val="clear" w:color="auto" w:fill="auto"/>
            <w:vAlign w:val="center"/>
          </w:tcPr>
          <w:p>
            <w:pPr>
              <w:rPr>
                <w:color w:val="auto"/>
                <w:sz w:val="22"/>
                <w:szCs w:val="28"/>
                <w:highlight w:val="none"/>
              </w:rPr>
            </w:pPr>
            <w:r>
              <w:rPr>
                <w:rFonts w:hint="eastAsia"/>
                <w:color w:val="auto"/>
                <w:sz w:val="22"/>
                <w:szCs w:val="28"/>
                <w:highlight w:val="none"/>
              </w:rPr>
              <w:t>具有独立承担民事责任的能力</w:t>
            </w:r>
          </w:p>
        </w:tc>
        <w:tc>
          <w:tcPr>
            <w:tcW w:w="7495" w:type="dxa"/>
            <w:shd w:val="clear" w:color="auto" w:fill="auto"/>
            <w:vAlign w:val="center"/>
          </w:tcPr>
          <w:p>
            <w:pPr>
              <w:ind w:firstLine="440" w:firstLineChars="200"/>
              <w:rPr>
                <w:color w:val="auto"/>
                <w:sz w:val="22"/>
                <w:szCs w:val="28"/>
                <w:highlight w:val="none"/>
              </w:rPr>
            </w:pPr>
            <w:r>
              <w:rPr>
                <w:rFonts w:hint="eastAsia"/>
                <w:color w:val="auto"/>
                <w:sz w:val="22"/>
                <w:szCs w:val="28"/>
                <w:highlight w:val="none"/>
              </w:rPr>
              <w:t>在中华人民共和国境内注册的法人或其他组织或自然人，投标时提交有效的营业执照（或事业法人登记证或身份证等相关证明）副本扫描件。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2" w:hRule="atLeast"/>
          <w:jc w:val="center"/>
        </w:trPr>
        <w:tc>
          <w:tcPr>
            <w:tcW w:w="1694" w:type="dxa"/>
            <w:shd w:val="clear" w:color="auto" w:fill="auto"/>
            <w:vAlign w:val="center"/>
          </w:tcPr>
          <w:p>
            <w:pPr>
              <w:rPr>
                <w:color w:val="auto"/>
                <w:sz w:val="22"/>
                <w:szCs w:val="28"/>
                <w:highlight w:val="none"/>
              </w:rPr>
            </w:pPr>
            <w:r>
              <w:rPr>
                <w:rFonts w:hint="eastAsia"/>
                <w:color w:val="auto"/>
                <w:sz w:val="22"/>
                <w:szCs w:val="28"/>
                <w:highlight w:val="none"/>
              </w:rPr>
              <w:t>有依法缴纳税收和社会保障资金的良好记录</w:t>
            </w:r>
          </w:p>
        </w:tc>
        <w:tc>
          <w:tcPr>
            <w:tcW w:w="7495" w:type="dxa"/>
            <w:vMerge w:val="restart"/>
            <w:shd w:val="clear" w:color="auto" w:fill="auto"/>
            <w:vAlign w:val="center"/>
          </w:tcPr>
          <w:p>
            <w:pPr>
              <w:ind w:firstLine="440" w:firstLineChars="200"/>
              <w:rPr>
                <w:color w:val="auto"/>
                <w:sz w:val="22"/>
                <w:szCs w:val="28"/>
                <w:highlight w:val="none"/>
              </w:rPr>
            </w:pPr>
            <w:r>
              <w:rPr>
                <w:rFonts w:hint="eastAsia"/>
                <w:color w:val="auto"/>
                <w:sz w:val="22"/>
                <w:szCs w:val="28"/>
                <w:highlight w:val="none"/>
              </w:rPr>
              <w:t>提供关于供应商财务状况和依法缴纳税收及社会保障资金的书面承诺函（格式详见附件）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694" w:type="dxa"/>
            <w:shd w:val="clear" w:color="auto" w:fill="auto"/>
            <w:vAlign w:val="center"/>
          </w:tcPr>
          <w:p>
            <w:pPr>
              <w:rPr>
                <w:color w:val="auto"/>
                <w:sz w:val="22"/>
                <w:szCs w:val="28"/>
                <w:highlight w:val="none"/>
              </w:rPr>
            </w:pPr>
            <w:r>
              <w:rPr>
                <w:rFonts w:hint="eastAsia"/>
                <w:color w:val="auto"/>
                <w:sz w:val="22"/>
                <w:szCs w:val="28"/>
                <w:highlight w:val="none"/>
              </w:rPr>
              <w:t>具有良好的商业信誉和健全的财务会计制度</w:t>
            </w:r>
          </w:p>
        </w:tc>
        <w:tc>
          <w:tcPr>
            <w:tcW w:w="7495" w:type="dxa"/>
            <w:vMerge w:val="continue"/>
            <w:shd w:val="clear" w:color="auto" w:fill="auto"/>
            <w:vAlign w:val="center"/>
          </w:tcPr>
          <w:p>
            <w:pPr>
              <w:ind w:firstLine="440" w:firstLineChars="200"/>
              <w:rPr>
                <w:color w:val="auto"/>
                <w:sz w:val="22"/>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694" w:type="dxa"/>
            <w:shd w:val="clear" w:color="auto" w:fill="auto"/>
            <w:vAlign w:val="center"/>
          </w:tcPr>
          <w:p>
            <w:pPr>
              <w:rPr>
                <w:color w:val="auto"/>
                <w:sz w:val="22"/>
                <w:szCs w:val="28"/>
                <w:highlight w:val="none"/>
              </w:rPr>
            </w:pPr>
            <w:r>
              <w:rPr>
                <w:rFonts w:hint="eastAsia"/>
                <w:color w:val="auto"/>
                <w:sz w:val="22"/>
                <w:szCs w:val="28"/>
                <w:highlight w:val="none"/>
              </w:rPr>
              <w:t>履行合同所必需的设备和专业技术能力</w:t>
            </w:r>
          </w:p>
        </w:tc>
        <w:tc>
          <w:tcPr>
            <w:tcW w:w="7495" w:type="dxa"/>
            <w:shd w:val="clear" w:color="auto" w:fill="auto"/>
            <w:vAlign w:val="center"/>
          </w:tcPr>
          <w:p>
            <w:pPr>
              <w:ind w:firstLine="440" w:firstLineChars="200"/>
              <w:rPr>
                <w:color w:val="auto"/>
                <w:sz w:val="22"/>
                <w:szCs w:val="28"/>
                <w:highlight w:val="none"/>
              </w:rPr>
            </w:pPr>
            <w:r>
              <w:rPr>
                <w:rFonts w:hint="eastAsia"/>
                <w:color w:val="auto"/>
                <w:sz w:val="22"/>
                <w:szCs w:val="28"/>
                <w:highlight w:val="none"/>
              </w:rPr>
              <w:t>具备履行合同所必需的设备和专业技术能力的承诺函（格式详见附件）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2" w:hRule="atLeast"/>
          <w:jc w:val="center"/>
        </w:trPr>
        <w:tc>
          <w:tcPr>
            <w:tcW w:w="1694" w:type="dxa"/>
            <w:shd w:val="clear" w:color="auto" w:fill="auto"/>
            <w:vAlign w:val="center"/>
          </w:tcPr>
          <w:p>
            <w:pPr>
              <w:rPr>
                <w:color w:val="auto"/>
                <w:sz w:val="22"/>
                <w:szCs w:val="28"/>
                <w:highlight w:val="none"/>
              </w:rPr>
            </w:pPr>
            <w:r>
              <w:rPr>
                <w:rFonts w:hint="eastAsia"/>
                <w:color w:val="auto"/>
                <w:sz w:val="22"/>
                <w:szCs w:val="28"/>
                <w:highlight w:val="none"/>
              </w:rPr>
              <w:t>参加采购活动前3年内，在经营活动中没有重大违法记录</w:t>
            </w:r>
          </w:p>
        </w:tc>
        <w:tc>
          <w:tcPr>
            <w:tcW w:w="7495" w:type="dxa"/>
            <w:shd w:val="clear" w:color="auto" w:fill="auto"/>
            <w:vAlign w:val="center"/>
          </w:tcPr>
          <w:p>
            <w:pPr>
              <w:ind w:firstLine="440" w:firstLineChars="200"/>
              <w:rPr>
                <w:color w:val="auto"/>
                <w:sz w:val="22"/>
                <w:szCs w:val="28"/>
                <w:highlight w:val="none"/>
              </w:rPr>
            </w:pPr>
            <w:r>
              <w:rPr>
                <w:rFonts w:hint="eastAsia"/>
                <w:color w:val="auto"/>
                <w:sz w:val="22"/>
                <w:szCs w:val="28"/>
                <w:highlight w:val="none"/>
              </w:rPr>
              <w:t>参照投标</w:t>
            </w:r>
            <w:r>
              <w:rPr>
                <w:rFonts w:hint="eastAsia"/>
                <w:color w:val="auto"/>
                <w:sz w:val="22"/>
                <w:szCs w:val="22"/>
                <w:highlight w:val="none"/>
              </w:rPr>
              <w:t>声明</w:t>
            </w:r>
            <w:r>
              <w:rPr>
                <w:rFonts w:hint="eastAsia"/>
                <w:color w:val="auto"/>
                <w:sz w:val="22"/>
                <w:szCs w:val="28"/>
                <w:highlight w:val="none"/>
              </w:rPr>
              <w:t>书相关承诺内容。重大违法记录，是指投标人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91" w:hRule="atLeast"/>
          <w:jc w:val="center"/>
        </w:trPr>
        <w:tc>
          <w:tcPr>
            <w:tcW w:w="1694" w:type="dxa"/>
            <w:shd w:val="clear" w:color="auto" w:fill="auto"/>
            <w:vAlign w:val="center"/>
          </w:tcPr>
          <w:p>
            <w:pPr>
              <w:rPr>
                <w:color w:val="auto"/>
                <w:sz w:val="22"/>
                <w:szCs w:val="28"/>
                <w:highlight w:val="none"/>
              </w:rPr>
            </w:pPr>
            <w:r>
              <w:rPr>
                <w:rFonts w:hint="eastAsia"/>
                <w:color w:val="auto"/>
                <w:sz w:val="22"/>
                <w:szCs w:val="28"/>
                <w:highlight w:val="none"/>
              </w:rPr>
              <w:t>信用记录</w:t>
            </w:r>
          </w:p>
        </w:tc>
        <w:tc>
          <w:tcPr>
            <w:tcW w:w="7495" w:type="dxa"/>
            <w:shd w:val="clear" w:color="auto" w:fill="auto"/>
            <w:vAlign w:val="center"/>
          </w:tcPr>
          <w:p>
            <w:pPr>
              <w:ind w:firstLine="440" w:firstLineChars="200"/>
              <w:jc w:val="left"/>
              <w:rPr>
                <w:rFonts w:ascii="宋体" w:hAnsi="宋体" w:cs="宋体"/>
                <w:color w:val="auto"/>
                <w:sz w:val="22"/>
                <w:szCs w:val="22"/>
                <w:highlight w:val="none"/>
              </w:rPr>
            </w:pPr>
            <w:r>
              <w:rPr>
                <w:rFonts w:hint="eastAsia"/>
                <w:color w:val="auto"/>
                <w:sz w:val="22"/>
                <w:szCs w:val="28"/>
                <w:highlight w:val="none"/>
              </w:rPr>
              <w:t>1.</w:t>
            </w:r>
            <w:r>
              <w:rPr>
                <w:color w:val="auto"/>
                <w:sz w:val="22"/>
                <w:szCs w:val="28"/>
                <w:highlight w:val="none"/>
              </w:rPr>
              <w:t>截止时点：</w:t>
            </w:r>
            <w:r>
              <w:rPr>
                <w:rFonts w:hint="eastAsia"/>
                <w:color w:val="auto"/>
                <w:sz w:val="22"/>
                <w:szCs w:val="28"/>
                <w:highlight w:val="none"/>
                <w:lang w:eastAsia="zh-CN"/>
              </w:rPr>
              <w:t>开标后评标前</w:t>
            </w:r>
            <w:r>
              <w:rPr>
                <w:color w:val="auto"/>
                <w:sz w:val="22"/>
                <w:szCs w:val="28"/>
                <w:highlight w:val="none"/>
              </w:rPr>
              <w:t>。</w:t>
            </w:r>
          </w:p>
          <w:p>
            <w:pPr>
              <w:ind w:firstLine="440" w:firstLineChars="200"/>
              <w:rPr>
                <w:rFonts w:hint="eastAsia" w:eastAsia="宋体"/>
                <w:color w:val="auto"/>
                <w:sz w:val="22"/>
                <w:szCs w:val="28"/>
                <w:highlight w:val="none"/>
                <w:lang w:eastAsia="zh-CN"/>
              </w:rPr>
            </w:pPr>
            <w:r>
              <w:rPr>
                <w:rFonts w:hint="eastAsia"/>
                <w:color w:val="auto"/>
                <w:sz w:val="22"/>
                <w:szCs w:val="28"/>
                <w:highlight w:val="none"/>
              </w:rPr>
              <w:t>2.</w:t>
            </w:r>
            <w:r>
              <w:rPr>
                <w:color w:val="auto"/>
                <w:sz w:val="22"/>
                <w:szCs w:val="28"/>
                <w:highlight w:val="none"/>
              </w:rPr>
              <w:t>信用信息查询记录和证据留存的具体方式：由采购组织机构在规定查询时间内打印信用信息查询记录并归入项目档案。</w:t>
            </w:r>
          </w:p>
          <w:p>
            <w:pPr>
              <w:ind w:firstLine="440" w:firstLineChars="200"/>
              <w:rPr>
                <w:color w:val="auto"/>
                <w:sz w:val="22"/>
                <w:szCs w:val="28"/>
                <w:highlight w:val="none"/>
              </w:rPr>
            </w:pPr>
            <w:r>
              <w:rPr>
                <w:rFonts w:hint="eastAsia"/>
                <w:color w:val="auto"/>
                <w:sz w:val="22"/>
                <w:szCs w:val="28"/>
                <w:highlight w:val="none"/>
              </w:rPr>
              <w:t xml:space="preserve">    3.</w:t>
            </w:r>
            <w:r>
              <w:rPr>
                <w:color w:val="auto"/>
                <w:sz w:val="22"/>
                <w:szCs w:val="28"/>
                <w:highlight w:val="none"/>
              </w:rPr>
              <w:t>使用规则</w:t>
            </w:r>
            <w:r>
              <w:rPr>
                <w:rFonts w:hint="eastAsia"/>
                <w:color w:val="auto"/>
                <w:sz w:val="22"/>
                <w:szCs w:val="28"/>
                <w:highlight w:val="none"/>
              </w:rPr>
              <w:t>：投标人</w:t>
            </w:r>
            <w:r>
              <w:rPr>
                <w:color w:val="auto"/>
                <w:sz w:val="22"/>
                <w:szCs w:val="28"/>
                <w:highlight w:val="none"/>
              </w:rPr>
              <w:t>未被列入“信用中国”失信被执行人或</w:t>
            </w:r>
            <w:r>
              <w:rPr>
                <w:rFonts w:hint="eastAsia"/>
                <w:color w:val="auto"/>
                <w:sz w:val="22"/>
                <w:szCs w:val="28"/>
                <w:highlight w:val="none"/>
                <w:lang w:eastAsia="zh-CN"/>
              </w:rPr>
              <w:t>重大税收违法失信主体</w:t>
            </w:r>
            <w:r>
              <w:rPr>
                <w:color w:val="auto"/>
                <w:sz w:val="22"/>
                <w:szCs w:val="28"/>
                <w:highlight w:val="none"/>
              </w:rPr>
              <w:t>；</w:t>
            </w:r>
            <w:r>
              <w:rPr>
                <w:rFonts w:hint="eastAsia"/>
                <w:color w:val="auto"/>
                <w:sz w:val="22"/>
                <w:szCs w:val="28"/>
                <w:highlight w:val="none"/>
              </w:rPr>
              <w:t>未</w:t>
            </w:r>
            <w:r>
              <w:rPr>
                <w:color w:val="auto"/>
                <w:sz w:val="22"/>
                <w:szCs w:val="28"/>
                <w:highlight w:val="none"/>
              </w:rPr>
              <w:t>处于“中国政府采购网”政府采购严重违法失信行为信息记录中的禁止参加政府采购活动期间。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2" w:hRule="atLeast"/>
          <w:jc w:val="center"/>
        </w:trPr>
        <w:tc>
          <w:tcPr>
            <w:tcW w:w="1694" w:type="dxa"/>
            <w:shd w:val="clear" w:color="auto" w:fill="auto"/>
            <w:vAlign w:val="center"/>
          </w:tcPr>
          <w:p>
            <w:pPr>
              <w:rPr>
                <w:color w:val="auto"/>
                <w:sz w:val="22"/>
                <w:szCs w:val="28"/>
                <w:highlight w:val="none"/>
              </w:rPr>
            </w:pPr>
            <w:r>
              <w:rPr>
                <w:rFonts w:hint="eastAsia"/>
                <w:color w:val="auto"/>
                <w:sz w:val="22"/>
                <w:szCs w:val="28"/>
                <w:highlight w:val="none"/>
              </w:rPr>
              <w:t>必须符合法律、行政法规规定的其他条件</w:t>
            </w:r>
          </w:p>
        </w:tc>
        <w:tc>
          <w:tcPr>
            <w:tcW w:w="7495" w:type="dxa"/>
            <w:shd w:val="clear" w:color="auto" w:fill="auto"/>
            <w:vAlign w:val="center"/>
          </w:tcPr>
          <w:p>
            <w:pPr>
              <w:ind w:firstLine="440" w:firstLineChars="200"/>
              <w:rPr>
                <w:color w:val="auto"/>
                <w:sz w:val="22"/>
                <w:szCs w:val="28"/>
                <w:highlight w:val="none"/>
              </w:rPr>
            </w:pPr>
            <w:r>
              <w:rPr>
                <w:rFonts w:hint="eastAsia"/>
                <w:color w:val="auto"/>
                <w:sz w:val="22"/>
                <w:szCs w:val="28"/>
                <w:highlight w:val="none"/>
              </w:rPr>
              <w:t>1.单位负责人为同一人或者存在直接控股、管理关系的不同供应商，不得同时参加本项目投标。</w:t>
            </w:r>
          </w:p>
          <w:p>
            <w:pPr>
              <w:ind w:firstLine="440" w:firstLineChars="200"/>
              <w:rPr>
                <w:color w:val="auto"/>
                <w:sz w:val="22"/>
                <w:szCs w:val="28"/>
                <w:highlight w:val="none"/>
              </w:rPr>
            </w:pPr>
            <w:r>
              <w:rPr>
                <w:rFonts w:hint="eastAsia"/>
                <w:color w:val="auto"/>
                <w:sz w:val="22"/>
                <w:szCs w:val="28"/>
                <w:highlight w:val="none"/>
              </w:rPr>
              <w:t>2.为本项目提供整体设计、规范编制或者项目管理、监理、检测等服务的供应商，不得再参与本项目投标。</w:t>
            </w:r>
          </w:p>
          <w:p>
            <w:pPr>
              <w:ind w:firstLine="440" w:firstLineChars="200"/>
              <w:rPr>
                <w:color w:val="auto"/>
                <w:sz w:val="22"/>
                <w:szCs w:val="28"/>
                <w:highlight w:val="none"/>
              </w:rPr>
            </w:pPr>
            <w:r>
              <w:rPr>
                <w:rFonts w:hint="eastAsia"/>
                <w:color w:val="auto"/>
                <w:sz w:val="22"/>
                <w:szCs w:val="28"/>
                <w:highlight w:val="none"/>
              </w:rPr>
              <w:t>3.投标（报价）函相关承诺要求内容。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694" w:type="dxa"/>
            <w:shd w:val="clear" w:color="auto" w:fill="auto"/>
            <w:vAlign w:val="center"/>
          </w:tcPr>
          <w:p>
            <w:pPr>
              <w:rPr>
                <w:color w:val="auto"/>
                <w:sz w:val="22"/>
                <w:szCs w:val="28"/>
                <w:highlight w:val="none"/>
              </w:rPr>
            </w:pPr>
            <w:r>
              <w:rPr>
                <w:rFonts w:hint="eastAsia"/>
                <w:color w:val="auto"/>
                <w:sz w:val="22"/>
                <w:szCs w:val="28"/>
                <w:highlight w:val="none"/>
              </w:rPr>
              <w:t>联合体投标</w:t>
            </w:r>
          </w:p>
        </w:tc>
        <w:tc>
          <w:tcPr>
            <w:tcW w:w="7495" w:type="dxa"/>
            <w:shd w:val="clear" w:color="auto" w:fill="auto"/>
            <w:vAlign w:val="center"/>
          </w:tcPr>
          <w:p>
            <w:pPr>
              <w:ind w:firstLine="440" w:firstLineChars="200"/>
              <w:rPr>
                <w:color w:val="auto"/>
                <w:sz w:val="22"/>
                <w:szCs w:val="28"/>
                <w:highlight w:val="none"/>
              </w:rPr>
            </w:pPr>
            <w:r>
              <w:rPr>
                <w:rFonts w:hint="eastAsia"/>
                <w:color w:val="auto"/>
                <w:sz w:val="22"/>
                <w:szCs w:val="28"/>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694" w:type="dxa"/>
            <w:shd w:val="clear" w:color="auto" w:fill="auto"/>
            <w:vAlign w:val="center"/>
          </w:tcPr>
          <w:p>
            <w:pPr>
              <w:rPr>
                <w:color w:val="auto"/>
                <w:sz w:val="22"/>
                <w:szCs w:val="28"/>
                <w:highlight w:val="none"/>
              </w:rPr>
            </w:pPr>
            <w:r>
              <w:rPr>
                <w:rFonts w:hint="eastAsia"/>
                <w:color w:val="auto"/>
                <w:sz w:val="22"/>
                <w:szCs w:val="28"/>
                <w:highlight w:val="none"/>
              </w:rPr>
              <w:t>资质</w:t>
            </w:r>
          </w:p>
        </w:tc>
        <w:tc>
          <w:tcPr>
            <w:tcW w:w="7495" w:type="dxa"/>
            <w:shd w:val="clear" w:color="auto" w:fill="auto"/>
            <w:vAlign w:val="center"/>
          </w:tcPr>
          <w:p>
            <w:pPr>
              <w:ind w:firstLine="480" w:firstLineChars="200"/>
              <w:rPr>
                <w:rFonts w:hint="eastAsia" w:eastAsiaTheme="minorEastAsia"/>
                <w:color w:val="auto"/>
                <w:sz w:val="22"/>
                <w:szCs w:val="28"/>
                <w:highlight w:val="none"/>
                <w:lang w:eastAsia="zh-CN"/>
              </w:rPr>
            </w:pPr>
            <w:r>
              <w:rPr>
                <w:rFonts w:hint="eastAsia" w:asciiTheme="minorEastAsia" w:hAnsiTheme="minorEastAsia" w:eastAsiaTheme="minorEastAsia"/>
                <w:color w:val="auto"/>
                <w:sz w:val="24"/>
                <w:szCs w:val="24"/>
                <w:highlight w:val="none"/>
              </w:rPr>
              <w:t>公路交通工程专业承包资质（公路安全设施分项）</w:t>
            </w:r>
            <w:r>
              <w:rPr>
                <w:rFonts w:hint="eastAsia" w:asciiTheme="minorEastAsia" w:hAnsiTheme="minorEastAsia" w:eastAsiaTheme="minorEastAsia"/>
                <w:color w:val="auto"/>
                <w:sz w:val="24"/>
                <w:szCs w:val="24"/>
                <w:highlight w:val="none"/>
                <w:lang w:eastAsia="zh-CN"/>
              </w:rPr>
              <w:t>（</w:t>
            </w:r>
            <w:r>
              <w:rPr>
                <w:rFonts w:hint="eastAsia" w:asciiTheme="minorEastAsia" w:hAnsiTheme="minorEastAsia" w:eastAsiaTheme="minorEastAsia"/>
                <w:color w:val="auto"/>
                <w:sz w:val="24"/>
                <w:szCs w:val="24"/>
                <w:highlight w:val="none"/>
                <w:lang w:val="en-US" w:eastAsia="zh-CN"/>
              </w:rPr>
              <w:t>提供资质证书扫描件</w:t>
            </w:r>
            <w:r>
              <w:rPr>
                <w:rFonts w:hint="eastAsia" w:asciiTheme="minorEastAsia" w:hAnsiTheme="minorEastAsia" w:eastAsiaTheme="minorEastAsia"/>
                <w:color w:val="auto"/>
                <w:sz w:val="24"/>
                <w:szCs w:val="24"/>
                <w:highlight w:val="none"/>
                <w:lang w:eastAsia="zh-CN"/>
              </w:rPr>
              <w:t>）</w:t>
            </w:r>
          </w:p>
        </w:tc>
      </w:tr>
    </w:tbl>
    <w:p>
      <w:pPr>
        <w:pStyle w:val="9"/>
        <w:spacing w:line="360" w:lineRule="auto"/>
        <w:ind w:firstLine="482" w:firstLineChars="200"/>
        <w:jc w:val="both"/>
        <w:rPr>
          <w:rFonts w:asciiTheme="minorEastAsia" w:hAnsiTheme="minorEastAsia" w:eastAsiaTheme="minorEastAsia"/>
          <w:b/>
          <w:bCs/>
          <w:color w:val="auto"/>
          <w:sz w:val="24"/>
          <w:highlight w:val="none"/>
        </w:rPr>
      </w:pPr>
      <w:r>
        <w:rPr>
          <w:rFonts w:hint="eastAsia" w:asciiTheme="minorEastAsia" w:hAnsiTheme="minorEastAsia" w:eastAsiaTheme="minorEastAsia"/>
          <w:b/>
          <w:bCs/>
          <w:color w:val="auto"/>
          <w:sz w:val="24"/>
          <w:highlight w:val="none"/>
        </w:rPr>
        <w:t>（二）</w:t>
      </w:r>
      <w:r>
        <w:rPr>
          <w:rFonts w:asciiTheme="minorEastAsia" w:hAnsiTheme="minorEastAsia" w:eastAsiaTheme="minorEastAsia"/>
          <w:b/>
          <w:bCs/>
          <w:color w:val="auto"/>
          <w:sz w:val="24"/>
          <w:highlight w:val="none"/>
        </w:rPr>
        <w:t>符合性审查</w:t>
      </w:r>
    </w:p>
    <w:p>
      <w:pPr>
        <w:pStyle w:val="9"/>
        <w:spacing w:line="360" w:lineRule="auto"/>
        <w:ind w:firstLine="480" w:firstLineChars="200"/>
        <w:jc w:val="both"/>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评标委员会应当对符合资格的投标人的投标文件进行符合性审查，以确定其是否满足招标文件的实质性要求，对审查发现无效的进行必要的询标，</w:t>
      </w:r>
      <w:r>
        <w:rPr>
          <w:rFonts w:hint="eastAsia" w:ascii="宋体" w:hAnsi="宋体" w:cs="宋体"/>
          <w:color w:val="auto"/>
          <w:sz w:val="24"/>
          <w:highlight w:val="none"/>
        </w:rPr>
        <w:t>在政采云平台公布无效投标的投标人名单、投标无效的原因。</w:t>
      </w:r>
    </w:p>
    <w:tbl>
      <w:tblPr>
        <w:tblStyle w:val="19"/>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2"/>
        <w:gridCol w:w="7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17" w:hRule="atLeast"/>
          <w:jc w:val="center"/>
        </w:trPr>
        <w:tc>
          <w:tcPr>
            <w:tcW w:w="1702" w:type="dxa"/>
            <w:shd w:val="clear" w:color="auto" w:fill="auto"/>
            <w:vAlign w:val="center"/>
          </w:tcPr>
          <w:p>
            <w:pPr>
              <w:pStyle w:val="28"/>
              <w:spacing w:line="360" w:lineRule="auto"/>
              <w:ind w:right="146"/>
              <w:rPr>
                <w:color w:val="auto"/>
                <w:sz w:val="22"/>
                <w:szCs w:val="22"/>
                <w:highlight w:val="none"/>
              </w:rPr>
            </w:pPr>
            <w:r>
              <w:rPr>
                <w:rFonts w:hint="eastAsia"/>
                <w:color w:val="auto"/>
                <w:sz w:val="22"/>
                <w:szCs w:val="22"/>
                <w:highlight w:val="none"/>
              </w:rPr>
              <w:t>投标文件</w:t>
            </w:r>
          </w:p>
        </w:tc>
        <w:tc>
          <w:tcPr>
            <w:tcW w:w="7476" w:type="dxa"/>
            <w:shd w:val="clear" w:color="auto" w:fill="auto"/>
            <w:vAlign w:val="center"/>
          </w:tcPr>
          <w:p>
            <w:pPr>
              <w:pStyle w:val="28"/>
              <w:spacing w:before="48" w:line="360" w:lineRule="auto"/>
              <w:rPr>
                <w:color w:val="auto"/>
                <w:sz w:val="22"/>
                <w:szCs w:val="22"/>
                <w:highlight w:val="none"/>
              </w:rPr>
            </w:pPr>
            <w:r>
              <w:rPr>
                <w:rFonts w:hint="eastAsia"/>
                <w:color w:val="auto"/>
                <w:sz w:val="22"/>
                <w:szCs w:val="22"/>
                <w:highlight w:val="none"/>
              </w:rPr>
              <w:t>投标文件完整且编排有序，投标内容基本完整，无重大错漏，并按要求签署、盖章。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1" w:hRule="atLeast"/>
          <w:jc w:val="center"/>
        </w:trPr>
        <w:tc>
          <w:tcPr>
            <w:tcW w:w="1702" w:type="dxa"/>
            <w:shd w:val="clear" w:color="auto" w:fill="auto"/>
            <w:vAlign w:val="center"/>
          </w:tcPr>
          <w:p>
            <w:pPr>
              <w:pStyle w:val="28"/>
              <w:spacing w:line="360" w:lineRule="auto"/>
              <w:ind w:right="146"/>
              <w:rPr>
                <w:color w:val="auto"/>
                <w:sz w:val="22"/>
                <w:szCs w:val="22"/>
                <w:highlight w:val="none"/>
              </w:rPr>
            </w:pPr>
            <w:r>
              <w:rPr>
                <w:rFonts w:hint="eastAsia"/>
                <w:color w:val="auto"/>
                <w:sz w:val="22"/>
                <w:szCs w:val="22"/>
                <w:highlight w:val="none"/>
              </w:rPr>
              <w:t>法定代表人/负责人资格证明书及授权委托书</w:t>
            </w:r>
          </w:p>
        </w:tc>
        <w:tc>
          <w:tcPr>
            <w:tcW w:w="7476" w:type="dxa"/>
            <w:shd w:val="clear" w:color="auto" w:fill="auto"/>
            <w:vAlign w:val="center"/>
          </w:tcPr>
          <w:p>
            <w:pPr>
              <w:pStyle w:val="28"/>
              <w:spacing w:before="48" w:line="360" w:lineRule="auto"/>
              <w:rPr>
                <w:color w:val="auto"/>
                <w:sz w:val="22"/>
                <w:szCs w:val="22"/>
                <w:highlight w:val="none"/>
              </w:rPr>
            </w:pPr>
            <w:r>
              <w:rPr>
                <w:rFonts w:hint="eastAsia"/>
                <w:color w:val="auto"/>
                <w:sz w:val="22"/>
                <w:szCs w:val="22"/>
                <w:highlight w:val="none"/>
              </w:rPr>
              <w:t>法定代表人/负责人资格证明书及授权委托书，按对应格式文件签署、盖章。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702" w:type="dxa"/>
            <w:shd w:val="clear" w:color="auto" w:fill="auto"/>
            <w:vAlign w:val="center"/>
          </w:tcPr>
          <w:p>
            <w:pPr>
              <w:pStyle w:val="28"/>
              <w:spacing w:line="360" w:lineRule="auto"/>
              <w:ind w:right="146"/>
              <w:rPr>
                <w:color w:val="auto"/>
                <w:sz w:val="22"/>
                <w:szCs w:val="22"/>
                <w:highlight w:val="none"/>
              </w:rPr>
            </w:pPr>
            <w:r>
              <w:rPr>
                <w:rFonts w:hint="eastAsia"/>
                <w:color w:val="auto"/>
                <w:sz w:val="22"/>
                <w:szCs w:val="22"/>
                <w:highlight w:val="none"/>
              </w:rPr>
              <w:t>“▲”实质性条款</w:t>
            </w:r>
          </w:p>
        </w:tc>
        <w:tc>
          <w:tcPr>
            <w:tcW w:w="7476" w:type="dxa"/>
            <w:shd w:val="clear" w:color="auto" w:fill="auto"/>
            <w:vAlign w:val="center"/>
          </w:tcPr>
          <w:p>
            <w:pPr>
              <w:pStyle w:val="28"/>
              <w:spacing w:before="48" w:line="360" w:lineRule="auto"/>
              <w:rPr>
                <w:color w:val="auto"/>
                <w:sz w:val="22"/>
                <w:szCs w:val="22"/>
                <w:highlight w:val="none"/>
              </w:rPr>
            </w:pPr>
            <w:r>
              <w:rPr>
                <w:rFonts w:hint="eastAsia"/>
                <w:color w:val="auto"/>
                <w:sz w:val="22"/>
                <w:szCs w:val="22"/>
                <w:highlight w:val="none"/>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702" w:type="dxa"/>
            <w:shd w:val="clear" w:color="auto" w:fill="auto"/>
            <w:vAlign w:val="center"/>
          </w:tcPr>
          <w:p>
            <w:pPr>
              <w:pStyle w:val="28"/>
              <w:spacing w:line="360" w:lineRule="auto"/>
              <w:ind w:right="146"/>
              <w:rPr>
                <w:color w:val="auto"/>
                <w:sz w:val="22"/>
                <w:szCs w:val="22"/>
                <w:highlight w:val="none"/>
              </w:rPr>
            </w:pPr>
            <w:r>
              <w:rPr>
                <w:rFonts w:hint="eastAsia"/>
                <w:color w:val="auto"/>
                <w:sz w:val="22"/>
                <w:szCs w:val="22"/>
                <w:highlight w:val="none"/>
              </w:rPr>
              <w:t>串通投标</w:t>
            </w:r>
          </w:p>
        </w:tc>
        <w:tc>
          <w:tcPr>
            <w:tcW w:w="7476" w:type="dxa"/>
            <w:shd w:val="clear" w:color="auto" w:fill="auto"/>
            <w:vAlign w:val="center"/>
          </w:tcPr>
          <w:p>
            <w:pPr>
              <w:pStyle w:val="28"/>
              <w:spacing w:before="48" w:line="360" w:lineRule="auto"/>
              <w:rPr>
                <w:color w:val="auto"/>
                <w:sz w:val="22"/>
                <w:szCs w:val="22"/>
                <w:highlight w:val="none"/>
              </w:rPr>
            </w:pPr>
            <w:r>
              <w:rPr>
                <w:rFonts w:hint="eastAsia"/>
                <w:color w:val="auto"/>
                <w:sz w:val="22"/>
                <w:szCs w:val="22"/>
                <w:highlight w:val="none"/>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1702" w:type="dxa"/>
            <w:shd w:val="clear" w:color="auto" w:fill="auto"/>
            <w:vAlign w:val="center"/>
          </w:tcPr>
          <w:p>
            <w:pPr>
              <w:pStyle w:val="28"/>
              <w:spacing w:line="360" w:lineRule="auto"/>
              <w:ind w:right="146"/>
              <w:rPr>
                <w:color w:val="auto"/>
                <w:sz w:val="22"/>
                <w:szCs w:val="22"/>
                <w:highlight w:val="none"/>
              </w:rPr>
            </w:pPr>
            <w:r>
              <w:rPr>
                <w:rFonts w:hint="eastAsia"/>
                <w:color w:val="auto"/>
                <w:sz w:val="22"/>
                <w:szCs w:val="22"/>
                <w:highlight w:val="none"/>
              </w:rPr>
              <w:t>附加条件</w:t>
            </w:r>
          </w:p>
        </w:tc>
        <w:tc>
          <w:tcPr>
            <w:tcW w:w="7476" w:type="dxa"/>
            <w:shd w:val="clear" w:color="auto" w:fill="auto"/>
            <w:vAlign w:val="center"/>
          </w:tcPr>
          <w:p>
            <w:pPr>
              <w:pStyle w:val="28"/>
              <w:spacing w:before="48" w:line="360" w:lineRule="auto"/>
              <w:rPr>
                <w:color w:val="auto"/>
                <w:sz w:val="22"/>
                <w:szCs w:val="22"/>
                <w:highlight w:val="none"/>
              </w:rPr>
            </w:pPr>
            <w:r>
              <w:rPr>
                <w:rFonts w:hint="eastAsia"/>
                <w:color w:val="auto"/>
                <w:sz w:val="22"/>
                <w:szCs w:val="22"/>
                <w:highlight w:val="none"/>
              </w:rPr>
              <w:t>投标文件未含有采购人不可接受的附加条件。</w:t>
            </w:r>
          </w:p>
        </w:tc>
      </w:tr>
    </w:tbl>
    <w:p>
      <w:pPr>
        <w:pStyle w:val="17"/>
        <w:spacing w:before="0" w:beforeAutospacing="0" w:after="0" w:afterAutospacing="0" w:line="360" w:lineRule="auto"/>
        <w:ind w:firstLine="482" w:firstLineChars="200"/>
        <w:jc w:val="both"/>
        <w:rPr>
          <w:rFonts w:hint="default" w:asciiTheme="minorEastAsia" w:hAnsiTheme="minorEastAsia" w:eastAsiaTheme="minorEastAsia"/>
          <w:b/>
          <w:bCs/>
          <w:color w:val="auto"/>
          <w:highlight w:val="none"/>
        </w:rPr>
      </w:pPr>
    </w:p>
    <w:p>
      <w:pPr>
        <w:pStyle w:val="17"/>
        <w:spacing w:before="0" w:beforeAutospacing="0" w:after="0" w:afterAutospacing="0" w:line="360" w:lineRule="auto"/>
        <w:ind w:firstLine="482" w:firstLineChars="200"/>
        <w:jc w:val="both"/>
        <w:rPr>
          <w:rFonts w:hint="default" w:asciiTheme="minorEastAsia" w:hAnsiTheme="minorEastAsia" w:eastAsiaTheme="minorEastAsia"/>
          <w:b/>
          <w:bCs/>
          <w:color w:val="auto"/>
          <w:highlight w:val="none"/>
        </w:rPr>
      </w:pPr>
      <w:r>
        <w:rPr>
          <w:rFonts w:asciiTheme="minorEastAsia" w:hAnsiTheme="minorEastAsia" w:eastAsiaTheme="minorEastAsia"/>
          <w:b/>
          <w:bCs/>
          <w:color w:val="auto"/>
          <w:highlight w:val="none"/>
        </w:rPr>
        <w:t>（三）商务技术及价格评审</w:t>
      </w:r>
    </w:p>
    <w:p>
      <w:pPr>
        <w:autoSpaceDE w:val="0"/>
        <w:autoSpaceDN w:val="0"/>
        <w:adjustRightInd w:val="0"/>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kern w:val="0"/>
          <w:sz w:val="24"/>
          <w:highlight w:val="none"/>
          <w:lang w:eastAsia="zh-CN"/>
        </w:rPr>
        <w:t>本</w:t>
      </w:r>
      <w:r>
        <w:rPr>
          <w:rFonts w:hint="eastAsia" w:asciiTheme="minorEastAsia" w:hAnsiTheme="minorEastAsia" w:eastAsiaTheme="minorEastAsia"/>
          <w:color w:val="auto"/>
          <w:kern w:val="0"/>
          <w:sz w:val="24"/>
          <w:highlight w:val="none"/>
        </w:rPr>
        <w:t>项目评标方法为综合评分法，总计100分，评标按以下标准及要求进行：</w:t>
      </w:r>
      <w:r>
        <w:rPr>
          <w:rFonts w:hint="eastAsia" w:ascii="宋体"/>
          <w:b/>
          <w:bCs/>
          <w:color w:val="auto"/>
          <w:sz w:val="24"/>
          <w:highlight w:val="none"/>
        </w:rPr>
        <w:t>1.评分标准</w:t>
      </w:r>
    </w:p>
    <w:tbl>
      <w:tblPr>
        <w:tblStyle w:val="19"/>
        <w:tblpPr w:leftFromText="180" w:rightFromText="180" w:vertAnchor="text" w:horzAnchor="page" w:tblpX="1658" w:tblpY="474"/>
        <w:tblOverlap w:val="never"/>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883"/>
        <w:gridCol w:w="7300"/>
        <w:gridCol w:w="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746" w:type="dxa"/>
            <w:shd w:val="clear" w:color="auto" w:fill="DDDDDD"/>
            <w:vAlign w:val="center"/>
          </w:tcPr>
          <w:p>
            <w:pPr>
              <w:rPr>
                <w:rFonts w:ascii="宋体" w:hAnsi="宋体" w:cs="宋体"/>
                <w:color w:val="auto"/>
                <w:szCs w:val="21"/>
                <w:highlight w:val="none"/>
              </w:rPr>
            </w:pPr>
            <w:r>
              <w:rPr>
                <w:rFonts w:hint="eastAsia" w:ascii="宋体" w:hAnsi="宋体" w:cs="宋体"/>
                <w:color w:val="auto"/>
                <w:szCs w:val="21"/>
                <w:highlight w:val="none"/>
              </w:rPr>
              <w:t>评分项目</w:t>
            </w:r>
          </w:p>
        </w:tc>
        <w:tc>
          <w:tcPr>
            <w:tcW w:w="8183" w:type="dxa"/>
            <w:gridSpan w:val="2"/>
            <w:shd w:val="clear" w:color="auto" w:fill="DDDDDD"/>
            <w:vAlign w:val="center"/>
          </w:tcPr>
          <w:p>
            <w:pPr>
              <w:rPr>
                <w:rFonts w:ascii="宋体" w:hAnsi="宋体" w:cs="宋体"/>
                <w:color w:val="auto"/>
                <w:szCs w:val="21"/>
                <w:highlight w:val="none"/>
              </w:rPr>
            </w:pPr>
            <w:r>
              <w:rPr>
                <w:rFonts w:hint="eastAsia" w:ascii="宋体" w:hAnsi="宋体" w:cs="宋体"/>
                <w:color w:val="auto"/>
                <w:szCs w:val="21"/>
                <w:highlight w:val="none"/>
              </w:rPr>
              <w:t>评分细则</w:t>
            </w:r>
          </w:p>
        </w:tc>
        <w:tc>
          <w:tcPr>
            <w:tcW w:w="550" w:type="dxa"/>
            <w:shd w:val="clear" w:color="auto" w:fill="DDDDDD"/>
            <w:vAlign w:val="center"/>
          </w:tcPr>
          <w:p>
            <w:pPr>
              <w:rPr>
                <w:rFonts w:ascii="宋体" w:hAnsi="宋体" w:cs="宋体"/>
                <w:color w:val="auto"/>
                <w:szCs w:val="21"/>
                <w:highlight w:val="none"/>
              </w:rPr>
            </w:pPr>
            <w:r>
              <w:rPr>
                <w:rFonts w:hint="eastAsia" w:ascii="宋体" w:hAnsi="宋体" w:cs="宋体"/>
                <w:color w:val="auto"/>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746" w:type="dxa"/>
            <w:vMerge w:val="restart"/>
            <w:vAlign w:val="center"/>
          </w:tcPr>
          <w:p>
            <w:pPr>
              <w:rPr>
                <w:rFonts w:ascii="宋体" w:hAnsi="宋体" w:cs="宋体"/>
                <w:color w:val="auto"/>
                <w:szCs w:val="21"/>
                <w:highlight w:val="none"/>
              </w:rPr>
            </w:pPr>
            <w:r>
              <w:rPr>
                <w:rFonts w:hint="eastAsia" w:ascii="宋体" w:hAnsi="宋体" w:cs="宋体"/>
                <w:color w:val="auto"/>
                <w:szCs w:val="21"/>
                <w:highlight w:val="none"/>
              </w:rPr>
              <w:t>技术性能5</w:t>
            </w:r>
            <w:r>
              <w:rPr>
                <w:rFonts w:hint="eastAsia" w:ascii="宋体" w:hAnsi="宋体" w:cs="宋体"/>
                <w:color w:val="auto"/>
                <w:szCs w:val="21"/>
                <w:highlight w:val="none"/>
                <w:lang w:val="en-US" w:eastAsia="zh-CN"/>
              </w:rPr>
              <w:t>0</w:t>
            </w:r>
            <w:r>
              <w:rPr>
                <w:rFonts w:hint="eastAsia" w:ascii="宋体" w:hAnsi="宋体" w:cs="宋体"/>
                <w:color w:val="auto"/>
                <w:szCs w:val="21"/>
                <w:highlight w:val="none"/>
              </w:rPr>
              <w:t>分</w:t>
            </w:r>
          </w:p>
        </w:tc>
        <w:tc>
          <w:tcPr>
            <w:tcW w:w="883" w:type="dxa"/>
            <w:vMerge w:val="restart"/>
            <w:vAlign w:val="center"/>
          </w:tcPr>
          <w:p>
            <w:pPr>
              <w:pStyle w:val="29"/>
              <w:jc w:val="center"/>
              <w:rPr>
                <w:rFonts w:hAnsi="宋体"/>
                <w:color w:val="auto"/>
                <w:sz w:val="21"/>
                <w:szCs w:val="21"/>
                <w:highlight w:val="none"/>
              </w:rPr>
            </w:pPr>
            <w:r>
              <w:rPr>
                <w:rFonts w:hint="eastAsia" w:hAnsi="宋体"/>
                <w:color w:val="auto"/>
                <w:sz w:val="21"/>
                <w:szCs w:val="21"/>
                <w:highlight w:val="none"/>
              </w:rPr>
              <w:t>安装施工组织方案</w:t>
            </w:r>
          </w:p>
          <w:p>
            <w:pPr>
              <w:rPr>
                <w:rFonts w:ascii="宋体" w:hAnsi="宋体" w:cs="宋体"/>
                <w:color w:val="auto"/>
                <w:szCs w:val="21"/>
                <w:highlight w:val="none"/>
              </w:rPr>
            </w:pPr>
            <w:r>
              <w:rPr>
                <w:rFonts w:hint="eastAsia" w:ascii="宋体" w:hAnsi="宋体" w:cs="宋体"/>
                <w:color w:val="auto"/>
                <w:szCs w:val="21"/>
                <w:highlight w:val="none"/>
              </w:rPr>
              <w:t>（包括交通组织方</w:t>
            </w:r>
          </w:p>
          <w:p>
            <w:pPr>
              <w:rPr>
                <w:rFonts w:ascii="宋体" w:hAnsi="宋体" w:cs="宋体"/>
                <w:color w:val="auto"/>
                <w:szCs w:val="21"/>
                <w:highlight w:val="none"/>
              </w:rPr>
            </w:pPr>
            <w:r>
              <w:rPr>
                <w:rFonts w:hint="eastAsia" w:ascii="宋体" w:hAnsi="宋体" w:cs="宋体"/>
                <w:color w:val="auto"/>
                <w:szCs w:val="21"/>
                <w:highlight w:val="none"/>
              </w:rPr>
              <w:t>案）</w:t>
            </w:r>
          </w:p>
        </w:tc>
        <w:tc>
          <w:tcPr>
            <w:tcW w:w="7300" w:type="dxa"/>
            <w:vAlign w:val="center"/>
          </w:tcPr>
          <w:p>
            <w:pPr>
              <w:widowControl/>
              <w:spacing w:line="340" w:lineRule="exact"/>
              <w:jc w:val="left"/>
              <w:textAlignment w:val="center"/>
              <w:rPr>
                <w:rFonts w:asciiTheme="majorEastAsia" w:hAnsiTheme="majorEastAsia" w:eastAsiaTheme="majorEastAsia" w:cstheme="majorEastAsia"/>
                <w:color w:val="auto"/>
                <w:szCs w:val="21"/>
                <w:highlight w:val="none"/>
              </w:rPr>
            </w:pPr>
            <w:r>
              <w:rPr>
                <w:rFonts w:hint="eastAsia" w:ascii="宋体" w:hAnsi="宋体" w:cs="宋体"/>
                <w:color w:val="auto"/>
                <w:szCs w:val="21"/>
                <w:highlight w:val="none"/>
              </w:rPr>
              <w:t>总体实施方案：针对本项目制定总体的服务方案，包括机构设置及运转情况、人员配备情况，投标设备材料的配件、附件、涂料的存储情况以及其它有关资料和材料情况的完整性、合理性和可操作性等。评委根据投标人提供的方案，</w:t>
            </w:r>
          </w:p>
          <w:p>
            <w:pPr>
              <w:widowControl/>
              <w:spacing w:line="340" w:lineRule="exact"/>
              <w:jc w:val="left"/>
              <w:textAlignment w:val="center"/>
              <w:rPr>
                <w:rFonts w:asciiTheme="majorEastAsia" w:hAnsiTheme="majorEastAsia" w:eastAsiaTheme="majorEastAsia" w:cstheme="majorEastAsia"/>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w:t>
            </w:r>
            <w:r>
              <w:rPr>
                <w:rFonts w:hint="eastAsia" w:asciiTheme="majorEastAsia" w:hAnsiTheme="majorEastAsia" w:eastAsiaTheme="majorEastAsia" w:cstheme="majorEastAsia"/>
                <w:color w:val="auto"/>
                <w:szCs w:val="21"/>
                <w:highlight w:val="none"/>
              </w:rPr>
              <w:t>针对本项目提供的技术资料内容比较详细、齐全并符合贴合本项目实际情况，</w:t>
            </w:r>
            <w:r>
              <w:rPr>
                <w:rFonts w:hint="eastAsia" w:ascii="宋体" w:hAnsi="宋体" w:cs="宋体"/>
                <w:color w:val="auto"/>
                <w:szCs w:val="21"/>
                <w:highlight w:val="none"/>
              </w:rPr>
              <w:t>完整性高、合理性高和可操作性强</w:t>
            </w:r>
            <w:r>
              <w:rPr>
                <w:rFonts w:hint="eastAsia" w:asciiTheme="majorEastAsia" w:hAnsiTheme="majorEastAsia" w:eastAsiaTheme="majorEastAsia" w:cstheme="majorEastAsia"/>
                <w:color w:val="auto"/>
                <w:szCs w:val="21"/>
                <w:highlight w:val="none"/>
              </w:rPr>
              <w:t>得</w:t>
            </w:r>
            <w:r>
              <w:rPr>
                <w:rFonts w:hint="eastAsia" w:ascii="宋体" w:hAnsi="宋体" w:cs="宋体"/>
                <w:color w:val="auto"/>
                <w:szCs w:val="21"/>
                <w:highlight w:val="none"/>
              </w:rPr>
              <w:t>6-4.1分</w:t>
            </w:r>
            <w:r>
              <w:rPr>
                <w:rFonts w:hint="eastAsia" w:asciiTheme="majorEastAsia" w:hAnsiTheme="majorEastAsia" w:eastAsiaTheme="majorEastAsia" w:cstheme="majorEastAsia"/>
                <w:color w:val="auto"/>
                <w:szCs w:val="21"/>
                <w:highlight w:val="none"/>
              </w:rPr>
              <w:t>；</w:t>
            </w:r>
          </w:p>
          <w:p>
            <w:pPr>
              <w:widowControl/>
              <w:spacing w:line="340" w:lineRule="exact"/>
              <w:jc w:val="left"/>
              <w:textAlignment w:val="center"/>
              <w:rPr>
                <w:rFonts w:hint="eastAsia" w:asciiTheme="majorEastAsia" w:hAnsiTheme="majorEastAsia" w:eastAsiaTheme="majorEastAsia" w:cstheme="majorEastAsia"/>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eastAsia="zh-CN"/>
              </w:rPr>
              <w:t>）</w:t>
            </w:r>
            <w:r>
              <w:rPr>
                <w:rFonts w:hint="eastAsia" w:asciiTheme="majorEastAsia" w:hAnsiTheme="majorEastAsia" w:eastAsiaTheme="majorEastAsia" w:cstheme="majorEastAsia"/>
                <w:color w:val="auto"/>
                <w:szCs w:val="21"/>
                <w:highlight w:val="none"/>
              </w:rPr>
              <w:t>针对本项目提供的技术资料内容基本详细、齐全并符合本项目实际情况的，比较</w:t>
            </w:r>
            <w:r>
              <w:rPr>
                <w:rFonts w:hint="eastAsia" w:ascii="宋体" w:hAnsi="宋体" w:cs="宋体"/>
                <w:color w:val="auto"/>
                <w:szCs w:val="21"/>
                <w:highlight w:val="none"/>
              </w:rPr>
              <w:t>完整、比较合理</w:t>
            </w:r>
            <w:r>
              <w:rPr>
                <w:rFonts w:hint="eastAsia" w:asciiTheme="majorEastAsia" w:hAnsiTheme="majorEastAsia" w:eastAsiaTheme="majorEastAsia" w:cstheme="majorEastAsia"/>
                <w:color w:val="auto"/>
                <w:szCs w:val="21"/>
                <w:highlight w:val="none"/>
              </w:rPr>
              <w:t>得</w:t>
            </w:r>
            <w:r>
              <w:rPr>
                <w:rFonts w:hint="eastAsia" w:ascii="宋体" w:hAnsi="宋体" w:cs="宋体"/>
                <w:color w:val="auto"/>
                <w:szCs w:val="21"/>
                <w:highlight w:val="none"/>
              </w:rPr>
              <w:t>4-2.1分</w:t>
            </w:r>
            <w:r>
              <w:rPr>
                <w:rFonts w:hint="eastAsia" w:asciiTheme="majorEastAsia" w:hAnsiTheme="majorEastAsia" w:eastAsiaTheme="majorEastAsia" w:cstheme="majorEastAsia"/>
                <w:color w:val="auto"/>
                <w:szCs w:val="21"/>
                <w:highlight w:val="none"/>
              </w:rPr>
              <w:t>；</w:t>
            </w:r>
          </w:p>
          <w:p>
            <w:pPr>
              <w:widowControl/>
              <w:spacing w:line="340" w:lineRule="exact"/>
              <w:jc w:val="left"/>
              <w:textAlignment w:val="center"/>
              <w:rPr>
                <w:rFonts w:asciiTheme="majorEastAsia" w:hAnsiTheme="majorEastAsia" w:eastAsiaTheme="majorEastAsia" w:cstheme="majorEastAsia"/>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w:t>
            </w:r>
            <w:r>
              <w:rPr>
                <w:rFonts w:hint="eastAsia" w:asciiTheme="majorEastAsia" w:hAnsiTheme="majorEastAsia" w:eastAsiaTheme="majorEastAsia" w:cstheme="majorEastAsia"/>
                <w:color w:val="auto"/>
                <w:szCs w:val="21"/>
                <w:highlight w:val="none"/>
              </w:rPr>
              <w:t>针对本项目提供的技术资料内容不够详细、但基本符合本项目实际情况的，基本合理得</w:t>
            </w:r>
            <w:r>
              <w:rPr>
                <w:rFonts w:hint="eastAsia" w:ascii="宋体" w:hAnsi="宋体" w:cs="宋体"/>
                <w:color w:val="auto"/>
                <w:szCs w:val="21"/>
                <w:highlight w:val="none"/>
              </w:rPr>
              <w:t>2-1.1分</w:t>
            </w:r>
          </w:p>
          <w:p>
            <w:pPr>
              <w:rPr>
                <w:rFonts w:ascii="宋体" w:hAnsi="宋体" w:cs="宋体"/>
                <w:color w:val="auto"/>
                <w:szCs w:val="21"/>
                <w:highlight w:val="none"/>
              </w:rPr>
            </w:pPr>
            <w:r>
              <w:rPr>
                <w:rFonts w:hint="eastAsia" w:asciiTheme="majorEastAsia" w:hAnsiTheme="majorEastAsia" w:eastAsiaTheme="majorEastAsia" w:cstheme="majorEastAsia"/>
                <w:color w:val="auto"/>
                <w:szCs w:val="21"/>
                <w:highlight w:val="none"/>
              </w:rPr>
              <w:t>不符合本项目实际情况或未提及的不得分。</w:t>
            </w:r>
            <w:r>
              <w:rPr>
                <w:rFonts w:hint="eastAsia" w:ascii="宋体" w:hAnsi="宋体" w:cs="宋体"/>
                <w:color w:val="auto"/>
                <w:szCs w:val="21"/>
                <w:highlight w:val="none"/>
              </w:rPr>
              <w:t>1-0分。</w:t>
            </w:r>
          </w:p>
        </w:tc>
        <w:tc>
          <w:tcPr>
            <w:tcW w:w="550" w:type="dxa"/>
            <w:vAlign w:val="center"/>
          </w:tcPr>
          <w:p>
            <w:pPr>
              <w:rPr>
                <w:rFonts w:ascii="宋体" w:hAnsi="宋体" w:cs="宋体"/>
                <w:color w:val="auto"/>
                <w:szCs w:val="21"/>
                <w:highlight w:val="none"/>
              </w:rPr>
            </w:pPr>
            <w:r>
              <w:rPr>
                <w:rFonts w:hint="eastAsia" w:ascii="宋体" w:hAnsi="宋体" w:cs="宋体"/>
                <w:color w:val="auto"/>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46" w:type="dxa"/>
            <w:vMerge w:val="continue"/>
            <w:vAlign w:val="center"/>
          </w:tcPr>
          <w:p>
            <w:pPr>
              <w:rPr>
                <w:rFonts w:ascii="宋体" w:hAnsi="宋体" w:cs="宋体"/>
                <w:color w:val="auto"/>
                <w:szCs w:val="21"/>
                <w:highlight w:val="none"/>
              </w:rPr>
            </w:pPr>
          </w:p>
        </w:tc>
        <w:tc>
          <w:tcPr>
            <w:tcW w:w="883" w:type="dxa"/>
            <w:vMerge w:val="continue"/>
            <w:vAlign w:val="center"/>
          </w:tcPr>
          <w:p>
            <w:pPr>
              <w:jc w:val="center"/>
              <w:rPr>
                <w:rFonts w:ascii="宋体" w:hAnsi="宋体" w:cs="宋体"/>
                <w:color w:val="auto"/>
                <w:szCs w:val="21"/>
                <w:highlight w:val="none"/>
              </w:rPr>
            </w:pPr>
          </w:p>
        </w:tc>
        <w:tc>
          <w:tcPr>
            <w:tcW w:w="7300" w:type="dxa"/>
            <w:vAlign w:val="center"/>
          </w:tcPr>
          <w:p>
            <w:pPr>
              <w:rPr>
                <w:rFonts w:ascii="宋体" w:hAnsi="宋体" w:cs="宋体"/>
                <w:color w:val="auto"/>
                <w:szCs w:val="21"/>
                <w:highlight w:val="none"/>
              </w:rPr>
            </w:pPr>
            <w:r>
              <w:rPr>
                <w:rFonts w:hint="eastAsia" w:ascii="宋体" w:hAnsi="宋体" w:cs="宋体"/>
                <w:color w:val="auto"/>
                <w:szCs w:val="21"/>
                <w:highlight w:val="none"/>
              </w:rPr>
              <w:t>质量保障措施：从涂料、玻璃珠等材料质量保证，标线施划厚度、反光持久度等各个环节采取的各项措施来进行评价，</w:t>
            </w:r>
          </w:p>
          <w:p>
            <w:pPr>
              <w:numPr>
                <w:ilvl w:val="0"/>
                <w:numId w:val="0"/>
              </w:numPr>
              <w:rPr>
                <w:rFonts w:hint="eastAsia"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w:t>
            </w:r>
            <w:r>
              <w:rPr>
                <w:rFonts w:hint="eastAsia" w:ascii="宋体" w:hAnsi="宋体" w:cs="宋体"/>
                <w:color w:val="auto"/>
                <w:szCs w:val="21"/>
                <w:highlight w:val="none"/>
              </w:rPr>
              <w:t xml:space="preserve">标线厚度厚，反光持久度高，各环节措施到位、技术全面先进的 </w:t>
            </w:r>
            <w:r>
              <w:rPr>
                <w:rFonts w:hint="eastAsia" w:ascii="宋体" w:hAnsi="宋体" w:cs="宋体"/>
                <w:color w:val="auto"/>
                <w:szCs w:val="21"/>
                <w:highlight w:val="none"/>
                <w:lang w:val="en-US" w:eastAsia="zh-CN"/>
              </w:rPr>
              <w:t>5.0</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0</w:t>
            </w:r>
            <w:r>
              <w:rPr>
                <w:rFonts w:hint="eastAsia" w:ascii="宋体" w:hAnsi="宋体" w:cs="宋体"/>
                <w:color w:val="auto"/>
                <w:szCs w:val="21"/>
                <w:highlight w:val="none"/>
              </w:rPr>
              <w:t>分，</w:t>
            </w:r>
          </w:p>
          <w:p>
            <w:pPr>
              <w:rPr>
                <w:rFonts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eastAsia="zh-CN"/>
              </w:rPr>
              <w:t>）</w:t>
            </w:r>
            <w:r>
              <w:rPr>
                <w:rFonts w:hint="eastAsia" w:ascii="宋体" w:hAnsi="宋体" w:cs="宋体"/>
                <w:color w:val="auto"/>
                <w:szCs w:val="21"/>
                <w:highlight w:val="none"/>
              </w:rPr>
              <w:t>标线厚度</w:t>
            </w:r>
            <w:r>
              <w:rPr>
                <w:rFonts w:hint="eastAsia" w:ascii="宋体" w:hAnsi="宋体" w:cs="宋体"/>
                <w:color w:val="auto"/>
                <w:szCs w:val="21"/>
                <w:highlight w:val="none"/>
                <w:lang w:eastAsia="zh-CN"/>
              </w:rPr>
              <w:t>较</w:t>
            </w:r>
            <w:r>
              <w:rPr>
                <w:rFonts w:hint="eastAsia" w:ascii="宋体" w:hAnsi="宋体" w:cs="宋体"/>
                <w:color w:val="auto"/>
                <w:szCs w:val="21"/>
                <w:highlight w:val="none"/>
              </w:rPr>
              <w:t>厚</w:t>
            </w:r>
            <w:r>
              <w:rPr>
                <w:rFonts w:hint="eastAsia" w:ascii="宋体" w:hAnsi="宋体" w:cs="宋体"/>
                <w:color w:val="auto"/>
                <w:szCs w:val="21"/>
                <w:highlight w:val="none"/>
                <w:lang w:eastAsia="zh-CN"/>
              </w:rPr>
              <w:t>，</w:t>
            </w:r>
            <w:r>
              <w:rPr>
                <w:rFonts w:hint="eastAsia" w:ascii="宋体" w:hAnsi="宋体" w:cs="宋体"/>
                <w:color w:val="auto"/>
                <w:szCs w:val="21"/>
                <w:highlight w:val="none"/>
              </w:rPr>
              <w:t>标线厚度一般，反光持久度一般，方案措施简单，技术较普遍的3.</w:t>
            </w:r>
            <w:r>
              <w:rPr>
                <w:rFonts w:hint="eastAsia" w:ascii="宋体" w:hAnsi="宋体" w:cs="宋体"/>
                <w:color w:val="auto"/>
                <w:szCs w:val="21"/>
                <w:highlight w:val="none"/>
                <w:lang w:val="en-US" w:eastAsia="zh-CN"/>
              </w:rPr>
              <w:t>9</w:t>
            </w:r>
            <w:r>
              <w:rPr>
                <w:rFonts w:hint="eastAsia" w:ascii="宋体" w:hAnsi="宋体" w:cs="宋体"/>
                <w:color w:val="auto"/>
                <w:szCs w:val="21"/>
                <w:highlight w:val="none"/>
              </w:rPr>
              <w:t>分-2.</w:t>
            </w:r>
            <w:r>
              <w:rPr>
                <w:rFonts w:hint="eastAsia" w:ascii="宋体" w:hAnsi="宋体" w:cs="宋体"/>
                <w:color w:val="auto"/>
                <w:szCs w:val="21"/>
                <w:highlight w:val="none"/>
                <w:lang w:val="en-US" w:eastAsia="zh-CN"/>
              </w:rPr>
              <w:t>0</w:t>
            </w:r>
            <w:r>
              <w:rPr>
                <w:rFonts w:hint="eastAsia" w:ascii="宋体" w:hAnsi="宋体" w:cs="宋体"/>
                <w:color w:val="auto"/>
                <w:szCs w:val="21"/>
                <w:highlight w:val="none"/>
              </w:rPr>
              <w:t>分</w:t>
            </w:r>
          </w:p>
          <w:p>
            <w:pPr>
              <w:rPr>
                <w:rFonts w:hint="eastAsia"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w:t>
            </w:r>
            <w:r>
              <w:rPr>
                <w:rFonts w:hint="eastAsia" w:ascii="宋体" w:hAnsi="宋体" w:cs="宋体"/>
                <w:color w:val="auto"/>
                <w:szCs w:val="21"/>
                <w:highlight w:val="none"/>
              </w:rPr>
              <w:t>标线厚度</w:t>
            </w:r>
            <w:r>
              <w:rPr>
                <w:rFonts w:hint="eastAsia" w:ascii="宋体" w:hAnsi="宋体" w:cs="宋体"/>
                <w:color w:val="auto"/>
                <w:szCs w:val="21"/>
                <w:highlight w:val="none"/>
                <w:lang w:val="en-US" w:eastAsia="zh-CN"/>
              </w:rPr>
              <w:t>薄</w:t>
            </w:r>
            <w:r>
              <w:rPr>
                <w:rFonts w:hint="eastAsia" w:ascii="宋体" w:hAnsi="宋体" w:cs="宋体"/>
                <w:color w:val="auto"/>
                <w:szCs w:val="21"/>
                <w:highlight w:val="none"/>
              </w:rPr>
              <w:t>，反光差的，方案片面，缺乏具体防障措施的</w:t>
            </w:r>
            <w:r>
              <w:rPr>
                <w:rFonts w:hint="eastAsia" w:ascii="宋体" w:hAnsi="宋体" w:cs="宋体"/>
                <w:color w:val="auto"/>
                <w:szCs w:val="21"/>
                <w:highlight w:val="none"/>
                <w:lang w:val="en-US" w:eastAsia="zh-CN"/>
              </w:rPr>
              <w:t>1.9</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0</w:t>
            </w:r>
            <w:r>
              <w:rPr>
                <w:rFonts w:hint="eastAsia" w:ascii="宋体" w:hAnsi="宋体" w:cs="宋体"/>
                <w:color w:val="auto"/>
                <w:szCs w:val="21"/>
                <w:highlight w:val="none"/>
              </w:rPr>
              <w:t>.1分；</w:t>
            </w:r>
          </w:p>
          <w:p>
            <w:pPr>
              <w:rPr>
                <w:rFonts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4</w:t>
            </w:r>
            <w:r>
              <w:rPr>
                <w:rFonts w:hint="eastAsia" w:ascii="宋体" w:hAnsi="宋体" w:cs="宋体"/>
                <w:color w:val="auto"/>
                <w:szCs w:val="21"/>
                <w:highlight w:val="none"/>
                <w:lang w:eastAsia="zh-CN"/>
              </w:rPr>
              <w:t>）</w:t>
            </w:r>
            <w:r>
              <w:rPr>
                <w:rFonts w:hint="eastAsia" w:ascii="宋体" w:hAnsi="宋体" w:cs="宋体"/>
                <w:color w:val="auto"/>
                <w:szCs w:val="21"/>
                <w:highlight w:val="none"/>
              </w:rPr>
              <w:t>措施差，未提及的不得分。</w:t>
            </w:r>
          </w:p>
        </w:tc>
        <w:tc>
          <w:tcPr>
            <w:tcW w:w="550" w:type="dxa"/>
            <w:vAlign w:val="center"/>
          </w:tcPr>
          <w:p>
            <w:pP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46" w:type="dxa"/>
            <w:vMerge w:val="continue"/>
            <w:vAlign w:val="center"/>
          </w:tcPr>
          <w:p>
            <w:pPr>
              <w:rPr>
                <w:rFonts w:ascii="宋体" w:hAnsi="宋体" w:cs="宋体"/>
                <w:color w:val="auto"/>
                <w:szCs w:val="21"/>
                <w:highlight w:val="none"/>
              </w:rPr>
            </w:pPr>
          </w:p>
        </w:tc>
        <w:tc>
          <w:tcPr>
            <w:tcW w:w="883" w:type="dxa"/>
            <w:vMerge w:val="continue"/>
            <w:vAlign w:val="center"/>
          </w:tcPr>
          <w:p>
            <w:pPr>
              <w:jc w:val="center"/>
              <w:rPr>
                <w:rFonts w:ascii="宋体" w:hAnsi="宋体" w:cs="宋体"/>
                <w:color w:val="auto"/>
                <w:szCs w:val="21"/>
                <w:highlight w:val="none"/>
              </w:rPr>
            </w:pPr>
          </w:p>
        </w:tc>
        <w:tc>
          <w:tcPr>
            <w:tcW w:w="7300" w:type="dxa"/>
            <w:vAlign w:val="center"/>
          </w:tcPr>
          <w:p>
            <w:pPr>
              <w:spacing w:line="340" w:lineRule="exact"/>
              <w:textAlignment w:val="center"/>
              <w:rPr>
                <w:color w:val="auto"/>
                <w:highlight w:val="none"/>
              </w:rPr>
            </w:pPr>
            <w:r>
              <w:rPr>
                <w:rFonts w:hint="eastAsia"/>
                <w:color w:val="auto"/>
                <w:highlight w:val="none"/>
              </w:rPr>
              <w:t>根据工程施工需要，投标人提前制作标线</w:t>
            </w:r>
            <w:r>
              <w:rPr>
                <w:rFonts w:hint="eastAsia"/>
                <w:color w:val="auto"/>
                <w:highlight w:val="none"/>
                <w:lang w:val="en-US" w:eastAsia="zh-CN"/>
              </w:rPr>
              <w:t>高压水除</w:t>
            </w:r>
            <w:r>
              <w:rPr>
                <w:rFonts w:hint="eastAsia"/>
                <w:color w:val="auto"/>
                <w:highlight w:val="none"/>
              </w:rPr>
              <w:t>施工现场安全设施设置进行模拟演练，并提供相关资料（包括演练照片、文字或视频解读）。</w:t>
            </w:r>
          </w:p>
          <w:p>
            <w:pPr>
              <w:spacing w:line="340" w:lineRule="exact"/>
              <w:textAlignment w:val="center"/>
              <w:rPr>
                <w:color w:val="auto"/>
                <w:highlight w:val="none"/>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w:t>
            </w:r>
            <w:r>
              <w:rPr>
                <w:rFonts w:hint="eastAsia"/>
                <w:color w:val="auto"/>
                <w:highlight w:val="none"/>
              </w:rPr>
              <w:t>方案思路清晰明朗、多元化，解决办法阐述非常明确内容齐全并符合本项目实际情况的，措施到位，提供完整的资料和照片的得</w:t>
            </w:r>
            <w:r>
              <w:rPr>
                <w:rFonts w:hint="eastAsia"/>
                <w:color w:val="auto"/>
                <w:highlight w:val="none"/>
                <w:lang w:val="en-US" w:eastAsia="zh-CN"/>
              </w:rPr>
              <w:t>5.0</w:t>
            </w:r>
            <w:r>
              <w:rPr>
                <w:rFonts w:hint="eastAsia"/>
                <w:color w:val="auto"/>
                <w:highlight w:val="none"/>
              </w:rPr>
              <w:t>-</w:t>
            </w:r>
            <w:r>
              <w:rPr>
                <w:rFonts w:hint="eastAsia"/>
                <w:color w:val="auto"/>
                <w:highlight w:val="none"/>
                <w:lang w:val="en-US" w:eastAsia="zh-CN"/>
              </w:rPr>
              <w:t>4</w:t>
            </w:r>
            <w:r>
              <w:rPr>
                <w:rFonts w:hint="eastAsia"/>
                <w:color w:val="auto"/>
                <w:highlight w:val="none"/>
              </w:rPr>
              <w:t>.1分；</w:t>
            </w:r>
          </w:p>
          <w:p>
            <w:pPr>
              <w:spacing w:line="340" w:lineRule="exact"/>
              <w:textAlignment w:val="center"/>
              <w:rPr>
                <w:color w:val="auto"/>
                <w:highlight w:val="none"/>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w:t>
            </w:r>
            <w:r>
              <w:rPr>
                <w:rFonts w:hint="eastAsia"/>
                <w:color w:val="auto"/>
                <w:highlight w:val="none"/>
              </w:rPr>
              <w:t>方案解决办法阐述比较明确内容较齐全，措施到位，但方案针对项目的实际情况，提供的资料和照片比较简单得</w:t>
            </w:r>
            <w:r>
              <w:rPr>
                <w:rFonts w:hint="eastAsia"/>
                <w:color w:val="auto"/>
                <w:highlight w:val="none"/>
                <w:lang w:val="en-US" w:eastAsia="zh-CN"/>
              </w:rPr>
              <w:t>4.0</w:t>
            </w:r>
            <w:r>
              <w:rPr>
                <w:rFonts w:hint="eastAsia"/>
                <w:color w:val="auto"/>
                <w:highlight w:val="none"/>
              </w:rPr>
              <w:t>-</w:t>
            </w:r>
            <w:r>
              <w:rPr>
                <w:rFonts w:hint="eastAsia"/>
                <w:color w:val="auto"/>
                <w:highlight w:val="none"/>
                <w:lang w:val="en-US" w:eastAsia="zh-CN"/>
              </w:rPr>
              <w:t>3</w:t>
            </w:r>
            <w:r>
              <w:rPr>
                <w:rFonts w:hint="eastAsia"/>
                <w:color w:val="auto"/>
                <w:highlight w:val="none"/>
              </w:rPr>
              <w:t>.1分；</w:t>
            </w:r>
          </w:p>
          <w:p>
            <w:pPr>
              <w:pStyle w:val="8"/>
              <w:ind w:firstLine="0"/>
              <w:rPr>
                <w:color w:val="auto"/>
                <w:highlight w:val="none"/>
              </w:rPr>
            </w:pPr>
            <w:r>
              <w:rPr>
                <w:rFonts w:hint="eastAsia"/>
                <w:color w:val="auto"/>
                <w:highlight w:val="none"/>
                <w:lang w:eastAsia="zh-CN"/>
              </w:rPr>
              <w:t>（</w:t>
            </w:r>
            <w:r>
              <w:rPr>
                <w:rFonts w:hint="eastAsia"/>
                <w:color w:val="auto"/>
                <w:highlight w:val="none"/>
                <w:lang w:val="en-US" w:eastAsia="zh-CN"/>
              </w:rPr>
              <w:t>3</w:t>
            </w:r>
            <w:r>
              <w:rPr>
                <w:rFonts w:hint="eastAsia"/>
                <w:color w:val="auto"/>
                <w:highlight w:val="none"/>
                <w:lang w:eastAsia="zh-CN"/>
              </w:rPr>
              <w:t>）</w:t>
            </w:r>
            <w:r>
              <w:rPr>
                <w:rFonts w:hint="eastAsia"/>
                <w:color w:val="auto"/>
                <w:highlight w:val="none"/>
              </w:rPr>
              <w:t>方案解决办法阐述比较明确内容较齐全，但没有针对本项目的实际情况，措施不足，提供的资料和照片比较简单、片面的得</w:t>
            </w:r>
            <w:r>
              <w:rPr>
                <w:rFonts w:hint="eastAsia"/>
                <w:color w:val="auto"/>
                <w:highlight w:val="none"/>
                <w:lang w:val="en-US" w:eastAsia="zh-CN"/>
              </w:rPr>
              <w:t>3.0</w:t>
            </w:r>
            <w:r>
              <w:rPr>
                <w:rFonts w:hint="eastAsia"/>
                <w:color w:val="auto"/>
                <w:highlight w:val="none"/>
              </w:rPr>
              <w:t>-</w:t>
            </w:r>
            <w:r>
              <w:rPr>
                <w:rFonts w:hint="eastAsia"/>
                <w:color w:val="auto"/>
                <w:highlight w:val="none"/>
                <w:lang w:val="en-US" w:eastAsia="zh-CN"/>
              </w:rPr>
              <w:t>2</w:t>
            </w:r>
            <w:r>
              <w:rPr>
                <w:rFonts w:hint="eastAsia"/>
                <w:color w:val="auto"/>
                <w:highlight w:val="none"/>
              </w:rPr>
              <w:t>.1分</w:t>
            </w:r>
          </w:p>
          <w:p>
            <w:pPr>
              <w:spacing w:line="340" w:lineRule="exact"/>
              <w:textAlignment w:val="center"/>
              <w:rPr>
                <w:color w:val="auto"/>
                <w:highlight w:val="none"/>
              </w:rPr>
            </w:pPr>
            <w:r>
              <w:rPr>
                <w:rFonts w:hint="eastAsia"/>
                <w:color w:val="auto"/>
                <w:highlight w:val="none"/>
                <w:lang w:eastAsia="zh-CN"/>
              </w:rPr>
              <w:t>（</w:t>
            </w:r>
            <w:r>
              <w:rPr>
                <w:rFonts w:hint="eastAsia"/>
                <w:color w:val="auto"/>
                <w:highlight w:val="none"/>
                <w:lang w:val="en-US" w:eastAsia="zh-CN"/>
              </w:rPr>
              <w:t>4</w:t>
            </w:r>
            <w:r>
              <w:rPr>
                <w:rFonts w:hint="eastAsia"/>
                <w:color w:val="auto"/>
                <w:highlight w:val="none"/>
                <w:lang w:eastAsia="zh-CN"/>
              </w:rPr>
              <w:t>）</w:t>
            </w:r>
            <w:r>
              <w:rPr>
                <w:rFonts w:hint="eastAsia"/>
                <w:color w:val="auto"/>
                <w:highlight w:val="none"/>
              </w:rPr>
              <w:t>方案只包含了招标需求中的部分内容演练，实施方案简单，针对实际情况提供资料和照片片面不完整的得：2-1.1分</w:t>
            </w:r>
          </w:p>
          <w:p>
            <w:pPr>
              <w:spacing w:line="340" w:lineRule="exact"/>
              <w:textAlignment w:val="center"/>
              <w:rPr>
                <w:rFonts w:hint="eastAsia"/>
                <w:color w:val="auto"/>
                <w:highlight w:val="none"/>
              </w:rPr>
            </w:pPr>
            <w:r>
              <w:rPr>
                <w:rFonts w:hint="eastAsia"/>
                <w:color w:val="auto"/>
                <w:highlight w:val="none"/>
                <w:lang w:eastAsia="zh-CN"/>
              </w:rPr>
              <w:t>（</w:t>
            </w:r>
            <w:r>
              <w:rPr>
                <w:rFonts w:hint="eastAsia"/>
                <w:color w:val="auto"/>
                <w:highlight w:val="none"/>
                <w:lang w:val="en-US" w:eastAsia="zh-CN"/>
              </w:rPr>
              <w:t>5</w:t>
            </w:r>
            <w:r>
              <w:rPr>
                <w:rFonts w:hint="eastAsia"/>
                <w:color w:val="auto"/>
                <w:highlight w:val="none"/>
                <w:lang w:eastAsia="zh-CN"/>
              </w:rPr>
              <w:t>）</w:t>
            </w:r>
            <w:r>
              <w:rPr>
                <w:rFonts w:hint="eastAsia"/>
                <w:color w:val="auto"/>
                <w:highlight w:val="none"/>
              </w:rPr>
              <w:t>方案解决办法不够明确，缺少内容的为得1-0分；</w:t>
            </w:r>
          </w:p>
          <w:p>
            <w:pPr>
              <w:pStyle w:val="2"/>
              <w:ind w:left="0" w:leftChars="0" w:firstLine="0" w:firstLineChars="0"/>
              <w:rPr>
                <w:rFonts w:hint="eastAsia"/>
                <w:color w:val="auto"/>
                <w:szCs w:val="21"/>
                <w:highlight w:val="none"/>
                <w:lang w:val="en-US" w:eastAsia="zh-CN"/>
              </w:rPr>
            </w:pPr>
            <w:r>
              <w:rPr>
                <w:rFonts w:hint="eastAsia"/>
                <w:color w:val="auto"/>
                <w:szCs w:val="21"/>
                <w:highlight w:val="none"/>
                <w:lang w:val="en-US" w:eastAsia="zh-CN"/>
              </w:rPr>
              <w:t>注：1、如采用照片、文字形式解读的将该部分内容制作进商务与技术文件；</w:t>
            </w:r>
          </w:p>
          <w:p>
            <w:pPr>
              <w:pStyle w:val="2"/>
              <w:ind w:left="0" w:leftChars="0" w:firstLine="0" w:firstLineChars="0"/>
              <w:rPr>
                <w:color w:val="auto"/>
                <w:highlight w:val="none"/>
              </w:rPr>
            </w:pPr>
            <w:r>
              <w:rPr>
                <w:rFonts w:hint="eastAsia"/>
                <w:color w:val="auto"/>
                <w:szCs w:val="21"/>
                <w:highlight w:val="none"/>
                <w:lang w:val="en-US" w:eastAsia="zh-CN"/>
              </w:rPr>
              <w:t>2、如采用视频形式解读的，则需提供模拟演练的讲解及演示，请投标人提前录制录像，U 盘介质形式存储(本项内容的视频讲解及演示时间不超过 10 分钟，时长超出部分不予演示。因介质损坏等原因导致无法读取的后果由投标人自行承担)。U盘递交形式详见前附表第八点。</w:t>
            </w:r>
          </w:p>
        </w:tc>
        <w:tc>
          <w:tcPr>
            <w:tcW w:w="550" w:type="dxa"/>
            <w:vAlign w:val="center"/>
          </w:tcPr>
          <w:p>
            <w:pP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746" w:type="dxa"/>
            <w:vMerge w:val="continue"/>
            <w:vAlign w:val="center"/>
          </w:tcPr>
          <w:p>
            <w:pPr>
              <w:rPr>
                <w:rFonts w:ascii="宋体" w:hAnsi="宋体" w:cs="宋体"/>
                <w:color w:val="auto"/>
                <w:szCs w:val="21"/>
                <w:highlight w:val="none"/>
              </w:rPr>
            </w:pPr>
          </w:p>
        </w:tc>
        <w:tc>
          <w:tcPr>
            <w:tcW w:w="883" w:type="dxa"/>
            <w:vMerge w:val="continue"/>
            <w:vAlign w:val="center"/>
          </w:tcPr>
          <w:p>
            <w:pPr>
              <w:pStyle w:val="29"/>
              <w:rPr>
                <w:rFonts w:hAnsi="宋体"/>
                <w:color w:val="auto"/>
                <w:sz w:val="21"/>
                <w:szCs w:val="21"/>
                <w:highlight w:val="none"/>
              </w:rPr>
            </w:pPr>
          </w:p>
        </w:tc>
        <w:tc>
          <w:tcPr>
            <w:tcW w:w="7300" w:type="dxa"/>
            <w:vAlign w:val="center"/>
          </w:tcPr>
          <w:p>
            <w:pPr>
              <w:rPr>
                <w:rFonts w:ascii="宋体" w:hAnsi="宋体" w:cs="宋体"/>
                <w:color w:val="auto"/>
                <w:szCs w:val="21"/>
                <w:highlight w:val="none"/>
              </w:rPr>
            </w:pPr>
            <w:r>
              <w:rPr>
                <w:rFonts w:hint="eastAsia" w:ascii="宋体" w:hAnsi="宋体" w:cs="宋体"/>
                <w:color w:val="auto"/>
                <w:szCs w:val="21"/>
                <w:highlight w:val="none"/>
              </w:rPr>
              <w:t>施工期间交通组织：</w:t>
            </w:r>
          </w:p>
          <w:p>
            <w:pPr>
              <w:rPr>
                <w:rFonts w:ascii="宋体" w:hAnsi="宋体" w:cs="宋体"/>
                <w:color w:val="auto"/>
                <w:szCs w:val="21"/>
                <w:highlight w:val="none"/>
              </w:rPr>
            </w:pPr>
            <w:r>
              <w:rPr>
                <w:rFonts w:hint="eastAsia" w:ascii="宋体" w:hAnsi="宋体" w:cs="宋体"/>
                <w:color w:val="auto"/>
                <w:szCs w:val="21"/>
                <w:highlight w:val="none"/>
              </w:rPr>
              <w:t>1、组织机构、工作时间进度表、工作程序和步骤、管理和协调方法等。评委根据投标人提供的方案，分三档打分。</w:t>
            </w:r>
          </w:p>
          <w:p>
            <w:pPr>
              <w:spacing w:line="288" w:lineRule="auto"/>
              <w:rPr>
                <w:rFonts w:hint="eastAsia"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w:t>
            </w:r>
            <w:r>
              <w:rPr>
                <w:rFonts w:hint="eastAsia" w:ascii="宋体" w:hAnsi="宋体" w:cs="宋体"/>
                <w:color w:val="auto"/>
                <w:szCs w:val="21"/>
                <w:highlight w:val="none"/>
              </w:rPr>
              <w:t>服务方案明确，流程规范性强的，得3-2.0分；</w:t>
            </w:r>
          </w:p>
          <w:p>
            <w:pPr>
              <w:spacing w:line="288" w:lineRule="auto"/>
              <w:rPr>
                <w:rFonts w:hint="eastAsia"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eastAsia="zh-CN"/>
              </w:rPr>
              <w:t>）</w:t>
            </w:r>
            <w:r>
              <w:rPr>
                <w:rFonts w:hint="eastAsia" w:ascii="宋体" w:hAnsi="宋体" w:cs="宋体"/>
                <w:color w:val="auto"/>
                <w:szCs w:val="21"/>
                <w:highlight w:val="none"/>
              </w:rPr>
              <w:t>方案内容较详细，流程规范较强的，得1.9-1分；</w:t>
            </w:r>
          </w:p>
          <w:p>
            <w:pPr>
              <w:spacing w:line="288" w:lineRule="auto"/>
              <w:rPr>
                <w:rFonts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w:t>
            </w:r>
            <w:r>
              <w:rPr>
                <w:rFonts w:hint="eastAsia" w:ascii="宋体" w:hAnsi="宋体" w:cs="宋体"/>
                <w:color w:val="auto"/>
                <w:szCs w:val="21"/>
                <w:highlight w:val="none"/>
              </w:rPr>
              <w:t>方案内容一般的，得0.9-0分。</w:t>
            </w:r>
          </w:p>
          <w:p>
            <w:pPr>
              <w:rPr>
                <w:rFonts w:ascii="宋体" w:hAnsi="宋体" w:cs="宋体"/>
                <w:color w:val="auto"/>
                <w:szCs w:val="21"/>
                <w:highlight w:val="none"/>
              </w:rPr>
            </w:pPr>
            <w:r>
              <w:rPr>
                <w:rFonts w:hint="eastAsia" w:ascii="宋体" w:hAnsi="宋体" w:cs="宋体"/>
                <w:color w:val="auto"/>
                <w:szCs w:val="21"/>
                <w:highlight w:val="none"/>
              </w:rPr>
              <w:t>2、施工人员的培训、着装、各种道路条件下（含夜间、车流量人流量密集等情况）的施工期间临时交通安全设施的设置及安全管理的相关制度等。</w:t>
            </w:r>
          </w:p>
          <w:p>
            <w:pPr>
              <w:rPr>
                <w:rFonts w:hint="eastAsia"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lang w:eastAsia="zh-CN"/>
              </w:rPr>
              <w:t>）</w:t>
            </w:r>
            <w:r>
              <w:rPr>
                <w:rFonts w:hint="eastAsia" w:ascii="宋体" w:hAnsi="宋体" w:cs="宋体"/>
                <w:color w:val="auto"/>
                <w:szCs w:val="21"/>
                <w:highlight w:val="none"/>
              </w:rPr>
              <w:t>方案明确合理，措施制度性强的，得3-2.0分；</w:t>
            </w:r>
          </w:p>
          <w:p>
            <w:pPr>
              <w:rPr>
                <w:rFonts w:hint="eastAsia"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lang w:eastAsia="zh-CN"/>
              </w:rPr>
              <w:t>）</w:t>
            </w:r>
            <w:r>
              <w:rPr>
                <w:rFonts w:hint="eastAsia" w:ascii="宋体" w:hAnsi="宋体" w:cs="宋体"/>
                <w:color w:val="auto"/>
                <w:szCs w:val="21"/>
                <w:highlight w:val="none"/>
              </w:rPr>
              <w:t>方案较详细，措施制度较强的，得1.9-1分；</w:t>
            </w:r>
          </w:p>
          <w:p>
            <w:pPr>
              <w:rPr>
                <w:rFonts w:ascii="宋体" w:hAnsi="宋体" w:cs="宋体"/>
                <w:color w:val="auto"/>
                <w:szCs w:val="21"/>
                <w:highlight w:val="none"/>
              </w:rPr>
            </w:pP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lang w:eastAsia="zh-CN"/>
              </w:rPr>
              <w:t>）</w:t>
            </w:r>
            <w:r>
              <w:rPr>
                <w:rFonts w:hint="eastAsia" w:ascii="宋体" w:hAnsi="宋体" w:cs="宋体"/>
                <w:color w:val="auto"/>
                <w:szCs w:val="21"/>
                <w:highlight w:val="none"/>
              </w:rPr>
              <w:t>方案内容一般的，得0.9-0分。</w:t>
            </w:r>
          </w:p>
        </w:tc>
        <w:tc>
          <w:tcPr>
            <w:tcW w:w="550" w:type="dxa"/>
            <w:vAlign w:val="center"/>
          </w:tcPr>
          <w:p>
            <w:pPr>
              <w:rPr>
                <w:color w:val="auto"/>
                <w:highlight w:val="none"/>
              </w:rPr>
            </w:pPr>
            <w:r>
              <w:rPr>
                <w:rFonts w:hint="eastAsia"/>
                <w:color w:val="auto"/>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746" w:type="dxa"/>
            <w:vMerge w:val="continue"/>
            <w:vAlign w:val="center"/>
          </w:tcPr>
          <w:p>
            <w:pPr>
              <w:rPr>
                <w:rFonts w:ascii="宋体" w:hAnsi="宋体" w:cs="宋体"/>
                <w:color w:val="auto"/>
                <w:szCs w:val="21"/>
                <w:highlight w:val="none"/>
              </w:rPr>
            </w:pPr>
          </w:p>
        </w:tc>
        <w:tc>
          <w:tcPr>
            <w:tcW w:w="883" w:type="dxa"/>
            <w:vAlign w:val="center"/>
          </w:tcPr>
          <w:p>
            <w:pPr>
              <w:pStyle w:val="29"/>
              <w:rPr>
                <w:rFonts w:hint="eastAsia" w:hAnsi="宋体"/>
                <w:color w:val="auto"/>
                <w:sz w:val="21"/>
                <w:szCs w:val="21"/>
                <w:highlight w:val="none"/>
              </w:rPr>
            </w:pPr>
            <w:r>
              <w:rPr>
                <w:rFonts w:hint="eastAsia" w:ascii="宋体" w:hAnsi="宋体" w:cs="宋体"/>
                <w:color w:val="auto"/>
                <w:szCs w:val="21"/>
                <w:highlight w:val="none"/>
              </w:rPr>
              <w:t>视频演示</w:t>
            </w:r>
          </w:p>
        </w:tc>
        <w:tc>
          <w:tcPr>
            <w:tcW w:w="7300" w:type="dxa"/>
            <w:vAlign w:val="center"/>
          </w:tcPr>
          <w:p>
            <w:pPr>
              <w:widowControl/>
              <w:spacing w:line="288" w:lineRule="auto"/>
              <w:jc w:val="left"/>
              <w:rPr>
                <w:color w:val="auto"/>
                <w:szCs w:val="21"/>
                <w:highlight w:val="none"/>
              </w:rPr>
            </w:pPr>
            <w:r>
              <w:rPr>
                <w:rFonts w:hint="eastAsia"/>
                <w:color w:val="auto"/>
                <w:szCs w:val="21"/>
                <w:highlight w:val="none"/>
              </w:rPr>
              <w:t>根据工程施工需要，投标人对</w:t>
            </w:r>
            <w:r>
              <w:rPr>
                <w:rFonts w:hint="eastAsia" w:ascii="宋体" w:hAnsi="宋体" w:eastAsia="宋体" w:cs="宋体"/>
                <w:i w:val="0"/>
                <w:iCs w:val="0"/>
                <w:color w:val="auto"/>
                <w:kern w:val="0"/>
                <w:sz w:val="21"/>
                <w:szCs w:val="21"/>
                <w:highlight w:val="none"/>
                <w:u w:val="none"/>
                <w:lang w:val="en-US" w:eastAsia="zh-CN" w:bidi="ar"/>
              </w:rPr>
              <w:t>双组份反光型标线（喷涂）</w:t>
            </w:r>
            <w:r>
              <w:rPr>
                <w:rFonts w:hint="eastAsia" w:ascii="宋体" w:hAnsi="宋体" w:cs="宋体"/>
                <w:i w:val="0"/>
                <w:iCs w:val="0"/>
                <w:color w:val="auto"/>
                <w:kern w:val="0"/>
                <w:sz w:val="21"/>
                <w:szCs w:val="21"/>
                <w:highlight w:val="none"/>
                <w:u w:val="none"/>
                <w:lang w:val="en-US" w:eastAsia="zh-CN" w:bidi="ar"/>
              </w:rPr>
              <w:t>施工</w:t>
            </w:r>
            <w:r>
              <w:rPr>
                <w:rFonts w:hint="eastAsia"/>
                <w:color w:val="auto"/>
                <w:szCs w:val="21"/>
                <w:highlight w:val="none"/>
                <w:lang w:val="en-US" w:eastAsia="zh-CN"/>
              </w:rPr>
              <w:t>等</w:t>
            </w:r>
            <w:r>
              <w:rPr>
                <w:rFonts w:hint="eastAsia"/>
                <w:color w:val="auto"/>
                <w:szCs w:val="21"/>
                <w:highlight w:val="none"/>
              </w:rPr>
              <w:t>各个环节进行模拟演练，并提供相关资料（包括演练照片、文字或视频解读）。评标专家可根据实际情况进行网上提问（如有），并对各投标人讲标的模拟演练综合表现进行打分：</w:t>
            </w:r>
          </w:p>
          <w:p>
            <w:pPr>
              <w:numPr>
                <w:ilvl w:val="0"/>
                <w:numId w:val="11"/>
              </w:numPr>
              <w:spacing w:line="288" w:lineRule="auto"/>
              <w:rPr>
                <w:rFonts w:hint="eastAsia"/>
                <w:color w:val="auto"/>
                <w:szCs w:val="21"/>
                <w:highlight w:val="none"/>
              </w:rPr>
            </w:pPr>
            <w:r>
              <w:rPr>
                <w:rFonts w:hint="eastAsia"/>
                <w:color w:val="auto"/>
                <w:szCs w:val="21"/>
                <w:highlight w:val="none"/>
              </w:rPr>
              <w:t>讲解的内容阐述详细、完整、清晰的，且确实可行的得</w:t>
            </w:r>
            <w:r>
              <w:rPr>
                <w:rFonts w:hint="eastAsia" w:ascii="宋体" w:hAnsi="宋体" w:cs="宋体"/>
                <w:color w:val="auto"/>
                <w:szCs w:val="21"/>
                <w:highlight w:val="none"/>
                <w:lang w:val="en-US" w:eastAsia="zh-CN"/>
              </w:rPr>
              <w:t>4-2.6</w:t>
            </w:r>
            <w:r>
              <w:rPr>
                <w:rFonts w:hint="eastAsia"/>
                <w:color w:val="auto"/>
                <w:szCs w:val="21"/>
                <w:highlight w:val="none"/>
              </w:rPr>
              <w:t>分；</w:t>
            </w:r>
          </w:p>
          <w:p>
            <w:pPr>
              <w:numPr>
                <w:ilvl w:val="0"/>
                <w:numId w:val="11"/>
              </w:numPr>
              <w:spacing w:line="288" w:lineRule="auto"/>
              <w:ind w:left="0" w:leftChars="0" w:firstLine="0" w:firstLineChars="0"/>
              <w:rPr>
                <w:rFonts w:hint="eastAsia"/>
                <w:color w:val="auto"/>
                <w:szCs w:val="21"/>
                <w:highlight w:val="none"/>
              </w:rPr>
            </w:pPr>
            <w:r>
              <w:rPr>
                <w:rFonts w:hint="eastAsia"/>
                <w:color w:val="auto"/>
                <w:szCs w:val="21"/>
                <w:highlight w:val="none"/>
              </w:rPr>
              <w:t>内容阐述比较详细、完整、清晰的，且确实可行的得</w:t>
            </w:r>
            <w:r>
              <w:rPr>
                <w:rFonts w:hint="eastAsia" w:ascii="宋体" w:hAnsi="宋体" w:cs="宋体"/>
                <w:color w:val="auto"/>
                <w:szCs w:val="21"/>
                <w:highlight w:val="none"/>
                <w:lang w:val="en-US" w:eastAsia="zh-CN"/>
              </w:rPr>
              <w:t>2.5-1.1</w:t>
            </w:r>
            <w:r>
              <w:rPr>
                <w:rFonts w:hint="eastAsia"/>
                <w:color w:val="auto"/>
                <w:szCs w:val="21"/>
                <w:highlight w:val="none"/>
              </w:rPr>
              <w:t>分；</w:t>
            </w:r>
          </w:p>
          <w:p>
            <w:pPr>
              <w:numPr>
                <w:ilvl w:val="0"/>
                <w:numId w:val="11"/>
              </w:numPr>
              <w:spacing w:line="288" w:lineRule="auto"/>
              <w:ind w:left="0" w:leftChars="0" w:firstLine="0" w:firstLineChars="0"/>
              <w:rPr>
                <w:rFonts w:hint="eastAsia"/>
                <w:color w:val="auto"/>
                <w:szCs w:val="21"/>
                <w:highlight w:val="none"/>
              </w:rPr>
            </w:pPr>
            <w:r>
              <w:rPr>
                <w:rFonts w:hint="eastAsia"/>
                <w:color w:val="auto"/>
                <w:szCs w:val="21"/>
                <w:highlight w:val="none"/>
              </w:rPr>
              <w:t>内容阐述不够详细、完整、清晰的，且可行性差的得</w:t>
            </w:r>
            <w:r>
              <w:rPr>
                <w:rFonts w:hint="eastAsia" w:ascii="宋体" w:hAnsi="宋体" w:cs="宋体"/>
                <w:color w:val="auto"/>
                <w:szCs w:val="21"/>
                <w:highlight w:val="none"/>
                <w:lang w:val="en-US" w:eastAsia="zh-CN"/>
              </w:rPr>
              <w:t>1.0-0</w:t>
            </w:r>
            <w:r>
              <w:rPr>
                <w:rFonts w:hint="eastAsia"/>
                <w:color w:val="auto"/>
                <w:szCs w:val="21"/>
                <w:highlight w:val="none"/>
              </w:rPr>
              <w:t>分；</w:t>
            </w:r>
          </w:p>
          <w:p>
            <w:pPr>
              <w:numPr>
                <w:ilvl w:val="0"/>
                <w:numId w:val="11"/>
              </w:numPr>
              <w:spacing w:line="288" w:lineRule="auto"/>
              <w:ind w:left="0" w:leftChars="0" w:firstLine="0" w:firstLineChars="0"/>
              <w:rPr>
                <w:color w:val="auto"/>
                <w:szCs w:val="21"/>
                <w:highlight w:val="none"/>
              </w:rPr>
            </w:pPr>
            <w:r>
              <w:rPr>
                <w:rFonts w:hint="eastAsia"/>
                <w:color w:val="auto"/>
                <w:szCs w:val="21"/>
                <w:highlight w:val="none"/>
              </w:rPr>
              <w:t>无阐述的不得分。</w:t>
            </w:r>
          </w:p>
          <w:p>
            <w:pPr>
              <w:pStyle w:val="2"/>
              <w:ind w:left="0" w:leftChars="0" w:firstLine="0" w:firstLineChars="0"/>
              <w:rPr>
                <w:rFonts w:hint="eastAsia"/>
                <w:color w:val="auto"/>
                <w:szCs w:val="21"/>
                <w:highlight w:val="none"/>
                <w:lang w:val="en-US" w:eastAsia="zh-CN"/>
              </w:rPr>
            </w:pPr>
            <w:r>
              <w:rPr>
                <w:rFonts w:hint="eastAsia"/>
                <w:color w:val="auto"/>
                <w:szCs w:val="21"/>
                <w:highlight w:val="none"/>
                <w:lang w:val="en-US" w:eastAsia="zh-CN"/>
              </w:rPr>
              <w:t>注：1、如采用照片、文字形式解读的将该部分内容制作进商务与技术文件；</w:t>
            </w:r>
          </w:p>
          <w:p>
            <w:pPr>
              <w:rPr>
                <w:rFonts w:hint="default" w:ascii="宋体" w:hAnsi="宋体" w:eastAsia="宋体" w:cs="宋体"/>
                <w:color w:val="auto"/>
                <w:szCs w:val="21"/>
                <w:highlight w:val="none"/>
                <w:lang w:val="en-US" w:eastAsia="zh-CN"/>
              </w:rPr>
            </w:pPr>
            <w:r>
              <w:rPr>
                <w:rFonts w:hint="eastAsia"/>
                <w:color w:val="auto"/>
                <w:szCs w:val="21"/>
                <w:highlight w:val="none"/>
                <w:lang w:val="en-US" w:eastAsia="zh-CN"/>
              </w:rPr>
              <w:t>2、如采用视频形式解读的，则需提供模拟演练的讲解及演示，请投标人提前录制录像，U 盘介质形式存储(本项内容的视频讲解及演示时间不超过 10 分钟，时长超出部分不予演示。因介质损坏等原因导致无法读取的后果由投标人自行承担)。U盘递交形式详见前附表第八点。</w:t>
            </w:r>
          </w:p>
        </w:tc>
        <w:tc>
          <w:tcPr>
            <w:tcW w:w="550" w:type="dxa"/>
            <w:vAlign w:val="center"/>
          </w:tcPr>
          <w:p>
            <w:pP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trPr>
        <w:tc>
          <w:tcPr>
            <w:tcW w:w="746" w:type="dxa"/>
            <w:vMerge w:val="continue"/>
            <w:vAlign w:val="center"/>
          </w:tcPr>
          <w:p>
            <w:pPr>
              <w:rPr>
                <w:rFonts w:ascii="宋体" w:hAnsi="宋体" w:cs="宋体"/>
                <w:color w:val="auto"/>
                <w:szCs w:val="21"/>
                <w:highlight w:val="none"/>
              </w:rPr>
            </w:pPr>
          </w:p>
        </w:tc>
        <w:tc>
          <w:tcPr>
            <w:tcW w:w="883" w:type="dxa"/>
            <w:vAlign w:val="center"/>
          </w:tcPr>
          <w:p>
            <w:pPr>
              <w:pStyle w:val="29"/>
              <w:rPr>
                <w:rFonts w:hAnsi="宋体"/>
                <w:color w:val="auto"/>
                <w:sz w:val="21"/>
                <w:szCs w:val="21"/>
                <w:highlight w:val="none"/>
              </w:rPr>
            </w:pPr>
            <w:r>
              <w:rPr>
                <w:rFonts w:hint="eastAsia" w:hAnsi="宋体"/>
                <w:color w:val="auto"/>
                <w:sz w:val="21"/>
                <w:szCs w:val="21"/>
                <w:highlight w:val="none"/>
              </w:rPr>
              <w:t>施工现场车辆方案</w:t>
            </w:r>
          </w:p>
        </w:tc>
        <w:tc>
          <w:tcPr>
            <w:tcW w:w="7300" w:type="dxa"/>
            <w:vAlign w:val="center"/>
          </w:tcPr>
          <w:p>
            <w:pPr>
              <w:rPr>
                <w:rFonts w:ascii="宋体" w:hAnsi="宋体" w:cs="宋体"/>
                <w:color w:val="auto"/>
                <w:szCs w:val="21"/>
                <w:highlight w:val="none"/>
              </w:rPr>
            </w:pPr>
            <w:r>
              <w:rPr>
                <w:rFonts w:hint="eastAsia" w:ascii="宋体" w:hAnsi="宋体" w:cs="宋体"/>
                <w:color w:val="auto"/>
                <w:szCs w:val="21"/>
                <w:highlight w:val="none"/>
              </w:rPr>
              <w:t>现场施工车辆：</w:t>
            </w:r>
          </w:p>
          <w:p>
            <w:pPr>
              <w:rPr>
                <w:rFonts w:ascii="宋体" w:hAnsi="宋体" w:cs="宋体"/>
                <w:color w:val="auto"/>
                <w:szCs w:val="21"/>
                <w:highlight w:val="none"/>
              </w:rPr>
            </w:pPr>
            <w:r>
              <w:rPr>
                <w:rFonts w:hint="eastAsia" w:ascii="宋体" w:hAnsi="宋体" w:cs="宋体"/>
                <w:color w:val="auto"/>
                <w:szCs w:val="21"/>
                <w:highlight w:val="none"/>
              </w:rPr>
              <w:t>1、提供现场作业车辆（标线施工车辆），少于3辆不得分，提供3辆得2分，提供4辆得3分，4辆以上每增加1辆得0.5分，最高得4分。</w:t>
            </w:r>
          </w:p>
          <w:p>
            <w:pPr>
              <w:rPr>
                <w:rFonts w:ascii="宋体" w:hAnsi="宋体" w:cs="宋体"/>
                <w:color w:val="auto"/>
                <w:szCs w:val="21"/>
                <w:highlight w:val="none"/>
              </w:rPr>
            </w:pPr>
            <w:r>
              <w:rPr>
                <w:rFonts w:hint="eastAsia" w:ascii="宋体" w:hAnsi="宋体" w:cs="宋体"/>
                <w:color w:val="auto"/>
                <w:szCs w:val="21"/>
                <w:highlight w:val="none"/>
              </w:rPr>
              <w:t>2、提供标线清洗车辆（</w:t>
            </w:r>
            <w:r>
              <w:rPr>
                <w:rFonts w:hint="eastAsia" w:ascii="宋体" w:hAnsi="宋体" w:cs="宋体"/>
                <w:color w:val="auto"/>
                <w:szCs w:val="21"/>
                <w:highlight w:val="none"/>
                <w:lang w:val="en-US" w:eastAsia="zh-CN"/>
              </w:rPr>
              <w:t>高压</w:t>
            </w:r>
            <w:r>
              <w:rPr>
                <w:rFonts w:hint="eastAsia" w:ascii="宋体" w:hAnsi="宋体" w:cs="宋体"/>
                <w:color w:val="auto"/>
                <w:szCs w:val="21"/>
                <w:highlight w:val="none"/>
              </w:rPr>
              <w:t>水除线）1辆得0.5分，最高得1分；</w:t>
            </w:r>
          </w:p>
          <w:p>
            <w:pPr>
              <w:rPr>
                <w:color w:val="auto"/>
                <w:highlight w:val="none"/>
              </w:rPr>
            </w:pPr>
            <w:r>
              <w:rPr>
                <w:rFonts w:hint="eastAsia" w:ascii="宋体" w:hAnsi="宋体" w:cs="宋体"/>
                <w:color w:val="auto"/>
                <w:szCs w:val="21"/>
                <w:highlight w:val="none"/>
              </w:rPr>
              <w:t>上述两点的车辆需提供有效的车辆行驶证</w:t>
            </w:r>
            <w:r>
              <w:rPr>
                <w:rFonts w:hint="eastAsia"/>
                <w:color w:val="auto"/>
                <w:highlight w:val="none"/>
              </w:rPr>
              <w:t>扫描件</w:t>
            </w:r>
            <w:r>
              <w:rPr>
                <w:rFonts w:hint="eastAsia" w:ascii="宋体" w:hAnsi="宋体" w:cs="宋体"/>
                <w:color w:val="auto"/>
                <w:szCs w:val="21"/>
                <w:highlight w:val="none"/>
              </w:rPr>
              <w:t>和车辆照片为准，如是租赁的，还需在投标文件中提供租赁合同</w:t>
            </w:r>
            <w:r>
              <w:rPr>
                <w:rFonts w:hint="eastAsia"/>
                <w:color w:val="auto"/>
                <w:highlight w:val="none"/>
              </w:rPr>
              <w:t>扫描件，</w:t>
            </w:r>
            <w:r>
              <w:rPr>
                <w:rFonts w:hint="eastAsia" w:ascii="宋体" w:hAnsi="宋体" w:cs="宋体"/>
                <w:color w:val="auto"/>
                <w:szCs w:val="21"/>
                <w:highlight w:val="none"/>
              </w:rPr>
              <w:t>租赁期限需超过本项目期限。作业车辆必须符合台州市相关交通管理要求,以上车辆履约完成前须专门为本项目服务，不得他用。</w:t>
            </w:r>
          </w:p>
        </w:tc>
        <w:tc>
          <w:tcPr>
            <w:tcW w:w="550" w:type="dxa"/>
            <w:vAlign w:val="center"/>
          </w:tcPr>
          <w:p>
            <w:pP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46" w:type="dxa"/>
            <w:vMerge w:val="continue"/>
            <w:vAlign w:val="center"/>
          </w:tcPr>
          <w:p>
            <w:pPr>
              <w:rPr>
                <w:rFonts w:ascii="宋体" w:hAnsi="宋体" w:cs="宋体"/>
                <w:color w:val="auto"/>
                <w:szCs w:val="21"/>
                <w:highlight w:val="none"/>
              </w:rPr>
            </w:pPr>
          </w:p>
        </w:tc>
        <w:tc>
          <w:tcPr>
            <w:tcW w:w="883" w:type="dxa"/>
            <w:vAlign w:val="center"/>
          </w:tcPr>
          <w:p>
            <w:pPr>
              <w:rPr>
                <w:rFonts w:ascii="宋体" w:hAnsi="宋体" w:cs="宋体"/>
                <w:color w:val="auto"/>
                <w:szCs w:val="21"/>
                <w:highlight w:val="none"/>
              </w:rPr>
            </w:pPr>
            <w:r>
              <w:rPr>
                <w:rFonts w:hint="eastAsia" w:ascii="宋体" w:hAnsi="宋体" w:cs="宋体"/>
                <w:color w:val="auto"/>
                <w:szCs w:val="21"/>
                <w:highlight w:val="none"/>
              </w:rPr>
              <w:t>项目实施人员</w:t>
            </w:r>
          </w:p>
        </w:tc>
        <w:tc>
          <w:tcPr>
            <w:tcW w:w="7300" w:type="dxa"/>
            <w:vAlign w:val="center"/>
          </w:tcPr>
          <w:p>
            <w:pPr>
              <w:snapToGrid w:val="0"/>
              <w:spacing w:line="240" w:lineRule="atLeast"/>
              <w:rPr>
                <w:rFonts w:ascii="宋体" w:hAnsi="宋体" w:cs="宋体"/>
                <w:color w:val="auto"/>
                <w:szCs w:val="21"/>
                <w:highlight w:val="none"/>
              </w:rPr>
            </w:pPr>
            <w:r>
              <w:rPr>
                <w:rFonts w:hint="eastAsia" w:ascii="宋体" w:hAnsi="宋体" w:cs="宋体"/>
                <w:color w:val="auto"/>
                <w:szCs w:val="21"/>
                <w:highlight w:val="none"/>
              </w:rPr>
              <w:t>根据投标人针对本项目配备的团队成员（项目负责人、其它管理维护人员）的职称情况等进行打分。</w:t>
            </w:r>
          </w:p>
          <w:p>
            <w:pPr>
              <w:snapToGrid w:val="0"/>
              <w:spacing w:line="240" w:lineRule="atLeast"/>
              <w:rPr>
                <w:rFonts w:ascii="宋体" w:hAnsi="宋体" w:cs="宋体"/>
                <w:color w:val="auto"/>
                <w:szCs w:val="21"/>
                <w:highlight w:val="none"/>
              </w:rPr>
            </w:pPr>
            <w:r>
              <w:rPr>
                <w:rFonts w:hint="eastAsia" w:ascii="宋体" w:hAnsi="宋体" w:cs="宋体"/>
                <w:color w:val="auto"/>
                <w:szCs w:val="21"/>
                <w:highlight w:val="none"/>
              </w:rPr>
              <w:t>1.项目负责人具有人社部门颁发的高级工程师证的得2分，中级工程师证得1分。二级及以上注册建造师证得1分，本项最高得3分；</w:t>
            </w:r>
          </w:p>
          <w:p>
            <w:pPr>
              <w:snapToGrid w:val="0"/>
              <w:spacing w:line="240" w:lineRule="atLeast"/>
              <w:rPr>
                <w:rFonts w:ascii="宋体" w:hAnsi="宋体" w:cs="宋体"/>
                <w:color w:val="auto"/>
                <w:szCs w:val="21"/>
                <w:highlight w:val="none"/>
              </w:rPr>
            </w:pPr>
            <w:r>
              <w:rPr>
                <w:rFonts w:hint="eastAsia" w:ascii="宋体" w:hAnsi="宋体" w:cs="宋体"/>
                <w:color w:val="auto"/>
                <w:szCs w:val="21"/>
                <w:highlight w:val="none"/>
              </w:rPr>
              <w:t>2.项目成员（除项目负责人外）具有工程师职称的每人得1分，助理工程师职称的每人得0.5分，最高得2分；</w:t>
            </w:r>
          </w:p>
          <w:p>
            <w:pPr>
              <w:rPr>
                <w:color w:val="auto"/>
                <w:highlight w:val="none"/>
              </w:rPr>
            </w:pPr>
            <w:r>
              <w:rPr>
                <w:rFonts w:hint="eastAsia" w:ascii="宋体" w:hAnsi="宋体" w:cs="宋体"/>
                <w:b/>
                <w:bCs w:val="0"/>
                <w:color w:val="auto"/>
                <w:szCs w:val="21"/>
                <w:highlight w:val="none"/>
              </w:rPr>
              <w:t>注：要求提供人员证书</w:t>
            </w:r>
            <w:r>
              <w:rPr>
                <w:rFonts w:hint="eastAsia"/>
                <w:b/>
                <w:bCs w:val="0"/>
                <w:color w:val="auto"/>
                <w:highlight w:val="none"/>
              </w:rPr>
              <w:t>扫描件</w:t>
            </w:r>
            <w:r>
              <w:rPr>
                <w:rFonts w:hint="eastAsia" w:ascii="宋体" w:hAnsi="宋体" w:cs="宋体"/>
                <w:b/>
                <w:bCs w:val="0"/>
                <w:color w:val="auto"/>
                <w:szCs w:val="21"/>
                <w:highlight w:val="none"/>
              </w:rPr>
              <w:t>、</w:t>
            </w:r>
            <w:r>
              <w:rPr>
                <w:rFonts w:ascii="宋体" w:hAnsi="宋体"/>
                <w:b/>
                <w:bCs w:val="0"/>
                <w:color w:val="auto"/>
                <w:szCs w:val="21"/>
                <w:highlight w:val="none"/>
              </w:rPr>
              <w:t>投标截止日之前</w:t>
            </w:r>
            <w:r>
              <w:rPr>
                <w:rFonts w:hint="eastAsia" w:ascii="宋体" w:hAnsi="宋体"/>
                <w:b/>
                <w:bCs w:val="0"/>
                <w:color w:val="auto"/>
                <w:szCs w:val="21"/>
                <w:highlight w:val="none"/>
              </w:rPr>
              <w:t>近六</w:t>
            </w:r>
            <w:r>
              <w:rPr>
                <w:rFonts w:ascii="宋体" w:hAnsi="宋体"/>
                <w:b/>
                <w:bCs w:val="0"/>
                <w:color w:val="auto"/>
                <w:szCs w:val="21"/>
                <w:highlight w:val="none"/>
              </w:rPr>
              <w:t>个月的</w:t>
            </w:r>
            <w:r>
              <w:rPr>
                <w:rFonts w:hint="eastAsia" w:ascii="宋体" w:hAnsi="宋体"/>
                <w:b/>
                <w:bCs w:val="0"/>
                <w:color w:val="auto"/>
                <w:szCs w:val="21"/>
                <w:highlight w:val="none"/>
              </w:rPr>
              <w:t>代缴个税税单或参加社会保险的《投保单》或《社会保险参保人员证明》等人员在本单位服务的外部证明</w:t>
            </w:r>
            <w:r>
              <w:rPr>
                <w:rFonts w:hint="eastAsia" w:ascii="宋体" w:hAnsi="宋体" w:cs="宋体"/>
                <w:b/>
                <w:bCs w:val="0"/>
                <w:color w:val="auto"/>
                <w:szCs w:val="21"/>
                <w:highlight w:val="none"/>
              </w:rPr>
              <w:t>（项目成员组人员包括驻点维护机构人员）</w:t>
            </w:r>
          </w:p>
        </w:tc>
        <w:tc>
          <w:tcPr>
            <w:tcW w:w="550" w:type="dxa"/>
            <w:vAlign w:val="center"/>
          </w:tcPr>
          <w:p>
            <w:pP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46" w:type="dxa"/>
            <w:vMerge w:val="continue"/>
            <w:vAlign w:val="center"/>
          </w:tcPr>
          <w:p>
            <w:pPr>
              <w:rPr>
                <w:rFonts w:ascii="宋体" w:hAnsi="宋体" w:cs="宋体"/>
                <w:color w:val="auto"/>
                <w:szCs w:val="21"/>
                <w:highlight w:val="none"/>
              </w:rPr>
            </w:pPr>
          </w:p>
        </w:tc>
        <w:tc>
          <w:tcPr>
            <w:tcW w:w="883" w:type="dxa"/>
            <w:vMerge w:val="restart"/>
            <w:vAlign w:val="center"/>
          </w:tcPr>
          <w:p>
            <w:pPr>
              <w:autoSpaceDE w:val="0"/>
              <w:autoSpaceDN w:val="0"/>
              <w:adjustRightIn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样品</w:t>
            </w:r>
          </w:p>
          <w:p>
            <w:pPr>
              <w:rPr>
                <w:rFonts w:ascii="宋体" w:hAnsi="宋体" w:cs="宋体"/>
                <w:color w:val="auto"/>
                <w:szCs w:val="21"/>
                <w:highlight w:val="none"/>
              </w:rPr>
            </w:pPr>
          </w:p>
        </w:tc>
        <w:tc>
          <w:tcPr>
            <w:tcW w:w="7300" w:type="dxa"/>
            <w:vAlign w:val="center"/>
          </w:tcPr>
          <w:p>
            <w:pPr>
              <w:autoSpaceDE w:val="0"/>
              <w:autoSpaceDN w:val="0"/>
              <w:adjustRightInd w:val="0"/>
              <w:jc w:val="left"/>
              <w:rPr>
                <w:color w:val="auto"/>
                <w:highlight w:val="none"/>
              </w:rPr>
            </w:pPr>
            <w:r>
              <w:rPr>
                <w:rFonts w:hint="eastAsia"/>
                <w:color w:val="auto"/>
                <w:highlight w:val="none"/>
              </w:rPr>
              <w:t>要求：注明样品清单、材质、型号、品牌等信息。样品不得体现或影射投标人的信息，否则按无效标处理</w:t>
            </w:r>
          </w:p>
          <w:p>
            <w:pPr>
              <w:rPr>
                <w:color w:val="auto"/>
                <w:highlight w:val="none"/>
              </w:rPr>
            </w:pPr>
            <w:r>
              <w:rPr>
                <w:rFonts w:hint="eastAsia"/>
                <w:color w:val="auto"/>
                <w:highlight w:val="none"/>
              </w:rPr>
              <w:t>1.铝板上画0.5米长15公分宽的震荡标线（白色），根据投标样品的材质、产品品质等进行评价，最高得</w:t>
            </w:r>
            <w:r>
              <w:rPr>
                <w:rFonts w:hint="eastAsia"/>
                <w:color w:val="auto"/>
                <w:highlight w:val="none"/>
                <w:lang w:val="en-US" w:eastAsia="zh-CN"/>
              </w:rPr>
              <w:t>4</w:t>
            </w:r>
            <w:r>
              <w:rPr>
                <w:rFonts w:hint="eastAsia"/>
                <w:color w:val="auto"/>
                <w:highlight w:val="none"/>
              </w:rPr>
              <w:t>分。（提供涂料检测报告扫描件，不提供不得分）</w:t>
            </w:r>
          </w:p>
          <w:p>
            <w:pPr>
              <w:rPr>
                <w:rFonts w:hint="eastAsia"/>
                <w:color w:val="auto"/>
                <w:highlight w:val="none"/>
              </w:rPr>
            </w:pPr>
            <w:r>
              <w:rPr>
                <w:rFonts w:hint="eastAsia"/>
                <w:color w:val="auto"/>
                <w:highlight w:val="none"/>
              </w:rPr>
              <w:t>。</w:t>
            </w:r>
          </w:p>
          <w:p>
            <w:pPr>
              <w:pStyle w:val="2"/>
              <w:ind w:left="0" w:leftChars="0" w:firstLine="0" w:firstLineChars="0"/>
              <w:rPr>
                <w:rFonts w:hint="eastAsia"/>
                <w:color w:val="auto"/>
                <w:highlight w:val="none"/>
                <w:lang w:val="en-US" w:eastAsia="zh-CN"/>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）样品的</w:t>
            </w:r>
            <w:r>
              <w:rPr>
                <w:rFonts w:hint="eastAsia"/>
                <w:color w:val="auto"/>
                <w:highlight w:val="none"/>
              </w:rPr>
              <w:t>材质、产品品质等</w:t>
            </w:r>
            <w:r>
              <w:rPr>
                <w:rFonts w:hint="eastAsia"/>
                <w:color w:val="auto"/>
                <w:highlight w:val="none"/>
                <w:lang w:eastAsia="zh-CN"/>
              </w:rPr>
              <w:t>质量高的得</w:t>
            </w:r>
            <w:r>
              <w:rPr>
                <w:rFonts w:hint="eastAsia"/>
                <w:color w:val="auto"/>
                <w:highlight w:val="none"/>
                <w:lang w:val="en-US" w:eastAsia="zh-CN"/>
              </w:rPr>
              <w:t>2.5-4分</w:t>
            </w:r>
          </w:p>
          <w:p>
            <w:pPr>
              <w:pStyle w:val="2"/>
              <w:ind w:left="0" w:leftChars="0" w:firstLine="0" w:firstLineChars="0"/>
              <w:rPr>
                <w:rFonts w:hint="eastAsia"/>
                <w:color w:val="auto"/>
                <w:highlight w:val="none"/>
                <w:lang w:val="en-US" w:eastAsia="zh-CN"/>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）样品的</w:t>
            </w:r>
            <w:r>
              <w:rPr>
                <w:rFonts w:hint="eastAsia"/>
                <w:color w:val="auto"/>
                <w:highlight w:val="none"/>
              </w:rPr>
              <w:t>材质、产品品质等</w:t>
            </w:r>
            <w:r>
              <w:rPr>
                <w:rFonts w:hint="eastAsia"/>
                <w:color w:val="auto"/>
                <w:highlight w:val="none"/>
                <w:lang w:eastAsia="zh-CN"/>
              </w:rPr>
              <w:t>质量</w:t>
            </w:r>
            <w:r>
              <w:rPr>
                <w:rFonts w:hint="eastAsia" w:ascii="宋体" w:hAnsi="宋体"/>
                <w:color w:val="auto"/>
                <w:kern w:val="0"/>
                <w:szCs w:val="21"/>
                <w:highlight w:val="none"/>
                <w:lang w:eastAsia="zh-CN"/>
              </w:rPr>
              <w:t>一般</w:t>
            </w:r>
            <w:r>
              <w:rPr>
                <w:rFonts w:hint="eastAsia"/>
                <w:color w:val="auto"/>
                <w:highlight w:val="none"/>
                <w:lang w:eastAsia="zh-CN"/>
              </w:rPr>
              <w:t>的得</w:t>
            </w:r>
            <w:r>
              <w:rPr>
                <w:rFonts w:hint="eastAsia"/>
                <w:color w:val="auto"/>
                <w:highlight w:val="none"/>
                <w:lang w:val="en-US" w:eastAsia="zh-CN"/>
              </w:rPr>
              <w:t>1.2-2.4分</w:t>
            </w:r>
          </w:p>
          <w:p>
            <w:pPr>
              <w:pStyle w:val="2"/>
              <w:ind w:left="0" w:leftChars="0" w:firstLine="0" w:firstLineChars="0"/>
              <w:rPr>
                <w:rFonts w:hint="default"/>
                <w:color w:val="auto"/>
                <w:highlight w:val="none"/>
                <w:lang w:val="en-US" w:eastAsia="zh-CN"/>
              </w:rPr>
            </w:pPr>
            <w:r>
              <w:rPr>
                <w:rFonts w:hint="eastAsia"/>
                <w:color w:val="auto"/>
                <w:highlight w:val="none"/>
                <w:lang w:eastAsia="zh-CN"/>
              </w:rPr>
              <w:t>（</w:t>
            </w:r>
            <w:r>
              <w:rPr>
                <w:rFonts w:hint="eastAsia"/>
                <w:color w:val="auto"/>
                <w:highlight w:val="none"/>
                <w:lang w:val="en-US" w:eastAsia="zh-CN"/>
              </w:rPr>
              <w:t>3</w:t>
            </w:r>
            <w:r>
              <w:rPr>
                <w:rFonts w:hint="eastAsia"/>
                <w:color w:val="auto"/>
                <w:highlight w:val="none"/>
                <w:lang w:eastAsia="zh-CN"/>
              </w:rPr>
              <w:t>）样品的</w:t>
            </w:r>
            <w:r>
              <w:rPr>
                <w:rFonts w:hint="eastAsia"/>
                <w:color w:val="auto"/>
                <w:highlight w:val="none"/>
              </w:rPr>
              <w:t>材质、产品品质等</w:t>
            </w:r>
            <w:r>
              <w:rPr>
                <w:rFonts w:hint="eastAsia"/>
                <w:color w:val="auto"/>
                <w:highlight w:val="none"/>
                <w:lang w:eastAsia="zh-CN"/>
              </w:rPr>
              <w:t>质量</w:t>
            </w:r>
            <w:r>
              <w:rPr>
                <w:rFonts w:hint="eastAsia" w:ascii="宋体" w:hAnsi="宋体"/>
                <w:color w:val="auto"/>
                <w:kern w:val="0"/>
                <w:szCs w:val="21"/>
                <w:highlight w:val="none"/>
                <w:lang w:eastAsia="zh-CN"/>
              </w:rPr>
              <w:t>较差</w:t>
            </w:r>
            <w:r>
              <w:rPr>
                <w:rFonts w:hint="eastAsia"/>
                <w:color w:val="auto"/>
                <w:highlight w:val="none"/>
                <w:lang w:eastAsia="zh-CN"/>
              </w:rPr>
              <w:t>的得</w:t>
            </w:r>
            <w:r>
              <w:rPr>
                <w:rFonts w:hint="eastAsia"/>
                <w:color w:val="auto"/>
                <w:highlight w:val="none"/>
                <w:lang w:val="en-US" w:eastAsia="zh-CN"/>
              </w:rPr>
              <w:t>0-1.1分</w:t>
            </w:r>
          </w:p>
        </w:tc>
        <w:tc>
          <w:tcPr>
            <w:tcW w:w="550" w:type="dxa"/>
            <w:vMerge w:val="restart"/>
            <w:vAlign w:val="center"/>
          </w:tcPr>
          <w:p>
            <w:pPr>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46" w:type="dxa"/>
            <w:vMerge w:val="continue"/>
            <w:vAlign w:val="center"/>
          </w:tcPr>
          <w:p>
            <w:pPr>
              <w:rPr>
                <w:color w:val="auto"/>
                <w:highlight w:val="none"/>
              </w:rPr>
            </w:pPr>
          </w:p>
        </w:tc>
        <w:tc>
          <w:tcPr>
            <w:tcW w:w="883" w:type="dxa"/>
            <w:vMerge w:val="continue"/>
            <w:vAlign w:val="center"/>
          </w:tcPr>
          <w:p>
            <w:pPr>
              <w:rPr>
                <w:color w:val="auto"/>
                <w:highlight w:val="none"/>
              </w:rPr>
            </w:pPr>
          </w:p>
        </w:tc>
        <w:tc>
          <w:tcPr>
            <w:tcW w:w="7300" w:type="dxa"/>
            <w:vAlign w:val="center"/>
          </w:tcPr>
          <w:p>
            <w:pPr>
              <w:numPr>
                <w:ilvl w:val="0"/>
                <w:numId w:val="12"/>
              </w:numPr>
              <w:rPr>
                <w:rFonts w:hint="eastAsia"/>
                <w:color w:val="auto"/>
                <w:highlight w:val="none"/>
              </w:rPr>
            </w:pPr>
            <w:r>
              <w:rPr>
                <w:rFonts w:hint="eastAsia"/>
                <w:color w:val="auto"/>
                <w:highlight w:val="none"/>
              </w:rPr>
              <w:t>铝板上画0.5米长15公分宽普通标线（白色），根据投标样品的材质、产品品质等进行评价，最高得</w:t>
            </w:r>
            <w:r>
              <w:rPr>
                <w:rFonts w:hint="eastAsia"/>
                <w:color w:val="auto"/>
                <w:highlight w:val="none"/>
                <w:lang w:val="en-US" w:eastAsia="zh-CN"/>
              </w:rPr>
              <w:t>3</w:t>
            </w:r>
            <w:r>
              <w:rPr>
                <w:rFonts w:hint="eastAsia"/>
                <w:color w:val="auto"/>
                <w:highlight w:val="none"/>
              </w:rPr>
              <w:t>分（提供涂料检测报告扫描件，不提供不得分）</w:t>
            </w:r>
          </w:p>
          <w:p>
            <w:pPr>
              <w:pStyle w:val="2"/>
              <w:ind w:left="0" w:leftChars="0" w:firstLine="0" w:firstLineChars="0"/>
              <w:rPr>
                <w:rFonts w:hint="eastAsia"/>
                <w:color w:val="auto"/>
                <w:highlight w:val="none"/>
                <w:lang w:val="en-US" w:eastAsia="zh-CN"/>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）样品的</w:t>
            </w:r>
            <w:r>
              <w:rPr>
                <w:rFonts w:hint="eastAsia"/>
                <w:color w:val="auto"/>
                <w:highlight w:val="none"/>
              </w:rPr>
              <w:t>材质、产品品质等</w:t>
            </w:r>
            <w:r>
              <w:rPr>
                <w:rFonts w:hint="eastAsia"/>
                <w:color w:val="auto"/>
                <w:highlight w:val="none"/>
                <w:lang w:eastAsia="zh-CN"/>
              </w:rPr>
              <w:t>质量高的得</w:t>
            </w:r>
            <w:r>
              <w:rPr>
                <w:rFonts w:hint="eastAsia"/>
                <w:color w:val="auto"/>
                <w:highlight w:val="none"/>
                <w:lang w:val="en-US" w:eastAsia="zh-CN"/>
              </w:rPr>
              <w:t>2-3分</w:t>
            </w:r>
          </w:p>
          <w:p>
            <w:pPr>
              <w:pStyle w:val="2"/>
              <w:ind w:left="0" w:leftChars="0" w:firstLine="0" w:firstLineChars="0"/>
              <w:rPr>
                <w:rFonts w:hint="eastAsia"/>
                <w:color w:val="auto"/>
                <w:highlight w:val="none"/>
                <w:lang w:val="en-US" w:eastAsia="zh-CN"/>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）样品的</w:t>
            </w:r>
            <w:r>
              <w:rPr>
                <w:rFonts w:hint="eastAsia"/>
                <w:color w:val="auto"/>
                <w:highlight w:val="none"/>
              </w:rPr>
              <w:t>材质、产品品质等</w:t>
            </w:r>
            <w:r>
              <w:rPr>
                <w:rFonts w:hint="eastAsia"/>
                <w:color w:val="auto"/>
                <w:highlight w:val="none"/>
                <w:lang w:eastAsia="zh-CN"/>
              </w:rPr>
              <w:t>质量</w:t>
            </w:r>
            <w:r>
              <w:rPr>
                <w:rFonts w:hint="eastAsia" w:ascii="宋体" w:hAnsi="宋体"/>
                <w:color w:val="auto"/>
                <w:kern w:val="0"/>
                <w:szCs w:val="21"/>
                <w:highlight w:val="none"/>
                <w:lang w:eastAsia="zh-CN"/>
              </w:rPr>
              <w:t>一般</w:t>
            </w:r>
            <w:r>
              <w:rPr>
                <w:rFonts w:hint="eastAsia"/>
                <w:color w:val="auto"/>
                <w:highlight w:val="none"/>
                <w:lang w:eastAsia="zh-CN"/>
              </w:rPr>
              <w:t>的得</w:t>
            </w:r>
            <w:r>
              <w:rPr>
                <w:rFonts w:hint="eastAsia"/>
                <w:color w:val="auto"/>
                <w:highlight w:val="none"/>
                <w:lang w:val="en-US" w:eastAsia="zh-CN"/>
              </w:rPr>
              <w:t>1-1.9分</w:t>
            </w:r>
          </w:p>
          <w:p>
            <w:pPr>
              <w:pStyle w:val="2"/>
              <w:numPr>
                <w:ilvl w:val="0"/>
                <w:numId w:val="0"/>
              </w:numPr>
              <w:rPr>
                <w:rFonts w:hint="eastAsia"/>
                <w:color w:val="auto"/>
                <w:highlight w:val="none"/>
              </w:rPr>
            </w:pPr>
            <w:r>
              <w:rPr>
                <w:rFonts w:hint="eastAsia"/>
                <w:color w:val="auto"/>
                <w:highlight w:val="none"/>
                <w:lang w:eastAsia="zh-CN"/>
              </w:rPr>
              <w:t>（</w:t>
            </w:r>
            <w:r>
              <w:rPr>
                <w:rFonts w:hint="eastAsia"/>
                <w:color w:val="auto"/>
                <w:highlight w:val="none"/>
                <w:lang w:val="en-US" w:eastAsia="zh-CN"/>
              </w:rPr>
              <w:t>3</w:t>
            </w:r>
            <w:r>
              <w:rPr>
                <w:rFonts w:hint="eastAsia"/>
                <w:color w:val="auto"/>
                <w:highlight w:val="none"/>
                <w:lang w:eastAsia="zh-CN"/>
              </w:rPr>
              <w:t>）样品的</w:t>
            </w:r>
            <w:r>
              <w:rPr>
                <w:rFonts w:hint="eastAsia"/>
                <w:color w:val="auto"/>
                <w:highlight w:val="none"/>
              </w:rPr>
              <w:t>材质、产品品质等</w:t>
            </w:r>
            <w:r>
              <w:rPr>
                <w:rFonts w:hint="eastAsia"/>
                <w:color w:val="auto"/>
                <w:highlight w:val="none"/>
                <w:lang w:eastAsia="zh-CN"/>
              </w:rPr>
              <w:t>质量</w:t>
            </w:r>
            <w:r>
              <w:rPr>
                <w:rFonts w:hint="eastAsia" w:ascii="宋体" w:hAnsi="宋体"/>
                <w:color w:val="auto"/>
                <w:kern w:val="0"/>
                <w:szCs w:val="21"/>
                <w:highlight w:val="none"/>
                <w:lang w:eastAsia="zh-CN"/>
              </w:rPr>
              <w:t>较差</w:t>
            </w:r>
            <w:r>
              <w:rPr>
                <w:rFonts w:hint="eastAsia"/>
                <w:color w:val="auto"/>
                <w:highlight w:val="none"/>
                <w:lang w:eastAsia="zh-CN"/>
              </w:rPr>
              <w:t>的得</w:t>
            </w:r>
            <w:r>
              <w:rPr>
                <w:rFonts w:hint="eastAsia"/>
                <w:color w:val="auto"/>
                <w:highlight w:val="none"/>
                <w:lang w:val="en-US" w:eastAsia="zh-CN"/>
              </w:rPr>
              <w:t>0-0.9分</w:t>
            </w:r>
          </w:p>
        </w:tc>
        <w:tc>
          <w:tcPr>
            <w:tcW w:w="550" w:type="dxa"/>
            <w:vMerge w:val="continue"/>
            <w:vAlign w:val="center"/>
          </w:tcPr>
          <w:p>
            <w:pP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46" w:type="dxa"/>
            <w:vMerge w:val="continue"/>
            <w:vAlign w:val="center"/>
          </w:tcPr>
          <w:p>
            <w:pPr>
              <w:rPr>
                <w:rFonts w:hint="eastAsia"/>
                <w:color w:val="auto"/>
                <w:highlight w:val="none"/>
              </w:rPr>
            </w:pPr>
          </w:p>
        </w:tc>
        <w:tc>
          <w:tcPr>
            <w:tcW w:w="883" w:type="dxa"/>
            <w:vMerge w:val="continue"/>
            <w:vAlign w:val="center"/>
          </w:tcPr>
          <w:p>
            <w:pPr>
              <w:rPr>
                <w:rFonts w:hint="eastAsia"/>
                <w:color w:val="auto"/>
                <w:highlight w:val="none"/>
              </w:rPr>
            </w:pPr>
          </w:p>
        </w:tc>
        <w:tc>
          <w:tcPr>
            <w:tcW w:w="7300" w:type="dxa"/>
            <w:vAlign w:val="center"/>
          </w:tcPr>
          <w:p>
            <w:pPr>
              <w:numPr>
                <w:ilvl w:val="0"/>
                <w:numId w:val="12"/>
              </w:numPr>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rPr>
              <w:t>铝板上画0.5米长15公分宽</w:t>
            </w:r>
            <w:r>
              <w:rPr>
                <w:rFonts w:hint="eastAsia" w:ascii="Times New Roman" w:hAnsi="Times New Roman" w:eastAsia="宋体" w:cs="Times New Roman"/>
                <w:color w:val="auto"/>
                <w:highlight w:val="none"/>
                <w:lang w:val="en-US" w:eastAsia="zh-CN"/>
              </w:rPr>
              <w:t>双组份突起型反光标线</w:t>
            </w:r>
            <w:r>
              <w:rPr>
                <w:rFonts w:hint="eastAsia" w:ascii="Times New Roman" w:hAnsi="Times New Roman" w:eastAsia="宋体" w:cs="Times New Roman"/>
                <w:color w:val="auto"/>
                <w:highlight w:val="none"/>
              </w:rPr>
              <w:t>（白色），根据投标样品的材质、产品品质等进行评价，最高得</w:t>
            </w:r>
            <w:r>
              <w:rPr>
                <w:rFonts w:hint="eastAsia" w:ascii="Times New Roman" w:hAnsi="Times New Roman" w:eastAsia="宋体" w:cs="Times New Roman"/>
                <w:color w:val="auto"/>
                <w:highlight w:val="none"/>
                <w:lang w:val="en-US" w:eastAsia="zh-CN"/>
              </w:rPr>
              <w:t>4</w:t>
            </w:r>
            <w:r>
              <w:rPr>
                <w:rFonts w:hint="eastAsia" w:ascii="Times New Roman" w:hAnsi="Times New Roman" w:eastAsia="宋体" w:cs="Times New Roman"/>
                <w:color w:val="auto"/>
                <w:highlight w:val="none"/>
              </w:rPr>
              <w:t>分（提供涂料检测报告扫描件，不提供不得分）。</w:t>
            </w:r>
          </w:p>
          <w:p>
            <w:pPr>
              <w:numPr>
                <w:ilvl w:val="0"/>
                <w:numId w:val="0"/>
              </w:numP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1</w:t>
            </w:r>
            <w:r>
              <w:rPr>
                <w:rFonts w:hint="eastAsia" w:ascii="Times New Roman" w:hAnsi="Times New Roman" w:eastAsia="宋体" w:cs="Times New Roman"/>
                <w:color w:val="auto"/>
                <w:highlight w:val="none"/>
                <w:lang w:eastAsia="zh-CN"/>
              </w:rPr>
              <w:t>）样品的</w:t>
            </w:r>
            <w:r>
              <w:rPr>
                <w:rFonts w:hint="eastAsia" w:ascii="Times New Roman" w:hAnsi="Times New Roman" w:eastAsia="宋体" w:cs="Times New Roman"/>
                <w:color w:val="auto"/>
                <w:highlight w:val="none"/>
              </w:rPr>
              <w:t>材质、产品品质等</w:t>
            </w:r>
            <w:r>
              <w:rPr>
                <w:rFonts w:hint="eastAsia" w:ascii="Times New Roman" w:hAnsi="Times New Roman" w:eastAsia="宋体" w:cs="Times New Roman"/>
                <w:color w:val="auto"/>
                <w:highlight w:val="none"/>
                <w:lang w:eastAsia="zh-CN"/>
              </w:rPr>
              <w:t>质量高的得</w:t>
            </w:r>
            <w:r>
              <w:rPr>
                <w:rFonts w:hint="eastAsia" w:ascii="Times New Roman" w:hAnsi="Times New Roman" w:eastAsia="宋体" w:cs="Times New Roman"/>
                <w:color w:val="auto"/>
                <w:highlight w:val="none"/>
                <w:lang w:val="en-US" w:eastAsia="zh-CN"/>
              </w:rPr>
              <w:t>2.5-4分</w:t>
            </w:r>
          </w:p>
          <w:p>
            <w:pPr>
              <w:numPr>
                <w:ilvl w:val="0"/>
                <w:numId w:val="0"/>
              </w:numPr>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2</w:t>
            </w:r>
            <w:r>
              <w:rPr>
                <w:rFonts w:hint="eastAsia" w:ascii="Times New Roman" w:hAnsi="Times New Roman" w:eastAsia="宋体" w:cs="Times New Roman"/>
                <w:color w:val="auto"/>
                <w:highlight w:val="none"/>
                <w:lang w:eastAsia="zh-CN"/>
              </w:rPr>
              <w:t>）样品的</w:t>
            </w:r>
            <w:r>
              <w:rPr>
                <w:rFonts w:hint="eastAsia" w:ascii="Times New Roman" w:hAnsi="Times New Roman" w:eastAsia="宋体" w:cs="Times New Roman"/>
                <w:color w:val="auto"/>
                <w:highlight w:val="none"/>
              </w:rPr>
              <w:t>材质、产品品质等</w:t>
            </w:r>
            <w:r>
              <w:rPr>
                <w:rFonts w:hint="eastAsia" w:ascii="Times New Roman" w:hAnsi="Times New Roman" w:eastAsia="宋体" w:cs="Times New Roman"/>
                <w:color w:val="auto"/>
                <w:highlight w:val="none"/>
                <w:lang w:eastAsia="zh-CN"/>
              </w:rPr>
              <w:t>质量一般的得</w:t>
            </w:r>
            <w:r>
              <w:rPr>
                <w:rFonts w:hint="eastAsia" w:ascii="Times New Roman" w:hAnsi="Times New Roman" w:eastAsia="宋体" w:cs="Times New Roman"/>
                <w:color w:val="auto"/>
                <w:highlight w:val="none"/>
                <w:lang w:val="en-US" w:eastAsia="zh-CN"/>
              </w:rPr>
              <w:t>1.2-2.4分</w:t>
            </w:r>
          </w:p>
          <w:p>
            <w:pPr>
              <w:numPr>
                <w:ilvl w:val="0"/>
                <w:numId w:val="0"/>
              </w:numPr>
              <w:rPr>
                <w:rFonts w:hint="eastAsia" w:ascii="Times New Roman" w:hAnsi="Times New Roman" w:eastAsia="宋体" w:cs="Times New Roman"/>
                <w:color w:val="auto"/>
                <w:highlight w:val="none"/>
              </w:rPr>
            </w:pPr>
            <w:r>
              <w:rPr>
                <w:rFonts w:hint="eastAsia" w:ascii="Times New Roman" w:hAnsi="Times New Roman" w:eastAsia="宋体" w:cs="Times New Roman"/>
                <w:color w:val="auto"/>
                <w:highlight w:val="none"/>
                <w:lang w:eastAsia="zh-CN"/>
              </w:rPr>
              <w:t>（</w:t>
            </w:r>
            <w:r>
              <w:rPr>
                <w:rFonts w:hint="eastAsia" w:ascii="Times New Roman" w:hAnsi="Times New Roman" w:eastAsia="宋体" w:cs="Times New Roman"/>
                <w:color w:val="auto"/>
                <w:highlight w:val="none"/>
                <w:lang w:val="en-US" w:eastAsia="zh-CN"/>
              </w:rPr>
              <w:t>3</w:t>
            </w:r>
            <w:r>
              <w:rPr>
                <w:rFonts w:hint="eastAsia" w:ascii="Times New Roman" w:hAnsi="Times New Roman" w:eastAsia="宋体" w:cs="Times New Roman"/>
                <w:color w:val="auto"/>
                <w:highlight w:val="none"/>
                <w:lang w:eastAsia="zh-CN"/>
              </w:rPr>
              <w:t>）样品的</w:t>
            </w:r>
            <w:r>
              <w:rPr>
                <w:rFonts w:hint="eastAsia" w:ascii="Times New Roman" w:hAnsi="Times New Roman" w:eastAsia="宋体" w:cs="Times New Roman"/>
                <w:color w:val="auto"/>
                <w:highlight w:val="none"/>
              </w:rPr>
              <w:t>材质、产品品质等</w:t>
            </w:r>
            <w:r>
              <w:rPr>
                <w:rFonts w:hint="eastAsia" w:ascii="Times New Roman" w:hAnsi="Times New Roman" w:eastAsia="宋体" w:cs="Times New Roman"/>
                <w:color w:val="auto"/>
                <w:highlight w:val="none"/>
                <w:lang w:eastAsia="zh-CN"/>
              </w:rPr>
              <w:t>质量较差的得</w:t>
            </w:r>
            <w:r>
              <w:rPr>
                <w:rFonts w:hint="eastAsia" w:ascii="Times New Roman" w:hAnsi="Times New Roman" w:eastAsia="宋体" w:cs="Times New Roman"/>
                <w:color w:val="auto"/>
                <w:highlight w:val="none"/>
                <w:lang w:val="en-US" w:eastAsia="zh-CN"/>
              </w:rPr>
              <w:t>0-1.1分</w:t>
            </w:r>
          </w:p>
        </w:tc>
        <w:tc>
          <w:tcPr>
            <w:tcW w:w="550" w:type="dxa"/>
            <w:vMerge w:val="continue"/>
            <w:vAlign w:val="center"/>
          </w:tcPr>
          <w:p>
            <w:pP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746" w:type="dxa"/>
            <w:vMerge w:val="continue"/>
            <w:vAlign w:val="center"/>
          </w:tcPr>
          <w:p>
            <w:pPr>
              <w:rPr>
                <w:rFonts w:hint="eastAsia"/>
                <w:color w:val="auto"/>
                <w:highlight w:val="none"/>
              </w:rPr>
            </w:pPr>
          </w:p>
        </w:tc>
        <w:tc>
          <w:tcPr>
            <w:tcW w:w="883" w:type="dxa"/>
            <w:vMerge w:val="continue"/>
            <w:vAlign w:val="center"/>
          </w:tcPr>
          <w:p>
            <w:pPr>
              <w:rPr>
                <w:rFonts w:hint="eastAsia"/>
                <w:color w:val="auto"/>
                <w:highlight w:val="none"/>
              </w:rPr>
            </w:pPr>
          </w:p>
        </w:tc>
        <w:tc>
          <w:tcPr>
            <w:tcW w:w="7300" w:type="dxa"/>
            <w:vAlign w:val="center"/>
          </w:tcPr>
          <w:p>
            <w:pPr>
              <w:numPr>
                <w:ilvl w:val="0"/>
                <w:numId w:val="12"/>
              </w:numPr>
              <w:ind w:left="0" w:leftChars="0" w:firstLine="0" w:firstLineChars="0"/>
              <w:rPr>
                <w:color w:val="auto"/>
                <w:highlight w:val="none"/>
              </w:rPr>
            </w:pPr>
            <w:r>
              <w:rPr>
                <w:rFonts w:hint="eastAsia"/>
                <w:color w:val="auto"/>
                <w:highlight w:val="none"/>
              </w:rPr>
              <w:t>根据提供的沥青路面和水泥路面标线用高压水清除后的前后对比照片各一张（彩色，尺寸为A4纸大小。作为中标后施工效果依据之一）进行评价，最高得</w:t>
            </w:r>
            <w:r>
              <w:rPr>
                <w:rFonts w:hint="eastAsia"/>
                <w:color w:val="auto"/>
                <w:highlight w:val="none"/>
                <w:lang w:val="en-US" w:eastAsia="zh-CN"/>
              </w:rPr>
              <w:t>3</w:t>
            </w:r>
            <w:r>
              <w:rPr>
                <w:rFonts w:hint="eastAsia"/>
                <w:color w:val="auto"/>
                <w:highlight w:val="none"/>
              </w:rPr>
              <w:t>分。（未提供照片的不得分）</w:t>
            </w:r>
          </w:p>
          <w:p>
            <w:pPr>
              <w:pStyle w:val="2"/>
              <w:ind w:left="0" w:leftChars="0" w:firstLine="0" w:firstLineChars="0"/>
              <w:rPr>
                <w:rFonts w:hint="eastAsia"/>
                <w:color w:val="auto"/>
                <w:highlight w:val="none"/>
                <w:lang w:val="en-US" w:eastAsia="zh-CN"/>
              </w:rPr>
            </w:pPr>
            <w:r>
              <w:rPr>
                <w:rFonts w:hint="eastAsia"/>
                <w:color w:val="auto"/>
                <w:highlight w:val="none"/>
                <w:lang w:eastAsia="zh-CN"/>
              </w:rPr>
              <w:t>（</w:t>
            </w:r>
            <w:r>
              <w:rPr>
                <w:rFonts w:hint="eastAsia"/>
                <w:color w:val="auto"/>
                <w:highlight w:val="none"/>
                <w:lang w:val="en-US" w:eastAsia="zh-CN"/>
              </w:rPr>
              <w:t>1</w:t>
            </w:r>
            <w:r>
              <w:rPr>
                <w:rFonts w:hint="eastAsia"/>
                <w:color w:val="auto"/>
                <w:highlight w:val="none"/>
                <w:lang w:eastAsia="zh-CN"/>
              </w:rPr>
              <w:t>）样品的</w:t>
            </w:r>
            <w:r>
              <w:rPr>
                <w:rFonts w:hint="eastAsia"/>
                <w:color w:val="auto"/>
                <w:highlight w:val="none"/>
                <w:lang w:val="en-US" w:eastAsia="zh-CN"/>
              </w:rPr>
              <w:t>图片前后差距非常明显的</w:t>
            </w:r>
            <w:r>
              <w:rPr>
                <w:rFonts w:hint="eastAsia"/>
                <w:color w:val="auto"/>
                <w:highlight w:val="none"/>
                <w:lang w:eastAsia="zh-CN"/>
              </w:rPr>
              <w:t>的得</w:t>
            </w:r>
            <w:r>
              <w:rPr>
                <w:rFonts w:hint="eastAsia"/>
                <w:color w:val="auto"/>
                <w:highlight w:val="none"/>
                <w:lang w:val="en-US" w:eastAsia="zh-CN"/>
              </w:rPr>
              <w:t>2-3分</w:t>
            </w:r>
          </w:p>
          <w:p>
            <w:pPr>
              <w:pStyle w:val="2"/>
              <w:ind w:left="0" w:leftChars="0" w:firstLine="0" w:firstLineChars="0"/>
              <w:rPr>
                <w:rFonts w:hint="eastAsia"/>
                <w:color w:val="auto"/>
                <w:highlight w:val="none"/>
                <w:lang w:val="en-US" w:eastAsia="zh-CN"/>
              </w:rPr>
            </w:pPr>
            <w:r>
              <w:rPr>
                <w:rFonts w:hint="eastAsia"/>
                <w:color w:val="auto"/>
                <w:highlight w:val="none"/>
                <w:lang w:eastAsia="zh-CN"/>
              </w:rPr>
              <w:t>（</w:t>
            </w:r>
            <w:r>
              <w:rPr>
                <w:rFonts w:hint="eastAsia"/>
                <w:color w:val="auto"/>
                <w:highlight w:val="none"/>
                <w:lang w:val="en-US" w:eastAsia="zh-CN"/>
              </w:rPr>
              <w:t>2</w:t>
            </w:r>
            <w:r>
              <w:rPr>
                <w:rFonts w:hint="eastAsia"/>
                <w:color w:val="auto"/>
                <w:highlight w:val="none"/>
                <w:lang w:eastAsia="zh-CN"/>
              </w:rPr>
              <w:t>）样品的</w:t>
            </w:r>
            <w:r>
              <w:rPr>
                <w:rFonts w:hint="eastAsia"/>
                <w:color w:val="auto"/>
                <w:highlight w:val="none"/>
                <w:lang w:val="en-US" w:eastAsia="zh-CN"/>
              </w:rPr>
              <w:t>图片前后差距明显</w:t>
            </w:r>
            <w:r>
              <w:rPr>
                <w:rFonts w:hint="eastAsia"/>
                <w:color w:val="auto"/>
                <w:highlight w:val="none"/>
                <w:lang w:eastAsia="zh-CN"/>
              </w:rPr>
              <w:t>的得</w:t>
            </w:r>
            <w:r>
              <w:rPr>
                <w:rFonts w:hint="eastAsia"/>
                <w:color w:val="auto"/>
                <w:highlight w:val="none"/>
                <w:lang w:val="en-US" w:eastAsia="zh-CN"/>
              </w:rPr>
              <w:t>1-1.9分</w:t>
            </w:r>
          </w:p>
          <w:p>
            <w:pPr>
              <w:pStyle w:val="2"/>
              <w:numPr>
                <w:ilvl w:val="0"/>
                <w:numId w:val="0"/>
              </w:numPr>
              <w:ind w:leftChars="0"/>
              <w:rPr>
                <w:rFonts w:hint="eastAsia"/>
                <w:color w:val="auto"/>
                <w:highlight w:val="none"/>
              </w:rPr>
            </w:pPr>
            <w:r>
              <w:rPr>
                <w:rFonts w:hint="eastAsia"/>
                <w:color w:val="auto"/>
                <w:highlight w:val="none"/>
                <w:lang w:eastAsia="zh-CN"/>
              </w:rPr>
              <w:t>（</w:t>
            </w:r>
            <w:r>
              <w:rPr>
                <w:rFonts w:hint="eastAsia"/>
                <w:color w:val="auto"/>
                <w:highlight w:val="none"/>
                <w:lang w:val="en-US" w:eastAsia="zh-CN"/>
              </w:rPr>
              <w:t>3</w:t>
            </w:r>
            <w:r>
              <w:rPr>
                <w:rFonts w:hint="eastAsia"/>
                <w:color w:val="auto"/>
                <w:highlight w:val="none"/>
                <w:lang w:eastAsia="zh-CN"/>
              </w:rPr>
              <w:t>）样品的</w:t>
            </w:r>
            <w:r>
              <w:rPr>
                <w:rFonts w:hint="eastAsia"/>
                <w:color w:val="auto"/>
                <w:highlight w:val="none"/>
                <w:lang w:val="en-US" w:eastAsia="zh-CN"/>
              </w:rPr>
              <w:t>图片前后差距不明显</w:t>
            </w:r>
            <w:r>
              <w:rPr>
                <w:rFonts w:hint="eastAsia"/>
                <w:color w:val="auto"/>
                <w:highlight w:val="none"/>
                <w:lang w:eastAsia="zh-CN"/>
              </w:rPr>
              <w:t>的得</w:t>
            </w:r>
            <w:r>
              <w:rPr>
                <w:rFonts w:hint="eastAsia"/>
                <w:color w:val="auto"/>
                <w:highlight w:val="none"/>
                <w:lang w:val="en-US" w:eastAsia="zh-CN"/>
              </w:rPr>
              <w:t>0-0.9分</w:t>
            </w:r>
          </w:p>
        </w:tc>
        <w:tc>
          <w:tcPr>
            <w:tcW w:w="550" w:type="dxa"/>
            <w:vMerge w:val="continue"/>
            <w:vAlign w:val="center"/>
          </w:tcPr>
          <w:p>
            <w:pPr>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exact"/>
        </w:trPr>
        <w:tc>
          <w:tcPr>
            <w:tcW w:w="746" w:type="dxa"/>
            <w:vMerge w:val="restart"/>
            <w:vAlign w:val="center"/>
          </w:tcPr>
          <w:p>
            <w:pPr>
              <w:rPr>
                <w:rFonts w:ascii="宋体" w:hAnsi="宋体" w:cs="宋体"/>
                <w:color w:val="auto"/>
                <w:szCs w:val="21"/>
                <w:highlight w:val="none"/>
              </w:rPr>
            </w:pPr>
            <w:r>
              <w:rPr>
                <w:rFonts w:hint="eastAsia" w:ascii="宋体" w:hAnsi="宋体" w:cs="宋体"/>
                <w:color w:val="auto"/>
                <w:szCs w:val="21"/>
                <w:highlight w:val="none"/>
              </w:rPr>
              <w:t>实力信誉及业绩</w:t>
            </w:r>
          </w:p>
          <w:p>
            <w:pPr>
              <w:rPr>
                <w:rFonts w:ascii="宋体" w:hAnsi="宋体" w:cs="宋体"/>
                <w:color w:val="auto"/>
                <w:szCs w:val="21"/>
                <w:highlight w:val="none"/>
              </w:rPr>
            </w:pPr>
            <w:r>
              <w:rPr>
                <w:rFonts w:hint="eastAsia" w:ascii="宋体" w:hAnsi="宋体" w:cs="宋体"/>
                <w:color w:val="auto"/>
                <w:szCs w:val="21"/>
                <w:highlight w:val="none"/>
              </w:rPr>
              <w:t>9分</w:t>
            </w:r>
          </w:p>
        </w:tc>
        <w:tc>
          <w:tcPr>
            <w:tcW w:w="883" w:type="dxa"/>
            <w:vAlign w:val="center"/>
          </w:tcPr>
          <w:p>
            <w:pPr>
              <w:rPr>
                <w:rFonts w:ascii="宋体" w:hAnsi="宋体" w:cs="宋体"/>
                <w:color w:val="auto"/>
                <w:szCs w:val="21"/>
                <w:highlight w:val="none"/>
              </w:rPr>
            </w:pPr>
            <w:r>
              <w:rPr>
                <w:rFonts w:hint="eastAsia" w:ascii="宋体" w:hAnsi="宋体" w:cs="宋体"/>
                <w:color w:val="auto"/>
                <w:szCs w:val="21"/>
                <w:highlight w:val="none"/>
              </w:rPr>
              <w:t>投标人实力</w:t>
            </w:r>
          </w:p>
        </w:tc>
        <w:tc>
          <w:tcPr>
            <w:tcW w:w="7300" w:type="dxa"/>
            <w:vAlign w:val="center"/>
          </w:tcPr>
          <w:p>
            <w:pPr>
              <w:rPr>
                <w:rFonts w:ascii="宋体" w:hAnsi="宋体" w:cs="宋体"/>
                <w:color w:val="auto"/>
                <w:szCs w:val="21"/>
                <w:highlight w:val="none"/>
              </w:rPr>
            </w:pPr>
            <w:r>
              <w:rPr>
                <w:rFonts w:hint="eastAsia" w:ascii="宋体" w:hAnsi="宋体"/>
                <w:color w:val="auto"/>
                <w:szCs w:val="21"/>
                <w:highlight w:val="none"/>
              </w:rPr>
              <w:t>投标人具有有效的ISO</w:t>
            </w:r>
            <w:r>
              <w:rPr>
                <w:rFonts w:hint="eastAsia" w:ascii="宋体" w:hAnsi="宋体"/>
                <w:color w:val="auto"/>
                <w:szCs w:val="21"/>
                <w:highlight w:val="none"/>
                <w:lang w:val="en-US" w:eastAsia="zh-CN"/>
              </w:rPr>
              <w:t>9001</w:t>
            </w:r>
            <w:r>
              <w:rPr>
                <w:rFonts w:hint="eastAsia" w:ascii="宋体" w:hAnsi="宋体"/>
                <w:color w:val="auto"/>
                <w:szCs w:val="21"/>
                <w:highlight w:val="none"/>
              </w:rPr>
              <w:t>质量管理体系认证证书、ISO</w:t>
            </w:r>
            <w:r>
              <w:rPr>
                <w:rFonts w:hint="eastAsia" w:ascii="宋体" w:hAnsi="宋体"/>
                <w:color w:val="auto"/>
                <w:szCs w:val="21"/>
                <w:highlight w:val="none"/>
                <w:lang w:val="en-US" w:eastAsia="zh-CN"/>
              </w:rPr>
              <w:t>14001</w:t>
            </w:r>
            <w:r>
              <w:rPr>
                <w:rFonts w:hint="eastAsia" w:ascii="宋体" w:hAnsi="宋体"/>
                <w:color w:val="auto"/>
                <w:szCs w:val="21"/>
                <w:highlight w:val="none"/>
              </w:rPr>
              <w:t>环境管理体系认证证书</w:t>
            </w:r>
            <w:r>
              <w:rPr>
                <w:rFonts w:ascii="宋体" w:hAnsi="宋体"/>
                <w:color w:val="auto"/>
                <w:szCs w:val="21"/>
                <w:highlight w:val="none"/>
              </w:rPr>
              <w:t>，</w:t>
            </w:r>
            <w:r>
              <w:rPr>
                <w:rFonts w:hint="eastAsia" w:ascii="宋体" w:hAnsi="宋体"/>
                <w:color w:val="auto"/>
                <w:szCs w:val="21"/>
                <w:highlight w:val="none"/>
              </w:rPr>
              <w:t>ISO</w:t>
            </w:r>
            <w:r>
              <w:rPr>
                <w:rFonts w:ascii="宋体" w:hAnsi="宋体"/>
                <w:color w:val="auto"/>
                <w:szCs w:val="21"/>
                <w:highlight w:val="none"/>
              </w:rPr>
              <w:t>450</w:t>
            </w:r>
            <w:r>
              <w:rPr>
                <w:rFonts w:hint="eastAsia" w:ascii="宋体" w:hAnsi="宋体"/>
                <w:color w:val="auto"/>
                <w:szCs w:val="21"/>
                <w:highlight w:val="none"/>
              </w:rPr>
              <w:t>01职业健康管理体系认证证书，</w:t>
            </w:r>
            <w:r>
              <w:rPr>
                <w:rFonts w:hint="eastAsia" w:ascii="宋体" w:hAnsi="宋体" w:cs="宋体"/>
                <w:color w:val="auto"/>
                <w:kern w:val="0"/>
                <w:szCs w:val="21"/>
                <w:highlight w:val="none"/>
              </w:rPr>
              <w:t>且认证覆盖范围含“交通</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公路</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安全设施”的</w:t>
            </w:r>
            <w:r>
              <w:rPr>
                <w:rFonts w:hint="eastAsia" w:ascii="宋体" w:hAnsi="宋体" w:cs="宋体"/>
                <w:color w:val="auto"/>
                <w:szCs w:val="21"/>
                <w:highlight w:val="none"/>
              </w:rPr>
              <w:t>每项得</w:t>
            </w:r>
            <w:r>
              <w:rPr>
                <w:rFonts w:hint="eastAsia" w:ascii="宋体" w:hAnsi="宋体" w:cs="宋体"/>
                <w:color w:val="auto"/>
                <w:szCs w:val="21"/>
                <w:highlight w:val="none"/>
                <w:lang w:val="en-US" w:eastAsia="zh-CN"/>
              </w:rPr>
              <w:t>2</w:t>
            </w:r>
            <w:r>
              <w:rPr>
                <w:rFonts w:hint="eastAsia" w:ascii="宋体" w:hAnsi="宋体" w:cs="宋体"/>
                <w:color w:val="auto"/>
                <w:szCs w:val="21"/>
                <w:highlight w:val="none"/>
              </w:rPr>
              <w:t>分</w:t>
            </w:r>
            <w:r>
              <w:rPr>
                <w:rFonts w:hint="eastAsia" w:ascii="宋体" w:hAnsi="宋体"/>
                <w:color w:val="auto"/>
                <w:szCs w:val="21"/>
                <w:highlight w:val="none"/>
              </w:rPr>
              <w:t>，最高得</w:t>
            </w:r>
            <w:r>
              <w:rPr>
                <w:rFonts w:hint="eastAsia" w:ascii="宋体" w:hAnsi="宋体"/>
                <w:color w:val="auto"/>
                <w:szCs w:val="21"/>
                <w:highlight w:val="none"/>
                <w:lang w:val="en-US" w:eastAsia="zh-CN"/>
              </w:rPr>
              <w:t>6</w:t>
            </w:r>
            <w:r>
              <w:rPr>
                <w:rFonts w:hint="eastAsia" w:ascii="宋体" w:hAnsi="宋体"/>
                <w:color w:val="auto"/>
                <w:szCs w:val="21"/>
                <w:highlight w:val="none"/>
              </w:rPr>
              <w:t>分。</w:t>
            </w:r>
            <w:r>
              <w:rPr>
                <w:rFonts w:hint="eastAsia" w:ascii="宋体" w:hAnsi="宋体"/>
                <w:b/>
                <w:color w:val="auto"/>
                <w:szCs w:val="21"/>
                <w:highlight w:val="none"/>
              </w:rPr>
              <w:t>注：须将有效认证证书扫描件</w:t>
            </w:r>
            <w:r>
              <w:rPr>
                <w:rFonts w:hint="eastAsia" w:hAnsi="宋体"/>
                <w:b/>
                <w:color w:val="auto"/>
                <w:szCs w:val="21"/>
                <w:highlight w:val="none"/>
              </w:rPr>
              <w:t>导入</w:t>
            </w:r>
            <w:r>
              <w:rPr>
                <w:rFonts w:hint="eastAsia" w:ascii="宋体" w:hAnsi="宋体"/>
                <w:b/>
                <w:color w:val="auto"/>
                <w:szCs w:val="21"/>
                <w:highlight w:val="none"/>
              </w:rPr>
              <w:t>商务与技术文件中，否则不得分。</w:t>
            </w:r>
          </w:p>
        </w:tc>
        <w:tc>
          <w:tcPr>
            <w:tcW w:w="550" w:type="dxa"/>
            <w:vAlign w:val="center"/>
          </w:tcPr>
          <w:p>
            <w:pP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trPr>
        <w:tc>
          <w:tcPr>
            <w:tcW w:w="746" w:type="dxa"/>
            <w:vMerge w:val="continue"/>
            <w:vAlign w:val="center"/>
          </w:tcPr>
          <w:p>
            <w:pPr>
              <w:rPr>
                <w:rFonts w:ascii="宋体" w:hAnsi="宋体" w:cs="宋体"/>
                <w:color w:val="auto"/>
                <w:szCs w:val="21"/>
                <w:highlight w:val="none"/>
              </w:rPr>
            </w:pPr>
          </w:p>
        </w:tc>
        <w:tc>
          <w:tcPr>
            <w:tcW w:w="883" w:type="dxa"/>
            <w:vAlign w:val="center"/>
          </w:tcPr>
          <w:p>
            <w:pPr>
              <w:rPr>
                <w:rFonts w:ascii="宋体" w:hAnsi="宋体" w:cs="宋体"/>
                <w:color w:val="auto"/>
                <w:szCs w:val="21"/>
                <w:highlight w:val="none"/>
              </w:rPr>
            </w:pPr>
            <w:r>
              <w:rPr>
                <w:rFonts w:hint="eastAsia" w:ascii="宋体" w:hAnsi="宋体" w:cs="宋体"/>
                <w:color w:val="auto"/>
                <w:szCs w:val="21"/>
                <w:highlight w:val="none"/>
              </w:rPr>
              <w:t>项目经验</w:t>
            </w:r>
          </w:p>
        </w:tc>
        <w:tc>
          <w:tcPr>
            <w:tcW w:w="7300" w:type="dxa"/>
            <w:vAlign w:val="center"/>
          </w:tcPr>
          <w:p>
            <w:pPr>
              <w:rPr>
                <w:color w:val="auto"/>
                <w:highlight w:val="none"/>
              </w:rPr>
            </w:pPr>
            <w:r>
              <w:rPr>
                <w:rFonts w:hint="eastAsia"/>
                <w:color w:val="auto"/>
                <w:highlight w:val="none"/>
              </w:rPr>
              <w:t>投标人提供20</w:t>
            </w:r>
            <w:r>
              <w:rPr>
                <w:rFonts w:hint="eastAsia"/>
                <w:color w:val="auto"/>
                <w:highlight w:val="none"/>
                <w:lang w:val="en-US" w:eastAsia="zh-CN"/>
              </w:rPr>
              <w:t>20</w:t>
            </w:r>
            <w:r>
              <w:rPr>
                <w:rFonts w:hint="eastAsia"/>
                <w:color w:val="auto"/>
                <w:highlight w:val="none"/>
              </w:rPr>
              <w:t>年</w:t>
            </w:r>
            <w:r>
              <w:rPr>
                <w:rFonts w:hint="eastAsia"/>
                <w:color w:val="auto"/>
                <w:highlight w:val="none"/>
                <w:lang w:val="en-US" w:eastAsia="zh-CN"/>
              </w:rPr>
              <w:t>4</w:t>
            </w:r>
            <w:r>
              <w:rPr>
                <w:rFonts w:hint="eastAsia"/>
                <w:color w:val="auto"/>
                <w:highlight w:val="none"/>
              </w:rPr>
              <w:t>月1日至今（以合同签订时间或中标通知书时间为准）实施过的公路或城市道路上的类似项目业绩，每提供1个有效业绩得1分，最高3分。(需提供合同扫描件或中标通知书扫描件，不提供不得分)</w:t>
            </w:r>
          </w:p>
          <w:p>
            <w:pPr>
              <w:pStyle w:val="8"/>
              <w:ind w:firstLine="0"/>
              <w:rPr>
                <w:color w:val="auto"/>
                <w:highlight w:val="none"/>
              </w:rPr>
            </w:pPr>
            <w:r>
              <w:rPr>
                <w:rFonts w:hint="eastAsia" w:ascii="宋体" w:hAnsi="宋体" w:cs="宋体"/>
                <w:b/>
                <w:bCs/>
                <w:color w:val="auto"/>
                <w:szCs w:val="21"/>
                <w:highlight w:val="none"/>
              </w:rPr>
              <w:t>合</w:t>
            </w:r>
            <w:r>
              <w:rPr>
                <w:rFonts w:hint="eastAsia" w:asciiTheme="minorHAnsi" w:hAnsiTheme="minorHAnsi" w:eastAsiaTheme="minorEastAsia" w:cstheme="minorBidi"/>
                <w:b/>
                <w:bCs/>
                <w:color w:val="auto"/>
                <w:szCs w:val="22"/>
                <w:highlight w:val="none"/>
              </w:rPr>
              <w:t>同</w:t>
            </w:r>
            <w:r>
              <w:rPr>
                <w:rFonts w:hint="eastAsia"/>
                <w:color w:val="auto"/>
                <w:highlight w:val="none"/>
              </w:rPr>
              <w:t>扫描件</w:t>
            </w:r>
            <w:r>
              <w:rPr>
                <w:rFonts w:hint="eastAsia" w:asciiTheme="minorHAnsi" w:hAnsiTheme="minorHAnsi" w:eastAsiaTheme="minorEastAsia" w:cstheme="minorBidi"/>
                <w:b/>
                <w:bCs/>
                <w:color w:val="auto"/>
                <w:szCs w:val="22"/>
                <w:highlight w:val="none"/>
              </w:rPr>
              <w:t>只需提供（含合同首页、标的清单页、盖章页）</w:t>
            </w:r>
          </w:p>
        </w:tc>
        <w:tc>
          <w:tcPr>
            <w:tcW w:w="550" w:type="dxa"/>
            <w:vAlign w:val="center"/>
          </w:tcPr>
          <w:p>
            <w:pPr>
              <w:rPr>
                <w:rFonts w:ascii="宋体" w:hAnsi="宋体" w:cs="宋体"/>
                <w:color w:val="auto"/>
                <w:szCs w:val="21"/>
                <w:highlight w:val="none"/>
              </w:rPr>
            </w:pPr>
            <w:r>
              <w:rPr>
                <w:rFonts w:hint="eastAsia" w:ascii="宋体" w:hAnsi="宋体" w:cs="宋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46" w:type="dxa"/>
            <w:vMerge w:val="restart"/>
            <w:vAlign w:val="center"/>
          </w:tcPr>
          <w:p>
            <w:pPr>
              <w:rPr>
                <w:rFonts w:ascii="宋体" w:hAnsi="宋体" w:cs="宋体"/>
                <w:color w:val="auto"/>
                <w:szCs w:val="21"/>
                <w:highlight w:val="none"/>
              </w:rPr>
            </w:pPr>
            <w:r>
              <w:rPr>
                <w:rFonts w:hint="eastAsia" w:ascii="宋体" w:hAnsi="宋体" w:cs="宋体"/>
                <w:color w:val="auto"/>
                <w:szCs w:val="21"/>
                <w:highlight w:val="none"/>
              </w:rPr>
              <w:t>售后服务9分</w:t>
            </w:r>
          </w:p>
        </w:tc>
        <w:tc>
          <w:tcPr>
            <w:tcW w:w="8183" w:type="dxa"/>
            <w:gridSpan w:val="2"/>
            <w:vAlign w:val="center"/>
          </w:tcPr>
          <w:p>
            <w:pPr>
              <w:widowControl/>
              <w:jc w:val="left"/>
              <w:rPr>
                <w:rFonts w:ascii="宋体" w:hAnsi="宋体" w:cs="宋体"/>
                <w:color w:val="auto"/>
                <w:szCs w:val="21"/>
                <w:highlight w:val="none"/>
              </w:rPr>
            </w:pPr>
            <w:r>
              <w:rPr>
                <w:rFonts w:hint="eastAsia" w:ascii="宋体" w:hAnsi="宋体" w:cs="宋体"/>
                <w:color w:val="auto"/>
                <w:szCs w:val="21"/>
                <w:highlight w:val="none"/>
              </w:rPr>
              <w:t>综合质保期、响应速度、服务内容、技术培训计划、供货时间等方面进行打分：</w:t>
            </w:r>
          </w:p>
          <w:p>
            <w:pPr>
              <w:widowControl/>
              <w:jc w:val="left"/>
              <w:rPr>
                <w:rFonts w:ascii="宋体" w:hAnsi="宋体" w:cs="宋体"/>
                <w:color w:val="auto"/>
                <w:szCs w:val="21"/>
                <w:highlight w:val="none"/>
              </w:rPr>
            </w:pPr>
            <w:r>
              <w:rPr>
                <w:rFonts w:hint="eastAsia" w:ascii="新宋体" w:hAnsi="新宋体" w:eastAsia="新宋体" w:cs="新宋体"/>
                <w:color w:val="auto"/>
                <w:sz w:val="18"/>
                <w:szCs w:val="18"/>
                <w:highlight w:val="none"/>
              </w:rPr>
              <w:t>（</w:t>
            </w:r>
            <w:r>
              <w:rPr>
                <w:rFonts w:hint="eastAsia" w:ascii="宋体" w:hAnsi="宋体" w:cs="宋体"/>
                <w:color w:val="auto"/>
                <w:szCs w:val="21"/>
                <w:highlight w:val="none"/>
              </w:rPr>
              <w:t>1）项目售后措施明确、实施切合本项目实际，</w:t>
            </w:r>
            <w:r>
              <w:rPr>
                <w:rFonts w:hint="eastAsia" w:asciiTheme="minorHAnsi" w:hAnsiTheme="minorHAnsi" w:eastAsiaTheme="minorEastAsia" w:cstheme="minorBidi"/>
                <w:color w:val="auto"/>
                <w:szCs w:val="21"/>
                <w:highlight w:val="none"/>
              </w:rPr>
              <w:t>保障得力，人力充分，响应高效，预案合理</w:t>
            </w:r>
            <w:r>
              <w:rPr>
                <w:rFonts w:hint="eastAsia" w:ascii="宋体" w:hAnsi="宋体" w:cs="宋体"/>
                <w:color w:val="auto"/>
                <w:szCs w:val="21"/>
                <w:highlight w:val="none"/>
              </w:rPr>
              <w:t>、明确，及时及可行并优于项目要求的得6-4.1分；</w:t>
            </w:r>
          </w:p>
          <w:p>
            <w:pPr>
              <w:widowControl/>
              <w:jc w:val="left"/>
              <w:rPr>
                <w:rFonts w:ascii="宋体" w:hAnsi="宋体" w:cs="宋体"/>
                <w:color w:val="auto"/>
                <w:szCs w:val="21"/>
                <w:highlight w:val="none"/>
              </w:rPr>
            </w:pPr>
            <w:r>
              <w:rPr>
                <w:rFonts w:hint="eastAsia" w:ascii="宋体" w:hAnsi="宋体" w:cs="宋体"/>
                <w:color w:val="auto"/>
                <w:szCs w:val="21"/>
                <w:highlight w:val="none"/>
              </w:rPr>
              <w:t>（2）项目售后措施比较明确、实施基本符合本项目实际，售后过程中各个节点安排基本详细、明确，可行满足要求的得4-3.1分；</w:t>
            </w:r>
          </w:p>
          <w:p>
            <w:pPr>
              <w:widowControl/>
              <w:jc w:val="left"/>
              <w:rPr>
                <w:rFonts w:ascii="宋体" w:hAnsi="宋体" w:cs="宋体"/>
                <w:color w:val="auto"/>
                <w:szCs w:val="21"/>
                <w:highlight w:val="none"/>
              </w:rPr>
            </w:pPr>
            <w:r>
              <w:rPr>
                <w:rFonts w:hint="eastAsia" w:ascii="宋体" w:hAnsi="宋体" w:cs="宋体"/>
                <w:color w:val="auto"/>
                <w:szCs w:val="21"/>
                <w:highlight w:val="none"/>
              </w:rPr>
              <w:t>（3）项目售后措施比较简单、实施符合本项目实际、售后</w:t>
            </w:r>
            <w:r>
              <w:rPr>
                <w:rFonts w:hint="eastAsia" w:asciiTheme="minorHAnsi" w:hAnsiTheme="minorHAnsi" w:eastAsiaTheme="minorEastAsia" w:cstheme="minorBidi"/>
                <w:color w:val="auto"/>
                <w:szCs w:val="21"/>
                <w:highlight w:val="none"/>
              </w:rPr>
              <w:t>保障比较得力，人力比</w:t>
            </w:r>
            <w:r>
              <w:rPr>
                <w:rFonts w:hint="eastAsia" w:cstheme="minorBidi"/>
                <w:color w:val="auto"/>
                <w:szCs w:val="21"/>
                <w:highlight w:val="none"/>
              </w:rPr>
              <w:t>较</w:t>
            </w:r>
            <w:r>
              <w:rPr>
                <w:rFonts w:hint="eastAsia" w:asciiTheme="minorHAnsi" w:hAnsiTheme="minorHAnsi" w:eastAsiaTheme="minorEastAsia" w:cstheme="minorBidi"/>
                <w:color w:val="auto"/>
                <w:szCs w:val="21"/>
                <w:highlight w:val="none"/>
              </w:rPr>
              <w:t>充分，响应比</w:t>
            </w:r>
            <w:r>
              <w:rPr>
                <w:rFonts w:hint="eastAsia" w:cstheme="minorBidi"/>
                <w:color w:val="auto"/>
                <w:szCs w:val="21"/>
                <w:highlight w:val="none"/>
              </w:rPr>
              <w:t>较</w:t>
            </w:r>
            <w:r>
              <w:rPr>
                <w:rFonts w:hint="eastAsia" w:asciiTheme="minorHAnsi" w:hAnsiTheme="minorHAnsi" w:eastAsiaTheme="minorEastAsia" w:cstheme="minorBidi"/>
                <w:color w:val="auto"/>
                <w:szCs w:val="21"/>
                <w:highlight w:val="none"/>
              </w:rPr>
              <w:t>高效，预案比</w:t>
            </w:r>
            <w:r>
              <w:rPr>
                <w:rFonts w:hint="eastAsia" w:cstheme="minorBidi"/>
                <w:color w:val="auto"/>
                <w:szCs w:val="21"/>
                <w:highlight w:val="none"/>
              </w:rPr>
              <w:t>较</w:t>
            </w:r>
            <w:r>
              <w:rPr>
                <w:rFonts w:hint="eastAsia" w:asciiTheme="minorHAnsi" w:hAnsiTheme="minorHAnsi" w:eastAsiaTheme="minorEastAsia" w:cstheme="minorBidi"/>
                <w:color w:val="auto"/>
                <w:szCs w:val="21"/>
                <w:highlight w:val="none"/>
              </w:rPr>
              <w:t>合理</w:t>
            </w:r>
            <w:r>
              <w:rPr>
                <w:rFonts w:hint="eastAsia" w:ascii="宋体" w:hAnsi="宋体" w:cs="宋体"/>
                <w:color w:val="auto"/>
                <w:szCs w:val="21"/>
                <w:highlight w:val="none"/>
              </w:rPr>
              <w:t>的得3-2.1分；</w:t>
            </w:r>
          </w:p>
          <w:p>
            <w:pPr>
              <w:widowControl/>
              <w:jc w:val="left"/>
              <w:rPr>
                <w:rFonts w:ascii="宋体" w:hAnsi="宋体" w:cs="宋体"/>
                <w:color w:val="auto"/>
                <w:szCs w:val="21"/>
                <w:highlight w:val="none"/>
              </w:rPr>
            </w:pPr>
            <w:r>
              <w:rPr>
                <w:rFonts w:hint="eastAsia" w:ascii="宋体" w:hAnsi="宋体" w:cs="宋体"/>
                <w:color w:val="auto"/>
                <w:szCs w:val="21"/>
                <w:highlight w:val="none"/>
              </w:rPr>
              <w:t>（4）项目售后措施不够明确、售后</w:t>
            </w:r>
            <w:r>
              <w:rPr>
                <w:rFonts w:hint="eastAsia" w:asciiTheme="minorHAnsi" w:hAnsiTheme="minorHAnsi" w:eastAsiaTheme="minorEastAsia" w:cstheme="minorBidi"/>
                <w:color w:val="auto"/>
                <w:szCs w:val="21"/>
                <w:highlight w:val="none"/>
              </w:rPr>
              <w:t>保障一般，人力一般，响应一般，预案一般得</w:t>
            </w:r>
            <w:r>
              <w:rPr>
                <w:rFonts w:hint="eastAsia" w:ascii="宋体" w:hAnsi="宋体" w:cs="宋体"/>
                <w:color w:val="auto"/>
                <w:szCs w:val="21"/>
                <w:highlight w:val="none"/>
              </w:rPr>
              <w:t>2-1.1分。</w:t>
            </w:r>
          </w:p>
          <w:p>
            <w:pPr>
              <w:rPr>
                <w:rFonts w:ascii="宋体" w:hAnsi="宋体" w:cs="宋体"/>
                <w:color w:val="auto"/>
                <w:szCs w:val="21"/>
                <w:highlight w:val="none"/>
              </w:rPr>
            </w:pPr>
            <w:r>
              <w:rPr>
                <w:rFonts w:hint="eastAsia" w:ascii="宋体" w:hAnsi="宋体" w:cs="宋体"/>
                <w:color w:val="auto"/>
                <w:szCs w:val="21"/>
                <w:highlight w:val="none"/>
              </w:rPr>
              <w:t>（5）</w:t>
            </w:r>
            <w:r>
              <w:rPr>
                <w:rFonts w:hint="eastAsia" w:asciiTheme="minorHAnsi" w:hAnsiTheme="minorHAnsi" w:eastAsiaTheme="minorEastAsia" w:cstheme="minorBidi"/>
                <w:color w:val="auto"/>
                <w:szCs w:val="21"/>
                <w:highlight w:val="none"/>
              </w:rPr>
              <w:t>内容不全，措施欠缺，保障低下</w:t>
            </w:r>
            <w:r>
              <w:rPr>
                <w:rFonts w:hint="eastAsia" w:ascii="宋体" w:hAnsi="宋体" w:cs="宋体"/>
                <w:color w:val="auto"/>
                <w:szCs w:val="21"/>
                <w:highlight w:val="none"/>
              </w:rPr>
              <w:t>的，得1.0-0分。</w:t>
            </w:r>
          </w:p>
        </w:tc>
        <w:tc>
          <w:tcPr>
            <w:tcW w:w="550" w:type="dxa"/>
            <w:vAlign w:val="center"/>
          </w:tcPr>
          <w:p>
            <w:pPr>
              <w:rPr>
                <w:rFonts w:ascii="宋体" w:hAnsi="宋体" w:cs="宋体"/>
                <w:color w:val="auto"/>
                <w:szCs w:val="21"/>
                <w:highlight w:val="none"/>
              </w:rPr>
            </w:pPr>
            <w:r>
              <w:rPr>
                <w:rFonts w:hint="eastAsia" w:ascii="宋体" w:hAnsi="宋体" w:cs="宋体"/>
                <w:color w:val="auto"/>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746" w:type="dxa"/>
            <w:vMerge w:val="continue"/>
            <w:vAlign w:val="center"/>
          </w:tcPr>
          <w:p>
            <w:pPr>
              <w:rPr>
                <w:rFonts w:ascii="宋体" w:hAnsi="宋体" w:cs="宋体"/>
                <w:color w:val="auto"/>
                <w:szCs w:val="21"/>
                <w:highlight w:val="none"/>
              </w:rPr>
            </w:pPr>
          </w:p>
        </w:tc>
        <w:tc>
          <w:tcPr>
            <w:tcW w:w="8183" w:type="dxa"/>
            <w:gridSpan w:val="2"/>
            <w:vAlign w:val="center"/>
          </w:tcPr>
          <w:p>
            <w:pPr>
              <w:rPr>
                <w:rFonts w:ascii="宋体" w:hAnsi="宋体" w:cs="宋体"/>
                <w:color w:val="auto"/>
                <w:szCs w:val="21"/>
                <w:highlight w:val="none"/>
              </w:rPr>
            </w:pPr>
            <w:r>
              <w:rPr>
                <w:rFonts w:hint="eastAsia" w:ascii="宋体" w:hAnsi="宋体" w:cs="宋体"/>
                <w:color w:val="auto"/>
                <w:kern w:val="0"/>
                <w:szCs w:val="21"/>
                <w:highlight w:val="none"/>
              </w:rPr>
              <w:t>评委根据</w:t>
            </w:r>
            <w:r>
              <w:rPr>
                <w:rFonts w:hint="eastAsia" w:ascii="宋体" w:hAnsi="宋体" w:cs="宋体"/>
                <w:color w:val="auto"/>
                <w:szCs w:val="21"/>
                <w:highlight w:val="none"/>
              </w:rPr>
              <w:t>本地化服务能力</w:t>
            </w:r>
            <w:r>
              <w:rPr>
                <w:rFonts w:hint="eastAsia" w:ascii="宋体" w:hAnsi="宋体" w:cs="宋体"/>
                <w:color w:val="auto"/>
                <w:kern w:val="0"/>
                <w:szCs w:val="21"/>
                <w:highlight w:val="none"/>
              </w:rPr>
              <w:t>进行打分。</w:t>
            </w:r>
            <w:r>
              <w:rPr>
                <w:rFonts w:hint="eastAsia" w:ascii="宋体" w:hAnsi="宋体" w:cs="宋体"/>
                <w:color w:val="auto"/>
                <w:highlight w:val="none"/>
              </w:rPr>
              <w:t>评标委员会根据投标人提供的有效服务保证措施进行打分，每提供一条有效措施的得1分，最高得3分。</w:t>
            </w:r>
          </w:p>
        </w:tc>
        <w:tc>
          <w:tcPr>
            <w:tcW w:w="550" w:type="dxa"/>
            <w:vAlign w:val="center"/>
          </w:tcPr>
          <w:p>
            <w:pPr>
              <w:rPr>
                <w:rFonts w:ascii="宋体" w:hAnsi="宋体" w:cs="宋体"/>
                <w:color w:val="auto"/>
                <w:szCs w:val="21"/>
                <w:highlight w:val="none"/>
              </w:rPr>
            </w:pPr>
            <w:r>
              <w:rPr>
                <w:rFonts w:hint="eastAsia" w:ascii="宋体" w:hAnsi="宋体" w:cs="宋体"/>
                <w:color w:val="auto"/>
                <w:szCs w:val="21"/>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46" w:type="dxa"/>
            <w:vAlign w:val="center"/>
          </w:tcPr>
          <w:p>
            <w:pPr>
              <w:rPr>
                <w:rFonts w:ascii="宋体" w:hAnsi="宋体" w:cs="宋体"/>
                <w:color w:val="auto"/>
                <w:szCs w:val="21"/>
                <w:highlight w:val="none"/>
              </w:rPr>
            </w:pPr>
            <w:r>
              <w:rPr>
                <w:rFonts w:hint="eastAsia" w:ascii="宋体" w:hAnsi="宋体" w:cs="宋体"/>
                <w:color w:val="auto"/>
                <w:szCs w:val="21"/>
                <w:highlight w:val="none"/>
              </w:rPr>
              <w:t>政策分</w:t>
            </w:r>
          </w:p>
          <w:p>
            <w:pPr>
              <w:rPr>
                <w:rFonts w:ascii="宋体" w:hAnsi="宋体" w:cs="宋体"/>
                <w:color w:val="auto"/>
                <w:szCs w:val="21"/>
                <w:highlight w:val="none"/>
              </w:rPr>
            </w:pPr>
            <w:r>
              <w:rPr>
                <w:rFonts w:hint="eastAsia" w:ascii="宋体" w:hAnsi="宋体" w:cs="宋体"/>
                <w:color w:val="auto"/>
                <w:szCs w:val="21"/>
                <w:highlight w:val="none"/>
              </w:rPr>
              <w:t>2分</w:t>
            </w:r>
          </w:p>
        </w:tc>
        <w:tc>
          <w:tcPr>
            <w:tcW w:w="8183" w:type="dxa"/>
            <w:gridSpan w:val="2"/>
            <w:vAlign w:val="center"/>
          </w:tcPr>
          <w:p>
            <w:pPr>
              <w:adjustRightInd w:val="0"/>
              <w:snapToGrid w:val="0"/>
              <w:rPr>
                <w:rFonts w:ascii="仿宋" w:hAnsi="仿宋" w:eastAsia="仿宋" w:cs="仿宋"/>
                <w:color w:val="auto"/>
                <w:sz w:val="24"/>
                <w:highlight w:val="none"/>
              </w:rPr>
            </w:pPr>
            <w:r>
              <w:rPr>
                <w:rFonts w:hint="eastAsia" w:ascii="宋体" w:hAnsi="宋体" w:cs="宋体"/>
                <w:color w:val="auto"/>
                <w:kern w:val="0"/>
                <w:szCs w:val="21"/>
                <w:highlight w:val="none"/>
              </w:rPr>
              <w:t>投标人或投标产品（或核心产品或服务）符合《政府采购货物和服务招标投标管理办法》第五条规定，属于“节约能源、保护环境、扶持不发达地区和少数民族地区等”等政府采购政策落实对象的，提供相关证明材料和政策依据，每符合一项得1分，最高可得2分；未提供相关证明材料的不得分。（提供相关证明材料和政策依据）。</w:t>
            </w:r>
          </w:p>
        </w:tc>
        <w:tc>
          <w:tcPr>
            <w:tcW w:w="550" w:type="dxa"/>
            <w:vAlign w:val="center"/>
          </w:tcPr>
          <w:p>
            <w:pPr>
              <w:adjustRightInd w:val="0"/>
              <w:snapToGrid w:val="0"/>
              <w:jc w:val="left"/>
              <w:rPr>
                <w:rFonts w:ascii="仿宋" w:hAnsi="仿宋" w:eastAsia="仿宋" w:cs="仿宋"/>
                <w:color w:val="auto"/>
                <w:sz w:val="24"/>
                <w:highlight w:val="none"/>
              </w:rPr>
            </w:pPr>
            <w:r>
              <w:rPr>
                <w:rFonts w:hint="eastAsia" w:ascii="仿宋" w:hAnsi="仿宋" w:eastAsia="仿宋" w:cs="仿宋"/>
                <w:color w:val="auto"/>
                <w:sz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746" w:type="dxa"/>
            <w:vAlign w:val="center"/>
          </w:tcPr>
          <w:p>
            <w:pPr>
              <w:rPr>
                <w:rFonts w:ascii="宋体" w:hAnsi="宋体" w:cs="宋体"/>
                <w:color w:val="auto"/>
                <w:szCs w:val="21"/>
                <w:highlight w:val="none"/>
              </w:rPr>
            </w:pPr>
            <w:r>
              <w:rPr>
                <w:rFonts w:hint="eastAsia" w:ascii="宋体" w:hAnsi="宋体" w:cs="宋体"/>
                <w:color w:val="auto"/>
                <w:szCs w:val="21"/>
                <w:highlight w:val="none"/>
              </w:rPr>
              <w:t>价格30分</w:t>
            </w:r>
          </w:p>
        </w:tc>
        <w:tc>
          <w:tcPr>
            <w:tcW w:w="8183" w:type="dxa"/>
            <w:gridSpan w:val="2"/>
            <w:vAlign w:val="center"/>
          </w:tcPr>
          <w:p>
            <w:pPr>
              <w:rPr>
                <w:rFonts w:ascii="宋体" w:hAnsi="宋体" w:cs="宋体"/>
                <w:color w:val="auto"/>
                <w:szCs w:val="21"/>
                <w:highlight w:val="none"/>
              </w:rPr>
            </w:pPr>
            <w:r>
              <w:rPr>
                <w:rFonts w:hint="eastAsia" w:ascii="宋体" w:hAnsi="宋体" w:cs="宋体"/>
                <w:color w:val="auto"/>
                <w:szCs w:val="21"/>
                <w:highlight w:val="none"/>
              </w:rPr>
              <w:t>取投标合格供应商的投标最终报价最低价为基准价。基准价为30分。投标报价得分＝（评标基准价/最终投标报价）×30 %×100（小数点后保留2位小数）。</w:t>
            </w:r>
          </w:p>
        </w:tc>
        <w:tc>
          <w:tcPr>
            <w:tcW w:w="550" w:type="dxa"/>
            <w:vAlign w:val="center"/>
          </w:tcPr>
          <w:p>
            <w:pPr>
              <w:rPr>
                <w:rFonts w:ascii="宋体" w:hAnsi="宋体" w:cs="宋体"/>
                <w:color w:val="auto"/>
                <w:szCs w:val="21"/>
                <w:highlight w:val="none"/>
              </w:rPr>
            </w:pPr>
            <w:r>
              <w:rPr>
                <w:rFonts w:hint="eastAsia" w:ascii="宋体" w:hAnsi="宋体" w:cs="宋体"/>
                <w:color w:val="auto"/>
                <w:szCs w:val="21"/>
                <w:highlight w:val="none"/>
              </w:rPr>
              <w:t>30</w:t>
            </w:r>
          </w:p>
        </w:tc>
      </w:tr>
    </w:tbl>
    <w:p>
      <w:pPr>
        <w:pStyle w:val="9"/>
        <w:spacing w:line="360" w:lineRule="auto"/>
        <w:rPr>
          <w:rFonts w:ascii="宋体" w:hAnsi="宋体" w:cs="宋体"/>
          <w:b/>
          <w:bCs/>
          <w:color w:val="auto"/>
          <w:szCs w:val="21"/>
          <w:highlight w:val="none"/>
        </w:rPr>
      </w:pPr>
      <w:r>
        <w:rPr>
          <w:rFonts w:hint="eastAsia" w:ascii="宋体" w:hAnsi="宋体" w:cs="宋体"/>
          <w:b/>
          <w:bCs/>
          <w:color w:val="auto"/>
          <w:szCs w:val="21"/>
          <w:highlight w:val="none"/>
        </w:rPr>
        <w:t>注：</w:t>
      </w:r>
    </w:p>
    <w:p>
      <w:pPr>
        <w:autoSpaceDE w:val="0"/>
        <w:autoSpaceDN w:val="0"/>
        <w:adjustRightInd w:val="0"/>
        <w:ind w:firstLine="210" w:firstLineChars="10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密封包装，外包装上需写明项目名称、采购编号、及投标公司全称。包装封口应由法定代表人或全权代表签字或盖章，评标时，对提交样品的供应商，由采购人随机编号，专家评审小组按编号评分。涉及检测报告、照片等佐证材料的样品，采用先打分后核实的方式；</w:t>
      </w:r>
    </w:p>
    <w:p>
      <w:pPr>
        <w:autoSpaceDE w:val="0"/>
        <w:autoSpaceDN w:val="0"/>
        <w:adjustRightInd w:val="0"/>
        <w:ind w:firstLine="210" w:firstLineChars="10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zh-CN" w:eastAsia="zh-CN"/>
        </w:rPr>
        <w:t>▲</w:t>
      </w:r>
      <w:r>
        <w:rPr>
          <w:rFonts w:hint="eastAsia" w:ascii="Times New Roman" w:hAnsi="Times New Roman" w:eastAsia="宋体" w:cs="Times New Roman"/>
          <w:color w:val="auto"/>
          <w:highlight w:val="none"/>
          <w:lang w:val="en-US" w:eastAsia="zh-CN"/>
        </w:rPr>
        <w:t>2、样品的</w:t>
      </w:r>
      <w:r>
        <w:rPr>
          <w:rFonts w:hint="eastAsia" w:ascii="Times New Roman" w:hAnsi="Times New Roman" w:eastAsia="宋体" w:cs="Times New Roman"/>
          <w:color w:val="auto"/>
          <w:highlight w:val="none"/>
          <w:lang w:val="zh-CN" w:eastAsia="zh-CN"/>
        </w:rPr>
        <w:t>技术规范要求同本项目供货要求，见招标文件第四章公开招标需求，随样品注明</w:t>
      </w:r>
      <w:r>
        <w:rPr>
          <w:rFonts w:hint="eastAsia" w:ascii="Times New Roman" w:hAnsi="Times New Roman" w:eastAsia="宋体" w:cs="Times New Roman"/>
          <w:color w:val="auto"/>
          <w:highlight w:val="none"/>
          <w:lang w:val="en-US" w:eastAsia="zh-CN"/>
        </w:rPr>
        <w:t>样品清单、材质、型号、品牌等信息。</w:t>
      </w:r>
      <w:r>
        <w:rPr>
          <w:rFonts w:hint="eastAsia" w:ascii="Times New Roman" w:hAnsi="Times New Roman" w:eastAsia="宋体" w:cs="Times New Roman"/>
          <w:b/>
          <w:bCs/>
          <w:color w:val="auto"/>
          <w:highlight w:val="none"/>
          <w:u w:val="single"/>
          <w:lang w:val="en-US" w:eastAsia="zh-CN"/>
        </w:rPr>
        <w:t>样品不得体现或影射投标人的信息，否则按无效标处理</w:t>
      </w:r>
      <w:r>
        <w:rPr>
          <w:rFonts w:hint="eastAsia" w:ascii="Times New Roman" w:hAnsi="Times New Roman" w:eastAsia="宋体" w:cs="Times New Roman"/>
          <w:color w:val="auto"/>
          <w:highlight w:val="none"/>
          <w:lang w:val="en-US" w:eastAsia="zh-CN"/>
        </w:rPr>
        <w:t>；</w:t>
      </w:r>
    </w:p>
    <w:p>
      <w:pPr>
        <w:autoSpaceDE w:val="0"/>
        <w:autoSpaceDN w:val="0"/>
        <w:adjustRightInd w:val="0"/>
        <w:ind w:firstLine="210" w:firstLineChars="100"/>
        <w:rPr>
          <w:rFonts w:hint="eastAsia"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zh-CN" w:eastAsia="zh-CN"/>
        </w:rPr>
        <w:t>▲</w:t>
      </w:r>
      <w:r>
        <w:rPr>
          <w:rFonts w:hint="eastAsia" w:ascii="Times New Roman" w:hAnsi="Times New Roman" w:eastAsia="宋体" w:cs="Times New Roman"/>
          <w:color w:val="auto"/>
          <w:highlight w:val="none"/>
          <w:lang w:val="en-US" w:eastAsia="zh-CN"/>
        </w:rPr>
        <w:t>3、中标人的样品将封存并作为实际供货的比较标准，投标人不得以样品精制和批量赶制为理由致使实际供货产品存与投标样品存在品质差异。</w:t>
      </w:r>
    </w:p>
    <w:p>
      <w:pPr>
        <w:snapToGrid w:val="0"/>
        <w:spacing w:line="360" w:lineRule="auto"/>
        <w:rPr>
          <w:color w:val="auto"/>
          <w:highlight w:val="none"/>
        </w:rPr>
      </w:pPr>
      <w:r>
        <w:rPr>
          <w:rFonts w:hint="eastAsia" w:ascii="Times New Roman" w:hAnsi="Times New Roman" w:eastAsia="宋体" w:cs="Times New Roman"/>
          <w:color w:val="auto"/>
          <w:highlight w:val="none"/>
          <w:lang w:val="en-US" w:eastAsia="zh-CN"/>
        </w:rPr>
        <w:t>4、未中标的样品由投标人在评标结束当天自行取回。</w:t>
      </w:r>
    </w:p>
    <w:p>
      <w:pPr>
        <w:pStyle w:val="12"/>
        <w:snapToGrid w:val="0"/>
        <w:spacing w:line="360" w:lineRule="auto"/>
        <w:ind w:firstLine="482" w:firstLineChars="20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2.评审要求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(1）评标委员会应当按照招标文件中规定的评标方法和标准，对符合性审查合格的投标文件的商务部分和技术部分进行综合比较与评价，其中</w:t>
      </w:r>
      <w:r>
        <w:rPr>
          <w:rFonts w:hint="eastAsia" w:ascii="宋体"/>
          <w:bCs/>
          <w:color w:val="auto"/>
          <w:sz w:val="24"/>
          <w:highlight w:val="none"/>
          <w:lang w:val="zh-CN"/>
        </w:rPr>
        <w:t>客观</w:t>
      </w:r>
      <w:r>
        <w:rPr>
          <w:rFonts w:hint="eastAsia" w:ascii="宋体"/>
          <w:bCs/>
          <w:color w:val="auto"/>
          <w:sz w:val="24"/>
          <w:highlight w:val="none"/>
        </w:rPr>
        <w:t>评分项的分值</w:t>
      </w:r>
      <w:r>
        <w:rPr>
          <w:rFonts w:hint="eastAsia" w:ascii="宋体"/>
          <w:bCs/>
          <w:color w:val="auto"/>
          <w:sz w:val="24"/>
          <w:highlight w:val="none"/>
          <w:lang w:val="zh-CN"/>
        </w:rPr>
        <w:t>应当一致。</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(2）对于投标文件报价出现前后不一致的，除招标文件另有规定外，按照下列规定修正：</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①</w:t>
      </w:r>
      <w:r>
        <w:rPr>
          <w:rFonts w:hint="eastAsia" w:ascii="宋体" w:hAnsi="宋体" w:eastAsia="宋体" w:cs="宋体"/>
          <w:color w:val="auto"/>
          <w:sz w:val="24"/>
          <w:szCs w:val="24"/>
          <w:highlight w:val="none"/>
          <w:shd w:val="clear"/>
          <w:lang w:eastAsia="zh-CN"/>
        </w:rPr>
        <w:t>‘政府采购云平台’上开启的投标报价与电子投标文件中开标一览表（报价表）内容不一致的，以电子投标文件中开标一览表（报价表）为准。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②投标文件中开标一览表（报价表）内容与投标文件中相应内容不一致的，以开标一览表（报价表）为准；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③大写金额和小写金额不一致的，以大写金额为准；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④单价金额小数点或者百分比有明显错位的，以开标一览表的总价为准，并修改单价；</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 5 \* GB3 \* MERGEFORMAT </w:instrText>
      </w:r>
      <w:r>
        <w:rPr>
          <w:rFonts w:hint="eastAsia" w:ascii="宋体" w:hAnsi="宋体" w:cs="宋体"/>
          <w:color w:val="auto"/>
          <w:sz w:val="24"/>
          <w:highlight w:val="none"/>
        </w:rPr>
        <w:fldChar w:fldCharType="separate"/>
      </w:r>
      <w:r>
        <w:rPr>
          <w:color w:val="auto"/>
          <w:highlight w:val="none"/>
        </w:rPr>
        <w:t>⑤</w:t>
      </w:r>
      <w:r>
        <w:rPr>
          <w:rFonts w:hint="eastAsia" w:ascii="宋体" w:hAnsi="宋体" w:cs="宋体"/>
          <w:color w:val="auto"/>
          <w:sz w:val="24"/>
          <w:highlight w:val="none"/>
        </w:rPr>
        <w:fldChar w:fldCharType="end"/>
      </w:r>
      <w:r>
        <w:rPr>
          <w:rFonts w:hint="eastAsia" w:ascii="宋体" w:hAnsi="宋体" w:cs="宋体"/>
          <w:color w:val="auto"/>
          <w:sz w:val="24"/>
          <w:highlight w:val="none"/>
        </w:rPr>
        <w:t>总价金额与按单价汇总金额不一致的，以单价金额计算结果为准。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同时出现两种以上不一致的，按照前款规定的顺序修正。修正应当采用电子询标的形式，并加盖公章（电子印章）。</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（4）投标人的澄清、说明或者补正采用书面形式，并加盖公章（电子印章）或者由法定代表人或授权代表签字，且不得超出投标文件的范围或者改变投标文件的实质性内容。</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（四）结果汇总及排序</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评标委员会各成员应当独立对每个投标人的投标文件进行评价，并汇总每个投标人的得分。</w:t>
      </w:r>
    </w:p>
    <w:p>
      <w:pPr>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1.评标结果按评审后综合得分由高到低顺序排列。</w:t>
      </w:r>
      <w:r>
        <w:rPr>
          <w:rFonts w:hint="eastAsia" w:ascii="宋体" w:hAnsi="宋体" w:cs="宋体"/>
          <w:color w:val="auto"/>
          <w:sz w:val="24"/>
          <w:highlight w:val="none"/>
          <w:lang w:val="zh-CN"/>
        </w:rPr>
        <w:t>得分相同</w:t>
      </w:r>
      <w:r>
        <w:rPr>
          <w:rFonts w:hint="eastAsia" w:ascii="宋体" w:hAnsi="宋体" w:cs="宋体"/>
          <w:color w:val="auto"/>
          <w:sz w:val="24"/>
          <w:highlight w:val="none"/>
        </w:rPr>
        <w:t>的</w:t>
      </w:r>
      <w:r>
        <w:rPr>
          <w:rFonts w:hint="eastAsia" w:ascii="宋体" w:hAnsi="宋体" w:cs="宋体"/>
          <w:color w:val="auto"/>
          <w:sz w:val="24"/>
          <w:highlight w:val="none"/>
          <w:lang w:val="zh-CN"/>
        </w:rPr>
        <w:t>，</w:t>
      </w:r>
      <w:r>
        <w:rPr>
          <w:rFonts w:hint="eastAsia" w:ascii="宋体" w:hAnsi="宋体" w:cs="宋体"/>
          <w:color w:val="auto"/>
          <w:sz w:val="24"/>
          <w:highlight w:val="none"/>
        </w:rPr>
        <w:t>按</w:t>
      </w:r>
      <w:r>
        <w:rPr>
          <w:rFonts w:hint="eastAsia" w:ascii="宋体" w:hAnsi="宋体" w:cs="宋体"/>
          <w:color w:val="auto"/>
          <w:sz w:val="24"/>
          <w:highlight w:val="none"/>
          <w:lang w:val="zh-CN"/>
        </w:rPr>
        <w:t>投标报价</w:t>
      </w:r>
      <w:r>
        <w:rPr>
          <w:rFonts w:hint="eastAsia" w:ascii="宋体" w:hAnsi="宋体" w:cs="宋体"/>
          <w:color w:val="auto"/>
          <w:sz w:val="24"/>
          <w:highlight w:val="none"/>
        </w:rPr>
        <w:t>由</w:t>
      </w:r>
      <w:r>
        <w:rPr>
          <w:rFonts w:hint="eastAsia" w:ascii="宋体" w:hAnsi="宋体" w:cs="宋体"/>
          <w:color w:val="auto"/>
          <w:sz w:val="24"/>
          <w:highlight w:val="none"/>
          <w:lang w:val="zh-CN"/>
        </w:rPr>
        <w:t>低</w:t>
      </w:r>
      <w:r>
        <w:rPr>
          <w:rFonts w:hint="eastAsia" w:ascii="宋体" w:hAnsi="宋体" w:cs="宋体"/>
          <w:color w:val="auto"/>
          <w:sz w:val="24"/>
          <w:highlight w:val="none"/>
        </w:rPr>
        <w:t>到高顺序排列。</w:t>
      </w:r>
      <w:r>
        <w:rPr>
          <w:rFonts w:hint="eastAsia" w:ascii="宋体" w:hAnsi="宋体" w:cs="宋体"/>
          <w:color w:val="auto"/>
          <w:sz w:val="24"/>
          <w:highlight w:val="none"/>
          <w:lang w:val="zh-CN"/>
        </w:rPr>
        <w:t>得分且投标报价相同的</w:t>
      </w:r>
      <w:r>
        <w:rPr>
          <w:rFonts w:hint="eastAsia" w:ascii="宋体" w:hAnsi="宋体" w:cs="宋体"/>
          <w:color w:val="auto"/>
          <w:sz w:val="24"/>
          <w:highlight w:val="none"/>
        </w:rPr>
        <w:t>并列</w:t>
      </w:r>
      <w:r>
        <w:rPr>
          <w:rFonts w:hint="eastAsia" w:ascii="宋体" w:hAnsi="宋体" w:cs="宋体"/>
          <w:color w:val="auto"/>
          <w:sz w:val="24"/>
          <w:highlight w:val="none"/>
          <w:lang w:val="zh-CN"/>
        </w:rPr>
        <w:t>。</w:t>
      </w:r>
      <w:r>
        <w:rPr>
          <w:rFonts w:hint="eastAsia" w:ascii="宋体" w:hAnsi="宋体" w:cs="宋体"/>
          <w:color w:val="auto"/>
          <w:sz w:val="24"/>
          <w:highlight w:val="none"/>
        </w:rPr>
        <w:t>投标文件满足招标文件全部实质性要求，且按照评审因素的量化指标评审得分最高的投标人为</w:t>
      </w:r>
      <w:r>
        <w:rPr>
          <w:rFonts w:hint="eastAsia" w:ascii="宋体" w:hAnsi="宋体" w:cs="宋体"/>
          <w:color w:val="auto"/>
          <w:sz w:val="24"/>
          <w:highlight w:val="none"/>
          <w:lang w:eastAsia="zh-CN"/>
        </w:rPr>
        <w:t>第一</w:t>
      </w:r>
      <w:r>
        <w:rPr>
          <w:rFonts w:hint="eastAsia" w:ascii="宋体" w:hAnsi="宋体" w:cs="宋体"/>
          <w:color w:val="auto"/>
          <w:sz w:val="24"/>
          <w:highlight w:val="none"/>
        </w:rPr>
        <w:t>中标候选人</w:t>
      </w:r>
      <w:r>
        <w:rPr>
          <w:rFonts w:hint="eastAsia" w:ascii="宋体" w:hAnsi="宋体" w:cs="宋体"/>
          <w:color w:val="auto"/>
          <w:sz w:val="24"/>
          <w:highlight w:val="none"/>
          <w:lang w:eastAsia="zh-CN"/>
        </w:rPr>
        <w:t>，次</w:t>
      </w:r>
      <w:r>
        <w:rPr>
          <w:rFonts w:hint="eastAsia" w:ascii="宋体" w:hAnsi="宋体" w:cs="宋体"/>
          <w:color w:val="auto"/>
          <w:sz w:val="24"/>
          <w:highlight w:val="none"/>
        </w:rPr>
        <w:t>高的投标人为</w:t>
      </w:r>
      <w:r>
        <w:rPr>
          <w:rFonts w:hint="eastAsia" w:ascii="宋体" w:hAnsi="宋体" w:cs="宋体"/>
          <w:color w:val="auto"/>
          <w:sz w:val="24"/>
          <w:highlight w:val="none"/>
          <w:lang w:eastAsia="zh-CN"/>
        </w:rPr>
        <w:t>第二</w:t>
      </w:r>
      <w:r>
        <w:rPr>
          <w:rFonts w:hint="eastAsia" w:ascii="宋体" w:hAnsi="宋体" w:cs="宋体"/>
          <w:color w:val="auto"/>
          <w:sz w:val="24"/>
          <w:highlight w:val="none"/>
        </w:rPr>
        <w:t>中标候选人。</w:t>
      </w:r>
    </w:p>
    <w:p>
      <w:pPr>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提供相同品牌产品的，</w:t>
      </w:r>
      <w:r>
        <w:rPr>
          <w:rFonts w:hint="eastAsia" w:ascii="宋体" w:hAnsi="宋体" w:cs="宋体"/>
          <w:color w:val="auto"/>
          <w:sz w:val="24"/>
          <w:highlight w:val="none"/>
        </w:rPr>
        <w:t>参照《政府采购货物和服务招标投标管理办法》（第87号令）第三十一条有关规定执行</w:t>
      </w:r>
      <w:r>
        <w:rPr>
          <w:rFonts w:hint="eastAsia" w:ascii="宋体" w:hAnsi="宋体" w:cs="宋体"/>
          <w:color w:val="auto"/>
          <w:sz w:val="24"/>
          <w:highlight w:val="none"/>
          <w:lang w:val="zh-CN"/>
        </w:rPr>
        <w:t>。</w:t>
      </w:r>
    </w:p>
    <w:p>
      <w:pPr>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（五）评标报告撰写</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评标委员会根据全体评标成员签字的原始评标记录和评标结果编写评标报告。</w:t>
      </w:r>
    </w:p>
    <w:p>
      <w:pPr>
        <w:rPr>
          <w:rFonts w:hint="eastAsia" w:asciiTheme="minorEastAsia" w:hAnsiTheme="minorEastAsia" w:eastAsiaTheme="minorEastAsia"/>
          <w:b/>
          <w:color w:val="auto"/>
          <w:sz w:val="36"/>
          <w:szCs w:val="36"/>
          <w:highlight w:val="none"/>
        </w:rPr>
      </w:pPr>
      <w:bookmarkStart w:id="37" w:name="_Toc27944_WPSOffice_Level1"/>
      <w:r>
        <w:rPr>
          <w:rFonts w:hint="eastAsia" w:asciiTheme="minorEastAsia" w:hAnsiTheme="minorEastAsia" w:eastAsiaTheme="minorEastAsia"/>
          <w:b/>
          <w:color w:val="auto"/>
          <w:sz w:val="36"/>
          <w:szCs w:val="36"/>
          <w:highlight w:val="none"/>
        </w:rPr>
        <w:br w:type="page"/>
      </w:r>
    </w:p>
    <w:p>
      <w:pPr>
        <w:spacing w:line="360" w:lineRule="auto"/>
        <w:jc w:val="center"/>
        <w:rPr>
          <w:rFonts w:asciiTheme="minorEastAsia" w:hAnsiTheme="minorEastAsia" w:eastAsiaTheme="minorEastAsia"/>
          <w:b/>
          <w:color w:val="auto"/>
          <w:sz w:val="36"/>
          <w:szCs w:val="36"/>
          <w:highlight w:val="none"/>
        </w:rPr>
      </w:pPr>
      <w:r>
        <w:rPr>
          <w:rFonts w:hint="eastAsia" w:asciiTheme="minorEastAsia" w:hAnsiTheme="minorEastAsia" w:eastAsiaTheme="minorEastAsia"/>
          <w:b/>
          <w:color w:val="auto"/>
          <w:sz w:val="36"/>
          <w:szCs w:val="36"/>
          <w:highlight w:val="none"/>
        </w:rPr>
        <w:t xml:space="preserve">第五章 </w:t>
      </w:r>
      <w:bookmarkEnd w:id="37"/>
      <w:r>
        <w:rPr>
          <w:rFonts w:hint="eastAsia" w:asciiTheme="minorEastAsia" w:hAnsiTheme="minorEastAsia" w:eastAsiaTheme="minorEastAsia"/>
          <w:b/>
          <w:color w:val="auto"/>
          <w:sz w:val="36"/>
          <w:szCs w:val="36"/>
          <w:highlight w:val="none"/>
        </w:rPr>
        <w:t>拟签订的合同文本</w:t>
      </w:r>
    </w:p>
    <w:p>
      <w:pPr>
        <w:widowControl/>
        <w:shd w:val="clear" w:color="auto" w:fill="FFFFFF"/>
        <w:spacing w:after="150" w:line="360" w:lineRule="auto"/>
        <w:ind w:firstLine="480"/>
        <w:jc w:val="left"/>
        <w:rPr>
          <w:rFonts w:ascii="宋体" w:hAnsi="宋体"/>
          <w:color w:val="auto"/>
          <w:sz w:val="24"/>
          <w:highlight w:val="none"/>
        </w:rPr>
      </w:pPr>
      <w:bookmarkStart w:id="38" w:name="_Toc5481_WPSOffice_Level1"/>
      <w:r>
        <w:rPr>
          <w:rFonts w:ascii="宋体" w:hAnsi="宋体"/>
          <w:color w:val="auto"/>
          <w:sz w:val="24"/>
          <w:highlight w:val="none"/>
        </w:rPr>
        <w:t>以下为成交后</w:t>
      </w:r>
      <w:r>
        <w:rPr>
          <w:rFonts w:hint="eastAsia" w:ascii="宋体" w:hAnsi="宋体"/>
          <w:color w:val="auto"/>
          <w:sz w:val="24"/>
          <w:highlight w:val="none"/>
        </w:rPr>
        <w:t>签订</w:t>
      </w:r>
      <w:r>
        <w:rPr>
          <w:rFonts w:ascii="宋体" w:hAnsi="宋体"/>
          <w:color w:val="auto"/>
          <w:sz w:val="24"/>
          <w:highlight w:val="none"/>
        </w:rPr>
        <w:t>本项目合同的通用条款，成交供应商不得提出实质性的修改，</w:t>
      </w:r>
      <w:r>
        <w:rPr>
          <w:rFonts w:hint="eastAsia" w:ascii="宋体" w:hAnsi="宋体"/>
          <w:color w:val="auto"/>
          <w:sz w:val="24"/>
          <w:highlight w:val="none"/>
        </w:rPr>
        <w:t>如有特殊</w:t>
      </w:r>
      <w:r>
        <w:rPr>
          <w:rFonts w:ascii="宋体" w:hAnsi="宋体"/>
          <w:color w:val="auto"/>
          <w:sz w:val="24"/>
          <w:highlight w:val="none"/>
        </w:rPr>
        <w:t>条款将由采购人与成交供应商结合本项目具体情况协商后签订。</w:t>
      </w:r>
    </w:p>
    <w:p>
      <w:pPr>
        <w:pStyle w:val="12"/>
        <w:snapToGrid w:val="0"/>
        <w:spacing w:before="120" w:after="120"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项目名称：</w:t>
      </w:r>
      <w:r>
        <w:rPr>
          <w:rFonts w:hint="eastAsia" w:asciiTheme="minorEastAsia" w:hAnsiTheme="minorEastAsia" w:eastAsiaTheme="minorEastAsia"/>
          <w:color w:val="auto"/>
          <w:sz w:val="24"/>
          <w:highlight w:val="none"/>
          <w:lang w:eastAsia="zh-CN"/>
        </w:rPr>
        <w:t>2023年台州市区交通标线采购项目（重新招标）</w:t>
      </w:r>
    </w:p>
    <w:p>
      <w:pPr>
        <w:pStyle w:val="12"/>
        <w:snapToGrid w:val="0"/>
        <w:spacing w:before="120" w:after="120"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项目编号：</w:t>
      </w:r>
    </w:p>
    <w:p>
      <w:pPr>
        <w:pStyle w:val="12"/>
        <w:snapToGrid w:val="0"/>
        <w:spacing w:before="120" w:after="120" w:line="360" w:lineRule="auto"/>
        <w:rPr>
          <w:rFonts w:hAnsi="宋体"/>
          <w:color w:val="auto"/>
          <w:sz w:val="24"/>
          <w:highlight w:val="none"/>
        </w:rPr>
      </w:pPr>
      <w:r>
        <w:rPr>
          <w:rFonts w:hAnsi="宋体"/>
          <w:color w:val="auto"/>
          <w:sz w:val="24"/>
          <w:highlight w:val="none"/>
        </w:rPr>
        <w:t>甲方：（</w:t>
      </w:r>
      <w:r>
        <w:rPr>
          <w:rFonts w:hint="eastAsia" w:hAnsi="宋体"/>
          <w:color w:val="auto"/>
          <w:sz w:val="24"/>
          <w:highlight w:val="none"/>
        </w:rPr>
        <w:t>采购单位</w:t>
      </w:r>
      <w:r>
        <w:rPr>
          <w:rFonts w:hAnsi="宋体"/>
          <w:color w:val="auto"/>
          <w:sz w:val="24"/>
          <w:highlight w:val="none"/>
        </w:rPr>
        <w:t>）</w:t>
      </w:r>
      <w:r>
        <w:rPr>
          <w:rFonts w:hint="eastAsia" w:hAnsi="宋体"/>
          <w:color w:val="auto"/>
          <w:sz w:val="24"/>
          <w:highlight w:val="none"/>
        </w:rPr>
        <w:t xml:space="preserve">                            所在地：                              </w:t>
      </w:r>
    </w:p>
    <w:p>
      <w:pPr>
        <w:pStyle w:val="12"/>
        <w:snapToGrid w:val="0"/>
        <w:spacing w:before="120" w:after="120" w:line="360" w:lineRule="auto"/>
        <w:rPr>
          <w:rFonts w:hAnsi="宋体"/>
          <w:color w:val="auto"/>
          <w:sz w:val="24"/>
          <w:highlight w:val="none"/>
        </w:rPr>
      </w:pPr>
      <w:r>
        <w:rPr>
          <w:rFonts w:hAnsi="宋体"/>
          <w:color w:val="auto"/>
          <w:sz w:val="24"/>
          <w:highlight w:val="none"/>
        </w:rPr>
        <w:t>乙方：（</w:t>
      </w:r>
      <w:r>
        <w:rPr>
          <w:rFonts w:hint="eastAsia" w:hAnsi="宋体"/>
          <w:color w:val="auto"/>
          <w:sz w:val="24"/>
          <w:highlight w:val="none"/>
        </w:rPr>
        <w:t>中标供应商</w:t>
      </w:r>
      <w:r>
        <w:rPr>
          <w:rFonts w:hAnsi="宋体"/>
          <w:color w:val="auto"/>
          <w:sz w:val="24"/>
          <w:highlight w:val="none"/>
        </w:rPr>
        <w:t>）</w:t>
      </w:r>
      <w:r>
        <w:rPr>
          <w:rFonts w:hint="eastAsia" w:hAnsi="宋体"/>
          <w:color w:val="auto"/>
          <w:sz w:val="24"/>
          <w:highlight w:val="none"/>
        </w:rPr>
        <w:t xml:space="preserve">                          所在地：</w:t>
      </w:r>
    </w:p>
    <w:p>
      <w:pPr>
        <w:pStyle w:val="12"/>
        <w:snapToGrid w:val="0"/>
        <w:spacing w:before="120" w:after="120" w:line="360" w:lineRule="auto"/>
        <w:rPr>
          <w:rFonts w:asciiTheme="minorEastAsia" w:hAnsiTheme="minorEastAsia" w:eastAsiaTheme="minorEastAsia"/>
          <w:b/>
          <w:color w:val="auto"/>
          <w:sz w:val="24"/>
          <w:highlight w:val="none"/>
        </w:rPr>
      </w:pPr>
      <w:r>
        <w:rPr>
          <w:rFonts w:asciiTheme="minorEastAsia" w:hAnsiTheme="minorEastAsia" w:eastAsiaTheme="minorEastAsia"/>
          <w:color w:val="auto"/>
          <w:sz w:val="24"/>
          <w:highlight w:val="none"/>
        </w:rPr>
        <w:t>甲、乙双方根据</w:t>
      </w:r>
      <w:r>
        <w:rPr>
          <w:rFonts w:hint="eastAsia" w:asciiTheme="minorEastAsia" w:hAnsiTheme="minorEastAsia" w:eastAsiaTheme="minorEastAsia"/>
          <w:color w:val="auto"/>
          <w:sz w:val="24"/>
          <w:highlight w:val="none"/>
          <w:lang w:eastAsia="zh-CN"/>
        </w:rPr>
        <w:t>2023年台州市区交通标线采购项目（重新招标）</w:t>
      </w:r>
      <w:r>
        <w:rPr>
          <w:rFonts w:asciiTheme="minorEastAsia" w:hAnsiTheme="minorEastAsia" w:eastAsiaTheme="minorEastAsia"/>
          <w:color w:val="auto"/>
          <w:sz w:val="24"/>
          <w:highlight w:val="none"/>
        </w:rPr>
        <w:t>公开招标的结果，签署本合同。</w:t>
      </w:r>
    </w:p>
    <w:p>
      <w:pPr>
        <w:spacing w:line="360" w:lineRule="auto"/>
        <w:rPr>
          <w:rFonts w:ascii="宋体"/>
          <w:color w:val="auto"/>
          <w:sz w:val="24"/>
          <w:highlight w:val="none"/>
          <w:lang w:val="zh-CN"/>
        </w:rPr>
      </w:pPr>
      <w:r>
        <w:rPr>
          <w:rFonts w:hint="eastAsia" w:ascii="宋体"/>
          <w:color w:val="auto"/>
          <w:sz w:val="24"/>
          <w:highlight w:val="none"/>
          <w:lang w:val="zh-CN"/>
        </w:rPr>
        <w:t xml:space="preserve">一、合同文件： </w:t>
      </w:r>
    </w:p>
    <w:p>
      <w:pPr>
        <w:spacing w:line="360" w:lineRule="auto"/>
        <w:ind w:firstLine="480" w:firstLineChars="200"/>
        <w:rPr>
          <w:rFonts w:ascii="宋体"/>
          <w:color w:val="auto"/>
          <w:sz w:val="24"/>
          <w:highlight w:val="none"/>
          <w:lang w:val="zh-CN"/>
        </w:rPr>
      </w:pPr>
      <w:r>
        <w:rPr>
          <w:rFonts w:hint="eastAsia" w:ascii="宋体"/>
          <w:color w:val="auto"/>
          <w:sz w:val="24"/>
          <w:highlight w:val="none"/>
          <w:lang w:val="zh-CN"/>
        </w:rPr>
        <w:t>1.合同条款。</w:t>
      </w:r>
    </w:p>
    <w:p>
      <w:pPr>
        <w:spacing w:line="360" w:lineRule="auto"/>
        <w:ind w:firstLine="480" w:firstLineChars="200"/>
        <w:rPr>
          <w:rFonts w:ascii="宋体"/>
          <w:color w:val="auto"/>
          <w:sz w:val="24"/>
          <w:highlight w:val="none"/>
          <w:lang w:val="zh-CN"/>
        </w:rPr>
      </w:pPr>
      <w:r>
        <w:rPr>
          <w:rFonts w:hint="eastAsia" w:ascii="宋体"/>
          <w:color w:val="auto"/>
          <w:sz w:val="24"/>
          <w:highlight w:val="none"/>
          <w:lang w:val="zh-CN"/>
        </w:rPr>
        <w:t>2.中标通知书。</w:t>
      </w:r>
    </w:p>
    <w:p>
      <w:pPr>
        <w:spacing w:line="360" w:lineRule="auto"/>
        <w:ind w:firstLine="480" w:firstLineChars="200"/>
        <w:rPr>
          <w:rFonts w:ascii="宋体"/>
          <w:color w:val="auto"/>
          <w:sz w:val="24"/>
          <w:highlight w:val="none"/>
          <w:lang w:val="zh-CN"/>
        </w:rPr>
      </w:pPr>
      <w:r>
        <w:rPr>
          <w:rFonts w:hint="eastAsia" w:ascii="宋体"/>
          <w:color w:val="auto"/>
          <w:sz w:val="24"/>
          <w:highlight w:val="none"/>
          <w:lang w:val="zh-CN"/>
        </w:rPr>
        <w:t>3.更正补充文件。</w:t>
      </w:r>
    </w:p>
    <w:p>
      <w:pPr>
        <w:spacing w:line="360" w:lineRule="auto"/>
        <w:ind w:firstLine="480" w:firstLineChars="200"/>
        <w:rPr>
          <w:rFonts w:ascii="宋体"/>
          <w:color w:val="auto"/>
          <w:sz w:val="24"/>
          <w:highlight w:val="none"/>
          <w:lang w:val="zh-CN"/>
        </w:rPr>
      </w:pPr>
      <w:r>
        <w:rPr>
          <w:rFonts w:hint="eastAsia" w:ascii="宋体"/>
          <w:color w:val="auto"/>
          <w:sz w:val="24"/>
          <w:highlight w:val="none"/>
          <w:lang w:val="zh-CN"/>
        </w:rPr>
        <w:t>4.招标文件。</w:t>
      </w:r>
    </w:p>
    <w:p>
      <w:pPr>
        <w:spacing w:line="360" w:lineRule="auto"/>
        <w:ind w:firstLine="480" w:firstLineChars="200"/>
        <w:rPr>
          <w:rFonts w:ascii="宋体"/>
          <w:color w:val="auto"/>
          <w:sz w:val="24"/>
          <w:highlight w:val="none"/>
          <w:lang w:val="zh-CN"/>
        </w:rPr>
      </w:pPr>
      <w:r>
        <w:rPr>
          <w:rFonts w:hint="eastAsia" w:ascii="宋体"/>
          <w:color w:val="auto"/>
          <w:sz w:val="24"/>
          <w:highlight w:val="none"/>
          <w:lang w:val="zh-CN"/>
        </w:rPr>
        <w:t>5.中标供应商投标文件。</w:t>
      </w:r>
    </w:p>
    <w:p>
      <w:pPr>
        <w:spacing w:line="360" w:lineRule="auto"/>
        <w:ind w:firstLine="480" w:firstLineChars="200"/>
        <w:rPr>
          <w:rFonts w:ascii="宋体"/>
          <w:color w:val="auto"/>
          <w:sz w:val="24"/>
          <w:highlight w:val="none"/>
          <w:lang w:val="zh-CN"/>
        </w:rPr>
      </w:pPr>
      <w:r>
        <w:rPr>
          <w:rFonts w:hint="eastAsia" w:ascii="宋体"/>
          <w:color w:val="auto"/>
          <w:sz w:val="24"/>
          <w:highlight w:val="none"/>
          <w:lang w:val="zh-CN"/>
        </w:rPr>
        <w:t>6.其他。</w:t>
      </w:r>
    </w:p>
    <w:p>
      <w:pPr>
        <w:pStyle w:val="12"/>
        <w:snapToGrid w:val="0"/>
        <w:spacing w:line="360" w:lineRule="auto"/>
        <w:ind w:firstLine="480" w:firstLineChars="200"/>
        <w:rPr>
          <w:rFonts w:hAnsi="Times New Roman"/>
          <w:color w:val="auto"/>
          <w:sz w:val="24"/>
          <w:highlight w:val="none"/>
          <w:lang w:val="zh-CN"/>
        </w:rPr>
      </w:pPr>
      <w:r>
        <w:rPr>
          <w:rFonts w:hint="eastAsia"/>
          <w:color w:val="auto"/>
          <w:sz w:val="24"/>
          <w:highlight w:val="none"/>
          <w:lang w:val="zh-CN"/>
        </w:rPr>
        <w:t>上述所指合同文件应认为是互相补充和解释的，但是有模棱两可或互相矛盾之处，以其所列内容顺序为准。</w:t>
      </w:r>
    </w:p>
    <w:p>
      <w:pPr>
        <w:pStyle w:val="12"/>
        <w:numPr>
          <w:ilvl w:val="0"/>
          <w:numId w:val="13"/>
        </w:numPr>
        <w:snapToGrid w:val="0"/>
        <w:spacing w:before="120" w:after="120" w:line="360" w:lineRule="auto"/>
        <w:ind w:left="539"/>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货物内容</w:t>
      </w:r>
    </w:p>
    <w:p>
      <w:pPr>
        <w:pStyle w:val="3"/>
        <w:rPr>
          <w:rFonts w:hint="eastAsia" w:eastAsiaTheme="minorEastAsia"/>
          <w:color w:val="auto"/>
          <w:highlight w:val="none"/>
          <w:lang w:val="en-US" w:eastAsia="zh-CN"/>
        </w:rPr>
      </w:pPr>
      <w:r>
        <w:rPr>
          <w:rFonts w:hint="eastAsia" w:asciiTheme="minorEastAsia" w:hAnsiTheme="minorEastAsia" w:eastAsiaTheme="minorEastAsia"/>
          <w:color w:val="auto"/>
          <w:sz w:val="24"/>
          <w:highlight w:val="none"/>
        </w:rPr>
        <w:t>材料数量均为预估工作量，履约时以实际发生工作量结算，结算金额不超过本项目预算</w:t>
      </w:r>
      <w:r>
        <w:rPr>
          <w:rFonts w:hint="eastAsia" w:asciiTheme="minorEastAsia" w:hAnsiTheme="minorEastAsia" w:eastAsiaTheme="minorEastAsia"/>
          <w:color w:val="auto"/>
          <w:sz w:val="24"/>
          <w:highlight w:val="none"/>
          <w:lang w:eastAsia="zh-CN"/>
        </w:rPr>
        <w:t>（</w:t>
      </w:r>
      <w:r>
        <w:rPr>
          <w:rFonts w:hint="eastAsia" w:asciiTheme="minorEastAsia" w:hAnsiTheme="minorEastAsia" w:eastAsiaTheme="minorEastAsia"/>
          <w:color w:val="auto"/>
          <w:sz w:val="24"/>
          <w:highlight w:val="none"/>
          <w:lang w:val="en-US" w:eastAsia="zh-CN"/>
        </w:rPr>
        <w:t>600万元</w:t>
      </w:r>
      <w:r>
        <w:rPr>
          <w:rFonts w:hint="eastAsia" w:asciiTheme="minorEastAsia" w:hAnsiTheme="minorEastAsia" w:eastAsiaTheme="minorEastAsia"/>
          <w:color w:val="auto"/>
          <w:sz w:val="24"/>
          <w:highlight w:val="none"/>
          <w:lang w:eastAsia="zh-CN"/>
        </w:rPr>
        <w:t>）</w:t>
      </w:r>
    </w:p>
    <w:tbl>
      <w:tblPr>
        <w:tblStyle w:val="19"/>
        <w:tblpPr w:leftFromText="180" w:rightFromText="180" w:vertAnchor="text" w:horzAnchor="page" w:tblpXSpec="center" w:tblpY="549"/>
        <w:tblOverlap w:val="never"/>
        <w:tblW w:w="9755" w:type="dxa"/>
        <w:jc w:val="center"/>
        <w:tblLayout w:type="fixed"/>
        <w:tblCellMar>
          <w:top w:w="0" w:type="dxa"/>
          <w:left w:w="0" w:type="dxa"/>
          <w:bottom w:w="0" w:type="dxa"/>
          <w:right w:w="0" w:type="dxa"/>
        </w:tblCellMar>
      </w:tblPr>
      <w:tblGrid>
        <w:gridCol w:w="738"/>
        <w:gridCol w:w="1467"/>
        <w:gridCol w:w="1642"/>
        <w:gridCol w:w="658"/>
        <w:gridCol w:w="1090"/>
        <w:gridCol w:w="1090"/>
        <w:gridCol w:w="1091"/>
        <w:gridCol w:w="1979"/>
      </w:tblGrid>
      <w:tr>
        <w:tblPrEx>
          <w:tblCellMar>
            <w:top w:w="0" w:type="dxa"/>
            <w:left w:w="0" w:type="dxa"/>
            <w:bottom w:w="0" w:type="dxa"/>
            <w:right w:w="0" w:type="dxa"/>
          </w:tblCellMar>
        </w:tblPrEx>
        <w:trPr>
          <w:trHeight w:val="605" w:hRule="atLeast"/>
          <w:jc w:val="center"/>
        </w:trPr>
        <w:tc>
          <w:tcPr>
            <w:tcW w:w="975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color w:val="auto"/>
                <w:szCs w:val="21"/>
                <w:highlight w:val="none"/>
              </w:rPr>
            </w:pPr>
            <w:r>
              <w:rPr>
                <w:rFonts w:hint="eastAsia" w:ascii="宋体" w:hAnsi="宋体" w:cs="宋体"/>
                <w:b/>
                <w:color w:val="auto"/>
                <w:kern w:val="0"/>
                <w:szCs w:val="21"/>
                <w:highlight w:val="none"/>
                <w:lang w:bidi="ar"/>
              </w:rPr>
              <w:t>一、标线类</w:t>
            </w:r>
          </w:p>
        </w:tc>
      </w:tr>
      <w:tr>
        <w:tblPrEx>
          <w:tblCellMar>
            <w:top w:w="0" w:type="dxa"/>
            <w:left w:w="0" w:type="dxa"/>
            <w:bottom w:w="0" w:type="dxa"/>
            <w:right w:w="0" w:type="dxa"/>
          </w:tblCellMar>
        </w:tblPrEx>
        <w:trPr>
          <w:trHeight w:val="341"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cs="宋体"/>
                <w:color w:val="auto"/>
                <w:kern w:val="0"/>
                <w:szCs w:val="21"/>
                <w:highlight w:val="none"/>
                <w:lang w:bidi="ar"/>
              </w:rPr>
              <w:t>编号</w:t>
            </w:r>
          </w:p>
        </w:tc>
        <w:tc>
          <w:tcPr>
            <w:tcW w:w="1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kern w:val="2"/>
                <w:sz w:val="21"/>
                <w:szCs w:val="21"/>
                <w:highlight w:val="none"/>
                <w:lang w:val="en-US" w:eastAsia="zh-CN" w:bidi="ar-SA"/>
              </w:rPr>
            </w:pPr>
            <w:r>
              <w:rPr>
                <w:rFonts w:hint="eastAsia" w:ascii="宋体" w:hAnsi="宋体" w:cs="宋体"/>
                <w:b/>
                <w:color w:val="auto"/>
                <w:kern w:val="0"/>
                <w:szCs w:val="21"/>
                <w:highlight w:val="none"/>
                <w:lang w:bidi="ar"/>
              </w:rPr>
              <w:t>内容/材料</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kern w:val="2"/>
                <w:sz w:val="21"/>
                <w:szCs w:val="21"/>
                <w:highlight w:val="none"/>
                <w:lang w:val="en-US" w:eastAsia="zh-CN" w:bidi="ar-SA"/>
              </w:rPr>
            </w:pPr>
            <w:r>
              <w:rPr>
                <w:rFonts w:hint="eastAsia" w:ascii="宋体" w:hAnsi="宋体" w:cs="宋体"/>
                <w:b/>
                <w:color w:val="auto"/>
                <w:kern w:val="0"/>
                <w:szCs w:val="21"/>
                <w:highlight w:val="none"/>
                <w:lang w:bidi="ar"/>
              </w:rPr>
              <w:t>规格</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kern w:val="2"/>
                <w:sz w:val="21"/>
                <w:szCs w:val="21"/>
                <w:highlight w:val="none"/>
                <w:lang w:val="en-US" w:eastAsia="zh-CN" w:bidi="ar-SA"/>
              </w:rPr>
            </w:pPr>
            <w:r>
              <w:rPr>
                <w:rFonts w:hint="eastAsia" w:ascii="宋体" w:hAnsi="宋体" w:cs="宋体"/>
                <w:b/>
                <w:color w:val="auto"/>
                <w:kern w:val="0"/>
                <w:szCs w:val="21"/>
                <w:highlight w:val="none"/>
                <w:lang w:bidi="ar"/>
              </w:rPr>
              <w:t>单位</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kern w:val="2"/>
                <w:sz w:val="21"/>
                <w:szCs w:val="21"/>
                <w:highlight w:val="none"/>
                <w:lang w:val="en-US" w:eastAsia="zh-CN" w:bidi="ar-SA"/>
              </w:rPr>
            </w:pPr>
            <w:r>
              <w:rPr>
                <w:rFonts w:hint="eastAsia" w:ascii="宋体" w:hAnsi="宋体" w:cs="宋体"/>
                <w:b/>
                <w:color w:val="auto"/>
                <w:kern w:val="0"/>
                <w:szCs w:val="21"/>
                <w:highlight w:val="none"/>
                <w:lang w:bidi="ar"/>
              </w:rPr>
              <w:t>数量（预估）</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kern w:val="2"/>
                <w:sz w:val="21"/>
                <w:szCs w:val="21"/>
                <w:highlight w:val="none"/>
                <w:lang w:val="en-US" w:eastAsia="zh-CN" w:bidi="ar-SA"/>
              </w:rPr>
            </w:pPr>
            <w:r>
              <w:rPr>
                <w:rFonts w:ascii="宋体" w:hAnsi="宋体" w:cs="宋体"/>
                <w:b/>
                <w:color w:val="auto"/>
                <w:kern w:val="0"/>
                <w:szCs w:val="21"/>
                <w:highlight w:val="none"/>
                <w:lang w:bidi="ar"/>
              </w:rPr>
              <w:t>上限</w:t>
            </w:r>
            <w:r>
              <w:rPr>
                <w:rFonts w:hint="eastAsia" w:ascii="宋体" w:hAnsi="宋体" w:cs="宋体"/>
                <w:b/>
                <w:color w:val="auto"/>
                <w:kern w:val="0"/>
                <w:szCs w:val="21"/>
                <w:highlight w:val="none"/>
                <w:lang w:bidi="ar"/>
              </w:rPr>
              <w:t>单价（元）</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kern w:val="2"/>
                <w:sz w:val="21"/>
                <w:szCs w:val="21"/>
                <w:highlight w:val="none"/>
                <w:lang w:val="en-US" w:eastAsia="zh-CN" w:bidi="ar-SA"/>
              </w:rPr>
            </w:pPr>
            <w:r>
              <w:rPr>
                <w:rFonts w:hint="eastAsia" w:ascii="宋体" w:hAnsi="宋体" w:cs="宋体"/>
                <w:b/>
                <w:color w:val="auto"/>
                <w:kern w:val="0"/>
                <w:szCs w:val="21"/>
                <w:highlight w:val="none"/>
                <w:lang w:bidi="ar"/>
              </w:rPr>
              <w:t>小计（元）</w:t>
            </w: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b/>
                <w:color w:val="auto"/>
                <w:kern w:val="2"/>
                <w:sz w:val="21"/>
                <w:szCs w:val="21"/>
                <w:highlight w:val="none"/>
                <w:lang w:val="en-US" w:eastAsia="zh-CN" w:bidi="ar-SA"/>
              </w:rPr>
            </w:pPr>
            <w:r>
              <w:rPr>
                <w:rFonts w:hint="eastAsia" w:ascii="宋体" w:hAnsi="宋体" w:cs="宋体"/>
                <w:b/>
                <w:color w:val="auto"/>
                <w:kern w:val="0"/>
                <w:szCs w:val="21"/>
                <w:highlight w:val="none"/>
                <w:lang w:bidi="ar"/>
              </w:rPr>
              <w:t>备注</w:t>
            </w:r>
          </w:p>
        </w:tc>
      </w:tr>
      <w:tr>
        <w:tblPrEx>
          <w:tblCellMar>
            <w:top w:w="0" w:type="dxa"/>
            <w:left w:w="0" w:type="dxa"/>
            <w:bottom w:w="0" w:type="dxa"/>
            <w:right w:w="0" w:type="dxa"/>
          </w:tblCellMar>
        </w:tblPrEx>
        <w:trPr>
          <w:trHeight w:val="341"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w:t>
            </w:r>
          </w:p>
        </w:tc>
        <w:tc>
          <w:tcPr>
            <w:tcW w:w="1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普通热熔标线</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cs="宋体"/>
                <w:color w:val="auto"/>
                <w:sz w:val="20"/>
                <w:highlight w:val="none"/>
              </w:rPr>
              <w:t>热熔反光型标线 厚度</w:t>
            </w:r>
            <w:r>
              <w:rPr>
                <w:rFonts w:hint="eastAsia" w:ascii="宋体" w:hAnsi="宋体" w:cs="宋体"/>
                <w:color w:val="auto"/>
                <w:sz w:val="20"/>
                <w:highlight w:val="none"/>
                <w:lang w:val="en-US" w:eastAsia="zh-CN"/>
              </w:rPr>
              <w:t>1.8</w:t>
            </w:r>
            <w:r>
              <w:rPr>
                <w:rFonts w:hint="eastAsia" w:ascii="宋体" w:hAnsi="宋体" w:cs="宋体"/>
                <w:color w:val="auto"/>
                <w:sz w:val="20"/>
                <w:highlight w:val="none"/>
              </w:rPr>
              <w:t>mm以上，均匀撒布反光珠</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m</w:t>
            </w:r>
            <w:r>
              <w:rPr>
                <w:rStyle w:val="25"/>
                <w:color w:val="auto"/>
                <w:highlight w:val="none"/>
                <w:lang w:val="en-US" w:eastAsia="zh-CN" w:bidi="ar"/>
              </w:rPr>
              <w:t>2</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highlight w:val="none"/>
                <w:lang w:val="en-US" w:eastAsia="zh-CN" w:bidi="ar-SA"/>
              </w:rPr>
            </w:pPr>
            <w:r>
              <w:rPr>
                <w:rFonts w:hint="eastAsia" w:ascii="宋体" w:hAnsi="宋体" w:cs="宋体"/>
                <w:i w:val="0"/>
                <w:iCs w:val="0"/>
                <w:color w:val="auto"/>
                <w:kern w:val="0"/>
                <w:sz w:val="21"/>
                <w:szCs w:val="21"/>
                <w:highlight w:val="none"/>
                <w:u w:val="none"/>
                <w:lang w:val="en-US" w:eastAsia="zh-CN" w:bidi="ar"/>
              </w:rPr>
              <w:t>64000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highlight w:val="none"/>
                <w:lang w:val="en-US" w:eastAsia="zh-CN" w:bidi="ar-SA"/>
              </w:rPr>
            </w:pPr>
            <w:r>
              <w:rPr>
                <w:rFonts w:hint="eastAsia" w:ascii="宋体" w:hAnsi="宋体" w:cs="宋体"/>
                <w:i w:val="0"/>
                <w:iCs w:val="0"/>
                <w:color w:val="auto"/>
                <w:kern w:val="0"/>
                <w:sz w:val="21"/>
                <w:szCs w:val="21"/>
                <w:highlight w:val="none"/>
                <w:u w:val="none"/>
                <w:lang w:val="en-US" w:eastAsia="zh-CN" w:bidi="ar"/>
              </w:rPr>
              <w:t>45</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highlight w:val="none"/>
                <w:lang w:val="en-US" w:eastAsia="zh-CN" w:bidi="ar-SA"/>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r>
              <w:rPr>
                <w:rFonts w:hint="eastAsia" w:ascii="宋体" w:hAnsi="宋体" w:cs="宋体"/>
                <w:color w:val="auto"/>
                <w:kern w:val="0"/>
                <w:szCs w:val="21"/>
                <w:highlight w:val="none"/>
                <w:lang w:bidi="ar"/>
              </w:rPr>
              <w:t>详见技术参数，含部分的彩色标线</w:t>
            </w:r>
          </w:p>
        </w:tc>
      </w:tr>
      <w:tr>
        <w:tblPrEx>
          <w:tblCellMar>
            <w:top w:w="0" w:type="dxa"/>
            <w:left w:w="0" w:type="dxa"/>
            <w:bottom w:w="0" w:type="dxa"/>
            <w:right w:w="0" w:type="dxa"/>
          </w:tblCellMar>
        </w:tblPrEx>
        <w:trPr>
          <w:trHeight w:val="341"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w:t>
            </w:r>
          </w:p>
        </w:tc>
        <w:tc>
          <w:tcPr>
            <w:tcW w:w="1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普通热熔振荡标线</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热熔型厚度≥</w:t>
            </w:r>
            <w:r>
              <w:rPr>
                <w:rStyle w:val="26"/>
                <w:rFonts w:eastAsia="宋体"/>
                <w:color w:val="auto"/>
                <w:highlight w:val="none"/>
                <w:lang w:val="en-US" w:eastAsia="zh-CN" w:bidi="ar"/>
              </w:rPr>
              <w:t>6mm,</w:t>
            </w:r>
            <w:r>
              <w:rPr>
                <w:rStyle w:val="27"/>
                <w:color w:val="auto"/>
                <w:highlight w:val="none"/>
                <w:lang w:val="en-US" w:eastAsia="zh-CN" w:bidi="ar"/>
              </w:rPr>
              <w:t>长划</w:t>
            </w:r>
            <w:r>
              <w:rPr>
                <w:rStyle w:val="26"/>
                <w:rFonts w:eastAsia="宋体"/>
                <w:color w:val="auto"/>
                <w:highlight w:val="none"/>
                <w:lang w:val="en-US" w:eastAsia="zh-CN" w:bidi="ar"/>
              </w:rPr>
              <w:t>70mm</w:t>
            </w:r>
            <w:r>
              <w:rPr>
                <w:rStyle w:val="27"/>
                <w:color w:val="auto"/>
                <w:highlight w:val="none"/>
                <w:lang w:val="en-US" w:eastAsia="zh-CN" w:bidi="ar"/>
              </w:rPr>
              <w:t>空</w:t>
            </w:r>
            <w:r>
              <w:rPr>
                <w:rStyle w:val="26"/>
                <w:rFonts w:eastAsia="宋体"/>
                <w:color w:val="auto"/>
                <w:highlight w:val="none"/>
                <w:lang w:val="en-US" w:eastAsia="zh-CN" w:bidi="ar"/>
              </w:rPr>
              <w:t>110mm,</w:t>
            </w:r>
            <w:r>
              <w:rPr>
                <w:rStyle w:val="27"/>
                <w:color w:val="auto"/>
                <w:highlight w:val="none"/>
                <w:lang w:val="en-US" w:eastAsia="zh-CN" w:bidi="ar"/>
              </w:rPr>
              <w:t>宽</w:t>
            </w:r>
            <w:r>
              <w:rPr>
                <w:rStyle w:val="26"/>
                <w:rFonts w:eastAsia="宋体"/>
                <w:color w:val="auto"/>
                <w:highlight w:val="none"/>
                <w:lang w:val="en-US" w:eastAsia="zh-CN" w:bidi="ar"/>
              </w:rPr>
              <w:t>150mm</w:t>
            </w:r>
            <w:r>
              <w:rPr>
                <w:rStyle w:val="27"/>
                <w:color w:val="auto"/>
                <w:highlight w:val="none"/>
                <w:lang w:val="en-US" w:eastAsia="zh-CN" w:bidi="ar"/>
              </w:rPr>
              <w:t>线划</w:t>
            </w:r>
            <w:r>
              <w:rPr>
                <w:rStyle w:val="26"/>
                <w:rFonts w:eastAsia="宋体"/>
                <w:color w:val="auto"/>
                <w:highlight w:val="none"/>
                <w:lang w:val="en-US" w:eastAsia="zh-CN" w:bidi="ar"/>
              </w:rPr>
              <w:t>3</w:t>
            </w:r>
            <w:r>
              <w:rPr>
                <w:rStyle w:val="27"/>
                <w:color w:val="auto"/>
                <w:highlight w:val="none"/>
                <w:lang w:val="en-US" w:eastAsia="zh-CN" w:bidi="ar"/>
              </w:rPr>
              <w:t>颗</w:t>
            </w:r>
            <w:r>
              <w:rPr>
                <w:rStyle w:val="26"/>
                <w:rFonts w:eastAsia="宋体"/>
                <w:color w:val="auto"/>
                <w:highlight w:val="none"/>
                <w:lang w:val="en-US" w:eastAsia="zh-CN" w:bidi="ar"/>
              </w:rPr>
              <w:t>;</w:t>
            </w:r>
            <w:r>
              <w:rPr>
                <w:rStyle w:val="27"/>
                <w:color w:val="auto"/>
                <w:highlight w:val="none"/>
                <w:lang w:val="en-US" w:eastAsia="zh-CN" w:bidi="ar"/>
              </w:rPr>
              <w:t>宽</w:t>
            </w:r>
            <w:r>
              <w:rPr>
                <w:rStyle w:val="26"/>
                <w:rFonts w:eastAsia="宋体"/>
                <w:color w:val="auto"/>
                <w:highlight w:val="none"/>
                <w:lang w:val="en-US" w:eastAsia="zh-CN" w:bidi="ar"/>
              </w:rPr>
              <w:t>200mm</w:t>
            </w:r>
            <w:r>
              <w:rPr>
                <w:rStyle w:val="27"/>
                <w:color w:val="auto"/>
                <w:highlight w:val="none"/>
                <w:lang w:val="en-US" w:eastAsia="zh-CN" w:bidi="ar"/>
              </w:rPr>
              <w:t>线划</w:t>
            </w:r>
            <w:r>
              <w:rPr>
                <w:rStyle w:val="26"/>
                <w:rFonts w:eastAsia="宋体"/>
                <w:color w:val="auto"/>
                <w:highlight w:val="none"/>
                <w:lang w:val="en-US" w:eastAsia="zh-CN" w:bidi="ar"/>
              </w:rPr>
              <w:t>4</w:t>
            </w:r>
            <w:r>
              <w:rPr>
                <w:rStyle w:val="27"/>
                <w:color w:val="auto"/>
                <w:highlight w:val="none"/>
                <w:lang w:val="en-US" w:eastAsia="zh-CN" w:bidi="ar"/>
              </w:rPr>
              <w:t>颗。其中纵向减速震荡标线按照每个</w:t>
            </w:r>
            <w:r>
              <w:rPr>
                <w:rStyle w:val="26"/>
                <w:rFonts w:eastAsia="宋体"/>
                <w:color w:val="auto"/>
                <w:highlight w:val="none"/>
                <w:lang w:val="en-US" w:eastAsia="zh-CN" w:bidi="ar"/>
              </w:rPr>
              <w:t>0.3</w:t>
            </w:r>
            <w:r>
              <w:rPr>
                <w:rStyle w:val="27"/>
                <w:color w:val="auto"/>
                <w:highlight w:val="none"/>
                <w:lang w:val="en-US" w:eastAsia="zh-CN" w:bidi="ar"/>
              </w:rPr>
              <w:t>平方米计算（包含尾部变小部分）</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m</w:t>
            </w:r>
            <w:r>
              <w:rPr>
                <w:rStyle w:val="25"/>
                <w:color w:val="auto"/>
                <w:highlight w:val="none"/>
                <w:lang w:val="en-US" w:eastAsia="zh-CN" w:bidi="ar"/>
              </w:rPr>
              <w:t>2</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highlight w:val="none"/>
                <w:lang w:val="en-US" w:eastAsia="zh-CN" w:bidi="ar-SA"/>
              </w:rPr>
            </w:pPr>
            <w:r>
              <w:rPr>
                <w:rFonts w:hint="eastAsia" w:ascii="宋体" w:hAnsi="宋体" w:cs="宋体"/>
                <w:i w:val="0"/>
                <w:iCs w:val="0"/>
                <w:color w:val="auto"/>
                <w:kern w:val="0"/>
                <w:sz w:val="21"/>
                <w:szCs w:val="21"/>
                <w:highlight w:val="none"/>
                <w:u w:val="none"/>
                <w:lang w:val="en-US" w:eastAsia="zh-CN" w:bidi="ar"/>
              </w:rPr>
              <w:t>6770</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highlight w:val="none"/>
                <w:lang w:val="en-US" w:eastAsia="zh-CN" w:bidi="ar-SA"/>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kern w:val="0"/>
                <w:szCs w:val="21"/>
                <w:highlight w:val="none"/>
                <w:lang w:val="en-US" w:eastAsia="zh-CN" w:bidi="ar"/>
              </w:rPr>
              <w:t xml:space="preserve"> </w:t>
            </w:r>
            <w:r>
              <w:rPr>
                <w:rFonts w:hint="eastAsia" w:ascii="宋体" w:hAnsi="宋体" w:cs="宋体"/>
                <w:color w:val="auto"/>
                <w:kern w:val="0"/>
                <w:szCs w:val="21"/>
                <w:highlight w:val="none"/>
                <w:lang w:bidi="ar"/>
              </w:rPr>
              <w:t>其中纵向减速震荡标线按照每个0.3平方米计算（包含尾部变小部分）</w:t>
            </w:r>
          </w:p>
        </w:tc>
      </w:tr>
      <w:tr>
        <w:tblPrEx>
          <w:tblCellMar>
            <w:top w:w="0" w:type="dxa"/>
            <w:left w:w="0" w:type="dxa"/>
            <w:bottom w:w="0" w:type="dxa"/>
            <w:right w:w="0" w:type="dxa"/>
          </w:tblCellMar>
        </w:tblPrEx>
        <w:trPr>
          <w:trHeight w:val="341"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3</w:t>
            </w:r>
          </w:p>
        </w:tc>
        <w:tc>
          <w:tcPr>
            <w:tcW w:w="1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彩色防滑路面标线</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厚度≥3.0mm，含地面、夯平、图形制作、底胶浸倒、陶珠散布、余珠清除。</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m</w:t>
            </w:r>
            <w:r>
              <w:rPr>
                <w:rStyle w:val="25"/>
                <w:color w:val="auto"/>
                <w:highlight w:val="none"/>
                <w:lang w:val="en-US" w:eastAsia="zh-CN" w:bidi="ar"/>
              </w:rPr>
              <w:t>2</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200</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200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highlight w:val="none"/>
                <w:lang w:val="en-US" w:eastAsia="zh-CN" w:bidi="ar-SA"/>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p>
        </w:tc>
      </w:tr>
      <w:tr>
        <w:tblPrEx>
          <w:tblCellMar>
            <w:top w:w="0" w:type="dxa"/>
            <w:left w:w="0" w:type="dxa"/>
            <w:bottom w:w="0" w:type="dxa"/>
            <w:right w:w="0" w:type="dxa"/>
          </w:tblCellMar>
        </w:tblPrEx>
        <w:trPr>
          <w:trHeight w:val="341"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4</w:t>
            </w:r>
          </w:p>
        </w:tc>
        <w:tc>
          <w:tcPr>
            <w:tcW w:w="1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双组份反光型标线（喷涂）</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详见技术参数</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m</w:t>
            </w:r>
            <w:r>
              <w:rPr>
                <w:rStyle w:val="25"/>
                <w:color w:val="auto"/>
                <w:highlight w:val="none"/>
                <w:lang w:val="en-US" w:eastAsia="zh-CN" w:bidi="ar"/>
              </w:rPr>
              <w:t>2</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2000</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80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highlight w:val="none"/>
                <w:lang w:val="en-US" w:eastAsia="zh-CN" w:bidi="ar-SA"/>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p>
        </w:tc>
      </w:tr>
      <w:tr>
        <w:tblPrEx>
          <w:tblCellMar>
            <w:top w:w="0" w:type="dxa"/>
            <w:left w:w="0" w:type="dxa"/>
            <w:bottom w:w="0" w:type="dxa"/>
            <w:right w:w="0" w:type="dxa"/>
          </w:tblCellMar>
        </w:tblPrEx>
        <w:trPr>
          <w:trHeight w:val="833"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w:t>
            </w:r>
          </w:p>
        </w:tc>
        <w:tc>
          <w:tcPr>
            <w:tcW w:w="1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双组份突起型反光标线（甩涂）</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详见技术参数</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m</w:t>
            </w:r>
            <w:r>
              <w:rPr>
                <w:rStyle w:val="25"/>
                <w:color w:val="auto"/>
                <w:highlight w:val="none"/>
                <w:lang w:val="en-US" w:eastAsia="zh-CN" w:bidi="ar"/>
              </w:rPr>
              <w:t>2</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highlight w:val="none"/>
                <w:lang w:val="en-US" w:eastAsia="zh-CN" w:bidi="ar-SA"/>
              </w:rPr>
            </w:pPr>
            <w:r>
              <w:rPr>
                <w:rFonts w:hint="eastAsia" w:ascii="宋体" w:hAnsi="宋体" w:cs="宋体"/>
                <w:i w:val="0"/>
                <w:iCs w:val="0"/>
                <w:color w:val="auto"/>
                <w:kern w:val="0"/>
                <w:sz w:val="21"/>
                <w:szCs w:val="21"/>
                <w:highlight w:val="none"/>
                <w:u w:val="none"/>
                <w:lang w:val="en-US" w:eastAsia="zh-CN" w:bidi="ar"/>
              </w:rPr>
              <w:t>10300</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120</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highlight w:val="none"/>
                <w:lang w:val="en-US" w:eastAsia="zh-CN" w:bidi="ar-SA"/>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p>
        </w:tc>
      </w:tr>
      <w:tr>
        <w:tblPrEx>
          <w:tblCellMar>
            <w:top w:w="0" w:type="dxa"/>
            <w:left w:w="0" w:type="dxa"/>
            <w:bottom w:w="0" w:type="dxa"/>
            <w:right w:w="0" w:type="dxa"/>
          </w:tblCellMar>
        </w:tblPrEx>
        <w:trPr>
          <w:trHeight w:val="341"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6</w:t>
            </w:r>
          </w:p>
        </w:tc>
        <w:tc>
          <w:tcPr>
            <w:tcW w:w="1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热熔雨夜标线</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详见技术参数</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m</w:t>
            </w:r>
            <w:r>
              <w:rPr>
                <w:rStyle w:val="25"/>
                <w:color w:val="auto"/>
                <w:highlight w:val="none"/>
                <w:lang w:val="en-US" w:eastAsia="zh-CN" w:bidi="ar"/>
              </w:rPr>
              <w:t>2</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500</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178</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highlight w:val="none"/>
                <w:lang w:val="en-US" w:eastAsia="zh-CN" w:bidi="ar-SA"/>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p>
        </w:tc>
      </w:tr>
      <w:tr>
        <w:tblPrEx>
          <w:tblCellMar>
            <w:top w:w="0" w:type="dxa"/>
            <w:left w:w="0" w:type="dxa"/>
            <w:bottom w:w="0" w:type="dxa"/>
            <w:right w:w="0" w:type="dxa"/>
          </w:tblCellMar>
        </w:tblPrEx>
        <w:trPr>
          <w:trHeight w:val="315"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7</w:t>
            </w:r>
          </w:p>
        </w:tc>
        <w:tc>
          <w:tcPr>
            <w:tcW w:w="14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高压水除线</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0"/>
                <w:sz w:val="21"/>
                <w:szCs w:val="21"/>
                <w:highlight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超高压水磨清洗法，清除老标线，无明显痕迹</w:t>
            </w:r>
          </w:p>
        </w:tc>
        <w:tc>
          <w:tcPr>
            <w:tcW w:w="6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m</w:t>
            </w:r>
            <w:r>
              <w:rPr>
                <w:rStyle w:val="25"/>
                <w:color w:val="auto"/>
                <w:highlight w:val="none"/>
                <w:lang w:val="en-US" w:eastAsia="zh-CN" w:bidi="ar"/>
              </w:rPr>
              <w:t>2</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highlight w:val="none"/>
                <w:lang w:val="en-US" w:eastAsia="zh-CN" w:bidi="ar-SA"/>
              </w:rPr>
            </w:pPr>
            <w:r>
              <w:rPr>
                <w:rFonts w:hint="eastAsia" w:ascii="宋体" w:hAnsi="宋体" w:cs="宋体"/>
                <w:i w:val="0"/>
                <w:iCs w:val="0"/>
                <w:color w:val="auto"/>
                <w:kern w:val="0"/>
                <w:sz w:val="21"/>
                <w:szCs w:val="21"/>
                <w:highlight w:val="none"/>
                <w:u w:val="none"/>
                <w:lang w:val="en-US" w:eastAsia="zh-CN" w:bidi="ar"/>
              </w:rPr>
              <w:t>20400</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i w:val="0"/>
                <w:iCs w:val="0"/>
                <w:color w:val="auto"/>
                <w:kern w:val="0"/>
                <w:sz w:val="21"/>
                <w:szCs w:val="21"/>
                <w:highlight w:val="none"/>
                <w:u w:val="none"/>
                <w:lang w:val="en-US" w:eastAsia="zh-CN" w:bidi="ar"/>
              </w:rPr>
              <w:t>45</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color w:val="auto"/>
                <w:kern w:val="2"/>
                <w:sz w:val="21"/>
                <w:szCs w:val="21"/>
                <w:highlight w:val="none"/>
                <w:lang w:val="en-US" w:eastAsia="zh-CN" w:bidi="ar-SA"/>
              </w:rPr>
            </w:pPr>
          </w:p>
        </w:tc>
        <w:tc>
          <w:tcPr>
            <w:tcW w:w="19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auto"/>
                <w:kern w:val="2"/>
                <w:sz w:val="21"/>
                <w:szCs w:val="21"/>
                <w:highlight w:val="none"/>
                <w:lang w:val="en-US" w:eastAsia="zh-CN" w:bidi="ar-SA"/>
              </w:rPr>
            </w:pPr>
          </w:p>
        </w:tc>
      </w:tr>
      <w:tr>
        <w:tblPrEx>
          <w:tblCellMar>
            <w:top w:w="0" w:type="dxa"/>
            <w:left w:w="0" w:type="dxa"/>
            <w:bottom w:w="0" w:type="dxa"/>
            <w:right w:w="0" w:type="dxa"/>
          </w:tblCellMar>
        </w:tblPrEx>
        <w:trPr>
          <w:trHeight w:val="865" w:hRule="atLeast"/>
          <w:jc w:val="center"/>
        </w:trPr>
        <w:tc>
          <w:tcPr>
            <w:tcW w:w="9755" w:type="dxa"/>
            <w:gridSpan w:val="8"/>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Cs w:val="21"/>
                <w:highlight w:val="none"/>
              </w:rPr>
            </w:pPr>
            <w:r>
              <w:rPr>
                <w:rFonts w:hint="eastAsia" w:ascii="宋体" w:hAnsi="宋体" w:cs="宋体"/>
                <w:b/>
                <w:bCs/>
                <w:color w:val="auto"/>
                <w:szCs w:val="21"/>
                <w:highlight w:val="none"/>
              </w:rPr>
              <w:t>共计（大写）</w:t>
            </w:r>
            <w:r>
              <w:rPr>
                <w:rFonts w:hint="eastAsia" w:ascii="宋体" w:hAnsi="宋体" w:cs="宋体"/>
                <w:b/>
                <w:bCs/>
                <w:color w:val="auto"/>
                <w:szCs w:val="21"/>
                <w:highlight w:val="none"/>
                <w:lang w:val="en-US" w:eastAsia="zh-CN"/>
              </w:rPr>
              <w:t xml:space="preserve"> </w:t>
            </w:r>
            <w:r>
              <w:rPr>
                <w:rFonts w:hint="eastAsia" w:ascii="宋体" w:hAnsi="宋体" w:cs="宋体"/>
                <w:b/>
                <w:bCs/>
                <w:color w:val="auto"/>
                <w:szCs w:val="21"/>
                <w:highlight w:val="none"/>
                <w:u w:val="single"/>
                <w:lang w:val="en-US" w:eastAsia="zh-CN"/>
              </w:rPr>
              <w:t xml:space="preserve">                 </w:t>
            </w:r>
            <w:r>
              <w:rPr>
                <w:rFonts w:hint="eastAsia" w:ascii="宋体" w:hAnsi="宋体" w:cs="宋体"/>
                <w:b/>
                <w:bCs/>
                <w:color w:val="auto"/>
                <w:szCs w:val="21"/>
                <w:highlight w:val="none"/>
                <w:u w:val="single"/>
              </w:rPr>
              <w:t>（</w:t>
            </w:r>
            <w:r>
              <w:rPr>
                <w:rFonts w:hint="eastAsia" w:ascii="宋体" w:hAnsi="宋体" w:cs="宋体"/>
                <w:b/>
                <w:bCs/>
                <w:color w:val="auto"/>
                <w:szCs w:val="21"/>
                <w:highlight w:val="none"/>
              </w:rPr>
              <w:t>￥</w:t>
            </w:r>
            <w:r>
              <w:rPr>
                <w:rFonts w:hint="eastAsia" w:ascii="宋体" w:hAnsi="宋体" w:cs="宋体"/>
                <w:b/>
                <w:bCs/>
                <w:i w:val="0"/>
                <w:iCs w:val="0"/>
                <w:color w:val="auto"/>
                <w:szCs w:val="21"/>
                <w:highlight w:val="none"/>
                <w:u w:val="single"/>
                <w:lang w:val="en-US" w:eastAsia="zh-CN"/>
              </w:rPr>
              <w:t xml:space="preserve">           </w:t>
            </w:r>
            <w:r>
              <w:rPr>
                <w:rFonts w:hint="eastAsia" w:ascii="宋体" w:hAnsi="宋体" w:cs="宋体"/>
                <w:b/>
                <w:bCs/>
                <w:color w:val="auto"/>
                <w:szCs w:val="21"/>
                <w:highlight w:val="none"/>
              </w:rPr>
              <w:t>元）人民币</w:t>
            </w:r>
          </w:p>
        </w:tc>
      </w:tr>
    </w:tbl>
    <w:p>
      <w:pPr>
        <w:pStyle w:val="12"/>
        <w:snapToGrid w:val="0"/>
        <w:spacing w:before="120" w:after="120"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三</w:t>
      </w:r>
      <w:r>
        <w:rPr>
          <w:rFonts w:asciiTheme="minorEastAsia" w:hAnsiTheme="minorEastAsia" w:eastAsiaTheme="minorEastAsia"/>
          <w:b/>
          <w:color w:val="auto"/>
          <w:sz w:val="24"/>
          <w:highlight w:val="none"/>
        </w:rPr>
        <w:t>、</w:t>
      </w:r>
      <w:r>
        <w:rPr>
          <w:rFonts w:hint="eastAsia" w:asciiTheme="minorEastAsia" w:hAnsiTheme="minorEastAsia" w:eastAsiaTheme="minorEastAsia"/>
          <w:b/>
          <w:color w:val="auto"/>
          <w:sz w:val="24"/>
          <w:highlight w:val="none"/>
        </w:rPr>
        <w:t>本合同金额暂定为</w:t>
      </w:r>
    </w:p>
    <w:p>
      <w:pPr>
        <w:pStyle w:val="12"/>
        <w:snapToGrid w:val="0"/>
        <w:spacing w:before="120" w:after="120" w:line="360" w:lineRule="auto"/>
        <w:ind w:left="410" w:hanging="410" w:hangingChars="171"/>
        <w:rPr>
          <w:rFonts w:hint="default" w:asciiTheme="minorEastAsia" w:hAnsiTheme="minorEastAsia" w:eastAsiaTheme="minorEastAsia"/>
          <w:color w:val="auto"/>
          <w:sz w:val="24"/>
          <w:highlight w:val="none"/>
          <w:lang w:val="en-US" w:eastAsia="zh-CN"/>
        </w:rPr>
      </w:pPr>
      <w:r>
        <w:rPr>
          <w:rFonts w:asciiTheme="minorEastAsia" w:hAnsiTheme="minorEastAsia" w:eastAsiaTheme="minorEastAsia"/>
          <w:color w:val="auto"/>
          <w:sz w:val="24"/>
          <w:highlight w:val="none"/>
        </w:rPr>
        <w:t>本合同</w:t>
      </w:r>
      <w:r>
        <w:rPr>
          <w:rFonts w:hint="eastAsia" w:asciiTheme="minorEastAsia" w:hAnsiTheme="minorEastAsia" w:eastAsiaTheme="minorEastAsia"/>
          <w:color w:val="auto"/>
          <w:sz w:val="24"/>
          <w:highlight w:val="none"/>
          <w:lang w:val="en-US" w:eastAsia="zh-CN"/>
        </w:rPr>
        <w:t>结算率</w:t>
      </w:r>
      <w:r>
        <w:rPr>
          <w:rFonts w:asciiTheme="minorEastAsia" w:hAnsiTheme="minorEastAsia" w:eastAsiaTheme="minorEastAsia"/>
          <w:color w:val="auto"/>
          <w:sz w:val="24"/>
          <w:highlight w:val="none"/>
        </w:rPr>
        <w:t>为</w:t>
      </w:r>
      <w:r>
        <w:rPr>
          <w:rFonts w:hint="eastAsia" w:asciiTheme="minorEastAsia" w:hAnsiTheme="minorEastAsia" w:eastAsiaTheme="minorEastAsia"/>
          <w:color w:val="auto"/>
          <w:sz w:val="24"/>
          <w:highlight w:val="none"/>
          <w:lang w:eastAsia="zh-CN"/>
        </w:rPr>
        <w:t>：</w:t>
      </w:r>
      <w:r>
        <w:rPr>
          <w:rFonts w:asciiTheme="minorEastAsia" w:hAnsiTheme="minorEastAsia" w:eastAsiaTheme="minorEastAsia"/>
          <w:color w:val="auto"/>
          <w:sz w:val="24"/>
          <w:highlight w:val="none"/>
        </w:rPr>
        <w:t>_______________</w:t>
      </w:r>
      <w:r>
        <w:rPr>
          <w:rFonts w:hint="eastAsia" w:asciiTheme="minorEastAsia" w:hAnsiTheme="minorEastAsia" w:eastAsiaTheme="minorEastAsia"/>
          <w:color w:val="auto"/>
          <w:sz w:val="24"/>
          <w:highlight w:val="none"/>
          <w:lang w:val="en-US" w:eastAsia="zh-CN"/>
        </w:rPr>
        <w:t>%</w:t>
      </w:r>
    </w:p>
    <w:p>
      <w:pPr>
        <w:pStyle w:val="12"/>
        <w:snapToGrid w:val="0"/>
        <w:spacing w:before="120" w:after="120" w:line="360" w:lineRule="auto"/>
        <w:ind w:left="410" w:hanging="410" w:hangingChars="171"/>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本合同金额为（大写）：_______________元（￥_______________元）人民币。</w:t>
      </w:r>
    </w:p>
    <w:p>
      <w:pPr>
        <w:pStyle w:val="12"/>
        <w:snapToGrid w:val="0"/>
        <w:spacing w:before="120" w:after="120" w:line="360" w:lineRule="auto"/>
        <w:rPr>
          <w:rFonts w:hint="eastAsia" w:cs="Times New Roman" w:eastAsiaTheme="minorEastAsia"/>
          <w:color w:val="auto"/>
          <w:sz w:val="24"/>
          <w:highlight w:val="none"/>
          <w:lang w:eastAsia="zh-CN"/>
        </w:rPr>
      </w:pPr>
      <w:r>
        <w:rPr>
          <w:rFonts w:hint="eastAsia" w:cs="Times New Roman"/>
          <w:color w:val="auto"/>
          <w:sz w:val="24"/>
          <w:highlight w:val="none"/>
        </w:rPr>
        <w:t>该金额中包括但不限于</w:t>
      </w:r>
      <w:r>
        <w:rPr>
          <w:rFonts w:hint="eastAsia" w:asciiTheme="minorEastAsia" w:hAnsiTheme="minorEastAsia" w:eastAsiaTheme="minorEastAsia"/>
          <w:bCs/>
          <w:color w:val="auto"/>
          <w:kern w:val="0"/>
          <w:sz w:val="24"/>
          <w:highlight w:val="none"/>
        </w:rPr>
        <w:t>本项目采购需求和投入使用的所有费用，包括（但不限于）材料、设备、劳务、人员工资、奖金、各种加班费、食宿与交通、手续审批、安全、管理、质保、保险、利润、税金、安装费、验收费</w:t>
      </w:r>
      <w:r>
        <w:rPr>
          <w:rFonts w:hint="eastAsia" w:ascii="宋体" w:hAnsi="宋体" w:cs="宋体"/>
          <w:color w:val="auto"/>
          <w:sz w:val="24"/>
          <w:highlight w:val="none"/>
          <w:lang w:val="en-US" w:eastAsia="zh-CN"/>
        </w:rPr>
        <w:t>、招标代理服务费、</w:t>
      </w:r>
      <w:r>
        <w:rPr>
          <w:rFonts w:hint="eastAsia" w:asciiTheme="minorEastAsia" w:hAnsiTheme="minorEastAsia" w:eastAsiaTheme="minorEastAsia"/>
          <w:bCs/>
          <w:color w:val="auto"/>
          <w:kern w:val="0"/>
          <w:sz w:val="24"/>
          <w:highlight w:val="none"/>
        </w:rPr>
        <w:t>政策性文件规定及合同包含的所有风险、责任</w:t>
      </w:r>
      <w:r>
        <w:rPr>
          <w:rFonts w:hint="eastAsia" w:asciiTheme="minorEastAsia" w:hAnsiTheme="minorEastAsia" w:eastAsiaTheme="minorEastAsia"/>
          <w:bCs/>
          <w:color w:val="auto"/>
          <w:kern w:val="0"/>
          <w:sz w:val="24"/>
          <w:highlight w:val="none"/>
          <w:lang w:eastAsia="zh-CN"/>
        </w:rPr>
        <w:t>、</w:t>
      </w:r>
      <w:r>
        <w:rPr>
          <w:rFonts w:hint="eastAsia" w:asciiTheme="minorEastAsia" w:hAnsiTheme="minorEastAsia" w:eastAsiaTheme="minorEastAsia"/>
          <w:bCs/>
          <w:color w:val="auto"/>
          <w:kern w:val="0"/>
          <w:sz w:val="24"/>
          <w:highlight w:val="none"/>
          <w:lang w:val="en-US" w:eastAsia="zh-CN"/>
        </w:rPr>
        <w:t>招标代理服务费</w:t>
      </w:r>
      <w:r>
        <w:rPr>
          <w:rFonts w:hint="eastAsia" w:asciiTheme="minorEastAsia" w:hAnsiTheme="minorEastAsia" w:eastAsiaTheme="minorEastAsia"/>
          <w:bCs/>
          <w:color w:val="auto"/>
          <w:kern w:val="0"/>
          <w:sz w:val="24"/>
          <w:highlight w:val="none"/>
        </w:rPr>
        <w:t>等所有费用</w:t>
      </w:r>
      <w:r>
        <w:rPr>
          <w:rFonts w:hint="eastAsia" w:asciiTheme="minorEastAsia" w:hAnsiTheme="minorEastAsia" w:eastAsiaTheme="minorEastAsia"/>
          <w:bCs/>
          <w:color w:val="auto"/>
          <w:kern w:val="0"/>
          <w:sz w:val="24"/>
          <w:highlight w:val="none"/>
          <w:lang w:eastAsia="zh-CN"/>
        </w:rPr>
        <w:t>。</w:t>
      </w:r>
    </w:p>
    <w:p>
      <w:pPr>
        <w:pStyle w:val="12"/>
        <w:snapToGrid w:val="0"/>
        <w:spacing w:before="120" w:after="120"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四</w:t>
      </w:r>
      <w:r>
        <w:rPr>
          <w:rFonts w:asciiTheme="minorEastAsia" w:hAnsiTheme="minorEastAsia" w:eastAsiaTheme="minorEastAsia"/>
          <w:b/>
          <w:color w:val="auto"/>
          <w:sz w:val="24"/>
          <w:highlight w:val="none"/>
        </w:rPr>
        <w:t>、技术资料</w:t>
      </w:r>
    </w:p>
    <w:p>
      <w:pPr>
        <w:pStyle w:val="12"/>
        <w:snapToGrid w:val="0"/>
        <w:spacing w:before="120" w:after="120" w:line="360" w:lineRule="auto"/>
        <w:ind w:left="410" w:hanging="410" w:hangingChars="171"/>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乙方应按招标文件规定的时间向甲方提供使用货物的有关技术资料。</w:t>
      </w:r>
    </w:p>
    <w:p>
      <w:pPr>
        <w:pStyle w:val="12"/>
        <w:snapToGrid w:val="0"/>
        <w:spacing w:before="120" w:after="120" w:line="360" w:lineRule="auto"/>
        <w:ind w:left="410" w:hanging="410" w:hangingChars="171"/>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2"/>
        <w:snapToGrid w:val="0"/>
        <w:spacing w:before="120" w:after="120" w:line="360" w:lineRule="auto"/>
        <w:ind w:left="412" w:hanging="412" w:hangingChars="171"/>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五</w:t>
      </w:r>
      <w:r>
        <w:rPr>
          <w:rFonts w:asciiTheme="minorEastAsia" w:hAnsiTheme="minorEastAsia" w:eastAsiaTheme="minorEastAsia"/>
          <w:b/>
          <w:color w:val="auto"/>
          <w:sz w:val="24"/>
          <w:highlight w:val="none"/>
        </w:rPr>
        <w:t>、知识产权</w:t>
      </w:r>
    </w:p>
    <w:p>
      <w:pPr>
        <w:pStyle w:val="12"/>
        <w:snapToGrid w:val="0"/>
        <w:spacing w:before="120" w:after="120"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乙方应保证所提供的货物或其任何一部分均不会侵犯任何第三方的知识产权。</w:t>
      </w:r>
    </w:p>
    <w:p>
      <w:pPr>
        <w:pStyle w:val="12"/>
        <w:snapToGrid w:val="0"/>
        <w:spacing w:before="120" w:after="120"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2.若侵犯,由乙方赔偿甲方因此遭受的损失（包括但不限于应对及追偿过程中所支付的律师费、差旅费、诉讼费、保全费、鉴定费、评估费等）。</w:t>
      </w:r>
    </w:p>
    <w:p>
      <w:pPr>
        <w:pStyle w:val="12"/>
        <w:snapToGrid w:val="0"/>
        <w:spacing w:before="120" w:after="120" w:line="360" w:lineRule="auto"/>
        <w:rPr>
          <w:rFonts w:asciiTheme="minorEastAsia" w:hAnsiTheme="minorEastAsia" w:eastAsiaTheme="minorEastAsia"/>
          <w:color w:val="auto"/>
          <w:sz w:val="24"/>
          <w:highlight w:val="none"/>
          <w:u w:val="single"/>
        </w:rPr>
      </w:pPr>
      <w:r>
        <w:rPr>
          <w:rFonts w:hint="eastAsia" w:asciiTheme="minorEastAsia" w:hAnsiTheme="minorEastAsia" w:eastAsiaTheme="minorEastAsia"/>
          <w:b/>
          <w:color w:val="auto"/>
          <w:sz w:val="24"/>
          <w:highlight w:val="none"/>
        </w:rPr>
        <w:t>六</w:t>
      </w:r>
      <w:r>
        <w:rPr>
          <w:rFonts w:asciiTheme="minorEastAsia" w:hAnsiTheme="minorEastAsia" w:eastAsiaTheme="minorEastAsia"/>
          <w:b/>
          <w:color w:val="auto"/>
          <w:sz w:val="24"/>
          <w:highlight w:val="none"/>
        </w:rPr>
        <w:t>、产权担保</w:t>
      </w:r>
    </w:p>
    <w:p>
      <w:pPr>
        <w:pStyle w:val="12"/>
        <w:snapToGrid w:val="0"/>
        <w:spacing w:before="120" w:after="120" w:line="360" w:lineRule="auto"/>
        <w:rPr>
          <w:rFonts w:asciiTheme="minorEastAsia" w:hAnsiTheme="minorEastAsia" w:eastAsiaTheme="minorEastAsia"/>
          <w:color w:val="auto"/>
          <w:sz w:val="24"/>
          <w:highlight w:val="none"/>
          <w:u w:val="single"/>
        </w:rPr>
      </w:pPr>
      <w:r>
        <w:rPr>
          <w:rFonts w:asciiTheme="minorEastAsia" w:hAnsiTheme="minorEastAsia" w:eastAsiaTheme="minorEastAsia"/>
          <w:color w:val="auto"/>
          <w:sz w:val="24"/>
          <w:highlight w:val="none"/>
        </w:rPr>
        <w:t>乙方保证所交付的货物的所有权完全属于乙方且无任何抵押、查封等产权瑕疵。</w:t>
      </w:r>
    </w:p>
    <w:p>
      <w:pPr>
        <w:pStyle w:val="12"/>
        <w:snapToGrid w:val="0"/>
        <w:spacing w:before="120" w:after="120" w:line="360" w:lineRule="auto"/>
        <w:ind w:left="410" w:hanging="410" w:hangingChars="17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七</w:t>
      </w:r>
      <w:r>
        <w:rPr>
          <w:rFonts w:asciiTheme="minorEastAsia" w:hAnsiTheme="minorEastAsia" w:eastAsiaTheme="minorEastAsia"/>
          <w:b/>
          <w:color w:val="auto"/>
          <w:sz w:val="24"/>
          <w:highlight w:val="none"/>
        </w:rPr>
        <w:t>、履约保证金</w:t>
      </w:r>
    </w:p>
    <w:p>
      <w:pPr>
        <w:pStyle w:val="12"/>
        <w:snapToGrid w:val="0"/>
        <w:spacing w:before="120" w:after="120" w:line="360" w:lineRule="auto"/>
        <w:ind w:left="408" w:hanging="408" w:hangingChars="170"/>
        <w:rPr>
          <w:rFonts w:asciiTheme="majorEastAsia" w:hAnsiTheme="majorEastAsia" w:eastAsiaTheme="majorEastAsia" w:cstheme="majorEastAsia"/>
          <w:color w:val="auto"/>
          <w:sz w:val="24"/>
          <w:highlight w:val="none"/>
          <w:lang w:val="zh-CN"/>
        </w:rPr>
      </w:pPr>
      <w:r>
        <w:rPr>
          <w:rFonts w:hint="eastAsia" w:asciiTheme="majorEastAsia" w:hAnsiTheme="majorEastAsia" w:eastAsiaTheme="majorEastAsia" w:cstheme="majorEastAsia"/>
          <w:color w:val="auto"/>
          <w:sz w:val="24"/>
          <w:highlight w:val="none"/>
        </w:rPr>
        <w:t>履约保证金金额为</w:t>
      </w:r>
      <w:r>
        <w:rPr>
          <w:rFonts w:hint="eastAsia" w:asciiTheme="majorEastAsia" w:hAnsiTheme="majorEastAsia" w:eastAsiaTheme="majorEastAsia" w:cstheme="majorEastAsia"/>
          <w:color w:val="auto"/>
          <w:sz w:val="24"/>
          <w:highlight w:val="none"/>
          <w:u w:val="single"/>
          <w:lang w:val="en-US" w:eastAsia="zh-CN"/>
        </w:rPr>
        <w:t>60000</w:t>
      </w:r>
      <w:r>
        <w:rPr>
          <w:rFonts w:hint="eastAsia" w:asciiTheme="majorEastAsia" w:hAnsiTheme="majorEastAsia" w:eastAsiaTheme="majorEastAsia" w:cstheme="majorEastAsia"/>
          <w:color w:val="auto"/>
          <w:sz w:val="24"/>
          <w:highlight w:val="none"/>
        </w:rPr>
        <w:t>元</w:t>
      </w:r>
      <w:r>
        <w:rPr>
          <w:rFonts w:hint="eastAsia" w:hAnsi="宋体" w:cs="宋体"/>
          <w:color w:val="auto"/>
          <w:sz w:val="24"/>
          <w:highlight w:val="none"/>
        </w:rPr>
        <w:t>，</w:t>
      </w:r>
      <w:r>
        <w:rPr>
          <w:rFonts w:hint="eastAsia" w:asciiTheme="majorEastAsia" w:hAnsiTheme="majorEastAsia" w:eastAsiaTheme="majorEastAsia" w:cstheme="majorEastAsia"/>
          <w:color w:val="auto"/>
          <w:sz w:val="24"/>
          <w:highlight w:val="none"/>
          <w:lang w:val="zh-CN"/>
        </w:rPr>
        <w:t>签订合同后 3 个工作日内向甲方提交</w:t>
      </w:r>
    </w:p>
    <w:p>
      <w:pPr>
        <w:pStyle w:val="12"/>
        <w:snapToGrid w:val="0"/>
        <w:spacing w:before="120" w:after="120" w:line="360" w:lineRule="auto"/>
        <w:rPr>
          <w:rFonts w:hAnsi="宋体" w:cs="宋体"/>
          <w:color w:val="auto"/>
          <w:sz w:val="24"/>
          <w:highlight w:val="none"/>
        </w:rPr>
      </w:pPr>
      <w:r>
        <w:rPr>
          <w:rFonts w:hint="eastAsia" w:hAnsi="宋体" w:cs="宋体"/>
          <w:color w:val="auto"/>
          <w:sz w:val="24"/>
          <w:highlight w:val="none"/>
        </w:rPr>
        <w:t>（履约保证金可采用支票、汇票、保函、担保等形式），验收合格后无息退还。</w:t>
      </w:r>
    </w:p>
    <w:p>
      <w:pPr>
        <w:pStyle w:val="12"/>
        <w:snapToGrid w:val="0"/>
        <w:spacing w:before="120" w:after="120" w:line="360" w:lineRule="auto"/>
        <w:ind w:left="410" w:hanging="410" w:hangingChars="170"/>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八、转包或分包</w:t>
      </w:r>
    </w:p>
    <w:p>
      <w:pPr>
        <w:snapToGrid w:val="0"/>
        <w:spacing w:before="156" w:beforeLines="50" w:after="156" w:afterLines="50"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.本合同范围的货物，应由</w:t>
      </w:r>
      <w:r>
        <w:rPr>
          <w:rFonts w:asciiTheme="minorEastAsia" w:hAnsiTheme="minorEastAsia" w:eastAsiaTheme="minorEastAsia"/>
          <w:color w:val="auto"/>
          <w:sz w:val="24"/>
          <w:highlight w:val="none"/>
        </w:rPr>
        <w:t>乙</w:t>
      </w:r>
      <w:r>
        <w:rPr>
          <w:rFonts w:hint="eastAsia" w:asciiTheme="minorEastAsia" w:hAnsiTheme="minorEastAsia" w:eastAsiaTheme="minorEastAsia"/>
          <w:color w:val="auto"/>
          <w:sz w:val="24"/>
          <w:highlight w:val="none"/>
        </w:rPr>
        <w:t>方直接供应，不得转让他人供应；</w:t>
      </w:r>
    </w:p>
    <w:p>
      <w:pPr>
        <w:snapToGrid w:val="0"/>
        <w:spacing w:before="156" w:beforeLines="50" w:after="156" w:afterLines="50"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.除非得到</w:t>
      </w:r>
      <w:r>
        <w:rPr>
          <w:rFonts w:asciiTheme="minorEastAsia" w:hAnsiTheme="minorEastAsia" w:eastAsiaTheme="minorEastAsia"/>
          <w:color w:val="auto"/>
          <w:sz w:val="24"/>
          <w:highlight w:val="none"/>
        </w:rPr>
        <w:t>甲</w:t>
      </w:r>
      <w:r>
        <w:rPr>
          <w:rFonts w:hint="eastAsia" w:asciiTheme="minorEastAsia" w:hAnsiTheme="minorEastAsia" w:eastAsiaTheme="minorEastAsia"/>
          <w:color w:val="auto"/>
          <w:sz w:val="24"/>
          <w:highlight w:val="none"/>
        </w:rPr>
        <w:t>方的书面同意，</w:t>
      </w:r>
      <w:r>
        <w:rPr>
          <w:rFonts w:asciiTheme="minorEastAsia" w:hAnsiTheme="minorEastAsia" w:eastAsiaTheme="minorEastAsia"/>
          <w:color w:val="auto"/>
          <w:sz w:val="24"/>
          <w:highlight w:val="none"/>
        </w:rPr>
        <w:t>乙</w:t>
      </w:r>
      <w:r>
        <w:rPr>
          <w:rFonts w:hint="eastAsia" w:asciiTheme="minorEastAsia" w:hAnsiTheme="minorEastAsia" w:eastAsiaTheme="minorEastAsia"/>
          <w:color w:val="auto"/>
          <w:sz w:val="24"/>
          <w:highlight w:val="none"/>
        </w:rPr>
        <w:t>方不得将本合同范围的货物全部或部分分包给他人供应；</w:t>
      </w:r>
    </w:p>
    <w:p>
      <w:pPr>
        <w:pStyle w:val="12"/>
        <w:snapToGrid w:val="0"/>
        <w:spacing w:before="120" w:after="120" w:line="360" w:lineRule="auto"/>
        <w:rPr>
          <w:rFonts w:hint="eastAsia" w:cs="Times New Roman" w:asciiTheme="minorEastAsia" w:hAnsiTheme="minorEastAsia" w:eastAsiaTheme="minorEastAsia"/>
          <w:color w:val="auto"/>
          <w:kern w:val="2"/>
          <w:sz w:val="24"/>
          <w:szCs w:val="24"/>
          <w:highlight w:val="none"/>
          <w:lang w:val="en-US" w:eastAsia="zh-CN" w:bidi="ar-SA"/>
        </w:rPr>
      </w:pPr>
      <w:r>
        <w:rPr>
          <w:rFonts w:hint="eastAsia" w:cs="Times New Roman" w:asciiTheme="minorEastAsia" w:hAnsiTheme="minorEastAsia" w:eastAsiaTheme="minorEastAsia"/>
          <w:color w:val="auto"/>
          <w:kern w:val="2"/>
          <w:sz w:val="24"/>
          <w:szCs w:val="24"/>
          <w:highlight w:val="none"/>
          <w:lang w:val="en-US" w:eastAsia="zh-CN" w:bidi="ar-SA"/>
        </w:rPr>
        <w:t>3.如有转让和未经甲方同意的分包行为，甲方有权解除合同，乙方应向甲方偿还已支付的金额及按月2%计算的利息外，并支付合同总值5%的违约金，如造成甲方损失超过违约金的，超出部分由乙方继续承担赔偿责任。</w:t>
      </w:r>
    </w:p>
    <w:p>
      <w:pPr>
        <w:pStyle w:val="12"/>
        <w:snapToGrid w:val="0"/>
        <w:spacing w:before="120" w:after="120"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b/>
          <w:color w:val="auto"/>
          <w:sz w:val="24"/>
          <w:highlight w:val="none"/>
        </w:rPr>
        <w:t>九</w:t>
      </w:r>
      <w:r>
        <w:rPr>
          <w:rFonts w:asciiTheme="minorEastAsia" w:hAnsiTheme="minorEastAsia" w:eastAsiaTheme="minorEastAsia"/>
          <w:b/>
          <w:color w:val="auto"/>
          <w:sz w:val="24"/>
          <w:highlight w:val="none"/>
        </w:rPr>
        <w:t>、质保期</w:t>
      </w:r>
    </w:p>
    <w:p>
      <w:pPr>
        <w:tabs>
          <w:tab w:val="left" w:pos="0"/>
        </w:tabs>
        <w:spacing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 xml:space="preserve"> </w:t>
      </w:r>
      <w:r>
        <w:rPr>
          <w:rFonts w:hint="eastAsia" w:ascii="宋体" w:hAnsi="宋体" w:cs="宋体"/>
          <w:color w:val="auto"/>
          <w:sz w:val="24"/>
          <w:highlight w:val="none"/>
        </w:rPr>
        <w:t>主次干道标线不少于1年，支路标线不少于2年（技术需求中有列明质保期的按照技术需求中的要求）</w:t>
      </w:r>
      <w:r>
        <w:rPr>
          <w:rFonts w:asciiTheme="minorEastAsia" w:hAnsiTheme="minorEastAsia" w:eastAsiaTheme="minorEastAsia"/>
          <w:color w:val="auto"/>
          <w:sz w:val="24"/>
          <w:highlight w:val="none"/>
        </w:rPr>
        <w:t>（自交</w:t>
      </w:r>
      <w:r>
        <w:rPr>
          <w:rFonts w:hint="eastAsia" w:asciiTheme="minorEastAsia" w:hAnsiTheme="minorEastAsia" w:eastAsiaTheme="minorEastAsia"/>
          <w:color w:val="auto"/>
          <w:sz w:val="24"/>
          <w:highlight w:val="none"/>
        </w:rPr>
        <w:t>付</w:t>
      </w:r>
      <w:r>
        <w:rPr>
          <w:rFonts w:asciiTheme="minorEastAsia" w:hAnsiTheme="minorEastAsia" w:eastAsiaTheme="minorEastAsia"/>
          <w:color w:val="auto"/>
          <w:sz w:val="24"/>
          <w:highlight w:val="none"/>
        </w:rPr>
        <w:t>验收合格之日起计）</w:t>
      </w:r>
    </w:p>
    <w:p>
      <w:pPr>
        <w:pStyle w:val="12"/>
        <w:snapToGrid w:val="0"/>
        <w:spacing w:before="120" w:after="120"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十</w:t>
      </w:r>
      <w:r>
        <w:rPr>
          <w:rFonts w:asciiTheme="minorEastAsia" w:hAnsiTheme="minorEastAsia" w:eastAsiaTheme="minorEastAsia"/>
          <w:b/>
          <w:color w:val="auto"/>
          <w:sz w:val="24"/>
          <w:highlight w:val="none"/>
        </w:rPr>
        <w:t>、交货期、交货方式及交货地点</w:t>
      </w:r>
    </w:p>
    <w:p>
      <w:pPr>
        <w:pStyle w:val="12"/>
        <w:snapToGrid w:val="0"/>
        <w:spacing w:before="120" w:after="120" w:line="360" w:lineRule="auto"/>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1</w:t>
      </w:r>
      <w:r>
        <w:rPr>
          <w:rFonts w:hint="eastAsia" w:asciiTheme="minorEastAsia" w:hAnsiTheme="minorEastAsia" w:eastAsiaTheme="minorEastAsia"/>
          <w:bCs/>
          <w:color w:val="auto"/>
          <w:sz w:val="24"/>
          <w:highlight w:val="none"/>
        </w:rPr>
        <w:t>.合同履行期：合同签订后120天</w:t>
      </w:r>
    </w:p>
    <w:p>
      <w:pPr>
        <w:pStyle w:val="12"/>
        <w:snapToGrid w:val="0"/>
        <w:spacing w:before="120" w:after="120" w:line="360" w:lineRule="auto"/>
        <w:rPr>
          <w:rFonts w:hint="eastAsia" w:asciiTheme="minorEastAsia" w:hAnsiTheme="minorEastAsia" w:eastAsiaTheme="minorEastAsia"/>
          <w:bCs/>
          <w:color w:val="auto"/>
          <w:sz w:val="24"/>
          <w:highlight w:val="none"/>
          <w:lang w:val="en-US" w:eastAsia="zh-CN"/>
        </w:rPr>
      </w:pPr>
      <w:r>
        <w:rPr>
          <w:rFonts w:asciiTheme="minorEastAsia" w:hAnsiTheme="minorEastAsia" w:eastAsiaTheme="minorEastAsia"/>
          <w:bCs/>
          <w:color w:val="auto"/>
          <w:sz w:val="24"/>
          <w:highlight w:val="none"/>
        </w:rPr>
        <w:t>2</w:t>
      </w:r>
      <w:r>
        <w:rPr>
          <w:rFonts w:hint="eastAsia" w:asciiTheme="minorEastAsia" w:hAnsiTheme="minorEastAsia" w:eastAsiaTheme="minorEastAsia"/>
          <w:bCs/>
          <w:color w:val="auto"/>
          <w:sz w:val="24"/>
          <w:highlight w:val="none"/>
        </w:rPr>
        <w:t>.</w:t>
      </w:r>
      <w:r>
        <w:rPr>
          <w:rFonts w:asciiTheme="minorEastAsia" w:hAnsiTheme="minorEastAsia" w:eastAsiaTheme="minorEastAsia"/>
          <w:bCs/>
          <w:color w:val="auto"/>
          <w:sz w:val="24"/>
          <w:highlight w:val="none"/>
        </w:rPr>
        <w:t xml:space="preserve"> 交货方式：</w:t>
      </w:r>
    </w:p>
    <w:p>
      <w:pPr>
        <w:pStyle w:val="12"/>
        <w:snapToGrid w:val="0"/>
        <w:spacing w:before="120" w:after="120" w:line="360" w:lineRule="auto"/>
        <w:rPr>
          <w:rFonts w:asciiTheme="minorEastAsia" w:hAnsiTheme="minorEastAsia" w:eastAsiaTheme="minorEastAsia"/>
          <w:b/>
          <w:color w:val="auto"/>
          <w:sz w:val="24"/>
          <w:highlight w:val="none"/>
        </w:rPr>
      </w:pPr>
      <w:r>
        <w:rPr>
          <w:rFonts w:asciiTheme="minorEastAsia" w:hAnsiTheme="minorEastAsia" w:eastAsiaTheme="minorEastAsia"/>
          <w:bCs/>
          <w:color w:val="auto"/>
          <w:sz w:val="24"/>
          <w:highlight w:val="none"/>
        </w:rPr>
        <w:t>3</w:t>
      </w:r>
      <w:r>
        <w:rPr>
          <w:rFonts w:hint="eastAsia" w:asciiTheme="minorEastAsia" w:hAnsiTheme="minorEastAsia" w:eastAsiaTheme="minorEastAsia"/>
          <w:bCs/>
          <w:color w:val="auto"/>
          <w:sz w:val="24"/>
          <w:highlight w:val="none"/>
        </w:rPr>
        <w:t>.</w:t>
      </w:r>
      <w:r>
        <w:rPr>
          <w:rFonts w:asciiTheme="minorEastAsia" w:hAnsiTheme="minorEastAsia" w:eastAsiaTheme="minorEastAsia"/>
          <w:bCs/>
          <w:color w:val="auto"/>
          <w:sz w:val="24"/>
          <w:highlight w:val="none"/>
        </w:rPr>
        <w:t xml:space="preserve"> 交货地点：</w:t>
      </w:r>
      <w:r>
        <w:rPr>
          <w:rFonts w:hint="eastAsia" w:asciiTheme="minorEastAsia" w:hAnsiTheme="minorEastAsia" w:eastAsiaTheme="minorEastAsia"/>
          <w:bCs/>
          <w:color w:val="auto"/>
          <w:sz w:val="24"/>
          <w:highlight w:val="none"/>
        </w:rPr>
        <w:t>台州市</w:t>
      </w:r>
    </w:p>
    <w:p>
      <w:pPr>
        <w:pStyle w:val="12"/>
        <w:snapToGrid w:val="0"/>
        <w:spacing w:before="120" w:after="120" w:line="360" w:lineRule="auto"/>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十</w:t>
      </w:r>
      <w:r>
        <w:rPr>
          <w:rFonts w:hint="eastAsia" w:asciiTheme="minorEastAsia" w:hAnsiTheme="minorEastAsia" w:eastAsiaTheme="minorEastAsia"/>
          <w:b/>
          <w:color w:val="auto"/>
          <w:sz w:val="24"/>
          <w:highlight w:val="none"/>
        </w:rPr>
        <w:t>一</w:t>
      </w:r>
      <w:r>
        <w:rPr>
          <w:rFonts w:asciiTheme="minorEastAsia" w:hAnsiTheme="minorEastAsia" w:eastAsiaTheme="minorEastAsia"/>
          <w:b/>
          <w:color w:val="auto"/>
          <w:sz w:val="24"/>
          <w:highlight w:val="none"/>
        </w:rPr>
        <w:t>、货款支付</w:t>
      </w:r>
    </w:p>
    <w:p>
      <w:pPr>
        <w:pStyle w:val="12"/>
        <w:snapToGrid w:val="0"/>
        <w:spacing w:line="360" w:lineRule="auto"/>
        <w:ind w:firstLine="480" w:firstLineChars="200"/>
        <w:rPr>
          <w:rFonts w:hint="eastAsia" w:hAnsi="Times New Roman"/>
          <w:color w:val="auto"/>
          <w:sz w:val="24"/>
          <w:highlight w:val="none"/>
          <w:lang w:val="zh-CN"/>
        </w:rPr>
      </w:pPr>
      <w:r>
        <w:rPr>
          <w:rFonts w:hint="eastAsia" w:hAnsi="Times New Roman"/>
          <w:color w:val="auto"/>
          <w:sz w:val="24"/>
          <w:highlight w:val="none"/>
          <w:lang w:val="zh-CN"/>
        </w:rPr>
        <w:t>1.付款方式：合同签订后支付合同总额40%作为预付款；120天内完成项目且通过初验后支付至实际工程量结算金额的80%；项目整体竣工验收合格并经审核结束后支付剩余结算金额；上述付款条件为甲方收到乙方发票且甲方所在地财政资金到位后7个工作日内支付。</w:t>
      </w:r>
    </w:p>
    <w:p>
      <w:pPr>
        <w:pStyle w:val="12"/>
        <w:snapToGrid w:val="0"/>
        <w:spacing w:line="360" w:lineRule="auto"/>
        <w:ind w:firstLine="480" w:firstLineChars="200"/>
        <w:rPr>
          <w:rFonts w:asciiTheme="minorEastAsia" w:hAnsiTheme="minorEastAsia" w:eastAsiaTheme="minorEastAsia"/>
          <w:bCs/>
          <w:color w:val="auto"/>
          <w:sz w:val="24"/>
          <w:highlight w:val="none"/>
        </w:rPr>
      </w:pPr>
      <w:r>
        <w:rPr>
          <w:rFonts w:hint="eastAsia" w:hAnsi="Times New Roman"/>
          <w:color w:val="auto"/>
          <w:sz w:val="24"/>
          <w:highlight w:val="none"/>
          <w:lang w:val="zh-CN"/>
        </w:rPr>
        <w:t>2.</w:t>
      </w:r>
      <w:r>
        <w:rPr>
          <w:rFonts w:hint="eastAsia" w:ascii="黑体" w:hAnsi="黑体" w:eastAsia="黑体"/>
          <w:b/>
          <w:color w:val="auto"/>
          <w:kern w:val="28"/>
          <w:sz w:val="24"/>
          <w:highlight w:val="none"/>
        </w:rPr>
        <w:t>最终的结算价（最终结算金额=</w:t>
      </w:r>
      <w:r>
        <w:rPr>
          <w:rFonts w:hint="eastAsia" w:ascii="黑体" w:hAnsi="黑体" w:eastAsia="黑体"/>
          <w:b/>
          <w:color w:val="auto"/>
          <w:kern w:val="28"/>
          <w:sz w:val="24"/>
          <w:highlight w:val="none"/>
          <w:lang w:val="en-US" w:eastAsia="zh-CN"/>
        </w:rPr>
        <w:t>实际工作量</w:t>
      </w:r>
      <w:r>
        <w:rPr>
          <w:rFonts w:hint="eastAsia" w:ascii="黑体" w:hAnsi="黑体" w:eastAsia="黑体"/>
          <w:b/>
          <w:color w:val="auto"/>
          <w:kern w:val="28"/>
          <w:sz w:val="24"/>
          <w:highlight w:val="none"/>
        </w:rPr>
        <w:t>*成交单价，成交单价=</w:t>
      </w:r>
      <w:r>
        <w:rPr>
          <w:rFonts w:hint="eastAsia" w:ascii="黑体" w:hAnsi="黑体" w:eastAsia="黑体"/>
          <w:b/>
          <w:color w:val="auto"/>
          <w:kern w:val="28"/>
          <w:sz w:val="24"/>
          <w:highlight w:val="none"/>
          <w:lang w:val="en-US" w:eastAsia="zh-CN"/>
        </w:rPr>
        <w:t>上限</w:t>
      </w:r>
      <w:r>
        <w:rPr>
          <w:rFonts w:hint="eastAsia" w:ascii="黑体" w:hAnsi="黑体" w:eastAsia="黑体"/>
          <w:b/>
          <w:color w:val="auto"/>
          <w:kern w:val="28"/>
          <w:sz w:val="24"/>
          <w:highlight w:val="none"/>
        </w:rPr>
        <w:t>单价*成交结算率）</w:t>
      </w:r>
      <w:r>
        <w:rPr>
          <w:rFonts w:hint="eastAsia" w:hAnsi="Times New Roman"/>
          <w:color w:val="auto"/>
          <w:sz w:val="24"/>
          <w:highlight w:val="none"/>
          <w:lang w:val="zh-CN"/>
        </w:rPr>
        <w:t>。</w:t>
      </w:r>
    </w:p>
    <w:p>
      <w:pPr>
        <w:snapToGrid w:val="0"/>
        <w:spacing w:before="156" w:beforeLines="50" w:after="156" w:afterLines="50" w:line="360" w:lineRule="auto"/>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十二、税费</w:t>
      </w:r>
    </w:p>
    <w:p>
      <w:pPr>
        <w:snapToGrid w:val="0"/>
        <w:spacing w:before="156" w:beforeLines="50" w:after="156" w:afterLines="50"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本合同执行中相关的一切税费均由</w:t>
      </w:r>
      <w:r>
        <w:rPr>
          <w:rFonts w:asciiTheme="minorEastAsia" w:hAnsiTheme="minorEastAsia" w:eastAsiaTheme="minorEastAsia"/>
          <w:color w:val="auto"/>
          <w:sz w:val="24"/>
          <w:highlight w:val="none"/>
        </w:rPr>
        <w:t>乙</w:t>
      </w:r>
      <w:r>
        <w:rPr>
          <w:rFonts w:hint="eastAsia" w:asciiTheme="minorEastAsia" w:hAnsiTheme="minorEastAsia" w:eastAsiaTheme="minorEastAsia"/>
          <w:color w:val="auto"/>
          <w:sz w:val="24"/>
          <w:highlight w:val="none"/>
        </w:rPr>
        <w:t>方负担。</w:t>
      </w:r>
    </w:p>
    <w:p>
      <w:pPr>
        <w:pStyle w:val="12"/>
        <w:snapToGrid w:val="0"/>
        <w:spacing w:before="120" w:after="120" w:line="360" w:lineRule="auto"/>
        <w:ind w:left="412" w:hanging="412" w:hangingChars="171"/>
        <w:rPr>
          <w:rFonts w:asciiTheme="minorEastAsia" w:hAnsiTheme="minorEastAsia" w:eastAsiaTheme="minorEastAsia"/>
          <w:color w:val="auto"/>
          <w:sz w:val="24"/>
          <w:highlight w:val="none"/>
        </w:rPr>
      </w:pPr>
      <w:r>
        <w:rPr>
          <w:rFonts w:asciiTheme="minorEastAsia" w:hAnsiTheme="minorEastAsia" w:eastAsiaTheme="minorEastAsia"/>
          <w:b/>
          <w:color w:val="auto"/>
          <w:sz w:val="24"/>
          <w:highlight w:val="none"/>
        </w:rPr>
        <w:t>十</w:t>
      </w:r>
      <w:r>
        <w:rPr>
          <w:rFonts w:hint="eastAsia" w:asciiTheme="minorEastAsia" w:hAnsiTheme="minorEastAsia" w:eastAsiaTheme="minorEastAsia"/>
          <w:b/>
          <w:color w:val="auto"/>
          <w:sz w:val="24"/>
          <w:highlight w:val="none"/>
        </w:rPr>
        <w:t>三</w:t>
      </w:r>
      <w:r>
        <w:rPr>
          <w:rFonts w:asciiTheme="minorEastAsia" w:hAnsiTheme="minorEastAsia" w:eastAsiaTheme="minorEastAsia"/>
          <w:b/>
          <w:color w:val="auto"/>
          <w:sz w:val="24"/>
          <w:highlight w:val="none"/>
        </w:rPr>
        <w:t>、质量保证及售后服务</w:t>
      </w:r>
    </w:p>
    <w:p>
      <w:pPr>
        <w:pStyle w:val="12"/>
        <w:snapToGrid w:val="0"/>
        <w:spacing w:before="120" w:after="120" w:line="360" w:lineRule="auto"/>
        <w:ind w:left="410" w:hanging="410" w:hangingChars="171"/>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 xml:space="preserve"> 乙方应按招标文件规定的货物性能、技术要求、质量标准向甲方提供未经使用的全新产品。</w:t>
      </w:r>
    </w:p>
    <w:p>
      <w:pPr>
        <w:pStyle w:val="12"/>
        <w:snapToGrid w:val="0"/>
        <w:spacing w:before="120" w:after="120" w:line="360" w:lineRule="auto"/>
        <w:ind w:left="480" w:hanging="480" w:hanging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 xml:space="preserve"> 乙方提供的</w:t>
      </w:r>
      <w:r>
        <w:rPr>
          <w:rFonts w:hint="eastAsia" w:asciiTheme="minorEastAsia" w:hAnsiTheme="minorEastAsia" w:eastAsiaTheme="minorEastAsia"/>
          <w:color w:val="auto"/>
          <w:sz w:val="24"/>
          <w:highlight w:val="none"/>
        </w:rPr>
        <w:t>成果</w:t>
      </w:r>
      <w:r>
        <w:rPr>
          <w:rFonts w:asciiTheme="minorEastAsia" w:hAnsiTheme="minorEastAsia" w:eastAsiaTheme="minorEastAsia"/>
          <w:color w:val="auto"/>
          <w:sz w:val="24"/>
          <w:highlight w:val="none"/>
        </w:rPr>
        <w:t>在质</w:t>
      </w:r>
      <w:r>
        <w:rPr>
          <w:rFonts w:hint="eastAsia" w:asciiTheme="minorEastAsia" w:hAnsiTheme="minorEastAsia" w:eastAsiaTheme="minorEastAsia"/>
          <w:color w:val="auto"/>
          <w:sz w:val="24"/>
          <w:highlight w:val="none"/>
        </w:rPr>
        <w:t>保</w:t>
      </w:r>
      <w:r>
        <w:rPr>
          <w:rFonts w:asciiTheme="minorEastAsia" w:hAnsiTheme="minorEastAsia" w:eastAsiaTheme="minorEastAsia"/>
          <w:color w:val="auto"/>
          <w:sz w:val="24"/>
          <w:highlight w:val="none"/>
        </w:rPr>
        <w:t>期内因本身的质量问题发生故障，</w:t>
      </w:r>
      <w:r>
        <w:rPr>
          <w:rFonts w:hint="eastAsia" w:asciiTheme="minorEastAsia" w:hAnsiTheme="minorEastAsia" w:eastAsiaTheme="minorEastAsia"/>
          <w:color w:val="auto"/>
          <w:sz w:val="24"/>
          <w:highlight w:val="none"/>
        </w:rPr>
        <w:t>乙方应负责免费提供后续服务。</w:t>
      </w:r>
      <w:r>
        <w:rPr>
          <w:rFonts w:asciiTheme="minorEastAsia" w:hAnsiTheme="minorEastAsia" w:eastAsiaTheme="minorEastAsia"/>
          <w:color w:val="auto"/>
          <w:sz w:val="24"/>
          <w:highlight w:val="none"/>
        </w:rPr>
        <w:t>对达不到技术要求者，根据实际情况，经双方协商，可按以下办法处理：</w:t>
      </w:r>
    </w:p>
    <w:p>
      <w:pPr>
        <w:pStyle w:val="12"/>
        <w:snapToGrid w:val="0"/>
        <w:spacing w:before="120" w:after="120" w:line="360" w:lineRule="auto"/>
        <w:ind w:firstLine="420"/>
        <w:rPr>
          <w:rFonts w:hAnsi="宋体"/>
          <w:color w:val="auto"/>
          <w:sz w:val="24"/>
          <w:highlight w:val="none"/>
        </w:rPr>
      </w:pPr>
      <w:r>
        <w:rPr>
          <w:rFonts w:hAnsi="宋体"/>
          <w:color w:val="auto"/>
          <w:sz w:val="24"/>
          <w:highlight w:val="none"/>
        </w:rPr>
        <w:t>⑴重做：由乙方承担所发生的全部费用。</w:t>
      </w:r>
    </w:p>
    <w:p>
      <w:pPr>
        <w:pStyle w:val="12"/>
        <w:snapToGrid w:val="0"/>
        <w:spacing w:before="120" w:after="120" w:line="360" w:lineRule="auto"/>
        <w:ind w:firstLine="420"/>
        <w:rPr>
          <w:rFonts w:hAnsi="宋体"/>
          <w:color w:val="auto"/>
          <w:sz w:val="24"/>
          <w:highlight w:val="none"/>
        </w:rPr>
      </w:pPr>
      <w:r>
        <w:rPr>
          <w:rFonts w:hAnsi="宋体"/>
          <w:color w:val="auto"/>
          <w:sz w:val="24"/>
          <w:highlight w:val="none"/>
        </w:rPr>
        <w:t>⑵贬值处理：由甲乙双方合议定价。</w:t>
      </w:r>
    </w:p>
    <w:p>
      <w:pPr>
        <w:pStyle w:val="12"/>
        <w:snapToGrid w:val="0"/>
        <w:spacing w:before="120" w:after="120" w:line="360" w:lineRule="auto"/>
        <w:ind w:left="420" w:left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⑶退货处理：乙方应退还甲方支付的合同款，同时应承担该货物的直接费用（运输、</w:t>
      </w:r>
      <w:r>
        <w:rPr>
          <w:rFonts w:hint="eastAsia" w:asciiTheme="minorEastAsia" w:hAnsiTheme="minorEastAsia" w:eastAsiaTheme="minorEastAsia"/>
          <w:color w:val="auto"/>
          <w:sz w:val="24"/>
          <w:highlight w:val="none"/>
        </w:rPr>
        <w:t>清洗、</w:t>
      </w:r>
      <w:r>
        <w:rPr>
          <w:rFonts w:asciiTheme="minorEastAsia" w:hAnsiTheme="minorEastAsia" w:eastAsiaTheme="minorEastAsia"/>
          <w:color w:val="auto"/>
          <w:sz w:val="24"/>
          <w:highlight w:val="none"/>
        </w:rPr>
        <w:t>保险、检验、货款利息及银行手续费等）。</w:t>
      </w:r>
    </w:p>
    <w:p>
      <w:pPr>
        <w:pStyle w:val="12"/>
        <w:snapToGrid w:val="0"/>
        <w:spacing w:before="120" w:after="120" w:line="360" w:lineRule="auto"/>
        <w:rPr>
          <w:rFonts w:hint="eastAsia" w:asciiTheme="minorEastAsia" w:hAnsiTheme="minorEastAsia" w:eastAsiaTheme="minorEastAsia"/>
          <w:color w:val="auto"/>
          <w:sz w:val="24"/>
          <w:highlight w:val="none"/>
          <w:lang w:eastAsia="zh-CN"/>
        </w:rPr>
      </w:pP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 xml:space="preserve"> 如在使用过程中发生质量问题，乙方在接到甲方</w:t>
      </w:r>
      <w:r>
        <w:rPr>
          <w:rFonts w:hint="eastAsia" w:asciiTheme="minorEastAsia" w:hAnsiTheme="minorEastAsia" w:eastAsiaTheme="minorEastAsia"/>
          <w:color w:val="auto"/>
          <w:sz w:val="24"/>
          <w:highlight w:val="none"/>
          <w:lang w:val="en-US" w:eastAsia="zh-CN"/>
        </w:rPr>
        <w:t>电话2分钟响应，0.5小时上门技术服务，3小时内修复或更换</w:t>
      </w:r>
      <w:r>
        <w:rPr>
          <w:rFonts w:hint="eastAsia" w:asciiTheme="minorEastAsia" w:hAnsiTheme="minorEastAsia" w:eastAsiaTheme="minorEastAsia"/>
          <w:color w:val="auto"/>
          <w:sz w:val="24"/>
          <w:highlight w:val="none"/>
          <w:lang w:eastAsia="zh-CN"/>
        </w:rPr>
        <w:t>。</w:t>
      </w:r>
    </w:p>
    <w:p>
      <w:pPr>
        <w:pStyle w:val="12"/>
        <w:snapToGrid w:val="0"/>
        <w:spacing w:before="120" w:after="120"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 xml:space="preserve"> 在质保期内，乙方应对</w:t>
      </w:r>
      <w:r>
        <w:rPr>
          <w:rFonts w:hint="eastAsia" w:asciiTheme="minorEastAsia" w:hAnsiTheme="minorEastAsia" w:eastAsiaTheme="minorEastAsia"/>
          <w:color w:val="auto"/>
          <w:sz w:val="24"/>
          <w:highlight w:val="none"/>
        </w:rPr>
        <w:t>成果</w:t>
      </w:r>
      <w:r>
        <w:rPr>
          <w:rFonts w:asciiTheme="minorEastAsia" w:hAnsiTheme="minorEastAsia" w:eastAsiaTheme="minorEastAsia"/>
          <w:color w:val="auto"/>
          <w:sz w:val="24"/>
          <w:highlight w:val="none"/>
        </w:rPr>
        <w:t>出现的质量及安全问题负责处理解决并承担一切费用。</w:t>
      </w:r>
    </w:p>
    <w:p>
      <w:pPr>
        <w:pStyle w:val="12"/>
        <w:numPr>
          <w:ilvl w:val="0"/>
          <w:numId w:val="14"/>
        </w:numPr>
        <w:snapToGrid w:val="0"/>
        <w:spacing w:before="120" w:after="120"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上述的免费保修期为</w:t>
      </w:r>
      <w:r>
        <w:rPr>
          <w:rFonts w:hint="eastAsia" w:hAnsi="宋体" w:cs="宋体"/>
          <w:color w:val="auto"/>
          <w:sz w:val="24"/>
          <w:highlight w:val="none"/>
        </w:rPr>
        <w:t>主次干道标线不少于1年，支路标线不少于2年（技术需求中有列明质保期的按照技术需求中的要求）</w:t>
      </w:r>
      <w:r>
        <w:rPr>
          <w:rFonts w:asciiTheme="minorEastAsia" w:hAnsiTheme="minorEastAsia" w:eastAsiaTheme="minorEastAsia"/>
          <w:color w:val="auto"/>
          <w:sz w:val="24"/>
          <w:highlight w:val="none"/>
        </w:rPr>
        <w:t>（自交</w:t>
      </w:r>
      <w:r>
        <w:rPr>
          <w:rFonts w:hint="eastAsia" w:asciiTheme="minorEastAsia" w:hAnsiTheme="minorEastAsia" w:eastAsiaTheme="minorEastAsia"/>
          <w:color w:val="auto"/>
          <w:sz w:val="24"/>
          <w:highlight w:val="none"/>
        </w:rPr>
        <w:t>付</w:t>
      </w:r>
      <w:r>
        <w:rPr>
          <w:rFonts w:asciiTheme="minorEastAsia" w:hAnsiTheme="minorEastAsia" w:eastAsiaTheme="minorEastAsia"/>
          <w:color w:val="auto"/>
          <w:sz w:val="24"/>
          <w:highlight w:val="none"/>
        </w:rPr>
        <w:t>验收合格之日起计），因人为因素出现的故障不在免费保修范围内。</w:t>
      </w:r>
      <w:r>
        <w:rPr>
          <w:rFonts w:hint="eastAsia" w:asciiTheme="minorEastAsia" w:hAnsiTheme="minorEastAsia" w:eastAsiaTheme="minorEastAsia"/>
          <w:color w:val="auto"/>
          <w:sz w:val="24"/>
          <w:highlight w:val="none"/>
        </w:rPr>
        <w:t>超过保修期的机器设备，终生维修，维修时只收部件成本费。</w:t>
      </w:r>
    </w:p>
    <w:p>
      <w:pPr>
        <w:pStyle w:val="12"/>
        <w:numPr>
          <w:ilvl w:val="0"/>
          <w:numId w:val="15"/>
        </w:numPr>
        <w:snapToGrid w:val="0"/>
        <w:spacing w:before="120" w:after="120" w:line="360" w:lineRule="auto"/>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调试和验收</w:t>
      </w:r>
    </w:p>
    <w:p>
      <w:pPr>
        <w:pStyle w:val="12"/>
        <w:snapToGrid w:val="0"/>
        <w:spacing w:before="120" w:after="120" w:line="360" w:lineRule="auto"/>
        <w:ind w:left="480" w:hanging="480" w:hangingChars="200"/>
        <w:rPr>
          <w:rFonts w:hint="eastAsia"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lang w:val="en-US" w:eastAsia="zh-CN"/>
        </w:rPr>
        <w:t>1.甲方对乙方完工的标线及水除线,依据招标文件上的技术规格要求和国家有关质量标准进行现场初步验收，外观、施工质量、效果符合招标文件技术要求的，给予通过，初步验收不合格的不通过。</w:t>
      </w:r>
    </w:p>
    <w:p>
      <w:pPr>
        <w:pStyle w:val="12"/>
        <w:snapToGrid w:val="0"/>
        <w:spacing w:before="120" w:after="120" w:line="360" w:lineRule="auto"/>
        <w:ind w:left="480" w:hanging="480" w:hangingChars="200"/>
        <w:rPr>
          <w:rFonts w:hint="eastAsia"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lang w:val="en-US" w:eastAsia="zh-CN"/>
        </w:rPr>
        <w:t>2.验收时乙方应提供每个路口、路段标线的工作量清单，标线路口的工作量清单要描述各个方向的工作量。道路交通标线的箭头、文字或字母、图形、区域等特殊路面标线按区域面积(以设计特殊标线前、后、左、右四侧的最外缘涂敷点或线连接成的顺中心线方向矩形面积)计算数量，其他路面标线按涂敷实际面积计算数量;路面标线玻璃珠包含在涂敷面积内，不单独计量。)</w:t>
      </w:r>
    </w:p>
    <w:p>
      <w:pPr>
        <w:pStyle w:val="12"/>
        <w:snapToGrid w:val="0"/>
        <w:spacing w:before="120" w:after="120" w:line="360" w:lineRule="auto"/>
        <w:ind w:left="480" w:hanging="480" w:hangingChars="200"/>
        <w:rPr>
          <w:rFonts w:hint="eastAsia"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lang w:val="en-US" w:eastAsia="zh-CN"/>
        </w:rPr>
        <w:t>3.乙方交货前应对产品作出全面检查和对验收文件进行整理，并列出清单，作为甲方收货验收和使用的技术条件依据，检验的结果应随货物交甲方。</w:t>
      </w:r>
    </w:p>
    <w:p>
      <w:pPr>
        <w:pStyle w:val="12"/>
        <w:snapToGrid w:val="0"/>
        <w:spacing w:before="120" w:after="120" w:line="360" w:lineRule="auto"/>
        <w:ind w:left="480" w:hanging="480" w:hangingChars="200"/>
        <w:rPr>
          <w:rFonts w:hint="eastAsia"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lang w:val="en-US" w:eastAsia="zh-CN"/>
        </w:rPr>
        <w:t>4.甲方对乙方提供的货物在使用前进行调试时，乙方需负责安装并培训甲方的使用操作人员，并协助甲方一起调试，直到符合技术要求，甲方才做最终验收。</w:t>
      </w:r>
    </w:p>
    <w:p>
      <w:pPr>
        <w:pStyle w:val="12"/>
        <w:snapToGrid w:val="0"/>
        <w:spacing w:before="120" w:after="120" w:line="360" w:lineRule="auto"/>
        <w:ind w:left="480" w:hanging="480" w:hangingChars="200"/>
        <w:rPr>
          <w:rFonts w:hint="eastAsia"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lang w:val="en-US" w:eastAsia="zh-CN"/>
        </w:rPr>
        <w:t>5.对技术复杂的货物，甲方应请国家认可的专业检测机构参与初步验收及最终验收，并由其出具质量检测报告。</w:t>
      </w:r>
    </w:p>
    <w:p>
      <w:pPr>
        <w:pStyle w:val="12"/>
        <w:snapToGrid w:val="0"/>
        <w:spacing w:before="120" w:after="120" w:line="360" w:lineRule="auto"/>
        <w:ind w:left="480" w:hanging="480" w:hangingChars="200"/>
        <w:rPr>
          <w:rFonts w:asciiTheme="minorEastAsia" w:hAnsiTheme="minorEastAsia" w:eastAsiaTheme="minorEastAsia"/>
          <w:color w:val="auto"/>
          <w:sz w:val="24"/>
          <w:highlight w:val="none"/>
          <w:lang w:val="en-US" w:eastAsia="zh-CN"/>
        </w:rPr>
      </w:pPr>
      <w:r>
        <w:rPr>
          <w:rFonts w:hint="eastAsia" w:asciiTheme="minorEastAsia" w:hAnsiTheme="minorEastAsia" w:eastAsiaTheme="minorEastAsia"/>
          <w:color w:val="auto"/>
          <w:sz w:val="24"/>
          <w:highlight w:val="none"/>
          <w:lang w:val="en-US" w:eastAsia="zh-CN"/>
        </w:rPr>
        <w:t>6.验收时乙方必须在现场，验收完毕后作出验收结果报告;验收费用由乙方负责。</w:t>
      </w:r>
    </w:p>
    <w:p>
      <w:pPr>
        <w:pStyle w:val="12"/>
        <w:snapToGrid w:val="0"/>
        <w:spacing w:before="120" w:after="120" w:line="360" w:lineRule="auto"/>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十</w:t>
      </w:r>
      <w:r>
        <w:rPr>
          <w:rFonts w:hint="eastAsia" w:asciiTheme="minorEastAsia" w:hAnsiTheme="minorEastAsia" w:eastAsiaTheme="minorEastAsia"/>
          <w:b/>
          <w:color w:val="auto"/>
          <w:sz w:val="24"/>
          <w:highlight w:val="none"/>
        </w:rPr>
        <w:t>五</w:t>
      </w:r>
      <w:r>
        <w:rPr>
          <w:rFonts w:asciiTheme="minorEastAsia" w:hAnsiTheme="minorEastAsia" w:eastAsiaTheme="minorEastAsia"/>
          <w:b/>
          <w:color w:val="auto"/>
          <w:sz w:val="24"/>
          <w:highlight w:val="none"/>
        </w:rPr>
        <w:t>、货物包装、发运及运输</w:t>
      </w:r>
    </w:p>
    <w:p>
      <w:pPr>
        <w:pStyle w:val="12"/>
        <w:snapToGrid w:val="0"/>
        <w:spacing w:before="120" w:after="120" w:line="360" w:lineRule="auto"/>
        <w:ind w:left="480" w:hanging="480" w:hanging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 xml:space="preserve"> 乙方应在货物发运前对其进行满足运输距离、防潮、防震、防锈和防破损装卸等要求包装，以保证货物安全运达甲方指定地点。</w:t>
      </w:r>
    </w:p>
    <w:p>
      <w:pPr>
        <w:pStyle w:val="12"/>
        <w:snapToGrid w:val="0"/>
        <w:spacing w:before="120" w:after="120" w:line="360" w:lineRule="auto"/>
        <w:ind w:left="480" w:hanging="480" w:hanging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 xml:space="preserve"> 使用说明书、质量检验证明书、随配附件和工具以及清单一并附于货物内。</w:t>
      </w:r>
    </w:p>
    <w:p>
      <w:pPr>
        <w:pStyle w:val="12"/>
        <w:snapToGrid w:val="0"/>
        <w:spacing w:before="120" w:after="120" w:line="360" w:lineRule="auto"/>
        <w:ind w:left="480" w:hanging="480" w:hanging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 xml:space="preserve"> 乙方在货物发运手续办理完毕后24小时内或货到甲方48小时前通知甲方，以准备接货。</w:t>
      </w:r>
    </w:p>
    <w:p>
      <w:pPr>
        <w:pStyle w:val="12"/>
        <w:snapToGrid w:val="0"/>
        <w:spacing w:before="120" w:after="120" w:line="360" w:lineRule="auto"/>
        <w:ind w:left="480" w:hanging="480" w:hanging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 xml:space="preserve"> 货物在交付甲方前发生的风险均由乙方负责。</w:t>
      </w:r>
    </w:p>
    <w:p>
      <w:pPr>
        <w:pStyle w:val="12"/>
        <w:snapToGrid w:val="0"/>
        <w:spacing w:line="360" w:lineRule="auto"/>
        <w:ind w:left="480" w:right="26" w:hanging="480" w:hanging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5</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 xml:space="preserve"> 货物在规定的交付期限内由乙方送达甲方指定的地点视为交付，乙方同时需</w:t>
      </w:r>
    </w:p>
    <w:p>
      <w:pPr>
        <w:pStyle w:val="12"/>
        <w:snapToGrid w:val="0"/>
        <w:spacing w:line="360" w:lineRule="auto"/>
        <w:ind w:left="479" w:leftChars="171" w:right="26" w:hanging="120" w:hangingChars="5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通知甲方货物已送达。</w:t>
      </w:r>
    </w:p>
    <w:p>
      <w:pPr>
        <w:pStyle w:val="12"/>
        <w:snapToGrid w:val="0"/>
        <w:spacing w:line="360" w:lineRule="auto"/>
        <w:ind w:right="26"/>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6.乙方运送的货物涉及商品包装和快递包装的，参考《商品包装政府采购需求标准（试行）》、《快递包装政府采购需求标准（试行）》(财办库〔2020〕123号)</w:t>
      </w:r>
    </w:p>
    <w:p>
      <w:pPr>
        <w:pStyle w:val="12"/>
        <w:snapToGrid w:val="0"/>
        <w:spacing w:before="120" w:after="120" w:line="360" w:lineRule="auto"/>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十</w:t>
      </w:r>
      <w:r>
        <w:rPr>
          <w:rFonts w:hint="eastAsia" w:asciiTheme="minorEastAsia" w:hAnsiTheme="minorEastAsia" w:eastAsiaTheme="minorEastAsia"/>
          <w:b/>
          <w:color w:val="auto"/>
          <w:sz w:val="24"/>
          <w:highlight w:val="none"/>
        </w:rPr>
        <w:t>六</w:t>
      </w:r>
      <w:r>
        <w:rPr>
          <w:rFonts w:asciiTheme="minorEastAsia" w:hAnsiTheme="minorEastAsia" w:eastAsiaTheme="minorEastAsia"/>
          <w:b/>
          <w:color w:val="auto"/>
          <w:sz w:val="24"/>
          <w:highlight w:val="none"/>
        </w:rPr>
        <w:t>、违约责任</w:t>
      </w:r>
    </w:p>
    <w:p>
      <w:pPr>
        <w:pStyle w:val="12"/>
        <w:snapToGrid w:val="0"/>
        <w:spacing w:before="120" w:after="120" w:line="360" w:lineRule="auto"/>
        <w:ind w:left="410" w:hanging="410" w:hangingChars="171"/>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 xml:space="preserve"> 甲方无正当理由拒收货物的，甲方向乙方偿付拒收货款总值的</w:t>
      </w:r>
      <w:r>
        <w:rPr>
          <w:rFonts w:asciiTheme="minorEastAsia" w:hAnsiTheme="minorEastAsia" w:eastAsiaTheme="minorEastAsia"/>
          <w:color w:val="auto"/>
          <w:sz w:val="24"/>
          <w:highlight w:val="none"/>
          <w:u w:val="single"/>
        </w:rPr>
        <w:t>百分之五</w:t>
      </w:r>
      <w:r>
        <w:rPr>
          <w:rFonts w:asciiTheme="minorEastAsia" w:hAnsiTheme="minorEastAsia" w:eastAsiaTheme="minorEastAsia"/>
          <w:color w:val="auto"/>
          <w:sz w:val="24"/>
          <w:highlight w:val="none"/>
        </w:rPr>
        <w:t>违约金。</w:t>
      </w:r>
    </w:p>
    <w:p>
      <w:pPr>
        <w:pStyle w:val="12"/>
        <w:snapToGrid w:val="0"/>
        <w:spacing w:before="120" w:after="120" w:line="360" w:lineRule="auto"/>
        <w:ind w:left="410" w:hanging="410" w:hangingChars="171"/>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 xml:space="preserve"> 甲方无故逾期验收和办理货款支付手续的,甲方应按逾期付款</w:t>
      </w:r>
      <w:r>
        <w:rPr>
          <w:rFonts w:hint="eastAsia" w:asciiTheme="minorEastAsia" w:hAnsiTheme="minorEastAsia" w:eastAsiaTheme="minorEastAsia"/>
          <w:color w:val="auto"/>
          <w:sz w:val="24"/>
          <w:highlight w:val="none"/>
        </w:rPr>
        <w:t>金</w:t>
      </w:r>
      <w:r>
        <w:rPr>
          <w:rFonts w:asciiTheme="minorEastAsia" w:hAnsiTheme="minorEastAsia" w:eastAsiaTheme="minorEastAsia"/>
          <w:color w:val="auto"/>
          <w:sz w:val="24"/>
          <w:highlight w:val="none"/>
        </w:rPr>
        <w:t>额</w:t>
      </w:r>
      <w:r>
        <w:rPr>
          <w:rFonts w:asciiTheme="minorEastAsia" w:hAnsiTheme="minorEastAsia" w:eastAsiaTheme="minorEastAsia"/>
          <w:color w:val="auto"/>
          <w:sz w:val="24"/>
          <w:highlight w:val="none"/>
          <w:u w:val="single"/>
        </w:rPr>
        <w:t>万分之五</w:t>
      </w:r>
      <w:r>
        <w:rPr>
          <w:rFonts w:hint="eastAsia" w:asciiTheme="minorEastAsia" w:hAnsiTheme="minorEastAsia" w:eastAsiaTheme="minorEastAsia"/>
          <w:color w:val="auto"/>
          <w:sz w:val="24"/>
          <w:highlight w:val="none"/>
        </w:rPr>
        <w:t>每</w:t>
      </w:r>
      <w:r>
        <w:rPr>
          <w:rFonts w:asciiTheme="minorEastAsia" w:hAnsiTheme="minorEastAsia" w:eastAsiaTheme="minorEastAsia"/>
          <w:color w:val="auto"/>
          <w:sz w:val="24"/>
          <w:highlight w:val="none"/>
        </w:rPr>
        <w:t>日向乙方支付违约金。</w:t>
      </w:r>
    </w:p>
    <w:p>
      <w:pPr>
        <w:pStyle w:val="12"/>
        <w:snapToGrid w:val="0"/>
        <w:spacing w:before="120" w:after="120" w:line="360" w:lineRule="auto"/>
        <w:ind w:left="410" w:hanging="410" w:hangingChars="171"/>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 xml:space="preserve"> 乙方逾期交付货物的，乙方应按逾期交货总额</w:t>
      </w:r>
      <w:r>
        <w:rPr>
          <w:rFonts w:asciiTheme="minorEastAsia" w:hAnsiTheme="minorEastAsia" w:eastAsiaTheme="minorEastAsia"/>
          <w:color w:val="auto"/>
          <w:sz w:val="24"/>
          <w:highlight w:val="none"/>
          <w:u w:val="single"/>
        </w:rPr>
        <w:t>千分之六</w:t>
      </w:r>
      <w:r>
        <w:rPr>
          <w:rFonts w:hint="eastAsia" w:asciiTheme="minorEastAsia" w:hAnsiTheme="minorEastAsia" w:eastAsiaTheme="minorEastAsia"/>
          <w:color w:val="auto"/>
          <w:sz w:val="24"/>
          <w:highlight w:val="none"/>
        </w:rPr>
        <w:t>每</w:t>
      </w:r>
      <w:r>
        <w:rPr>
          <w:rFonts w:asciiTheme="minorEastAsia" w:hAnsiTheme="minorEastAsia" w:eastAsiaTheme="minorEastAsia"/>
          <w:color w:val="auto"/>
          <w:sz w:val="24"/>
          <w:highlight w:val="none"/>
        </w:rPr>
        <w:t>日向甲方支付违约金，由甲方从待付货款中扣除。逾期超过约定日期</w:t>
      </w:r>
      <w:r>
        <w:rPr>
          <w:rFonts w:asciiTheme="minorEastAsia" w:hAnsiTheme="minorEastAsia" w:eastAsiaTheme="minorEastAsia"/>
          <w:color w:val="auto"/>
          <w:sz w:val="24"/>
          <w:highlight w:val="none"/>
          <w:u w:val="single"/>
        </w:rPr>
        <w:t>10</w:t>
      </w:r>
      <w:r>
        <w:rPr>
          <w:rFonts w:asciiTheme="minorEastAsia" w:hAnsiTheme="minorEastAsia" w:eastAsiaTheme="minorEastAsia"/>
          <w:color w:val="auto"/>
          <w:sz w:val="24"/>
          <w:highlight w:val="none"/>
        </w:rPr>
        <w:t>个工作日不能交货的，甲方可解除本合同。因乙方逾期交货或因其他违约行为导致甲方解除合同的，</w:t>
      </w:r>
      <w:r>
        <w:rPr>
          <w:rFonts w:hint="eastAsia" w:asciiTheme="minorEastAsia" w:hAnsiTheme="minorEastAsia" w:eastAsiaTheme="minorEastAsia"/>
          <w:color w:val="auto"/>
          <w:sz w:val="24"/>
          <w:highlight w:val="none"/>
        </w:rPr>
        <w:t>没收履约保证金并追究乙方的违约责任</w:t>
      </w:r>
      <w:r>
        <w:rPr>
          <w:rFonts w:hint="eastAsia" w:asciiTheme="minorEastAsia" w:hAnsiTheme="minorEastAsia" w:eastAsiaTheme="minorEastAsia"/>
          <w:color w:val="auto"/>
          <w:sz w:val="24"/>
          <w:highlight w:val="none"/>
          <w:lang w:eastAsia="zh-CN"/>
        </w:rPr>
        <w:t>，</w:t>
      </w:r>
      <w:r>
        <w:rPr>
          <w:rFonts w:asciiTheme="minorEastAsia" w:hAnsiTheme="minorEastAsia" w:eastAsiaTheme="minorEastAsia"/>
          <w:color w:val="auto"/>
          <w:sz w:val="24"/>
          <w:highlight w:val="none"/>
        </w:rPr>
        <w:t>乙方</w:t>
      </w:r>
      <w:r>
        <w:rPr>
          <w:rFonts w:hint="eastAsia" w:asciiTheme="minorEastAsia" w:hAnsiTheme="minorEastAsia" w:eastAsiaTheme="minorEastAsia"/>
          <w:color w:val="auto"/>
          <w:sz w:val="24"/>
          <w:highlight w:val="none"/>
          <w:lang w:eastAsia="zh-CN"/>
        </w:rPr>
        <w:t>还</w:t>
      </w:r>
      <w:r>
        <w:rPr>
          <w:rFonts w:asciiTheme="minorEastAsia" w:hAnsiTheme="minorEastAsia" w:eastAsiaTheme="minorEastAsia"/>
          <w:color w:val="auto"/>
          <w:sz w:val="24"/>
          <w:highlight w:val="none"/>
        </w:rPr>
        <w:t>应向甲方支付合同总值</w:t>
      </w:r>
      <w:r>
        <w:rPr>
          <w:rFonts w:hint="eastAsia" w:asciiTheme="minorEastAsia" w:hAnsiTheme="minorEastAsia" w:eastAsiaTheme="minorEastAsia"/>
          <w:color w:val="auto"/>
          <w:sz w:val="24"/>
          <w:highlight w:val="none"/>
          <w:u w:val="single"/>
          <w:lang w:val="en-US" w:eastAsia="zh-CN"/>
        </w:rPr>
        <w:t>6</w:t>
      </w:r>
      <w:r>
        <w:rPr>
          <w:rFonts w:asciiTheme="minorEastAsia" w:hAnsiTheme="minorEastAsia" w:eastAsiaTheme="minorEastAsia"/>
          <w:color w:val="auto"/>
          <w:sz w:val="24"/>
          <w:highlight w:val="none"/>
          <w:u w:val="single"/>
        </w:rPr>
        <w:t>%</w:t>
      </w:r>
      <w:r>
        <w:rPr>
          <w:rFonts w:asciiTheme="minorEastAsia" w:hAnsiTheme="minorEastAsia" w:eastAsiaTheme="minorEastAsia"/>
          <w:color w:val="auto"/>
          <w:sz w:val="24"/>
          <w:highlight w:val="none"/>
        </w:rPr>
        <w:t xml:space="preserve">的违约金，如造成甲方损失超过违约金的，超出部分由乙方继续承担赔偿责任。 </w:t>
      </w:r>
    </w:p>
    <w:p>
      <w:pPr>
        <w:pStyle w:val="12"/>
        <w:snapToGrid w:val="0"/>
        <w:spacing w:before="120" w:after="120" w:line="360" w:lineRule="auto"/>
        <w:ind w:left="410" w:hanging="410" w:hangingChars="171"/>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 xml:space="preserve">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2"/>
        <w:snapToGrid w:val="0"/>
        <w:spacing w:before="120" w:after="120" w:line="360" w:lineRule="auto"/>
        <w:ind w:left="410" w:hanging="410" w:hangingChars="171"/>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5.若发生纠纷，由违约方赔偿守约方因纠纷所支付的费用（包括但不限于律师费、差旅费、诉讼费、保全费、鉴定费、评估费等）</w:t>
      </w:r>
    </w:p>
    <w:p>
      <w:pPr>
        <w:pStyle w:val="12"/>
        <w:snapToGrid w:val="0"/>
        <w:spacing w:before="120" w:after="120" w:line="360" w:lineRule="auto"/>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十</w:t>
      </w:r>
      <w:r>
        <w:rPr>
          <w:rFonts w:hint="eastAsia" w:asciiTheme="minorEastAsia" w:hAnsiTheme="minorEastAsia" w:eastAsiaTheme="minorEastAsia"/>
          <w:b/>
          <w:color w:val="auto"/>
          <w:sz w:val="24"/>
          <w:highlight w:val="none"/>
        </w:rPr>
        <w:t>七</w:t>
      </w:r>
      <w:r>
        <w:rPr>
          <w:rFonts w:asciiTheme="minorEastAsia" w:hAnsiTheme="minorEastAsia" w:eastAsiaTheme="minorEastAsia"/>
          <w:b/>
          <w:color w:val="auto"/>
          <w:sz w:val="24"/>
          <w:highlight w:val="none"/>
        </w:rPr>
        <w:t>、不可抗力事件处理</w:t>
      </w:r>
    </w:p>
    <w:p>
      <w:pPr>
        <w:pStyle w:val="12"/>
        <w:snapToGrid w:val="0"/>
        <w:spacing w:before="120" w:after="120"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 xml:space="preserve"> 在合同有效期内，任何一方因不可抗力事件导致不能履行合同，则合同履行</w:t>
      </w:r>
    </w:p>
    <w:p>
      <w:pPr>
        <w:pStyle w:val="12"/>
        <w:snapToGrid w:val="0"/>
        <w:spacing w:before="120" w:after="120" w:line="360" w:lineRule="auto"/>
        <w:ind w:firstLine="360" w:firstLineChars="15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期可延长，其延长期与不可抗力影响期相同。</w:t>
      </w:r>
    </w:p>
    <w:p>
      <w:pPr>
        <w:pStyle w:val="12"/>
        <w:snapToGrid w:val="0"/>
        <w:spacing w:before="120" w:after="120"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 xml:space="preserve"> 不可抗力事件发生后，应立即通知对方，并寄送有关权威机构出具的证明。</w:t>
      </w:r>
    </w:p>
    <w:p>
      <w:pPr>
        <w:pStyle w:val="12"/>
        <w:snapToGrid w:val="0"/>
        <w:spacing w:before="120" w:after="120" w:line="360" w:lineRule="auto"/>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3</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 xml:space="preserve"> 不可抗力事件延续120天以上，双方应通过友好协商，确定是否继续履行合</w:t>
      </w:r>
    </w:p>
    <w:p>
      <w:pPr>
        <w:pStyle w:val="12"/>
        <w:snapToGrid w:val="0"/>
        <w:spacing w:before="120" w:after="120" w:line="360" w:lineRule="auto"/>
        <w:ind w:firstLine="360" w:firstLineChars="15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同。</w:t>
      </w:r>
    </w:p>
    <w:p>
      <w:pPr>
        <w:pStyle w:val="12"/>
        <w:snapToGrid w:val="0"/>
        <w:spacing w:before="120" w:after="120" w:line="360" w:lineRule="auto"/>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十</w:t>
      </w:r>
      <w:r>
        <w:rPr>
          <w:rFonts w:hint="eastAsia" w:asciiTheme="minorEastAsia" w:hAnsiTheme="minorEastAsia" w:eastAsiaTheme="minorEastAsia"/>
          <w:b/>
          <w:color w:val="auto"/>
          <w:sz w:val="24"/>
          <w:highlight w:val="none"/>
        </w:rPr>
        <w:t>八</w:t>
      </w:r>
      <w:r>
        <w:rPr>
          <w:rFonts w:asciiTheme="minorEastAsia" w:hAnsiTheme="minorEastAsia" w:eastAsiaTheme="minorEastAsia"/>
          <w:b/>
          <w:color w:val="auto"/>
          <w:sz w:val="24"/>
          <w:highlight w:val="none"/>
        </w:rPr>
        <w:t>、</w:t>
      </w:r>
      <w:r>
        <w:rPr>
          <w:rFonts w:hint="eastAsia" w:asciiTheme="minorEastAsia" w:hAnsiTheme="minorEastAsia" w:eastAsiaTheme="minorEastAsia"/>
          <w:b/>
          <w:color w:val="auto"/>
          <w:sz w:val="24"/>
          <w:highlight w:val="none"/>
        </w:rPr>
        <w:t>解决争议的方法</w:t>
      </w:r>
    </w:p>
    <w:p>
      <w:pPr>
        <w:pStyle w:val="12"/>
        <w:snapToGrid w:val="0"/>
        <w:spacing w:before="120" w:after="120"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 xml:space="preserve">1. </w:t>
      </w:r>
      <w:r>
        <w:rPr>
          <w:rFonts w:asciiTheme="minorEastAsia" w:hAnsiTheme="minorEastAsia" w:eastAsiaTheme="minorEastAsia"/>
          <w:color w:val="auto"/>
          <w:sz w:val="24"/>
          <w:highlight w:val="none"/>
        </w:rPr>
        <w:t>如双方在履行合同时发生纠纷，应协商解决；协商不成时，可提请政府采购管理部门调解；调解不成的通过</w:t>
      </w:r>
      <w:r>
        <w:rPr>
          <w:rFonts w:hint="eastAsia" w:asciiTheme="minorEastAsia" w:hAnsiTheme="minorEastAsia" w:eastAsiaTheme="minorEastAsia"/>
          <w:color w:val="auto"/>
          <w:sz w:val="24"/>
          <w:highlight w:val="none"/>
        </w:rPr>
        <w:t>通过以下第（一）方式解决</w:t>
      </w:r>
      <w:r>
        <w:rPr>
          <w:rFonts w:asciiTheme="minorEastAsia" w:hAnsiTheme="minorEastAsia" w:eastAsiaTheme="minorEastAsia"/>
          <w:color w:val="auto"/>
          <w:sz w:val="24"/>
          <w:highlight w:val="none"/>
        </w:rPr>
        <w:t>：</w:t>
      </w:r>
    </w:p>
    <w:p>
      <w:pPr>
        <w:pStyle w:val="12"/>
        <w:snapToGrid w:val="0"/>
        <w:spacing w:before="120" w:after="120"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（一）</w:t>
      </w:r>
      <w:r>
        <w:rPr>
          <w:rFonts w:asciiTheme="minorEastAsia" w:hAnsiTheme="minorEastAsia" w:eastAsiaTheme="minorEastAsia"/>
          <w:color w:val="auto"/>
          <w:sz w:val="24"/>
          <w:highlight w:val="none"/>
        </w:rPr>
        <w:t>提交台州仲裁委员会仲裁。</w:t>
      </w:r>
    </w:p>
    <w:p>
      <w:pPr>
        <w:pStyle w:val="12"/>
        <w:snapToGrid w:val="0"/>
        <w:spacing w:before="120" w:after="120" w:line="360" w:lineRule="auto"/>
        <w:rPr>
          <w:color w:val="auto"/>
          <w:sz w:val="24"/>
          <w:highlight w:val="none"/>
        </w:rPr>
      </w:pPr>
      <w:r>
        <w:rPr>
          <w:rFonts w:hint="eastAsia" w:asciiTheme="minorEastAsia" w:hAnsiTheme="minorEastAsia" w:eastAsiaTheme="minorEastAsia"/>
          <w:color w:val="auto"/>
          <w:sz w:val="24"/>
          <w:highlight w:val="none"/>
        </w:rPr>
        <w:t>（二）</w:t>
      </w:r>
      <w:r>
        <w:rPr>
          <w:rFonts w:asciiTheme="minorEastAsia" w:hAnsiTheme="minorEastAsia" w:eastAsiaTheme="minorEastAsia"/>
          <w:color w:val="auto"/>
          <w:sz w:val="24"/>
          <w:highlight w:val="none"/>
        </w:rPr>
        <w:t xml:space="preserve">依法向人民法院提起诉讼。 </w:t>
      </w:r>
    </w:p>
    <w:p>
      <w:pPr>
        <w:pStyle w:val="12"/>
        <w:tabs>
          <w:tab w:val="left" w:pos="5790"/>
        </w:tabs>
        <w:snapToGrid w:val="0"/>
        <w:spacing w:before="120" w:after="120" w:line="360" w:lineRule="auto"/>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十</w:t>
      </w:r>
      <w:r>
        <w:rPr>
          <w:rFonts w:hint="eastAsia" w:asciiTheme="minorEastAsia" w:hAnsiTheme="minorEastAsia" w:eastAsiaTheme="minorEastAsia"/>
          <w:b/>
          <w:color w:val="auto"/>
          <w:sz w:val="24"/>
          <w:highlight w:val="none"/>
        </w:rPr>
        <w:t>九</w:t>
      </w:r>
      <w:r>
        <w:rPr>
          <w:rFonts w:asciiTheme="minorEastAsia" w:hAnsiTheme="minorEastAsia" w:eastAsiaTheme="minorEastAsia"/>
          <w:b/>
          <w:color w:val="auto"/>
          <w:sz w:val="24"/>
          <w:highlight w:val="none"/>
        </w:rPr>
        <w:t>、合同生效及其它</w:t>
      </w:r>
      <w:r>
        <w:rPr>
          <w:rFonts w:asciiTheme="minorEastAsia" w:hAnsiTheme="minorEastAsia" w:eastAsiaTheme="minorEastAsia"/>
          <w:b/>
          <w:color w:val="auto"/>
          <w:sz w:val="24"/>
          <w:highlight w:val="none"/>
        </w:rPr>
        <w:tab/>
      </w:r>
    </w:p>
    <w:p>
      <w:pPr>
        <w:pStyle w:val="4"/>
        <w:numPr>
          <w:ilvl w:val="0"/>
          <w:numId w:val="0"/>
        </w:numPr>
        <w:ind w:left="425" w:leftChars="0"/>
        <w:jc w:val="both"/>
        <w:rPr>
          <w:rFonts w:ascii="宋体" w:hAnsi="宋体" w:cs="宋体"/>
          <w:color w:val="auto"/>
          <w:sz w:val="24"/>
          <w:highlight w:val="none"/>
          <w:shd w:val="clear" w:color="auto" w:fill="auto"/>
        </w:rPr>
      </w:pPr>
      <w:r>
        <w:rPr>
          <w:rFonts w:ascii="宋体" w:hAnsi="宋体" w:cs="宋体"/>
          <w:color w:val="auto"/>
          <w:sz w:val="24"/>
          <w:highlight w:val="none"/>
          <w:shd w:val="clear" w:color="auto" w:fill="auto"/>
        </w:rPr>
        <w:t>1</w:t>
      </w:r>
      <w:r>
        <w:rPr>
          <w:rFonts w:hint="eastAsia" w:ascii="宋体" w:hAnsi="宋体" w:cs="宋体"/>
          <w:color w:val="auto"/>
          <w:sz w:val="24"/>
          <w:highlight w:val="none"/>
          <w:shd w:val="clear" w:color="auto" w:fill="auto"/>
        </w:rPr>
        <w:t>.</w:t>
      </w:r>
      <w:r>
        <w:rPr>
          <w:rFonts w:ascii="宋体" w:hAnsi="宋体" w:cs="宋体"/>
          <w:color w:val="auto"/>
          <w:sz w:val="24"/>
          <w:highlight w:val="none"/>
          <w:shd w:val="clear" w:color="auto" w:fill="auto"/>
        </w:rPr>
        <w:t xml:space="preserve"> </w:t>
      </w:r>
      <w:r>
        <w:rPr>
          <w:rFonts w:hint="eastAsia" w:ascii="宋体" w:hAnsi="宋体" w:cs="宋体"/>
          <w:color w:val="auto"/>
          <w:sz w:val="24"/>
          <w:highlight w:val="none"/>
          <w:shd w:val="clear" w:color="auto" w:fill="auto"/>
        </w:rPr>
        <w:t>其他条款见《专用合同条款》</w:t>
      </w:r>
    </w:p>
    <w:p>
      <w:pPr>
        <w:pStyle w:val="11"/>
        <w:widowControl/>
        <w:spacing w:line="360" w:lineRule="auto"/>
        <w:ind w:right="-88"/>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w:t>
      </w:r>
      <w:r>
        <w:rPr>
          <w:rFonts w:asciiTheme="minorEastAsia" w:hAnsiTheme="minorEastAsia" w:eastAsiaTheme="minorEastAsia"/>
          <w:color w:val="auto"/>
          <w:highlight w:val="none"/>
        </w:rPr>
        <w:t>合同经双方法定代表人或授权代表</w:t>
      </w:r>
      <w:r>
        <w:rPr>
          <w:rFonts w:hint="eastAsia" w:asciiTheme="minorEastAsia" w:hAnsiTheme="minorEastAsia" w:eastAsiaTheme="minorEastAsia"/>
          <w:color w:val="auto"/>
          <w:highlight w:val="none"/>
        </w:rPr>
        <w:t>签字</w:t>
      </w:r>
      <w:r>
        <w:rPr>
          <w:rFonts w:asciiTheme="minorEastAsia" w:hAnsiTheme="minorEastAsia" w:eastAsiaTheme="minorEastAsia"/>
          <w:color w:val="auto"/>
          <w:highlight w:val="none"/>
        </w:rPr>
        <w:t>并加盖单位公章后生效。</w:t>
      </w:r>
    </w:p>
    <w:p>
      <w:pPr>
        <w:pStyle w:val="11"/>
        <w:widowControl/>
        <w:spacing w:line="360" w:lineRule="auto"/>
        <w:ind w:right="-88"/>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w:t>
      </w:r>
      <w:r>
        <w:rPr>
          <w:rFonts w:asciiTheme="minorEastAsia" w:hAnsiTheme="minorEastAsia" w:eastAsiaTheme="minorEastAsia"/>
          <w:color w:val="auto"/>
          <w:highlight w:val="none"/>
        </w:rPr>
        <w:t>本合同未尽事宜，遵照《</w:t>
      </w:r>
      <w:r>
        <w:rPr>
          <w:color w:val="auto"/>
          <w:highlight w:val="none"/>
        </w:rPr>
        <w:fldChar w:fldCharType="begin"/>
      </w:r>
      <w:r>
        <w:rPr>
          <w:color w:val="auto"/>
          <w:highlight w:val="none"/>
        </w:rPr>
        <w:instrText xml:space="preserve"> HYPERLINK "https://baike.so.com/doc/24285488-25517578.html" \t "https://www.so.com/_blank" </w:instrText>
      </w:r>
      <w:r>
        <w:rPr>
          <w:color w:val="auto"/>
          <w:highlight w:val="none"/>
        </w:rPr>
        <w:fldChar w:fldCharType="separate"/>
      </w:r>
      <w:r>
        <w:rPr>
          <w:rFonts w:asciiTheme="minorEastAsia" w:hAnsiTheme="minorEastAsia" w:eastAsiaTheme="minorEastAsia"/>
          <w:color w:val="auto"/>
          <w:highlight w:val="none"/>
        </w:rPr>
        <w:t>中华人民共和国民法典</w:t>
      </w:r>
      <w:r>
        <w:rPr>
          <w:rFonts w:asciiTheme="minorEastAsia" w:hAnsiTheme="minorEastAsia" w:eastAsiaTheme="minorEastAsia"/>
          <w:color w:val="auto"/>
          <w:highlight w:val="none"/>
        </w:rPr>
        <w:fldChar w:fldCharType="end"/>
      </w:r>
      <w:r>
        <w:rPr>
          <w:rFonts w:asciiTheme="minorEastAsia" w:hAnsiTheme="minorEastAsia" w:eastAsiaTheme="minorEastAsia"/>
          <w:color w:val="auto"/>
          <w:highlight w:val="none"/>
        </w:rPr>
        <w:t>》有关条文执行。</w:t>
      </w:r>
    </w:p>
    <w:p>
      <w:pPr>
        <w:pStyle w:val="11"/>
        <w:widowControl/>
        <w:spacing w:line="360" w:lineRule="auto"/>
        <w:ind w:right="-88"/>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4.本合同一式</w:t>
      </w:r>
      <w:r>
        <w:rPr>
          <w:rFonts w:hint="eastAsia" w:asciiTheme="minorEastAsia" w:hAnsiTheme="minorEastAsia" w:eastAsiaTheme="minorEastAsia"/>
          <w:color w:val="auto"/>
          <w:highlight w:val="none"/>
          <w:lang w:eastAsia="zh-CN"/>
        </w:rPr>
        <w:t>六</w:t>
      </w:r>
      <w:r>
        <w:rPr>
          <w:rFonts w:hint="eastAsia" w:asciiTheme="minorEastAsia" w:hAnsiTheme="minorEastAsia" w:eastAsiaTheme="minorEastAsia"/>
          <w:color w:val="auto"/>
          <w:highlight w:val="none"/>
        </w:rPr>
        <w:t>份。甲、乙双方各执</w:t>
      </w:r>
      <w:r>
        <w:rPr>
          <w:rFonts w:hint="eastAsia" w:asciiTheme="minorEastAsia" w:hAnsiTheme="minorEastAsia" w:eastAsiaTheme="minorEastAsia"/>
          <w:color w:val="auto"/>
          <w:highlight w:val="none"/>
          <w:lang w:eastAsia="zh-CN"/>
        </w:rPr>
        <w:t>三</w:t>
      </w:r>
      <w:r>
        <w:rPr>
          <w:rFonts w:hint="eastAsia" w:asciiTheme="minorEastAsia" w:hAnsiTheme="minorEastAsia" w:eastAsiaTheme="minorEastAsia"/>
          <w:color w:val="auto"/>
          <w:highlight w:val="none"/>
        </w:rPr>
        <w:t>份。本项目未尽事宜以招标文件、投标文件及澄清文件等为准。</w:t>
      </w:r>
    </w:p>
    <w:p>
      <w:pPr>
        <w:widowControl/>
        <w:spacing w:line="360" w:lineRule="auto"/>
        <w:rPr>
          <w:rFonts w:asciiTheme="minorEastAsia" w:hAnsiTheme="minorEastAsia" w:eastAsiaTheme="minorEastAsia"/>
          <w:b/>
          <w:color w:val="auto"/>
          <w:sz w:val="24"/>
          <w:highlight w:val="none"/>
        </w:rPr>
      </w:pPr>
    </w:p>
    <w:p>
      <w:pPr>
        <w:widowControl/>
        <w:spacing w:line="360" w:lineRule="auto"/>
        <w:rPr>
          <w:rFonts w:asciiTheme="minorEastAsia" w:hAnsiTheme="minorEastAsia" w:eastAsiaTheme="minorEastAsia"/>
          <w:b/>
          <w:color w:val="auto"/>
          <w:sz w:val="24"/>
          <w:highlight w:val="none"/>
        </w:rPr>
      </w:pP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甲方（公章）                                     乙方（公章）</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法定代表人：                                     法定代表人：</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委托代理人：                                     委托代理人：</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联系电话：                                       联系电话：</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开户银行：                                       开户银行：</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帐号：                                           帐号：</w:t>
      </w: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地址及邮编：                                     地址及邮编：</w:t>
      </w:r>
    </w:p>
    <w:p>
      <w:pPr>
        <w:spacing w:line="360" w:lineRule="auto"/>
        <w:rPr>
          <w:rFonts w:asciiTheme="minorEastAsia" w:hAnsiTheme="minorEastAsia" w:eastAsiaTheme="minorEastAsia"/>
          <w:color w:val="auto"/>
          <w:sz w:val="24"/>
          <w:highlight w:val="none"/>
        </w:rPr>
      </w:pPr>
    </w:p>
    <w:p>
      <w:pPr>
        <w:autoSpaceDE w:val="0"/>
        <w:autoSpaceDN w:val="0"/>
        <w:adjustRightInd w:val="0"/>
        <w:spacing w:line="360" w:lineRule="auto"/>
        <w:rPr>
          <w:rFonts w:ascii="宋体" w:hAnsi="宋体"/>
          <w:b/>
          <w:color w:val="auto"/>
          <w:kern w:val="0"/>
          <w:sz w:val="30"/>
          <w:highlight w:val="none"/>
        </w:rPr>
      </w:pPr>
      <w:r>
        <w:rPr>
          <w:rFonts w:hint="eastAsia" w:asciiTheme="minorEastAsia" w:hAnsiTheme="minorEastAsia" w:eastAsiaTheme="minorEastAsia"/>
          <w:color w:val="auto"/>
          <w:sz w:val="24"/>
          <w:highlight w:val="none"/>
        </w:rPr>
        <w:t>签订时间：    年   月    日</w:t>
      </w:r>
    </w:p>
    <w:p>
      <w:pPr>
        <w:pStyle w:val="2"/>
        <w:ind w:firstLine="482"/>
        <w:rPr>
          <w:rFonts w:ascii="宋体" w:hAnsi="宋体" w:cs="宋体"/>
          <w:b/>
          <w:snapToGrid w:val="0"/>
          <w:color w:val="auto"/>
          <w:kern w:val="0"/>
          <w:sz w:val="24"/>
          <w:highlight w:val="none"/>
        </w:rPr>
      </w:pPr>
    </w:p>
    <w:p>
      <w:pPr>
        <w:jc w:val="center"/>
        <w:rPr>
          <w:rFonts w:ascii="宋体" w:hAnsi="宋体"/>
          <w:color w:val="auto"/>
          <w:highlight w:val="none"/>
        </w:rPr>
      </w:pPr>
    </w:p>
    <w:p>
      <w:pPr>
        <w:rPr>
          <w:rFonts w:hint="eastAsia" w:eastAsia="黑体"/>
          <w:color w:val="auto"/>
          <w:sz w:val="32"/>
          <w:szCs w:val="32"/>
          <w:highlight w:val="none"/>
        </w:rPr>
      </w:pPr>
      <w:r>
        <w:rPr>
          <w:rFonts w:hint="eastAsia" w:eastAsia="黑体"/>
          <w:color w:val="auto"/>
          <w:sz w:val="32"/>
          <w:szCs w:val="32"/>
          <w:highlight w:val="none"/>
        </w:rPr>
        <w:br w:type="page"/>
      </w:r>
    </w:p>
    <w:p>
      <w:pPr>
        <w:pStyle w:val="4"/>
        <w:numPr>
          <w:ilvl w:val="0"/>
          <w:numId w:val="0"/>
        </w:numPr>
        <w:ind w:left="425" w:leftChars="0"/>
        <w:jc w:val="center"/>
        <w:rPr>
          <w:rFonts w:eastAsia="黑体"/>
          <w:color w:val="auto"/>
          <w:sz w:val="32"/>
          <w:szCs w:val="32"/>
          <w:highlight w:val="none"/>
        </w:rPr>
      </w:pPr>
      <w:r>
        <w:rPr>
          <w:rFonts w:hint="eastAsia" w:eastAsia="黑体"/>
          <w:color w:val="auto"/>
          <w:sz w:val="32"/>
          <w:szCs w:val="32"/>
          <w:highlight w:val="none"/>
        </w:rPr>
        <w:t>专用合同条款</w:t>
      </w:r>
    </w:p>
    <w:p>
      <w:pPr>
        <w:rPr>
          <w:color w:val="auto"/>
          <w:highlight w:val="none"/>
        </w:rPr>
      </w:pPr>
    </w:p>
    <w:p>
      <w:pPr>
        <w:pStyle w:val="7"/>
        <w:tabs>
          <w:tab w:val="left" w:pos="142"/>
          <w:tab w:val="left" w:pos="993"/>
          <w:tab w:val="left" w:pos="1418"/>
          <w:tab w:val="left" w:pos="1560"/>
        </w:tabs>
        <w:spacing w:before="0" w:after="0" w:line="360" w:lineRule="exact"/>
        <w:ind w:firstLine="422" w:firstLineChars="200"/>
        <w:rPr>
          <w:rFonts w:ascii="Times New Roman" w:hAnsi="Times New Roman"/>
          <w:color w:val="auto"/>
          <w:sz w:val="21"/>
          <w:szCs w:val="21"/>
          <w:highlight w:val="none"/>
        </w:rPr>
      </w:pPr>
      <w:r>
        <w:rPr>
          <w:rFonts w:ascii="Times New Roman" w:hAnsi="Times New Roman"/>
          <w:color w:val="auto"/>
          <w:sz w:val="21"/>
          <w:szCs w:val="21"/>
          <w:highlight w:val="none"/>
        </w:rPr>
        <w:t>1. 一般约定</w:t>
      </w:r>
    </w:p>
    <w:p>
      <w:pPr>
        <w:spacing w:line="360" w:lineRule="exact"/>
        <w:ind w:firstLine="420" w:firstLineChars="200"/>
        <w:rPr>
          <w:color w:val="auto"/>
          <w:szCs w:val="21"/>
          <w:highlight w:val="none"/>
        </w:rPr>
      </w:pPr>
      <w:r>
        <w:rPr>
          <w:rFonts w:hint="eastAsia"/>
          <w:color w:val="auto"/>
          <w:szCs w:val="21"/>
          <w:highlight w:val="none"/>
        </w:rPr>
        <w:t>1.1</w:t>
      </w:r>
      <w:r>
        <w:rPr>
          <w:color w:val="auto"/>
          <w:szCs w:val="21"/>
          <w:highlight w:val="none"/>
        </w:rPr>
        <w:t>监理人：</w:t>
      </w:r>
    </w:p>
    <w:p>
      <w:pPr>
        <w:spacing w:line="360" w:lineRule="exact"/>
        <w:ind w:firstLine="420" w:firstLineChars="200"/>
        <w:rPr>
          <w:color w:val="auto"/>
          <w:szCs w:val="21"/>
          <w:highlight w:val="none"/>
        </w:rPr>
      </w:pPr>
      <w:r>
        <w:rPr>
          <w:color w:val="auto"/>
          <w:szCs w:val="21"/>
          <w:highlight w:val="none"/>
        </w:rPr>
        <w:t>名    称：；</w:t>
      </w:r>
    </w:p>
    <w:p>
      <w:pPr>
        <w:spacing w:line="360" w:lineRule="exact"/>
        <w:ind w:firstLine="420" w:firstLineChars="200"/>
        <w:rPr>
          <w:color w:val="auto"/>
          <w:szCs w:val="21"/>
          <w:highlight w:val="none"/>
        </w:rPr>
      </w:pPr>
      <w:r>
        <w:rPr>
          <w:color w:val="auto"/>
          <w:szCs w:val="21"/>
          <w:highlight w:val="none"/>
        </w:rPr>
        <w:t>资质类别和等级：；</w:t>
      </w:r>
    </w:p>
    <w:p>
      <w:pPr>
        <w:spacing w:line="360" w:lineRule="exact"/>
        <w:ind w:firstLine="420" w:firstLineChars="200"/>
        <w:rPr>
          <w:color w:val="auto"/>
          <w:szCs w:val="21"/>
          <w:highlight w:val="none"/>
        </w:rPr>
      </w:pPr>
      <w:r>
        <w:rPr>
          <w:color w:val="auto"/>
          <w:szCs w:val="21"/>
          <w:highlight w:val="none"/>
        </w:rPr>
        <w:t>联系电话：；</w:t>
      </w:r>
    </w:p>
    <w:p>
      <w:pPr>
        <w:spacing w:line="360" w:lineRule="exact"/>
        <w:ind w:firstLine="420" w:firstLineChars="200"/>
        <w:rPr>
          <w:color w:val="auto"/>
          <w:szCs w:val="21"/>
          <w:highlight w:val="none"/>
        </w:rPr>
      </w:pPr>
      <w:r>
        <w:rPr>
          <w:color w:val="auto"/>
          <w:szCs w:val="21"/>
          <w:highlight w:val="none"/>
        </w:rPr>
        <w:t>电子信箱：；</w:t>
      </w:r>
    </w:p>
    <w:p>
      <w:pPr>
        <w:spacing w:line="360" w:lineRule="exact"/>
        <w:ind w:firstLine="420" w:firstLineChars="200"/>
        <w:rPr>
          <w:color w:val="auto"/>
          <w:szCs w:val="21"/>
          <w:highlight w:val="none"/>
        </w:rPr>
      </w:pPr>
      <w:r>
        <w:rPr>
          <w:color w:val="auto"/>
          <w:szCs w:val="21"/>
          <w:highlight w:val="none"/>
        </w:rPr>
        <w:t>通信地址：。</w:t>
      </w:r>
    </w:p>
    <w:p>
      <w:pPr>
        <w:spacing w:line="360" w:lineRule="exact"/>
        <w:ind w:firstLine="420" w:firstLineChars="200"/>
        <w:rPr>
          <w:color w:val="auto"/>
          <w:szCs w:val="21"/>
          <w:highlight w:val="none"/>
        </w:rPr>
      </w:pPr>
      <w:r>
        <w:rPr>
          <w:color w:val="auto"/>
          <w:szCs w:val="21"/>
          <w:highlight w:val="none"/>
        </w:rPr>
        <w:t>1.</w:t>
      </w:r>
      <w:r>
        <w:rPr>
          <w:rFonts w:hint="eastAsia"/>
          <w:color w:val="auto"/>
          <w:szCs w:val="21"/>
          <w:highlight w:val="none"/>
        </w:rPr>
        <w:t>2</w:t>
      </w:r>
      <w:r>
        <w:rPr>
          <w:color w:val="auto"/>
          <w:szCs w:val="21"/>
          <w:highlight w:val="none"/>
        </w:rPr>
        <w:t xml:space="preserve">法律 </w:t>
      </w:r>
    </w:p>
    <w:p>
      <w:pPr>
        <w:autoSpaceDE w:val="0"/>
        <w:autoSpaceDN w:val="0"/>
        <w:adjustRightInd w:val="0"/>
        <w:spacing w:line="360" w:lineRule="exact"/>
        <w:ind w:firstLine="420" w:firstLineChars="200"/>
        <w:rPr>
          <w:color w:val="auto"/>
          <w:szCs w:val="21"/>
          <w:highlight w:val="none"/>
        </w:rPr>
      </w:pPr>
      <w:r>
        <w:rPr>
          <w:color w:val="auto"/>
          <w:szCs w:val="21"/>
          <w:highlight w:val="none"/>
        </w:rPr>
        <w:t>适用于合同的其他规范性文件：</w:t>
      </w:r>
      <w:r>
        <w:rPr>
          <w:rFonts w:hint="eastAsia"/>
          <w:color w:val="auto"/>
          <w:szCs w:val="21"/>
          <w:highlight w:val="none"/>
          <w:u w:val="single"/>
        </w:rPr>
        <w:t>《浙江省建设工程计价规则（2018版）》，《通用安装工程工程量计算规范》（GB 50856-2013）、《市政工程工程量计算规范》（GB 50857-2013）、《建设工程工程量计算规范（2013）浙江省补充规定》（浙建站计〔2013〕63号）、《建设工程工程量清单计算规范（2013）浙江省补充规定（二）》（浙建站计〔2014〕31号）、《台州市建设工程工程量清单实施细则》（台建规[2010]300号）、《交通建设工程工程量清单计价规范</w:t>
      </w:r>
      <w:r>
        <w:rPr>
          <w:rFonts w:hint="eastAsia" w:ascii="宋体" w:hAnsi="宋体"/>
          <w:color w:val="auto"/>
          <w:szCs w:val="21"/>
          <w:highlight w:val="none"/>
          <w:u w:val="single"/>
        </w:rPr>
        <w:t>第1部分 公路工程(DB33T628.1-2007</w:t>
      </w:r>
      <w:r>
        <w:rPr>
          <w:rFonts w:hint="eastAsia"/>
          <w:color w:val="auto"/>
          <w:szCs w:val="21"/>
          <w:highlight w:val="none"/>
          <w:u w:val="single"/>
        </w:rPr>
        <w:t xml:space="preserve">》等工程所在地现行的有关工程造价方面规定 </w:t>
      </w:r>
      <w:r>
        <w:rPr>
          <w:color w:val="auto"/>
          <w:szCs w:val="21"/>
          <w:highlight w:val="none"/>
        </w:rPr>
        <w:t>。</w:t>
      </w:r>
    </w:p>
    <w:p>
      <w:pPr>
        <w:spacing w:line="360" w:lineRule="exact"/>
        <w:ind w:firstLine="420" w:firstLineChars="200"/>
        <w:rPr>
          <w:color w:val="auto"/>
          <w:szCs w:val="21"/>
          <w:highlight w:val="none"/>
        </w:rPr>
      </w:pPr>
      <w:r>
        <w:rPr>
          <w:color w:val="auto"/>
          <w:szCs w:val="21"/>
          <w:highlight w:val="none"/>
        </w:rPr>
        <w:t>1.</w:t>
      </w:r>
      <w:r>
        <w:rPr>
          <w:rFonts w:hint="eastAsia"/>
          <w:color w:val="auto"/>
          <w:szCs w:val="21"/>
          <w:highlight w:val="none"/>
        </w:rPr>
        <w:t>3</w:t>
      </w:r>
      <w:r>
        <w:rPr>
          <w:color w:val="auto"/>
          <w:szCs w:val="21"/>
          <w:highlight w:val="none"/>
        </w:rPr>
        <w:t>标准和规范</w:t>
      </w:r>
    </w:p>
    <w:p>
      <w:pPr>
        <w:spacing w:line="360" w:lineRule="exact"/>
        <w:ind w:firstLine="308" w:firstLineChars="147"/>
        <w:rPr>
          <w:color w:val="auto"/>
          <w:szCs w:val="21"/>
          <w:highlight w:val="none"/>
        </w:rPr>
      </w:pPr>
      <w:r>
        <w:rPr>
          <w:color w:val="auto"/>
          <w:szCs w:val="21"/>
          <w:highlight w:val="none"/>
        </w:rPr>
        <w:t>1.</w:t>
      </w:r>
      <w:r>
        <w:rPr>
          <w:rFonts w:hint="eastAsia"/>
          <w:color w:val="auto"/>
          <w:szCs w:val="21"/>
          <w:highlight w:val="none"/>
        </w:rPr>
        <w:t>3</w:t>
      </w:r>
      <w:r>
        <w:rPr>
          <w:color w:val="auto"/>
          <w:szCs w:val="21"/>
          <w:highlight w:val="none"/>
        </w:rPr>
        <w:t>.1适用于</w:t>
      </w:r>
      <w:r>
        <w:rPr>
          <w:rFonts w:hint="eastAsia"/>
          <w:color w:val="auto"/>
          <w:szCs w:val="21"/>
          <w:highlight w:val="none"/>
        </w:rPr>
        <w:t>项目</w:t>
      </w:r>
      <w:r>
        <w:rPr>
          <w:color w:val="auto"/>
          <w:szCs w:val="21"/>
          <w:highlight w:val="none"/>
        </w:rPr>
        <w:t>的标准规范包括：</w:t>
      </w:r>
    </w:p>
    <w:p>
      <w:pPr>
        <w:spacing w:line="360" w:lineRule="exact"/>
        <w:ind w:firstLine="308" w:firstLineChars="147"/>
        <w:rPr>
          <w:rFonts w:ascii="宋体" w:hAnsi="宋体"/>
          <w:color w:val="auto"/>
          <w:szCs w:val="21"/>
          <w:highlight w:val="none"/>
        </w:rPr>
      </w:pPr>
      <w:r>
        <w:rPr>
          <w:rFonts w:hint="eastAsia" w:ascii="宋体" w:hAnsi="宋体"/>
          <w:color w:val="auto"/>
          <w:szCs w:val="21"/>
          <w:highlight w:val="none"/>
        </w:rPr>
        <w:t>（1）《道路交通标志和标线》（GB5768）</w:t>
      </w:r>
    </w:p>
    <w:p>
      <w:pPr>
        <w:spacing w:line="360" w:lineRule="exact"/>
        <w:ind w:firstLine="315" w:firstLineChars="150"/>
        <w:rPr>
          <w:rFonts w:ascii="宋体" w:hAnsi="宋体"/>
          <w:color w:val="auto"/>
          <w:szCs w:val="21"/>
          <w:highlight w:val="none"/>
        </w:rPr>
      </w:pPr>
      <w:r>
        <w:rPr>
          <w:rFonts w:hint="eastAsia" w:ascii="宋体" w:hAnsi="宋体"/>
          <w:color w:val="auto"/>
          <w:szCs w:val="21"/>
          <w:highlight w:val="none"/>
        </w:rPr>
        <w:t>（2）《道路交通反光膜》(GB/T 18833－2012)</w:t>
      </w:r>
    </w:p>
    <w:p>
      <w:pPr>
        <w:spacing w:line="360" w:lineRule="exact"/>
        <w:ind w:firstLine="315" w:firstLineChars="150"/>
        <w:rPr>
          <w:rFonts w:ascii="宋体" w:hAnsi="宋体"/>
          <w:color w:val="auto"/>
          <w:szCs w:val="21"/>
          <w:highlight w:val="none"/>
        </w:rPr>
      </w:pPr>
      <w:r>
        <w:rPr>
          <w:rFonts w:hint="eastAsia" w:ascii="宋体" w:hAnsi="宋体"/>
          <w:color w:val="auto"/>
          <w:szCs w:val="21"/>
          <w:highlight w:val="none"/>
        </w:rPr>
        <w:t>（3）《交通建设工程工程量清单计价规范第1部分 公路工程(DB33T628.1-2007)</w:t>
      </w:r>
    </w:p>
    <w:p>
      <w:pPr>
        <w:spacing w:line="360" w:lineRule="exact"/>
        <w:ind w:firstLine="315" w:firstLineChars="150"/>
        <w:rPr>
          <w:rFonts w:ascii="宋体" w:hAnsi="宋体" w:cs="宋体"/>
          <w:color w:val="auto"/>
          <w:szCs w:val="21"/>
          <w:highlight w:val="none"/>
        </w:rPr>
      </w:pPr>
      <w:r>
        <w:rPr>
          <w:rFonts w:hint="eastAsia" w:ascii="宋体" w:hAnsi="宋体"/>
          <w:color w:val="auto"/>
          <w:szCs w:val="21"/>
          <w:highlight w:val="none"/>
        </w:rPr>
        <w:t>（4）</w:t>
      </w:r>
      <w:r>
        <w:rPr>
          <w:rFonts w:hint="eastAsia" w:ascii="宋体" w:hAnsi="宋体" w:cs="宋体"/>
          <w:color w:val="auto"/>
          <w:szCs w:val="21"/>
          <w:highlight w:val="none"/>
        </w:rPr>
        <w:t>《公安交通管理外场设备基础施工通用要求》（GA/T 652-2017）</w:t>
      </w:r>
    </w:p>
    <w:p>
      <w:pPr>
        <w:spacing w:line="360" w:lineRule="exact"/>
        <w:ind w:firstLine="315" w:firstLineChars="150"/>
        <w:rPr>
          <w:rFonts w:ascii="宋体" w:hAnsi="宋体"/>
          <w:color w:val="auto"/>
          <w:szCs w:val="21"/>
          <w:highlight w:val="none"/>
        </w:rPr>
      </w:pPr>
      <w:r>
        <w:rPr>
          <w:rFonts w:hint="eastAsia" w:ascii="宋体" w:hAnsi="宋体"/>
          <w:color w:val="auto"/>
          <w:szCs w:val="21"/>
          <w:highlight w:val="none"/>
        </w:rPr>
        <w:t>（5）《城市道路交叉口设计规程》</w:t>
      </w:r>
      <w:r>
        <w:rPr>
          <w:rFonts w:ascii="宋体" w:hAnsi="宋体"/>
          <w:color w:val="auto"/>
          <w:szCs w:val="21"/>
          <w:highlight w:val="none"/>
        </w:rPr>
        <w:t>(CJJ152-2010)</w:t>
      </w:r>
    </w:p>
    <w:p>
      <w:pPr>
        <w:spacing w:line="360" w:lineRule="exact"/>
        <w:ind w:firstLine="315" w:firstLineChars="150"/>
        <w:rPr>
          <w:rFonts w:ascii="宋体" w:hAnsi="宋体"/>
          <w:color w:val="auto"/>
          <w:szCs w:val="21"/>
          <w:highlight w:val="none"/>
        </w:rPr>
      </w:pPr>
      <w:r>
        <w:rPr>
          <w:rFonts w:hint="eastAsia" w:ascii="宋体" w:hAnsi="宋体"/>
          <w:color w:val="auto"/>
          <w:szCs w:val="21"/>
          <w:highlight w:val="none"/>
        </w:rPr>
        <w:t>（6）《城市道路工程设计规范》</w:t>
      </w:r>
      <w:r>
        <w:rPr>
          <w:rFonts w:ascii="宋体" w:hAnsi="宋体"/>
          <w:color w:val="auto"/>
          <w:szCs w:val="21"/>
          <w:highlight w:val="none"/>
        </w:rPr>
        <w:t>(CJJ37-2012)</w:t>
      </w:r>
    </w:p>
    <w:p>
      <w:pPr>
        <w:spacing w:line="360" w:lineRule="exact"/>
        <w:ind w:firstLine="315" w:firstLineChars="150"/>
        <w:rPr>
          <w:rFonts w:ascii="宋体" w:hAnsi="宋体"/>
          <w:color w:val="auto"/>
          <w:szCs w:val="21"/>
          <w:highlight w:val="none"/>
        </w:rPr>
      </w:pPr>
      <w:r>
        <w:rPr>
          <w:rFonts w:hint="eastAsia" w:ascii="宋体" w:hAnsi="宋体"/>
          <w:color w:val="auto"/>
          <w:szCs w:val="21"/>
          <w:highlight w:val="none"/>
        </w:rPr>
        <w:t>（7）《城市道路机动车道宽度设计规范》</w:t>
      </w:r>
      <w:r>
        <w:rPr>
          <w:rFonts w:ascii="宋体" w:hAnsi="宋体"/>
          <w:color w:val="auto"/>
          <w:szCs w:val="21"/>
          <w:highlight w:val="none"/>
        </w:rPr>
        <w:t>(DB331057-2008)</w:t>
      </w:r>
    </w:p>
    <w:p>
      <w:pPr>
        <w:spacing w:line="360" w:lineRule="exact"/>
        <w:ind w:firstLine="315" w:firstLineChars="150"/>
        <w:rPr>
          <w:rFonts w:ascii="宋体" w:hAnsi="宋体"/>
          <w:color w:val="auto"/>
          <w:szCs w:val="21"/>
          <w:highlight w:val="none"/>
        </w:rPr>
      </w:pPr>
      <w:r>
        <w:rPr>
          <w:rFonts w:hint="eastAsia" w:ascii="宋体" w:hAnsi="宋体"/>
          <w:color w:val="auto"/>
          <w:szCs w:val="21"/>
          <w:highlight w:val="none"/>
        </w:rPr>
        <w:t>（8）最新《道路交通标线质量要求和检测方法》</w:t>
      </w:r>
      <w:r>
        <w:rPr>
          <w:rFonts w:ascii="宋体" w:hAnsi="宋体"/>
          <w:color w:val="auto"/>
          <w:szCs w:val="21"/>
          <w:highlight w:val="none"/>
        </w:rPr>
        <w:t>(GBT16311)</w:t>
      </w:r>
    </w:p>
    <w:p>
      <w:pPr>
        <w:spacing w:line="360" w:lineRule="exact"/>
        <w:ind w:firstLine="315" w:firstLineChars="150"/>
        <w:rPr>
          <w:rFonts w:ascii="宋体" w:hAnsi="宋体"/>
          <w:color w:val="auto"/>
          <w:szCs w:val="21"/>
          <w:highlight w:val="none"/>
        </w:rPr>
      </w:pPr>
      <w:r>
        <w:rPr>
          <w:rFonts w:hint="eastAsia" w:ascii="宋体" w:hAnsi="宋体"/>
          <w:color w:val="auto"/>
          <w:szCs w:val="21"/>
          <w:highlight w:val="none"/>
        </w:rPr>
        <w:t>（9）《浙江省城市道路交通标志和标线设置规范》(DB33</w:t>
      </w:r>
      <w:r>
        <w:rPr>
          <w:rFonts w:hint="eastAsia" w:ascii="宋体" w:hAnsi="宋体" w:cs="宋体"/>
          <w:color w:val="auto"/>
          <w:szCs w:val="21"/>
          <w:highlight w:val="none"/>
        </w:rPr>
        <w:t>/</w:t>
      </w:r>
      <w:r>
        <w:rPr>
          <w:rFonts w:hint="eastAsia" w:ascii="宋体" w:hAnsi="宋体"/>
          <w:color w:val="auto"/>
          <w:szCs w:val="21"/>
          <w:highlight w:val="none"/>
        </w:rPr>
        <w:t xml:space="preserve">T818-2010) </w:t>
      </w:r>
    </w:p>
    <w:p>
      <w:pPr>
        <w:spacing w:line="360" w:lineRule="exact"/>
        <w:ind w:firstLine="315" w:firstLineChars="150"/>
        <w:rPr>
          <w:rFonts w:ascii="宋体" w:hAnsi="宋体"/>
          <w:color w:val="auto"/>
          <w:szCs w:val="21"/>
          <w:highlight w:val="none"/>
        </w:rPr>
      </w:pPr>
      <w:r>
        <w:rPr>
          <w:rFonts w:hint="eastAsia" w:ascii="宋体" w:hAnsi="宋体"/>
          <w:color w:val="auto"/>
          <w:szCs w:val="21"/>
          <w:highlight w:val="none"/>
        </w:rPr>
        <w:t>（10）</w:t>
      </w:r>
      <w:r>
        <w:rPr>
          <w:rFonts w:ascii="宋体" w:hAnsi="宋体"/>
          <w:color w:val="auto"/>
          <w:szCs w:val="21"/>
          <w:highlight w:val="none"/>
        </w:rPr>
        <w:t xml:space="preserve"> JTJ001—2003</w:t>
      </w:r>
      <w:r>
        <w:rPr>
          <w:rFonts w:hint="eastAsia" w:ascii="宋体" w:hAnsi="宋体"/>
          <w:color w:val="auto"/>
          <w:szCs w:val="21"/>
          <w:highlight w:val="none"/>
        </w:rPr>
        <w:t>《公路工程技术标准》行业标准。</w:t>
      </w:r>
      <w:r>
        <w:rPr>
          <w:rFonts w:ascii="宋体" w:hAnsi="宋体"/>
          <w:color w:val="auto"/>
          <w:szCs w:val="21"/>
          <w:highlight w:val="none"/>
        </w:rPr>
        <w:t xml:space="preserve"> </w:t>
      </w:r>
    </w:p>
    <w:p>
      <w:pPr>
        <w:spacing w:line="360" w:lineRule="exact"/>
        <w:ind w:firstLine="315" w:firstLineChars="150"/>
        <w:rPr>
          <w:rFonts w:ascii="宋体" w:hAnsi="宋体"/>
          <w:color w:val="auto"/>
          <w:szCs w:val="21"/>
          <w:highlight w:val="none"/>
        </w:rPr>
      </w:pPr>
      <w:r>
        <w:rPr>
          <w:rFonts w:hint="eastAsia" w:ascii="宋体" w:hAnsi="宋体"/>
          <w:color w:val="auto"/>
          <w:szCs w:val="21"/>
          <w:highlight w:val="none"/>
        </w:rPr>
        <w:t>（11）</w:t>
      </w:r>
      <w:r>
        <w:rPr>
          <w:rFonts w:ascii="宋体" w:hAnsi="宋体"/>
          <w:color w:val="auto"/>
          <w:szCs w:val="21"/>
          <w:highlight w:val="none"/>
        </w:rPr>
        <w:t>DBJ08-39-1994</w:t>
      </w:r>
      <w:r>
        <w:rPr>
          <w:rFonts w:hint="eastAsia" w:ascii="宋体" w:hAnsi="宋体"/>
          <w:color w:val="auto"/>
          <w:szCs w:val="21"/>
          <w:highlight w:val="none"/>
        </w:rPr>
        <w:t>《道路交通管理设施设置技术规范》。</w:t>
      </w:r>
      <w:r>
        <w:rPr>
          <w:rFonts w:ascii="宋体" w:hAnsi="宋体"/>
          <w:color w:val="auto"/>
          <w:szCs w:val="21"/>
          <w:highlight w:val="none"/>
        </w:rPr>
        <w:t xml:space="preserve"> </w:t>
      </w:r>
    </w:p>
    <w:p>
      <w:pPr>
        <w:spacing w:line="360" w:lineRule="exact"/>
        <w:ind w:firstLine="315" w:firstLineChars="150"/>
        <w:rPr>
          <w:rFonts w:ascii="宋体" w:hAnsi="宋体" w:cs="宋体"/>
          <w:color w:val="auto"/>
          <w:szCs w:val="21"/>
          <w:highlight w:val="none"/>
        </w:rPr>
      </w:pPr>
      <w:r>
        <w:rPr>
          <w:rFonts w:hint="eastAsia" w:ascii="宋体" w:hAnsi="宋体" w:cs="宋体"/>
          <w:color w:val="auto"/>
          <w:szCs w:val="21"/>
          <w:highlight w:val="none"/>
        </w:rPr>
        <w:t>（12）《城市道路交通标志和标线设置规范》（GB51038-2015)</w:t>
      </w:r>
    </w:p>
    <w:p>
      <w:pPr>
        <w:spacing w:line="360" w:lineRule="exact"/>
        <w:ind w:firstLine="315" w:firstLineChars="150"/>
        <w:rPr>
          <w:rFonts w:ascii="宋体" w:hAnsi="宋体" w:cs="宋体" w:eastAsiaTheme="minorEastAsia"/>
          <w:color w:val="auto"/>
          <w:szCs w:val="21"/>
          <w:highlight w:val="yellow"/>
        </w:rPr>
      </w:pPr>
      <w:r>
        <w:rPr>
          <w:rFonts w:hint="eastAsia" w:ascii="宋体" w:hAnsi="宋体" w:cs="宋体"/>
          <w:color w:val="auto"/>
          <w:szCs w:val="21"/>
          <w:highlight w:val="yellow"/>
        </w:rPr>
        <w:t>（13）</w:t>
      </w:r>
      <w:r>
        <w:rPr>
          <w:rFonts w:hint="eastAsia"/>
          <w:color w:val="auto"/>
          <w:szCs w:val="21"/>
          <w:highlight w:val="yellow"/>
        </w:rPr>
        <w:t>《路面标线涂料》</w:t>
      </w:r>
      <w:r>
        <w:rPr>
          <w:rFonts w:hint="eastAsia" w:ascii="宋体" w:hAnsi="宋体"/>
          <w:color w:val="auto"/>
          <w:szCs w:val="21"/>
          <w:highlight w:val="yellow"/>
        </w:rPr>
        <w:t>JT/T280-2022</w:t>
      </w:r>
    </w:p>
    <w:p>
      <w:pPr>
        <w:spacing w:line="360" w:lineRule="exact"/>
        <w:ind w:firstLine="315" w:firstLineChars="150"/>
        <w:rPr>
          <w:color w:val="auto"/>
          <w:szCs w:val="21"/>
          <w:highlight w:val="none"/>
        </w:rPr>
      </w:pPr>
      <w:r>
        <w:rPr>
          <w:rFonts w:hint="eastAsia"/>
          <w:color w:val="auto"/>
          <w:szCs w:val="21"/>
          <w:highlight w:val="none"/>
        </w:rPr>
        <w:t>（14）按现行的国家、省、市施工验收规范、质量评定标准及有关规定。合同工期内的标准、规范，招标文件中的技术要求等</w:t>
      </w:r>
      <w:r>
        <w:rPr>
          <w:color w:val="auto"/>
          <w:szCs w:val="21"/>
          <w:highlight w:val="none"/>
        </w:rPr>
        <w:t>。</w:t>
      </w:r>
      <w:r>
        <w:rPr>
          <w:rFonts w:hint="eastAsia"/>
          <w:color w:val="auto"/>
          <w:szCs w:val="21"/>
          <w:highlight w:val="none"/>
        </w:rPr>
        <w:t>如有新版标准则按新发行的标准执行。</w:t>
      </w:r>
    </w:p>
    <w:p>
      <w:pPr>
        <w:spacing w:line="360" w:lineRule="exact"/>
        <w:ind w:firstLine="420" w:firstLineChars="200"/>
        <w:rPr>
          <w:color w:val="auto"/>
          <w:szCs w:val="21"/>
          <w:highlight w:val="none"/>
        </w:rPr>
      </w:pPr>
      <w:r>
        <w:rPr>
          <w:color w:val="auto"/>
          <w:szCs w:val="21"/>
          <w:highlight w:val="none"/>
        </w:rPr>
        <w:t>1.</w:t>
      </w:r>
      <w:r>
        <w:rPr>
          <w:rFonts w:hint="eastAsia"/>
          <w:color w:val="auto"/>
          <w:szCs w:val="21"/>
          <w:highlight w:val="none"/>
        </w:rPr>
        <w:t>4</w:t>
      </w:r>
      <w:r>
        <w:rPr>
          <w:color w:val="auto"/>
          <w:szCs w:val="21"/>
          <w:highlight w:val="none"/>
        </w:rPr>
        <w:t xml:space="preserve"> </w:t>
      </w:r>
      <w:r>
        <w:rPr>
          <w:rFonts w:hint="eastAsia"/>
          <w:color w:val="auto"/>
          <w:szCs w:val="21"/>
          <w:highlight w:val="none"/>
        </w:rPr>
        <w:t>乙方</w:t>
      </w:r>
      <w:r>
        <w:rPr>
          <w:color w:val="auto"/>
          <w:szCs w:val="21"/>
          <w:highlight w:val="none"/>
        </w:rPr>
        <w:t>文件</w:t>
      </w:r>
    </w:p>
    <w:p>
      <w:pPr>
        <w:spacing w:line="360" w:lineRule="exact"/>
        <w:ind w:firstLine="420" w:firstLineChars="200"/>
        <w:rPr>
          <w:color w:val="auto"/>
          <w:szCs w:val="21"/>
          <w:highlight w:val="none"/>
          <w:u w:val="single"/>
        </w:rPr>
      </w:pPr>
      <w:r>
        <w:rPr>
          <w:color w:val="auto"/>
          <w:szCs w:val="21"/>
          <w:highlight w:val="none"/>
        </w:rPr>
        <w:t>需要由</w:t>
      </w:r>
      <w:r>
        <w:rPr>
          <w:rFonts w:hint="eastAsia"/>
          <w:color w:val="auto"/>
          <w:szCs w:val="21"/>
          <w:highlight w:val="none"/>
        </w:rPr>
        <w:t>乙方</w:t>
      </w:r>
      <w:r>
        <w:rPr>
          <w:color w:val="auto"/>
          <w:szCs w:val="21"/>
          <w:highlight w:val="none"/>
        </w:rPr>
        <w:t>提供的文件，包括：</w:t>
      </w:r>
      <w:r>
        <w:rPr>
          <w:rFonts w:hint="eastAsia"/>
          <w:color w:val="auto"/>
          <w:szCs w:val="21"/>
          <w:highlight w:val="none"/>
          <w:u w:val="single"/>
        </w:rPr>
        <w:t>项目总进度计划、项目月进度计划表等</w:t>
      </w:r>
    </w:p>
    <w:p>
      <w:pPr>
        <w:spacing w:line="360" w:lineRule="exact"/>
        <w:ind w:firstLine="420" w:firstLineChars="200"/>
        <w:rPr>
          <w:color w:val="auto"/>
          <w:szCs w:val="21"/>
          <w:highlight w:val="none"/>
        </w:rPr>
      </w:pPr>
      <w:r>
        <w:rPr>
          <w:rFonts w:hint="eastAsia"/>
          <w:color w:val="auto"/>
          <w:szCs w:val="21"/>
          <w:highlight w:val="none"/>
        </w:rPr>
        <w:t>乙方</w:t>
      </w:r>
      <w:r>
        <w:rPr>
          <w:color w:val="auto"/>
          <w:szCs w:val="21"/>
          <w:highlight w:val="none"/>
        </w:rPr>
        <w:t>提供的文件的期限为：</w:t>
      </w:r>
      <w:r>
        <w:rPr>
          <w:rFonts w:hint="eastAsia"/>
          <w:color w:val="auto"/>
          <w:szCs w:val="21"/>
          <w:highlight w:val="none"/>
          <w:u w:val="single"/>
        </w:rPr>
        <w:t>进度计划在接到开工通知（或确定开工日期）后7天内提交；每月20日前向发包方提交下一月进度计划</w:t>
      </w:r>
      <w:r>
        <w:rPr>
          <w:color w:val="auto"/>
          <w:szCs w:val="21"/>
          <w:highlight w:val="none"/>
          <w:u w:val="single"/>
        </w:rPr>
        <w:t>；</w:t>
      </w:r>
    </w:p>
    <w:p>
      <w:pPr>
        <w:spacing w:line="360" w:lineRule="exact"/>
        <w:ind w:firstLine="420" w:firstLineChars="200"/>
        <w:rPr>
          <w:color w:val="auto"/>
          <w:kern w:val="0"/>
          <w:szCs w:val="21"/>
          <w:highlight w:val="none"/>
        </w:rPr>
      </w:pPr>
      <w:r>
        <w:rPr>
          <w:color w:val="auto"/>
          <w:szCs w:val="21"/>
          <w:highlight w:val="none"/>
        </w:rPr>
        <w:t>1.</w:t>
      </w:r>
      <w:r>
        <w:rPr>
          <w:rFonts w:hint="eastAsia"/>
          <w:color w:val="auto"/>
          <w:szCs w:val="21"/>
          <w:highlight w:val="none"/>
        </w:rPr>
        <w:t>5乙方</w:t>
      </w:r>
      <w:r>
        <w:rPr>
          <w:color w:val="auto"/>
          <w:szCs w:val="21"/>
          <w:highlight w:val="none"/>
        </w:rPr>
        <w:t>在施工过程中所采用的专利、专有技术、技术秘密的使用费的承担方式：</w:t>
      </w:r>
      <w:r>
        <w:rPr>
          <w:rFonts w:hint="eastAsia"/>
          <w:color w:val="auto"/>
          <w:szCs w:val="21"/>
          <w:highlight w:val="none"/>
          <w:u w:val="single"/>
        </w:rPr>
        <w:t>包含在签约合同价内</w:t>
      </w:r>
      <w:r>
        <w:rPr>
          <w:color w:val="auto"/>
          <w:kern w:val="0"/>
          <w:szCs w:val="21"/>
          <w:highlight w:val="none"/>
        </w:rPr>
        <w:t>。</w:t>
      </w:r>
    </w:p>
    <w:p>
      <w:pPr>
        <w:spacing w:line="360" w:lineRule="exact"/>
        <w:ind w:firstLine="420" w:firstLineChars="200"/>
        <w:rPr>
          <w:color w:val="auto"/>
          <w:szCs w:val="21"/>
          <w:highlight w:val="none"/>
        </w:rPr>
      </w:pPr>
      <w:r>
        <w:rPr>
          <w:color w:val="auto"/>
          <w:szCs w:val="21"/>
          <w:highlight w:val="none"/>
        </w:rPr>
        <w:t>1.</w:t>
      </w:r>
      <w:r>
        <w:rPr>
          <w:rFonts w:hint="eastAsia"/>
          <w:color w:val="auto"/>
          <w:szCs w:val="21"/>
          <w:highlight w:val="none"/>
        </w:rPr>
        <w:t>6工作</w:t>
      </w:r>
      <w:r>
        <w:rPr>
          <w:color w:val="auto"/>
          <w:szCs w:val="21"/>
          <w:highlight w:val="none"/>
        </w:rPr>
        <w:t>量清单错误的修正</w:t>
      </w:r>
    </w:p>
    <w:p>
      <w:pPr>
        <w:spacing w:line="360" w:lineRule="exact"/>
        <w:ind w:firstLine="420" w:firstLineChars="200"/>
        <w:rPr>
          <w:color w:val="auto"/>
          <w:szCs w:val="21"/>
          <w:highlight w:val="none"/>
          <w:u w:val="single"/>
        </w:rPr>
      </w:pPr>
      <w:r>
        <w:rPr>
          <w:rFonts w:hint="eastAsia"/>
          <w:color w:val="auto"/>
          <w:szCs w:val="21"/>
          <w:highlight w:val="none"/>
        </w:rPr>
        <w:t>出现工作量清单错误时，是否调整合同价格：</w:t>
      </w:r>
      <w:r>
        <w:rPr>
          <w:rFonts w:hint="eastAsia"/>
          <w:color w:val="auto"/>
          <w:szCs w:val="21"/>
          <w:highlight w:val="none"/>
          <w:u w:val="single"/>
        </w:rPr>
        <w:t>以实际发生工作量结算，结算金额不超过本项目预算</w:t>
      </w:r>
      <w:r>
        <w:rPr>
          <w:color w:val="auto"/>
          <w:kern w:val="0"/>
          <w:szCs w:val="21"/>
          <w:highlight w:val="none"/>
          <w:u w:val="single"/>
        </w:rPr>
        <w:t>。</w:t>
      </w:r>
    </w:p>
    <w:p>
      <w:pPr>
        <w:pStyle w:val="7"/>
        <w:tabs>
          <w:tab w:val="left" w:pos="142"/>
          <w:tab w:val="left" w:pos="993"/>
          <w:tab w:val="left" w:pos="1418"/>
          <w:tab w:val="left" w:pos="1560"/>
        </w:tabs>
        <w:spacing w:before="0" w:after="0" w:line="360" w:lineRule="exact"/>
        <w:ind w:firstLine="422" w:firstLineChars="200"/>
        <w:rPr>
          <w:rFonts w:ascii="Times New Roman" w:hAnsi="Times New Roman" w:eastAsia="黑体"/>
          <w:color w:val="auto"/>
          <w:sz w:val="21"/>
          <w:szCs w:val="21"/>
          <w:highlight w:val="none"/>
        </w:rPr>
      </w:pPr>
      <w:r>
        <w:rPr>
          <w:rFonts w:ascii="Times New Roman" w:hAnsi="Times New Roman"/>
          <w:color w:val="auto"/>
          <w:sz w:val="21"/>
          <w:szCs w:val="21"/>
          <w:highlight w:val="none"/>
        </w:rPr>
        <w:t xml:space="preserve">2. </w:t>
      </w:r>
      <w:r>
        <w:rPr>
          <w:rFonts w:hint="eastAsia" w:ascii="Times New Roman" w:hAnsi="Times New Roman"/>
          <w:color w:val="auto"/>
          <w:sz w:val="21"/>
          <w:szCs w:val="21"/>
          <w:highlight w:val="none"/>
        </w:rPr>
        <w:t>甲方</w:t>
      </w:r>
    </w:p>
    <w:p>
      <w:pPr>
        <w:spacing w:line="360" w:lineRule="exact"/>
        <w:ind w:firstLine="420" w:firstLineChars="200"/>
        <w:rPr>
          <w:color w:val="auto"/>
          <w:szCs w:val="21"/>
          <w:highlight w:val="none"/>
        </w:rPr>
      </w:pPr>
      <w:r>
        <w:rPr>
          <w:color w:val="auto"/>
          <w:szCs w:val="21"/>
          <w:highlight w:val="none"/>
        </w:rPr>
        <w:t>2.</w:t>
      </w:r>
      <w:r>
        <w:rPr>
          <w:rFonts w:hint="eastAsia"/>
          <w:color w:val="auto"/>
          <w:szCs w:val="21"/>
          <w:highlight w:val="none"/>
        </w:rPr>
        <w:t>1甲方</w:t>
      </w:r>
      <w:r>
        <w:rPr>
          <w:color w:val="auto"/>
          <w:szCs w:val="21"/>
          <w:highlight w:val="none"/>
        </w:rPr>
        <w:t>代表</w:t>
      </w:r>
    </w:p>
    <w:p>
      <w:pPr>
        <w:spacing w:line="360" w:lineRule="exact"/>
        <w:ind w:firstLine="420" w:firstLineChars="200"/>
        <w:rPr>
          <w:color w:val="auto"/>
          <w:szCs w:val="21"/>
          <w:highlight w:val="none"/>
        </w:rPr>
      </w:pPr>
      <w:r>
        <w:rPr>
          <w:rFonts w:hint="eastAsia"/>
          <w:color w:val="auto"/>
          <w:szCs w:val="21"/>
          <w:highlight w:val="none"/>
        </w:rPr>
        <w:t>甲方</w:t>
      </w:r>
      <w:r>
        <w:rPr>
          <w:color w:val="auto"/>
          <w:szCs w:val="21"/>
          <w:highlight w:val="none"/>
        </w:rPr>
        <w:t>代表：</w:t>
      </w:r>
    </w:p>
    <w:p>
      <w:pPr>
        <w:spacing w:line="360" w:lineRule="exact"/>
        <w:ind w:firstLine="420" w:firstLineChars="200"/>
        <w:rPr>
          <w:color w:val="auto"/>
          <w:szCs w:val="21"/>
          <w:highlight w:val="none"/>
        </w:rPr>
      </w:pPr>
      <w:r>
        <w:rPr>
          <w:color w:val="auto"/>
          <w:szCs w:val="21"/>
          <w:highlight w:val="none"/>
        </w:rPr>
        <w:t>姓    名：；</w:t>
      </w:r>
    </w:p>
    <w:p>
      <w:pPr>
        <w:spacing w:line="360" w:lineRule="exact"/>
        <w:ind w:firstLine="420" w:firstLineChars="200"/>
        <w:rPr>
          <w:color w:val="auto"/>
          <w:szCs w:val="21"/>
          <w:highlight w:val="none"/>
        </w:rPr>
      </w:pPr>
      <w:r>
        <w:rPr>
          <w:color w:val="auto"/>
          <w:szCs w:val="21"/>
          <w:highlight w:val="none"/>
        </w:rPr>
        <w:t>身份证号：；</w:t>
      </w:r>
    </w:p>
    <w:p>
      <w:pPr>
        <w:spacing w:line="360" w:lineRule="exact"/>
        <w:ind w:firstLine="420" w:firstLineChars="200"/>
        <w:rPr>
          <w:color w:val="auto"/>
          <w:szCs w:val="21"/>
          <w:highlight w:val="none"/>
        </w:rPr>
      </w:pPr>
      <w:r>
        <w:rPr>
          <w:color w:val="auto"/>
          <w:szCs w:val="21"/>
          <w:highlight w:val="none"/>
        </w:rPr>
        <w:t>职    务：；</w:t>
      </w:r>
    </w:p>
    <w:p>
      <w:pPr>
        <w:spacing w:line="360" w:lineRule="exact"/>
        <w:ind w:firstLine="420" w:firstLineChars="200"/>
        <w:rPr>
          <w:color w:val="auto"/>
          <w:szCs w:val="21"/>
          <w:highlight w:val="none"/>
        </w:rPr>
      </w:pPr>
      <w:r>
        <w:rPr>
          <w:color w:val="auto"/>
          <w:szCs w:val="21"/>
          <w:highlight w:val="none"/>
        </w:rPr>
        <w:t>联系电话：；</w:t>
      </w:r>
    </w:p>
    <w:p>
      <w:pPr>
        <w:spacing w:line="360" w:lineRule="exact"/>
        <w:ind w:firstLine="420" w:firstLineChars="200"/>
        <w:rPr>
          <w:color w:val="auto"/>
          <w:szCs w:val="21"/>
          <w:highlight w:val="none"/>
        </w:rPr>
      </w:pPr>
      <w:r>
        <w:rPr>
          <w:color w:val="auto"/>
          <w:szCs w:val="21"/>
          <w:highlight w:val="none"/>
        </w:rPr>
        <w:t>电子信箱：；</w:t>
      </w:r>
    </w:p>
    <w:p>
      <w:pPr>
        <w:spacing w:line="360" w:lineRule="exact"/>
        <w:ind w:firstLine="420" w:firstLineChars="200"/>
        <w:rPr>
          <w:color w:val="auto"/>
          <w:szCs w:val="21"/>
          <w:highlight w:val="none"/>
        </w:rPr>
      </w:pPr>
      <w:r>
        <w:rPr>
          <w:color w:val="auto"/>
          <w:szCs w:val="21"/>
          <w:highlight w:val="none"/>
        </w:rPr>
        <w:t>通信地址：。</w:t>
      </w:r>
    </w:p>
    <w:p>
      <w:pPr>
        <w:spacing w:line="360" w:lineRule="exact"/>
        <w:ind w:firstLine="420" w:firstLineChars="200"/>
        <w:rPr>
          <w:color w:val="auto"/>
          <w:szCs w:val="21"/>
          <w:highlight w:val="none"/>
          <w:u w:val="single"/>
        </w:rPr>
      </w:pPr>
      <w:r>
        <w:rPr>
          <w:rFonts w:hint="eastAsia"/>
          <w:color w:val="auto"/>
          <w:szCs w:val="21"/>
          <w:highlight w:val="none"/>
        </w:rPr>
        <w:t>甲方</w:t>
      </w:r>
      <w:r>
        <w:rPr>
          <w:color w:val="auto"/>
          <w:szCs w:val="21"/>
          <w:highlight w:val="none"/>
        </w:rPr>
        <w:t>对</w:t>
      </w:r>
      <w:r>
        <w:rPr>
          <w:rFonts w:hint="eastAsia"/>
          <w:color w:val="auto"/>
          <w:szCs w:val="21"/>
          <w:highlight w:val="none"/>
        </w:rPr>
        <w:t>甲方</w:t>
      </w:r>
      <w:r>
        <w:rPr>
          <w:color w:val="auto"/>
          <w:szCs w:val="21"/>
          <w:highlight w:val="none"/>
        </w:rPr>
        <w:t>代表的授权范围如下：</w:t>
      </w:r>
      <w:r>
        <w:rPr>
          <w:rFonts w:hint="eastAsia"/>
          <w:color w:val="auto"/>
          <w:szCs w:val="21"/>
          <w:highlight w:val="none"/>
        </w:rPr>
        <w:t>。</w:t>
      </w:r>
    </w:p>
    <w:p>
      <w:pPr>
        <w:spacing w:line="360" w:lineRule="exact"/>
        <w:ind w:firstLine="420" w:firstLineChars="200"/>
        <w:rPr>
          <w:color w:val="auto"/>
          <w:szCs w:val="21"/>
          <w:highlight w:val="none"/>
        </w:rPr>
      </w:pPr>
      <w:r>
        <w:rPr>
          <w:color w:val="auto"/>
          <w:szCs w:val="21"/>
          <w:highlight w:val="none"/>
        </w:rPr>
        <w:t>2.</w:t>
      </w:r>
      <w:r>
        <w:rPr>
          <w:rFonts w:hint="eastAsia"/>
          <w:color w:val="auto"/>
          <w:szCs w:val="21"/>
          <w:highlight w:val="none"/>
        </w:rPr>
        <w:t>2</w:t>
      </w:r>
      <w:r>
        <w:rPr>
          <w:color w:val="auto"/>
          <w:szCs w:val="21"/>
          <w:highlight w:val="none"/>
        </w:rPr>
        <w:t>施工现场、施工条件和基础资料的提供</w:t>
      </w:r>
    </w:p>
    <w:p>
      <w:pPr>
        <w:pStyle w:val="7"/>
        <w:tabs>
          <w:tab w:val="left" w:pos="142"/>
          <w:tab w:val="left" w:pos="993"/>
          <w:tab w:val="left" w:pos="1418"/>
          <w:tab w:val="left" w:pos="1560"/>
        </w:tabs>
        <w:spacing w:before="0" w:after="0" w:line="360" w:lineRule="exact"/>
        <w:ind w:firstLine="422" w:firstLineChars="200"/>
        <w:rPr>
          <w:rFonts w:ascii="Times New Roman" w:hAnsi="Times New Roman" w:eastAsia="黑体"/>
          <w:color w:val="auto"/>
          <w:sz w:val="21"/>
          <w:szCs w:val="21"/>
          <w:highlight w:val="none"/>
        </w:rPr>
      </w:pPr>
      <w:r>
        <w:rPr>
          <w:rFonts w:ascii="Times New Roman" w:hAnsi="Times New Roman"/>
          <w:color w:val="auto"/>
          <w:sz w:val="21"/>
          <w:szCs w:val="21"/>
          <w:highlight w:val="none"/>
        </w:rPr>
        <w:t xml:space="preserve">3. </w:t>
      </w:r>
      <w:r>
        <w:rPr>
          <w:rFonts w:hint="eastAsia" w:ascii="Times New Roman" w:hAnsi="Times New Roman"/>
          <w:color w:val="auto"/>
          <w:sz w:val="21"/>
          <w:szCs w:val="21"/>
          <w:highlight w:val="none"/>
        </w:rPr>
        <w:t>乙方</w:t>
      </w:r>
    </w:p>
    <w:p>
      <w:pPr>
        <w:spacing w:line="360" w:lineRule="exact"/>
        <w:ind w:firstLine="420" w:firstLineChars="200"/>
        <w:rPr>
          <w:color w:val="auto"/>
          <w:szCs w:val="21"/>
          <w:highlight w:val="none"/>
        </w:rPr>
      </w:pPr>
      <w:r>
        <w:rPr>
          <w:color w:val="auto"/>
          <w:szCs w:val="21"/>
          <w:highlight w:val="none"/>
        </w:rPr>
        <w:t xml:space="preserve">3.1 </w:t>
      </w:r>
      <w:r>
        <w:rPr>
          <w:rFonts w:hint="eastAsia"/>
          <w:color w:val="auto"/>
          <w:szCs w:val="21"/>
          <w:highlight w:val="none"/>
        </w:rPr>
        <w:t>乙方</w:t>
      </w:r>
      <w:r>
        <w:rPr>
          <w:color w:val="auto"/>
          <w:szCs w:val="21"/>
          <w:highlight w:val="none"/>
        </w:rPr>
        <w:t>的一般义务</w:t>
      </w:r>
    </w:p>
    <w:p>
      <w:pPr>
        <w:spacing w:line="360" w:lineRule="exact"/>
        <w:ind w:firstLine="420" w:firstLineChars="200"/>
        <w:rPr>
          <w:color w:val="auto"/>
          <w:szCs w:val="21"/>
          <w:highlight w:val="none"/>
        </w:rPr>
      </w:pPr>
      <w:r>
        <w:rPr>
          <w:color w:val="auto"/>
          <w:kern w:val="0"/>
          <w:szCs w:val="21"/>
          <w:highlight w:val="none"/>
        </w:rPr>
        <w:t>（</w:t>
      </w:r>
      <w:r>
        <w:rPr>
          <w:rFonts w:hint="eastAsia"/>
          <w:color w:val="auto"/>
          <w:kern w:val="0"/>
          <w:szCs w:val="21"/>
          <w:highlight w:val="none"/>
        </w:rPr>
        <w:t>1</w:t>
      </w:r>
      <w:r>
        <w:rPr>
          <w:color w:val="auto"/>
          <w:kern w:val="0"/>
          <w:szCs w:val="21"/>
          <w:highlight w:val="none"/>
        </w:rPr>
        <w:t>）</w:t>
      </w:r>
      <w:r>
        <w:rPr>
          <w:rFonts w:hint="eastAsia"/>
          <w:color w:val="auto"/>
          <w:szCs w:val="21"/>
          <w:highlight w:val="none"/>
        </w:rPr>
        <w:t>乙方</w:t>
      </w:r>
      <w:r>
        <w:rPr>
          <w:color w:val="auto"/>
          <w:szCs w:val="21"/>
          <w:highlight w:val="none"/>
        </w:rPr>
        <w:t>提交的竣工资料的内容：</w:t>
      </w:r>
      <w:r>
        <w:rPr>
          <w:rFonts w:hint="eastAsia"/>
          <w:color w:val="auto"/>
          <w:szCs w:val="21"/>
          <w:highlight w:val="none"/>
          <w:u w:val="single"/>
        </w:rPr>
        <w:t>向甲方提交按规范规定应由乙方编制部分的竣工资料</w:t>
      </w:r>
      <w:r>
        <w:rPr>
          <w:color w:val="auto"/>
          <w:szCs w:val="21"/>
          <w:highlight w:val="none"/>
        </w:rPr>
        <w:t>。</w:t>
      </w:r>
    </w:p>
    <w:p>
      <w:pPr>
        <w:spacing w:line="360" w:lineRule="exact"/>
        <w:ind w:firstLine="420" w:firstLineChars="200"/>
        <w:rPr>
          <w:color w:val="auto"/>
          <w:szCs w:val="21"/>
          <w:highlight w:val="none"/>
        </w:rPr>
      </w:pPr>
      <w:r>
        <w:rPr>
          <w:rFonts w:hint="eastAsia"/>
          <w:color w:val="auto"/>
          <w:szCs w:val="21"/>
          <w:highlight w:val="none"/>
        </w:rPr>
        <w:t>乙方</w:t>
      </w:r>
      <w:r>
        <w:rPr>
          <w:color w:val="auto"/>
          <w:szCs w:val="21"/>
          <w:highlight w:val="none"/>
        </w:rPr>
        <w:t>需要提交的竣工资料套数：</w:t>
      </w:r>
      <w:r>
        <w:rPr>
          <w:rFonts w:hint="eastAsia"/>
          <w:color w:val="auto"/>
          <w:szCs w:val="21"/>
          <w:highlight w:val="none"/>
          <w:u w:val="single"/>
        </w:rPr>
        <w:t xml:space="preserve"> 纸质七套，电子资料1套</w:t>
      </w:r>
      <w:r>
        <w:rPr>
          <w:color w:val="auto"/>
          <w:szCs w:val="21"/>
          <w:highlight w:val="none"/>
          <w:u w:val="single"/>
        </w:rPr>
        <w:t>。</w:t>
      </w:r>
    </w:p>
    <w:p>
      <w:pPr>
        <w:spacing w:line="360" w:lineRule="exact"/>
        <w:ind w:firstLine="420" w:firstLineChars="200"/>
        <w:rPr>
          <w:color w:val="auto"/>
          <w:szCs w:val="21"/>
          <w:highlight w:val="none"/>
        </w:rPr>
      </w:pPr>
      <w:r>
        <w:rPr>
          <w:rFonts w:hint="eastAsia"/>
          <w:color w:val="auto"/>
          <w:szCs w:val="21"/>
          <w:highlight w:val="none"/>
        </w:rPr>
        <w:t>乙方</w:t>
      </w:r>
      <w:r>
        <w:rPr>
          <w:color w:val="auto"/>
          <w:szCs w:val="21"/>
          <w:highlight w:val="none"/>
        </w:rPr>
        <w:t>提交的竣工资料的费用承担：</w:t>
      </w:r>
      <w:r>
        <w:rPr>
          <w:rFonts w:hint="eastAsia"/>
          <w:color w:val="auto"/>
          <w:szCs w:val="21"/>
          <w:highlight w:val="none"/>
          <w:u w:val="single"/>
        </w:rPr>
        <w:t xml:space="preserve">由乙方承担 </w:t>
      </w:r>
      <w:r>
        <w:rPr>
          <w:color w:val="auto"/>
          <w:szCs w:val="21"/>
          <w:highlight w:val="none"/>
        </w:rPr>
        <w:t>。</w:t>
      </w:r>
    </w:p>
    <w:p>
      <w:pPr>
        <w:spacing w:line="360" w:lineRule="exact"/>
        <w:ind w:firstLine="420" w:firstLineChars="200"/>
        <w:rPr>
          <w:color w:val="auto"/>
          <w:szCs w:val="21"/>
          <w:highlight w:val="none"/>
        </w:rPr>
      </w:pPr>
      <w:r>
        <w:rPr>
          <w:rFonts w:hint="eastAsia"/>
          <w:color w:val="auto"/>
          <w:szCs w:val="21"/>
          <w:highlight w:val="none"/>
        </w:rPr>
        <w:t>乙方</w:t>
      </w:r>
      <w:r>
        <w:rPr>
          <w:color w:val="auto"/>
          <w:szCs w:val="21"/>
          <w:highlight w:val="none"/>
        </w:rPr>
        <w:t>提交的竣工资料移交时间：</w:t>
      </w:r>
      <w:r>
        <w:rPr>
          <w:rFonts w:hint="eastAsia"/>
          <w:color w:val="auto"/>
          <w:szCs w:val="21"/>
          <w:highlight w:val="none"/>
          <w:u w:val="single"/>
        </w:rPr>
        <w:t>项目竣工验收合格后7天内</w:t>
      </w:r>
      <w:r>
        <w:rPr>
          <w:color w:val="auto"/>
          <w:szCs w:val="21"/>
          <w:highlight w:val="none"/>
        </w:rPr>
        <w:t>。</w:t>
      </w:r>
    </w:p>
    <w:p>
      <w:pPr>
        <w:spacing w:line="360" w:lineRule="exact"/>
        <w:ind w:firstLine="420" w:firstLineChars="200"/>
        <w:rPr>
          <w:color w:val="auto"/>
          <w:szCs w:val="21"/>
          <w:highlight w:val="none"/>
        </w:rPr>
      </w:pPr>
      <w:r>
        <w:rPr>
          <w:rFonts w:hint="eastAsia"/>
          <w:color w:val="auto"/>
          <w:szCs w:val="21"/>
          <w:highlight w:val="none"/>
        </w:rPr>
        <w:t>乙方</w:t>
      </w:r>
      <w:r>
        <w:rPr>
          <w:color w:val="auto"/>
          <w:szCs w:val="21"/>
          <w:highlight w:val="none"/>
        </w:rPr>
        <w:t>提交的竣工资料形式要求：</w:t>
      </w:r>
      <w:r>
        <w:rPr>
          <w:rFonts w:hint="eastAsia"/>
          <w:color w:val="auto"/>
          <w:szCs w:val="21"/>
          <w:highlight w:val="none"/>
          <w:u w:val="single"/>
        </w:rPr>
        <w:t>纸质及相关电子资料</w:t>
      </w:r>
      <w:r>
        <w:rPr>
          <w:color w:val="auto"/>
          <w:szCs w:val="21"/>
          <w:highlight w:val="none"/>
        </w:rPr>
        <w:t>。</w:t>
      </w:r>
    </w:p>
    <w:p>
      <w:pPr>
        <w:spacing w:line="360" w:lineRule="exact"/>
        <w:ind w:firstLine="420" w:firstLineChars="200"/>
        <w:rPr>
          <w:color w:val="auto"/>
          <w:kern w:val="0"/>
          <w:szCs w:val="21"/>
          <w:highlight w:val="none"/>
        </w:rPr>
      </w:pPr>
      <w:r>
        <w:rPr>
          <w:color w:val="auto"/>
          <w:kern w:val="0"/>
          <w:szCs w:val="21"/>
          <w:highlight w:val="none"/>
        </w:rPr>
        <w:t>（</w:t>
      </w:r>
      <w:r>
        <w:rPr>
          <w:rFonts w:hint="eastAsia"/>
          <w:color w:val="auto"/>
          <w:kern w:val="0"/>
          <w:szCs w:val="21"/>
          <w:highlight w:val="none"/>
        </w:rPr>
        <w:t>2</w:t>
      </w:r>
      <w:r>
        <w:rPr>
          <w:color w:val="auto"/>
          <w:kern w:val="0"/>
          <w:szCs w:val="21"/>
          <w:highlight w:val="none"/>
        </w:rPr>
        <w:t>）</w:t>
      </w:r>
      <w:r>
        <w:rPr>
          <w:rFonts w:hint="eastAsia"/>
          <w:color w:val="auto"/>
          <w:kern w:val="0"/>
          <w:szCs w:val="21"/>
          <w:highlight w:val="none"/>
        </w:rPr>
        <w:t>乙方</w:t>
      </w:r>
      <w:r>
        <w:rPr>
          <w:color w:val="auto"/>
          <w:kern w:val="0"/>
          <w:szCs w:val="21"/>
          <w:highlight w:val="none"/>
        </w:rPr>
        <w:t>应履行的其他义务：</w:t>
      </w:r>
    </w:p>
    <w:p>
      <w:pPr>
        <w:spacing w:line="360" w:lineRule="exact"/>
        <w:ind w:firstLine="420" w:firstLineChars="200"/>
        <w:rPr>
          <w:color w:val="auto"/>
          <w:szCs w:val="21"/>
          <w:highlight w:val="none"/>
          <w:u w:val="single"/>
        </w:rPr>
      </w:pPr>
      <w:r>
        <w:rPr>
          <w:rFonts w:hint="eastAsia"/>
          <w:color w:val="auto"/>
          <w:szCs w:val="21"/>
          <w:highlight w:val="none"/>
          <w:u w:val="single"/>
        </w:rPr>
        <w:t>a、在施工中必须严格按照规范操作，采取相应防护措施，对不按规范要求施工或未采取防护措施的，造成的损失由乙方承担。</w:t>
      </w:r>
    </w:p>
    <w:p>
      <w:pPr>
        <w:spacing w:line="360" w:lineRule="exact"/>
        <w:ind w:firstLine="420" w:firstLineChars="200"/>
        <w:rPr>
          <w:color w:val="auto"/>
          <w:szCs w:val="21"/>
          <w:highlight w:val="none"/>
          <w:u w:val="single"/>
        </w:rPr>
      </w:pPr>
      <w:r>
        <w:rPr>
          <w:rFonts w:hint="eastAsia"/>
          <w:color w:val="auto"/>
          <w:szCs w:val="21"/>
          <w:highlight w:val="none"/>
          <w:u w:val="single"/>
        </w:rPr>
        <w:t>b 、本项目施工安全由乙方负总责。</w:t>
      </w:r>
    </w:p>
    <w:p>
      <w:pPr>
        <w:spacing w:line="360" w:lineRule="exact"/>
        <w:ind w:firstLine="420" w:firstLineChars="200"/>
        <w:rPr>
          <w:color w:val="auto"/>
          <w:szCs w:val="21"/>
          <w:highlight w:val="none"/>
          <w:u w:val="single"/>
        </w:rPr>
      </w:pPr>
      <w:r>
        <w:rPr>
          <w:rFonts w:hint="eastAsia"/>
          <w:color w:val="auto"/>
          <w:szCs w:val="21"/>
          <w:highlight w:val="none"/>
          <w:u w:val="single"/>
        </w:rPr>
        <w:t>c 、按当地有关部门要求,由乙方办理有关施工场地交通、环卫和施工噪音管理等手续。</w:t>
      </w:r>
    </w:p>
    <w:p>
      <w:pPr>
        <w:spacing w:line="360" w:lineRule="exact"/>
        <w:ind w:firstLine="420" w:firstLineChars="200"/>
        <w:rPr>
          <w:color w:val="auto"/>
          <w:kern w:val="0"/>
          <w:szCs w:val="21"/>
          <w:highlight w:val="none"/>
          <w:u w:val="single"/>
        </w:rPr>
      </w:pPr>
      <w:r>
        <w:rPr>
          <w:rFonts w:hint="eastAsia"/>
          <w:color w:val="auto"/>
          <w:kern w:val="0"/>
          <w:szCs w:val="21"/>
          <w:highlight w:val="none"/>
        </w:rPr>
        <w:t>（3）乙方诚实信用的承诺：</w:t>
      </w:r>
      <w:r>
        <w:rPr>
          <w:rFonts w:hint="eastAsia"/>
          <w:color w:val="auto"/>
          <w:kern w:val="0"/>
          <w:szCs w:val="21"/>
          <w:highlight w:val="none"/>
          <w:u w:val="single"/>
        </w:rPr>
        <w:t xml:space="preserve"> 严格按投标文件要求和合同条款执行          。</w:t>
      </w:r>
    </w:p>
    <w:p>
      <w:pPr>
        <w:spacing w:line="360" w:lineRule="exact"/>
        <w:ind w:firstLine="420" w:firstLineChars="200"/>
        <w:rPr>
          <w:color w:val="auto"/>
          <w:kern w:val="0"/>
          <w:szCs w:val="21"/>
          <w:highlight w:val="none"/>
          <w:u w:val="single"/>
        </w:rPr>
      </w:pPr>
      <w:r>
        <w:rPr>
          <w:rFonts w:hint="eastAsia"/>
          <w:color w:val="auto"/>
          <w:kern w:val="0"/>
          <w:szCs w:val="21"/>
          <w:highlight w:val="none"/>
        </w:rPr>
        <w:t>（4）乙方使用新技术、工法、工艺的承诺</w:t>
      </w:r>
      <w:r>
        <w:rPr>
          <w:rFonts w:hint="eastAsia"/>
          <w:color w:val="auto"/>
          <w:kern w:val="0"/>
          <w:szCs w:val="21"/>
          <w:highlight w:val="none"/>
          <w:u w:val="single"/>
        </w:rPr>
        <w:t xml:space="preserve">：   /        。 </w:t>
      </w:r>
    </w:p>
    <w:p>
      <w:pPr>
        <w:spacing w:line="360" w:lineRule="exact"/>
        <w:ind w:firstLine="420" w:firstLineChars="200"/>
        <w:rPr>
          <w:color w:val="auto"/>
          <w:kern w:val="0"/>
          <w:szCs w:val="21"/>
          <w:highlight w:val="none"/>
        </w:rPr>
      </w:pPr>
      <w:r>
        <w:rPr>
          <w:rFonts w:hint="eastAsia"/>
          <w:color w:val="auto"/>
          <w:kern w:val="0"/>
          <w:szCs w:val="21"/>
          <w:highlight w:val="none"/>
          <w:u w:val="single"/>
        </w:rPr>
        <w:t>3.2</w:t>
      </w:r>
      <w:r>
        <w:rPr>
          <w:rFonts w:hint="eastAsia"/>
          <w:color w:val="auto"/>
          <w:kern w:val="0"/>
          <w:szCs w:val="21"/>
          <w:highlight w:val="none"/>
        </w:rPr>
        <w:t>乙方</w:t>
      </w:r>
      <w:r>
        <w:rPr>
          <w:color w:val="auto"/>
          <w:kern w:val="0"/>
          <w:szCs w:val="21"/>
          <w:highlight w:val="none"/>
        </w:rPr>
        <w:t>应履行的其他义务：</w:t>
      </w:r>
    </w:p>
    <w:p>
      <w:pPr>
        <w:tabs>
          <w:tab w:val="left" w:pos="0"/>
        </w:tabs>
        <w:spacing w:line="360" w:lineRule="exact"/>
        <w:ind w:firstLine="315" w:firstLineChars="150"/>
        <w:rPr>
          <w:rFonts w:ascii="宋体" w:hAnsi="宋体"/>
          <w:color w:val="auto"/>
          <w:szCs w:val="21"/>
          <w:highlight w:val="none"/>
        </w:rPr>
      </w:pPr>
      <w:r>
        <w:rPr>
          <w:rFonts w:hint="eastAsia" w:ascii="宋体" w:hAnsi="宋体"/>
          <w:color w:val="auto"/>
          <w:szCs w:val="21"/>
          <w:highlight w:val="none"/>
        </w:rPr>
        <w:t xml:space="preserve">（1）按有关技术规范进行施工，确保项目质量。 </w:t>
      </w:r>
    </w:p>
    <w:p>
      <w:pPr>
        <w:tabs>
          <w:tab w:val="left" w:pos="0"/>
        </w:tabs>
        <w:spacing w:line="360" w:lineRule="exact"/>
        <w:ind w:firstLine="315" w:firstLineChars="150"/>
        <w:rPr>
          <w:rFonts w:ascii="宋体" w:hAnsi="宋体"/>
          <w:color w:val="auto"/>
          <w:szCs w:val="21"/>
          <w:highlight w:val="none"/>
        </w:rPr>
      </w:pPr>
      <w:r>
        <w:rPr>
          <w:rFonts w:hint="eastAsia" w:ascii="宋体" w:hAnsi="宋体"/>
          <w:color w:val="auto"/>
          <w:szCs w:val="21"/>
          <w:highlight w:val="none"/>
        </w:rPr>
        <w:t xml:space="preserve">（2）服从甲方、监理工作的进程安排，及时进场并保证工期。 </w:t>
      </w:r>
    </w:p>
    <w:p>
      <w:pPr>
        <w:tabs>
          <w:tab w:val="left" w:pos="0"/>
        </w:tabs>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(3)接到甲方更改通知时，按更改要求进行项目更改，并向监理报备。 </w:t>
      </w:r>
    </w:p>
    <w:p>
      <w:pPr>
        <w:tabs>
          <w:tab w:val="left" w:pos="0"/>
        </w:tabs>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(4)应严格按本次招投标的规定要求履行并承担自己的职责。 </w:t>
      </w:r>
    </w:p>
    <w:p>
      <w:pPr>
        <w:tabs>
          <w:tab w:val="left" w:pos="0"/>
        </w:tabs>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(5)按图纸要求、合同条款、技术规范等要求，承担项目的维修、维护等工作。 </w:t>
      </w:r>
    </w:p>
    <w:p>
      <w:pPr>
        <w:tabs>
          <w:tab w:val="left" w:pos="0"/>
        </w:tabs>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(6)所使用的主要原材料均需要提供检测报告或质量保证单。 </w:t>
      </w:r>
    </w:p>
    <w:p>
      <w:pPr>
        <w:tabs>
          <w:tab w:val="left" w:pos="0"/>
        </w:tabs>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(7)接受甲方的各项工作业务指导。</w:t>
      </w:r>
    </w:p>
    <w:p>
      <w:pPr>
        <w:tabs>
          <w:tab w:val="left" w:pos="0"/>
        </w:tabs>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(8)负责施工场地的安全文明生产。</w:t>
      </w:r>
    </w:p>
    <w:p>
      <w:pPr>
        <w:tabs>
          <w:tab w:val="left" w:pos="0"/>
        </w:tabs>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(9)建立项目施工的质量保证体系。</w:t>
      </w:r>
    </w:p>
    <w:p>
      <w:pPr>
        <w:tabs>
          <w:tab w:val="left" w:pos="0"/>
        </w:tabs>
        <w:spacing w:line="360" w:lineRule="exact"/>
        <w:ind w:firstLine="420" w:firstLineChars="200"/>
        <w:rPr>
          <w:rFonts w:ascii="宋体" w:hAnsi="宋体"/>
          <w:color w:val="auto"/>
          <w:szCs w:val="21"/>
          <w:highlight w:val="none"/>
        </w:rPr>
      </w:pPr>
      <w:r>
        <w:rPr>
          <w:rFonts w:hint="eastAsia" w:ascii="宋体" w:hAnsi="宋体"/>
          <w:color w:val="auto"/>
          <w:szCs w:val="21"/>
          <w:highlight w:val="none"/>
        </w:rPr>
        <w:t xml:space="preserve">(10)负责交通安全设施施工场地、车辆、机械设备、原材料等的施工保障。 </w:t>
      </w:r>
    </w:p>
    <w:p>
      <w:pPr>
        <w:tabs>
          <w:tab w:val="left" w:pos="0"/>
        </w:tabs>
        <w:spacing w:line="360" w:lineRule="exact"/>
        <w:ind w:firstLine="315" w:firstLineChars="150"/>
        <w:rPr>
          <w:rFonts w:ascii="宋体" w:hAnsi="宋体"/>
          <w:color w:val="auto"/>
          <w:szCs w:val="21"/>
          <w:highlight w:val="none"/>
        </w:rPr>
      </w:pPr>
      <w:r>
        <w:rPr>
          <w:rFonts w:hint="eastAsia" w:ascii="宋体" w:hAnsi="宋体"/>
          <w:color w:val="auto"/>
          <w:szCs w:val="21"/>
          <w:highlight w:val="none"/>
        </w:rPr>
        <w:t xml:space="preserve"> (11)接受甲方、监理对文明施工、安全施工、质量、施工时效等的监管。 </w:t>
      </w:r>
    </w:p>
    <w:p>
      <w:pPr>
        <w:tabs>
          <w:tab w:val="left" w:pos="0"/>
        </w:tabs>
        <w:spacing w:line="360" w:lineRule="exact"/>
        <w:ind w:firstLine="315" w:firstLineChars="150"/>
        <w:rPr>
          <w:rFonts w:ascii="宋体" w:hAnsi="宋体"/>
          <w:color w:val="auto"/>
          <w:szCs w:val="21"/>
          <w:highlight w:val="none"/>
        </w:rPr>
      </w:pPr>
      <w:r>
        <w:rPr>
          <w:rFonts w:hint="eastAsia" w:ascii="宋体" w:hAnsi="宋体"/>
          <w:color w:val="auto"/>
          <w:szCs w:val="21"/>
          <w:highlight w:val="none"/>
        </w:rPr>
        <w:t xml:space="preserve"> (12)及时反馈联系单。</w:t>
      </w:r>
    </w:p>
    <w:p>
      <w:pPr>
        <w:tabs>
          <w:tab w:val="left" w:pos="0"/>
        </w:tabs>
        <w:spacing w:line="360" w:lineRule="exact"/>
        <w:ind w:firstLine="315" w:firstLineChars="150"/>
        <w:rPr>
          <w:color w:val="auto"/>
          <w:highlight w:val="none"/>
        </w:rPr>
      </w:pPr>
      <w:r>
        <w:rPr>
          <w:rFonts w:hint="eastAsia" w:ascii="宋体" w:hAnsi="宋体"/>
          <w:color w:val="auto"/>
          <w:szCs w:val="21"/>
          <w:highlight w:val="none"/>
        </w:rPr>
        <w:t>（13）乙方应提供正常施工必须的所有人工（包括工种）、机械设备（包括车辆）、主要原材料等；</w:t>
      </w:r>
    </w:p>
    <w:p>
      <w:pPr>
        <w:tabs>
          <w:tab w:val="left" w:pos="0"/>
        </w:tabs>
        <w:spacing w:line="360" w:lineRule="exact"/>
        <w:ind w:firstLine="315" w:firstLineChars="150"/>
        <w:rPr>
          <w:rFonts w:ascii="宋体" w:hAnsi="宋体"/>
          <w:color w:val="auto"/>
          <w:szCs w:val="21"/>
          <w:highlight w:val="none"/>
        </w:rPr>
      </w:pPr>
      <w:r>
        <w:rPr>
          <w:rFonts w:hint="eastAsia" w:ascii="宋体" w:hAnsi="宋体"/>
          <w:color w:val="auto"/>
          <w:szCs w:val="21"/>
          <w:highlight w:val="none"/>
        </w:rPr>
        <w:t xml:space="preserve">（14）监理在巡查过程中发现乙方在施工中不按国家有关标准设置，经甲方确认后，乙方无条件返工，并承担因返工额外产生的费用； </w:t>
      </w:r>
    </w:p>
    <w:p>
      <w:pPr>
        <w:tabs>
          <w:tab w:val="left" w:pos="0"/>
        </w:tabs>
        <w:spacing w:line="360" w:lineRule="exact"/>
        <w:ind w:firstLine="315" w:firstLineChars="150"/>
        <w:rPr>
          <w:rFonts w:ascii="宋体" w:hAnsi="宋体"/>
          <w:color w:val="auto"/>
          <w:szCs w:val="21"/>
          <w:highlight w:val="none"/>
        </w:rPr>
      </w:pPr>
      <w:r>
        <w:rPr>
          <w:rFonts w:hint="eastAsia" w:ascii="宋体" w:hAnsi="宋体"/>
          <w:color w:val="auto"/>
          <w:szCs w:val="21"/>
          <w:highlight w:val="none"/>
        </w:rPr>
        <w:t>(15）施工结束后乙方提供完工清单，监理及甲方按规定验收；</w:t>
      </w:r>
    </w:p>
    <w:p>
      <w:pPr>
        <w:tabs>
          <w:tab w:val="left" w:pos="0"/>
        </w:tabs>
        <w:spacing w:line="360" w:lineRule="exact"/>
        <w:ind w:firstLine="210" w:firstLineChars="100"/>
        <w:rPr>
          <w:rFonts w:ascii="宋体" w:hAnsi="宋体"/>
          <w:color w:val="auto"/>
          <w:szCs w:val="21"/>
          <w:highlight w:val="none"/>
        </w:rPr>
      </w:pPr>
      <w:r>
        <w:rPr>
          <w:rFonts w:hint="eastAsia" w:ascii="宋体" w:hAnsi="宋体"/>
          <w:color w:val="auto"/>
          <w:szCs w:val="21"/>
          <w:highlight w:val="none"/>
        </w:rPr>
        <w:t xml:space="preserve">（16）乙方有下列行为之一的，甲方有权终止合同。 </w:t>
      </w:r>
    </w:p>
    <w:p>
      <w:pPr>
        <w:tabs>
          <w:tab w:val="left" w:pos="0"/>
        </w:tabs>
        <w:spacing w:line="360" w:lineRule="exact"/>
        <w:ind w:firstLine="630" w:firstLineChars="300"/>
        <w:rPr>
          <w:rFonts w:ascii="宋体" w:hAnsi="宋体"/>
          <w:color w:val="auto"/>
          <w:szCs w:val="21"/>
          <w:highlight w:val="none"/>
        </w:rPr>
      </w:pPr>
      <w:r>
        <w:rPr>
          <w:rFonts w:hint="eastAsia" w:ascii="宋体" w:hAnsi="宋体"/>
          <w:color w:val="auto"/>
          <w:szCs w:val="21"/>
          <w:highlight w:val="none"/>
        </w:rPr>
        <w:t xml:space="preserve">A、不符合技术标准的； </w:t>
      </w:r>
    </w:p>
    <w:p>
      <w:pPr>
        <w:tabs>
          <w:tab w:val="left" w:pos="0"/>
        </w:tabs>
        <w:spacing w:line="360" w:lineRule="exact"/>
        <w:ind w:firstLine="630" w:firstLineChars="300"/>
        <w:rPr>
          <w:rFonts w:ascii="宋体" w:hAnsi="宋体"/>
          <w:color w:val="auto"/>
          <w:szCs w:val="21"/>
          <w:highlight w:val="none"/>
        </w:rPr>
      </w:pPr>
      <w:r>
        <w:rPr>
          <w:rFonts w:hint="eastAsia" w:ascii="宋体" w:hAnsi="宋体"/>
          <w:color w:val="auto"/>
          <w:szCs w:val="21"/>
          <w:highlight w:val="none"/>
        </w:rPr>
        <w:t xml:space="preserve">B、偷工减料的； </w:t>
      </w:r>
    </w:p>
    <w:p>
      <w:pPr>
        <w:tabs>
          <w:tab w:val="left" w:pos="0"/>
        </w:tabs>
        <w:spacing w:line="360" w:lineRule="exact"/>
        <w:ind w:firstLine="630" w:firstLineChars="300"/>
        <w:rPr>
          <w:rFonts w:ascii="宋体" w:hAnsi="宋体"/>
          <w:color w:val="auto"/>
          <w:szCs w:val="21"/>
          <w:highlight w:val="none"/>
        </w:rPr>
      </w:pPr>
      <w:r>
        <w:rPr>
          <w:rFonts w:hint="eastAsia" w:ascii="宋体" w:hAnsi="宋体"/>
          <w:color w:val="auto"/>
          <w:szCs w:val="21"/>
          <w:highlight w:val="none"/>
        </w:rPr>
        <w:t xml:space="preserve">C、不按图施工的； </w:t>
      </w:r>
    </w:p>
    <w:p>
      <w:pPr>
        <w:tabs>
          <w:tab w:val="left" w:pos="0"/>
        </w:tabs>
        <w:spacing w:line="360" w:lineRule="exact"/>
        <w:ind w:firstLine="630" w:firstLineChars="300"/>
        <w:rPr>
          <w:rFonts w:ascii="宋体" w:hAnsi="宋体"/>
          <w:color w:val="auto"/>
          <w:szCs w:val="21"/>
          <w:highlight w:val="none"/>
        </w:rPr>
      </w:pPr>
      <w:r>
        <w:rPr>
          <w:rFonts w:hint="eastAsia" w:ascii="宋体" w:hAnsi="宋体"/>
          <w:color w:val="auto"/>
          <w:szCs w:val="21"/>
          <w:highlight w:val="none"/>
        </w:rPr>
        <w:t xml:space="preserve">D、造成重特大责任事故的； </w:t>
      </w:r>
    </w:p>
    <w:p>
      <w:pPr>
        <w:tabs>
          <w:tab w:val="left" w:pos="0"/>
        </w:tabs>
        <w:spacing w:line="360" w:lineRule="exact"/>
        <w:ind w:firstLine="630" w:firstLineChars="300"/>
        <w:rPr>
          <w:rFonts w:ascii="宋体" w:hAnsi="宋体"/>
          <w:color w:val="auto"/>
          <w:szCs w:val="21"/>
          <w:highlight w:val="none"/>
        </w:rPr>
      </w:pPr>
      <w:r>
        <w:rPr>
          <w:rFonts w:hint="eastAsia" w:ascii="宋体" w:hAnsi="宋体"/>
          <w:color w:val="auto"/>
          <w:szCs w:val="21"/>
          <w:highlight w:val="none"/>
        </w:rPr>
        <w:t xml:space="preserve">E、不文明安全施工的； </w:t>
      </w:r>
    </w:p>
    <w:p>
      <w:pPr>
        <w:tabs>
          <w:tab w:val="left" w:pos="0"/>
        </w:tabs>
        <w:spacing w:line="360" w:lineRule="exact"/>
        <w:ind w:firstLine="630" w:firstLineChars="300"/>
        <w:rPr>
          <w:rFonts w:ascii="宋体" w:hAnsi="宋体"/>
          <w:color w:val="auto"/>
          <w:szCs w:val="21"/>
          <w:highlight w:val="none"/>
        </w:rPr>
      </w:pPr>
      <w:r>
        <w:rPr>
          <w:rFonts w:hint="eastAsia" w:ascii="宋体" w:hAnsi="宋体"/>
          <w:color w:val="auto"/>
          <w:szCs w:val="21"/>
          <w:highlight w:val="none"/>
        </w:rPr>
        <w:t xml:space="preserve">F、不服从现场民警指挥的； </w:t>
      </w:r>
    </w:p>
    <w:p>
      <w:pPr>
        <w:tabs>
          <w:tab w:val="left" w:pos="0"/>
        </w:tabs>
        <w:spacing w:line="360" w:lineRule="exact"/>
        <w:ind w:firstLine="630" w:firstLineChars="300"/>
        <w:rPr>
          <w:rFonts w:ascii="宋体" w:hAnsi="宋体"/>
          <w:color w:val="auto"/>
          <w:szCs w:val="21"/>
          <w:highlight w:val="none"/>
        </w:rPr>
      </w:pPr>
      <w:r>
        <w:rPr>
          <w:rFonts w:hint="eastAsia" w:ascii="宋体" w:hAnsi="宋体"/>
          <w:color w:val="auto"/>
          <w:szCs w:val="21"/>
          <w:highlight w:val="none"/>
        </w:rPr>
        <w:t xml:space="preserve">G、擅自增设或变更交通安全设施的； </w:t>
      </w:r>
    </w:p>
    <w:p>
      <w:pPr>
        <w:tabs>
          <w:tab w:val="left" w:pos="0"/>
        </w:tabs>
        <w:spacing w:line="360" w:lineRule="exact"/>
        <w:ind w:firstLine="630" w:firstLineChars="300"/>
        <w:rPr>
          <w:rFonts w:ascii="宋体" w:hAnsi="宋体"/>
          <w:color w:val="auto"/>
          <w:szCs w:val="21"/>
          <w:highlight w:val="none"/>
        </w:rPr>
      </w:pPr>
      <w:r>
        <w:rPr>
          <w:rFonts w:hint="eastAsia" w:ascii="宋体" w:hAnsi="宋体"/>
          <w:color w:val="auto"/>
          <w:szCs w:val="21"/>
          <w:highlight w:val="none"/>
        </w:rPr>
        <w:t xml:space="preserve">H 、全部或部分项目违法转包； </w:t>
      </w:r>
    </w:p>
    <w:p>
      <w:pPr>
        <w:tabs>
          <w:tab w:val="left" w:pos="0"/>
        </w:tabs>
        <w:spacing w:line="360" w:lineRule="exact"/>
        <w:ind w:firstLine="630" w:firstLineChars="300"/>
        <w:rPr>
          <w:rFonts w:ascii="宋体" w:hAnsi="宋体"/>
          <w:color w:val="auto"/>
          <w:szCs w:val="21"/>
          <w:highlight w:val="none"/>
        </w:rPr>
      </w:pPr>
      <w:r>
        <w:rPr>
          <w:rFonts w:hint="eastAsia" w:ascii="宋体" w:hAnsi="宋体"/>
          <w:color w:val="auto"/>
          <w:szCs w:val="21"/>
          <w:highlight w:val="none"/>
        </w:rPr>
        <w:t>I、多次未按合同履行维护维修工作的；</w:t>
      </w:r>
    </w:p>
    <w:p>
      <w:pPr>
        <w:tabs>
          <w:tab w:val="left" w:pos="0"/>
        </w:tabs>
        <w:spacing w:line="360" w:lineRule="exact"/>
        <w:ind w:firstLine="315" w:firstLineChars="150"/>
        <w:rPr>
          <w:rFonts w:ascii="宋体" w:hAnsi="宋体"/>
          <w:color w:val="auto"/>
          <w:szCs w:val="21"/>
          <w:highlight w:val="none"/>
        </w:rPr>
      </w:pPr>
      <w:r>
        <w:rPr>
          <w:rFonts w:hint="eastAsia" w:ascii="宋体" w:hAnsi="宋体"/>
          <w:color w:val="auto"/>
          <w:szCs w:val="21"/>
          <w:highlight w:val="none"/>
        </w:rPr>
        <w:t xml:space="preserve">（17）乙方在施工项目中应先制定完善的施工方案，尽可能减小因施工对道路通行带来的影响，施工时应服从现场交警的管理及指挥； </w:t>
      </w:r>
    </w:p>
    <w:p>
      <w:pPr>
        <w:tabs>
          <w:tab w:val="left" w:pos="0"/>
        </w:tabs>
        <w:spacing w:line="360" w:lineRule="exact"/>
        <w:ind w:firstLine="210" w:firstLineChars="100"/>
        <w:rPr>
          <w:rFonts w:ascii="宋体" w:hAnsi="宋体"/>
          <w:color w:val="auto"/>
          <w:szCs w:val="21"/>
          <w:highlight w:val="none"/>
        </w:rPr>
      </w:pPr>
      <w:r>
        <w:rPr>
          <w:rFonts w:hint="eastAsia" w:ascii="宋体" w:hAnsi="宋体"/>
          <w:color w:val="auto"/>
          <w:szCs w:val="21"/>
          <w:highlight w:val="none"/>
        </w:rPr>
        <w:t>（18）乙方在台州市区内需有专门的工作场地、工作人员、车辆、设备及维护工具承担交通警察局的交通安全设施任务。</w:t>
      </w:r>
    </w:p>
    <w:p>
      <w:pPr>
        <w:tabs>
          <w:tab w:val="left" w:pos="0"/>
        </w:tabs>
        <w:spacing w:line="360" w:lineRule="exact"/>
        <w:ind w:firstLine="210" w:firstLineChars="100"/>
        <w:rPr>
          <w:rFonts w:ascii="宋体" w:hAnsi="宋体"/>
          <w:color w:val="auto"/>
          <w:szCs w:val="21"/>
          <w:highlight w:val="none"/>
        </w:rPr>
      </w:pPr>
      <w:r>
        <w:rPr>
          <w:rFonts w:hint="eastAsia" w:ascii="宋体" w:hAnsi="宋体"/>
          <w:color w:val="auto"/>
          <w:szCs w:val="21"/>
          <w:highlight w:val="none"/>
        </w:rPr>
        <w:t>（19）乙方对抢修、维修不及时造成的后果，除进行赔偿外，还需根据产生的后果严重程度，承担相应的法律责任。</w:t>
      </w:r>
    </w:p>
    <w:p>
      <w:pPr>
        <w:spacing w:line="360" w:lineRule="exact"/>
        <w:ind w:firstLine="420" w:firstLineChars="200"/>
        <w:rPr>
          <w:color w:val="auto"/>
          <w:szCs w:val="21"/>
          <w:highlight w:val="none"/>
        </w:rPr>
      </w:pPr>
      <w:r>
        <w:rPr>
          <w:color w:val="auto"/>
          <w:szCs w:val="21"/>
          <w:highlight w:val="none"/>
        </w:rPr>
        <w:t>3.</w:t>
      </w:r>
      <w:r>
        <w:rPr>
          <w:rFonts w:hint="eastAsia"/>
          <w:color w:val="auto"/>
          <w:szCs w:val="21"/>
          <w:highlight w:val="none"/>
        </w:rPr>
        <w:t>3</w:t>
      </w:r>
      <w:r>
        <w:rPr>
          <w:color w:val="auto"/>
          <w:szCs w:val="21"/>
          <w:highlight w:val="none"/>
        </w:rPr>
        <w:t>项目经理</w:t>
      </w:r>
    </w:p>
    <w:p>
      <w:pPr>
        <w:spacing w:line="360" w:lineRule="exact"/>
        <w:ind w:firstLine="420" w:firstLineChars="200"/>
        <w:rPr>
          <w:color w:val="auto"/>
          <w:szCs w:val="21"/>
          <w:highlight w:val="none"/>
        </w:rPr>
      </w:pPr>
      <w:r>
        <w:rPr>
          <w:color w:val="auto"/>
          <w:kern w:val="0"/>
          <w:szCs w:val="21"/>
          <w:highlight w:val="none"/>
        </w:rPr>
        <w:t>3.</w:t>
      </w:r>
      <w:r>
        <w:rPr>
          <w:rFonts w:hint="eastAsia"/>
          <w:color w:val="auto"/>
          <w:kern w:val="0"/>
          <w:szCs w:val="21"/>
          <w:highlight w:val="none"/>
        </w:rPr>
        <w:t>3</w:t>
      </w:r>
      <w:r>
        <w:rPr>
          <w:color w:val="auto"/>
          <w:kern w:val="0"/>
          <w:szCs w:val="21"/>
          <w:highlight w:val="none"/>
        </w:rPr>
        <w:t xml:space="preserve">.1 </w:t>
      </w:r>
      <w:r>
        <w:rPr>
          <w:color w:val="auto"/>
          <w:szCs w:val="21"/>
          <w:highlight w:val="none"/>
        </w:rPr>
        <w:t>项目经理：</w:t>
      </w:r>
    </w:p>
    <w:p>
      <w:pPr>
        <w:spacing w:line="360" w:lineRule="exact"/>
        <w:ind w:firstLine="420" w:firstLineChars="200"/>
        <w:rPr>
          <w:color w:val="auto"/>
          <w:szCs w:val="21"/>
          <w:highlight w:val="none"/>
        </w:rPr>
      </w:pPr>
      <w:r>
        <w:rPr>
          <w:color w:val="auto"/>
          <w:szCs w:val="21"/>
          <w:highlight w:val="none"/>
        </w:rPr>
        <w:t>姓    名：；</w:t>
      </w:r>
    </w:p>
    <w:p>
      <w:pPr>
        <w:spacing w:line="360" w:lineRule="exact"/>
        <w:ind w:firstLine="420" w:firstLineChars="200"/>
        <w:rPr>
          <w:color w:val="auto"/>
          <w:szCs w:val="21"/>
          <w:highlight w:val="none"/>
        </w:rPr>
      </w:pPr>
      <w:r>
        <w:rPr>
          <w:color w:val="auto"/>
          <w:szCs w:val="21"/>
          <w:highlight w:val="none"/>
        </w:rPr>
        <w:t>身份证号：；</w:t>
      </w:r>
    </w:p>
    <w:p>
      <w:pPr>
        <w:spacing w:line="360" w:lineRule="exact"/>
        <w:ind w:firstLine="420" w:firstLineChars="200"/>
        <w:rPr>
          <w:color w:val="auto"/>
          <w:szCs w:val="21"/>
          <w:highlight w:val="none"/>
        </w:rPr>
      </w:pPr>
      <w:r>
        <w:rPr>
          <w:color w:val="auto"/>
          <w:szCs w:val="21"/>
          <w:highlight w:val="none"/>
        </w:rPr>
        <w:t>联系电话：；</w:t>
      </w:r>
    </w:p>
    <w:p>
      <w:pPr>
        <w:spacing w:line="360" w:lineRule="exact"/>
        <w:ind w:firstLine="420" w:firstLineChars="200"/>
        <w:rPr>
          <w:color w:val="auto"/>
          <w:szCs w:val="21"/>
          <w:highlight w:val="none"/>
        </w:rPr>
      </w:pPr>
      <w:r>
        <w:rPr>
          <w:color w:val="auto"/>
          <w:szCs w:val="21"/>
          <w:highlight w:val="none"/>
        </w:rPr>
        <w:t>电子信箱：；</w:t>
      </w:r>
    </w:p>
    <w:p>
      <w:pPr>
        <w:spacing w:line="360" w:lineRule="exact"/>
        <w:ind w:firstLine="420" w:firstLineChars="200"/>
        <w:rPr>
          <w:color w:val="auto"/>
          <w:szCs w:val="21"/>
          <w:highlight w:val="none"/>
        </w:rPr>
      </w:pPr>
      <w:r>
        <w:rPr>
          <w:color w:val="auto"/>
          <w:szCs w:val="21"/>
          <w:highlight w:val="none"/>
        </w:rPr>
        <w:t>通信地址：；</w:t>
      </w:r>
    </w:p>
    <w:p>
      <w:pPr>
        <w:spacing w:line="360" w:lineRule="exact"/>
        <w:ind w:firstLine="420" w:firstLineChars="200"/>
        <w:rPr>
          <w:color w:val="auto"/>
          <w:szCs w:val="21"/>
          <w:highlight w:val="none"/>
        </w:rPr>
      </w:pPr>
      <w:r>
        <w:rPr>
          <w:rFonts w:hint="eastAsia"/>
          <w:color w:val="auto"/>
          <w:szCs w:val="21"/>
          <w:highlight w:val="none"/>
        </w:rPr>
        <w:t>乙方</w:t>
      </w:r>
      <w:r>
        <w:rPr>
          <w:color w:val="auto"/>
          <w:szCs w:val="21"/>
          <w:highlight w:val="none"/>
        </w:rPr>
        <w:t>对项目经理的授权范围如下：。</w:t>
      </w:r>
    </w:p>
    <w:p>
      <w:pPr>
        <w:spacing w:line="360" w:lineRule="exact"/>
        <w:ind w:firstLine="420" w:firstLineChars="200"/>
        <w:rPr>
          <w:color w:val="auto"/>
          <w:kern w:val="0"/>
          <w:szCs w:val="21"/>
          <w:highlight w:val="none"/>
        </w:rPr>
      </w:pPr>
      <w:r>
        <w:rPr>
          <w:color w:val="auto"/>
          <w:kern w:val="0"/>
          <w:szCs w:val="21"/>
          <w:highlight w:val="none"/>
        </w:rPr>
        <w:t>关于项目经理每月在施工现场的时间要求：</w:t>
      </w:r>
      <w:r>
        <w:rPr>
          <w:rFonts w:hint="eastAsia"/>
          <w:color w:val="auto"/>
          <w:szCs w:val="21"/>
          <w:highlight w:val="none"/>
          <w:u w:val="single"/>
        </w:rPr>
        <w:t xml:space="preserve">月到岗率须达到《台州市施工现场关键岗位人员管理实施细则》（台建规[2006]330号）要求 </w:t>
      </w:r>
      <w:r>
        <w:rPr>
          <w:color w:val="auto"/>
          <w:szCs w:val="21"/>
          <w:highlight w:val="none"/>
        </w:rPr>
        <w:t xml:space="preserve"> 。</w:t>
      </w:r>
    </w:p>
    <w:p>
      <w:pPr>
        <w:spacing w:line="360" w:lineRule="exact"/>
        <w:ind w:firstLine="420" w:firstLineChars="200"/>
        <w:rPr>
          <w:color w:val="auto"/>
          <w:kern w:val="0"/>
          <w:szCs w:val="21"/>
          <w:highlight w:val="none"/>
        </w:rPr>
      </w:pPr>
      <w:r>
        <w:rPr>
          <w:rFonts w:hint="eastAsia"/>
          <w:color w:val="auto"/>
          <w:szCs w:val="21"/>
          <w:highlight w:val="none"/>
          <w:u w:val="single"/>
        </w:rPr>
        <w:t>乙方未提交劳动合同，以及没有为项目经理缴纳社会保险证明的违约责任：甲方有权要求更换项目经理，由此增加的费用和（或）延误的工期由乙方承担，按每更换一人次扣除履约保证金额的20%；及至甲方可通知乙方全部解除合同，所有履约保证金归甲方，并赔偿甲方损失</w:t>
      </w:r>
      <w:r>
        <w:rPr>
          <w:color w:val="auto"/>
          <w:szCs w:val="21"/>
          <w:highlight w:val="none"/>
        </w:rPr>
        <w:t>。</w:t>
      </w:r>
    </w:p>
    <w:p>
      <w:pPr>
        <w:spacing w:line="360" w:lineRule="exact"/>
        <w:ind w:firstLine="420" w:firstLineChars="200"/>
        <w:rPr>
          <w:color w:val="auto"/>
          <w:szCs w:val="21"/>
          <w:highlight w:val="none"/>
          <w:u w:val="single"/>
        </w:rPr>
      </w:pPr>
      <w:r>
        <w:rPr>
          <w:color w:val="auto"/>
          <w:kern w:val="0"/>
          <w:szCs w:val="21"/>
          <w:highlight w:val="none"/>
        </w:rPr>
        <w:t>项目经理未经批准，擅自离开施工现场的违约责任：</w:t>
      </w:r>
      <w:r>
        <w:rPr>
          <w:rFonts w:hint="eastAsia"/>
          <w:color w:val="auto"/>
          <w:szCs w:val="21"/>
          <w:highlight w:val="none"/>
          <w:u w:val="single"/>
        </w:rPr>
        <w:t>月到岗率须达到《台州市施工现场关键岗位人员管理实施细则》（台建规[2006]330号）要求，不足天数，每天扣除履约保证金额的0.1%，每月结算；连续二个月达不到要求且项目经理不能到岗的，甲方有权终止合同，没收全部履约保证金，同时赔偿甲方由此造成的损失。另遇有项目检查、验收或参观等活动时，无特殊原因不得离开施工现场</w:t>
      </w:r>
      <w:r>
        <w:rPr>
          <w:color w:val="auto"/>
          <w:szCs w:val="21"/>
          <w:highlight w:val="none"/>
        </w:rPr>
        <w:t>。</w:t>
      </w:r>
    </w:p>
    <w:p>
      <w:pPr>
        <w:spacing w:line="360" w:lineRule="exact"/>
        <w:ind w:firstLine="420" w:firstLineChars="200"/>
        <w:rPr>
          <w:color w:val="auto"/>
          <w:szCs w:val="21"/>
          <w:highlight w:val="none"/>
        </w:rPr>
      </w:pPr>
      <w:r>
        <w:rPr>
          <w:color w:val="auto"/>
          <w:szCs w:val="21"/>
          <w:highlight w:val="none"/>
        </w:rPr>
        <w:t>3.</w:t>
      </w:r>
      <w:r>
        <w:rPr>
          <w:rFonts w:hint="eastAsia"/>
          <w:color w:val="auto"/>
          <w:szCs w:val="21"/>
          <w:highlight w:val="none"/>
        </w:rPr>
        <w:t>3</w:t>
      </w:r>
      <w:r>
        <w:rPr>
          <w:color w:val="auto"/>
          <w:szCs w:val="21"/>
          <w:highlight w:val="none"/>
        </w:rPr>
        <w:t>.</w:t>
      </w:r>
      <w:r>
        <w:rPr>
          <w:rFonts w:hint="eastAsia"/>
          <w:color w:val="auto"/>
          <w:szCs w:val="21"/>
          <w:highlight w:val="none"/>
        </w:rPr>
        <w:t>2</w:t>
      </w:r>
      <w:r>
        <w:rPr>
          <w:color w:val="auto"/>
          <w:szCs w:val="21"/>
          <w:highlight w:val="none"/>
        </w:rPr>
        <w:t xml:space="preserve"> </w:t>
      </w:r>
      <w:r>
        <w:rPr>
          <w:rFonts w:hint="eastAsia"/>
          <w:color w:val="auto"/>
          <w:szCs w:val="21"/>
          <w:highlight w:val="none"/>
        </w:rPr>
        <w:t>乙方</w:t>
      </w:r>
      <w:r>
        <w:rPr>
          <w:color w:val="auto"/>
          <w:szCs w:val="21"/>
          <w:highlight w:val="none"/>
        </w:rPr>
        <w:t>擅自更换项目经理的违约责任：</w:t>
      </w:r>
      <w:r>
        <w:rPr>
          <w:rFonts w:hint="eastAsia"/>
          <w:color w:val="auto"/>
          <w:szCs w:val="21"/>
          <w:highlight w:val="none"/>
          <w:u w:val="single"/>
        </w:rPr>
        <w:t>项目经理因发生重大安全事故不适合再任、生病住院、终止劳动合同关系（提供相关部门或单位证明材料）、被责令停止执业、羁押或判刑情形，无法继续担任项目经理，乙方向甲方提出申请，甲方应同意更换，并报所在地建设行政主管部门批准、备案，更换到位的项目经理资质、信用等级不低于原项目经理；除上述情形外不允许更换，如乙方</w:t>
      </w:r>
      <w:r>
        <w:rPr>
          <w:color w:val="auto"/>
          <w:szCs w:val="21"/>
          <w:highlight w:val="none"/>
          <w:u w:val="single"/>
        </w:rPr>
        <w:t>擅自更换</w:t>
      </w:r>
      <w:r>
        <w:rPr>
          <w:rFonts w:hint="eastAsia"/>
          <w:color w:val="auto"/>
          <w:szCs w:val="21"/>
          <w:highlight w:val="none"/>
          <w:u w:val="single"/>
        </w:rPr>
        <w:t>，按每更换一人次扣除履约保证金额的20%；及至甲方可通知乙方全部解除合同，所有履约保证金归甲方，并赔偿甲方损失</w:t>
      </w:r>
      <w:r>
        <w:rPr>
          <w:color w:val="auto"/>
          <w:szCs w:val="21"/>
          <w:highlight w:val="none"/>
        </w:rPr>
        <w:t>。</w:t>
      </w:r>
    </w:p>
    <w:p>
      <w:pPr>
        <w:spacing w:line="360" w:lineRule="exact"/>
        <w:ind w:firstLine="420" w:firstLineChars="200"/>
        <w:rPr>
          <w:color w:val="auto"/>
          <w:szCs w:val="21"/>
          <w:highlight w:val="none"/>
        </w:rPr>
      </w:pPr>
      <w:r>
        <w:rPr>
          <w:color w:val="auto"/>
          <w:szCs w:val="21"/>
          <w:highlight w:val="none"/>
        </w:rPr>
        <w:t>3.</w:t>
      </w:r>
      <w:r>
        <w:rPr>
          <w:rFonts w:hint="eastAsia"/>
          <w:color w:val="auto"/>
          <w:szCs w:val="21"/>
          <w:highlight w:val="none"/>
        </w:rPr>
        <w:t>3</w:t>
      </w:r>
      <w:r>
        <w:rPr>
          <w:color w:val="auto"/>
          <w:szCs w:val="21"/>
          <w:highlight w:val="none"/>
        </w:rPr>
        <w:t>.</w:t>
      </w:r>
      <w:r>
        <w:rPr>
          <w:rFonts w:hint="eastAsia"/>
          <w:color w:val="auto"/>
          <w:szCs w:val="21"/>
          <w:highlight w:val="none"/>
        </w:rPr>
        <w:t>3</w:t>
      </w:r>
      <w:r>
        <w:rPr>
          <w:color w:val="auto"/>
          <w:szCs w:val="21"/>
          <w:highlight w:val="none"/>
        </w:rPr>
        <w:t xml:space="preserve"> </w:t>
      </w:r>
      <w:r>
        <w:rPr>
          <w:rFonts w:hint="eastAsia"/>
          <w:color w:val="auto"/>
          <w:szCs w:val="21"/>
          <w:highlight w:val="none"/>
        </w:rPr>
        <w:t>乙方</w:t>
      </w:r>
      <w:r>
        <w:rPr>
          <w:color w:val="auto"/>
          <w:szCs w:val="21"/>
          <w:highlight w:val="none"/>
        </w:rPr>
        <w:t>无正当理由拒绝更换项目经理的违约责任</w:t>
      </w:r>
      <w:r>
        <w:rPr>
          <w:rFonts w:hint="eastAsia"/>
          <w:color w:val="auto"/>
          <w:szCs w:val="21"/>
          <w:highlight w:val="none"/>
        </w:rPr>
        <w:t>：</w:t>
      </w:r>
      <w:r>
        <w:rPr>
          <w:rFonts w:hint="eastAsia"/>
          <w:color w:val="auto"/>
          <w:szCs w:val="21"/>
          <w:highlight w:val="none"/>
          <w:u w:val="single"/>
        </w:rPr>
        <w:t>甲方可通知乙方全部解除合同，所有履约保证金归甲方，同时赔偿甲方损失</w:t>
      </w:r>
      <w:r>
        <w:rPr>
          <w:color w:val="auto"/>
          <w:szCs w:val="21"/>
          <w:highlight w:val="none"/>
        </w:rPr>
        <w:t>。</w:t>
      </w:r>
    </w:p>
    <w:p>
      <w:pPr>
        <w:spacing w:line="360" w:lineRule="exact"/>
        <w:ind w:firstLine="420" w:firstLineChars="200"/>
        <w:rPr>
          <w:color w:val="auto"/>
          <w:szCs w:val="21"/>
          <w:highlight w:val="none"/>
        </w:rPr>
      </w:pPr>
      <w:r>
        <w:rPr>
          <w:color w:val="auto"/>
          <w:szCs w:val="21"/>
          <w:highlight w:val="none"/>
        </w:rPr>
        <w:t>3.</w:t>
      </w:r>
      <w:r>
        <w:rPr>
          <w:rFonts w:hint="eastAsia"/>
          <w:color w:val="auto"/>
          <w:szCs w:val="21"/>
          <w:highlight w:val="none"/>
        </w:rPr>
        <w:t>4</w:t>
      </w:r>
      <w:r>
        <w:rPr>
          <w:color w:val="auto"/>
          <w:szCs w:val="21"/>
          <w:highlight w:val="none"/>
        </w:rPr>
        <w:t xml:space="preserve"> </w:t>
      </w:r>
      <w:r>
        <w:rPr>
          <w:rFonts w:hint="eastAsia"/>
          <w:color w:val="auto"/>
          <w:szCs w:val="21"/>
          <w:highlight w:val="none"/>
        </w:rPr>
        <w:t>乙方</w:t>
      </w:r>
      <w:r>
        <w:rPr>
          <w:color w:val="auto"/>
          <w:szCs w:val="21"/>
          <w:highlight w:val="none"/>
        </w:rPr>
        <w:t>人员</w:t>
      </w:r>
    </w:p>
    <w:p>
      <w:pPr>
        <w:spacing w:line="360" w:lineRule="exact"/>
        <w:ind w:firstLine="420" w:firstLineChars="200"/>
        <w:rPr>
          <w:color w:val="auto"/>
          <w:szCs w:val="21"/>
          <w:highlight w:val="none"/>
        </w:rPr>
      </w:pPr>
      <w:r>
        <w:rPr>
          <w:color w:val="auto"/>
          <w:szCs w:val="21"/>
          <w:highlight w:val="none"/>
        </w:rPr>
        <w:t>3.</w:t>
      </w:r>
      <w:r>
        <w:rPr>
          <w:rFonts w:hint="eastAsia"/>
          <w:color w:val="auto"/>
          <w:szCs w:val="21"/>
          <w:highlight w:val="none"/>
        </w:rPr>
        <w:t>4</w:t>
      </w:r>
      <w:r>
        <w:rPr>
          <w:color w:val="auto"/>
          <w:szCs w:val="21"/>
          <w:highlight w:val="none"/>
        </w:rPr>
        <w:t xml:space="preserve">.1 </w:t>
      </w:r>
      <w:r>
        <w:rPr>
          <w:rFonts w:hint="eastAsia"/>
          <w:color w:val="auto"/>
          <w:szCs w:val="21"/>
          <w:highlight w:val="none"/>
        </w:rPr>
        <w:t>乙方</w:t>
      </w:r>
      <w:r>
        <w:rPr>
          <w:color w:val="auto"/>
          <w:szCs w:val="21"/>
          <w:highlight w:val="none"/>
        </w:rPr>
        <w:t>提交项目管理机构及施工现场管理人员安排报告的期限：</w:t>
      </w:r>
      <w:r>
        <w:rPr>
          <w:rFonts w:hint="eastAsia"/>
          <w:color w:val="auto"/>
          <w:szCs w:val="21"/>
          <w:highlight w:val="none"/>
          <w:u w:val="single"/>
        </w:rPr>
        <w:t>接到开工通知（或确定开工日期）后7天内</w:t>
      </w:r>
      <w:r>
        <w:rPr>
          <w:color w:val="auto"/>
          <w:szCs w:val="21"/>
          <w:highlight w:val="none"/>
        </w:rPr>
        <w:t>。</w:t>
      </w:r>
    </w:p>
    <w:p>
      <w:pPr>
        <w:spacing w:line="360" w:lineRule="exact"/>
        <w:ind w:firstLine="420" w:firstLineChars="200"/>
        <w:rPr>
          <w:color w:val="auto"/>
          <w:szCs w:val="21"/>
          <w:highlight w:val="none"/>
          <w:u w:val="single"/>
        </w:rPr>
      </w:pPr>
      <w:r>
        <w:rPr>
          <w:color w:val="auto"/>
          <w:szCs w:val="21"/>
          <w:highlight w:val="none"/>
        </w:rPr>
        <w:t>3.</w:t>
      </w:r>
      <w:r>
        <w:rPr>
          <w:rFonts w:hint="eastAsia"/>
          <w:color w:val="auto"/>
          <w:szCs w:val="21"/>
          <w:highlight w:val="none"/>
        </w:rPr>
        <w:t>4</w:t>
      </w:r>
      <w:r>
        <w:rPr>
          <w:color w:val="auto"/>
          <w:szCs w:val="21"/>
          <w:highlight w:val="none"/>
        </w:rPr>
        <w:t>.</w:t>
      </w:r>
      <w:r>
        <w:rPr>
          <w:rFonts w:hint="eastAsia"/>
          <w:color w:val="auto"/>
          <w:szCs w:val="21"/>
          <w:highlight w:val="none"/>
        </w:rPr>
        <w:t>2</w:t>
      </w:r>
      <w:r>
        <w:rPr>
          <w:color w:val="auto"/>
          <w:szCs w:val="21"/>
          <w:highlight w:val="none"/>
        </w:rPr>
        <w:t xml:space="preserve"> </w:t>
      </w:r>
      <w:r>
        <w:rPr>
          <w:rFonts w:hint="eastAsia"/>
          <w:color w:val="auto"/>
          <w:szCs w:val="21"/>
          <w:highlight w:val="none"/>
        </w:rPr>
        <w:t>乙方</w:t>
      </w:r>
      <w:r>
        <w:rPr>
          <w:color w:val="auto"/>
          <w:szCs w:val="21"/>
          <w:highlight w:val="none"/>
        </w:rPr>
        <w:t>无正当理由拒绝撤换主要施工管理人员的违约责任：</w:t>
      </w:r>
      <w:r>
        <w:rPr>
          <w:rFonts w:hint="eastAsia"/>
          <w:color w:val="auto"/>
          <w:szCs w:val="21"/>
          <w:highlight w:val="none"/>
          <w:u w:val="single"/>
        </w:rPr>
        <w:t>甲方可通知乙方全部解除合同，所有履约保证金归甲方，同时赔偿甲方损失</w:t>
      </w:r>
      <w:r>
        <w:rPr>
          <w:color w:val="auto"/>
          <w:szCs w:val="21"/>
          <w:highlight w:val="none"/>
          <w:u w:val="single"/>
        </w:rPr>
        <w:t>。</w:t>
      </w:r>
    </w:p>
    <w:p>
      <w:pPr>
        <w:spacing w:line="360" w:lineRule="exact"/>
        <w:ind w:firstLine="420" w:firstLineChars="200"/>
        <w:rPr>
          <w:color w:val="auto"/>
          <w:szCs w:val="21"/>
          <w:highlight w:val="none"/>
          <w:u w:val="single"/>
        </w:rPr>
      </w:pPr>
      <w:r>
        <w:rPr>
          <w:color w:val="auto"/>
          <w:szCs w:val="21"/>
          <w:highlight w:val="none"/>
          <w:u w:val="single"/>
        </w:rPr>
        <w:t>3.</w:t>
      </w:r>
      <w:r>
        <w:rPr>
          <w:rFonts w:hint="eastAsia"/>
          <w:color w:val="auto"/>
          <w:szCs w:val="21"/>
          <w:highlight w:val="none"/>
          <w:u w:val="single"/>
        </w:rPr>
        <w:t>4</w:t>
      </w:r>
      <w:r>
        <w:rPr>
          <w:color w:val="auto"/>
          <w:szCs w:val="21"/>
          <w:highlight w:val="none"/>
          <w:u w:val="single"/>
        </w:rPr>
        <w:t>.</w:t>
      </w:r>
      <w:r>
        <w:rPr>
          <w:rFonts w:hint="eastAsia"/>
          <w:color w:val="auto"/>
          <w:szCs w:val="21"/>
          <w:highlight w:val="none"/>
          <w:u w:val="single"/>
        </w:rPr>
        <w:t>3</w:t>
      </w:r>
      <w:r>
        <w:rPr>
          <w:color w:val="auto"/>
          <w:szCs w:val="21"/>
          <w:highlight w:val="none"/>
          <w:u w:val="single"/>
        </w:rPr>
        <w:t xml:space="preserve"> </w:t>
      </w:r>
      <w:r>
        <w:rPr>
          <w:rFonts w:hint="eastAsia"/>
          <w:color w:val="auto"/>
          <w:szCs w:val="21"/>
          <w:highlight w:val="none"/>
          <w:u w:val="single"/>
        </w:rPr>
        <w:t>乙方</w:t>
      </w:r>
      <w:r>
        <w:rPr>
          <w:color w:val="auto"/>
          <w:szCs w:val="21"/>
          <w:highlight w:val="none"/>
          <w:u w:val="single"/>
        </w:rPr>
        <w:t>主要施工管理人员离开施工现场的批准要求：</w:t>
      </w:r>
      <w:r>
        <w:rPr>
          <w:rFonts w:hint="eastAsia"/>
          <w:color w:val="auto"/>
          <w:szCs w:val="21"/>
          <w:highlight w:val="none"/>
          <w:u w:val="single"/>
        </w:rPr>
        <w:t>按通用条款执行；另遇有项目检查、验收或参观等活动时，无特殊原因不得请假</w:t>
      </w:r>
      <w:r>
        <w:rPr>
          <w:color w:val="auto"/>
          <w:szCs w:val="21"/>
          <w:highlight w:val="none"/>
        </w:rPr>
        <w:t>。</w:t>
      </w:r>
    </w:p>
    <w:p>
      <w:pPr>
        <w:spacing w:line="360" w:lineRule="exact"/>
        <w:ind w:firstLine="420" w:firstLineChars="200"/>
        <w:rPr>
          <w:color w:val="auto"/>
          <w:szCs w:val="21"/>
          <w:highlight w:val="none"/>
        </w:rPr>
      </w:pPr>
      <w:r>
        <w:rPr>
          <w:rFonts w:hint="eastAsia"/>
          <w:color w:val="auto"/>
          <w:szCs w:val="21"/>
          <w:highlight w:val="none"/>
        </w:rPr>
        <w:t>乙方</w:t>
      </w:r>
      <w:r>
        <w:rPr>
          <w:color w:val="auto"/>
          <w:szCs w:val="21"/>
          <w:highlight w:val="none"/>
        </w:rPr>
        <w:t>主要施工管理人员擅自离开施工现场的违约责任：</w:t>
      </w:r>
      <w:r>
        <w:rPr>
          <w:rFonts w:hint="eastAsia"/>
          <w:color w:val="auto"/>
          <w:szCs w:val="21"/>
          <w:highlight w:val="none"/>
          <w:u w:val="single"/>
        </w:rPr>
        <w:t>《台州市施工现场关键岗位人员管理实施细则》（台建规[2006]330号）规定的关键岗位人员到岗率达不到合同约定的天数的，不足天数每人次每天扣除履约保证金额的0.05%，每月结算</w:t>
      </w:r>
      <w:r>
        <w:rPr>
          <w:color w:val="auto"/>
          <w:szCs w:val="21"/>
          <w:highlight w:val="none"/>
        </w:rPr>
        <w:t>。</w:t>
      </w:r>
    </w:p>
    <w:p>
      <w:pPr>
        <w:spacing w:line="360" w:lineRule="exact"/>
        <w:ind w:firstLine="420" w:firstLineChars="200"/>
        <w:rPr>
          <w:color w:val="auto"/>
          <w:szCs w:val="21"/>
          <w:highlight w:val="none"/>
        </w:rPr>
      </w:pPr>
      <w:r>
        <w:rPr>
          <w:color w:val="auto"/>
          <w:szCs w:val="21"/>
          <w:highlight w:val="none"/>
        </w:rPr>
        <w:t>3.</w:t>
      </w:r>
      <w:r>
        <w:rPr>
          <w:rFonts w:hint="eastAsia"/>
          <w:color w:val="auto"/>
          <w:szCs w:val="21"/>
          <w:highlight w:val="none"/>
        </w:rPr>
        <w:t>5</w:t>
      </w:r>
      <w:r>
        <w:rPr>
          <w:color w:val="auto"/>
          <w:szCs w:val="21"/>
          <w:highlight w:val="none"/>
        </w:rPr>
        <w:t xml:space="preserve"> </w:t>
      </w:r>
      <w:r>
        <w:rPr>
          <w:rFonts w:hint="eastAsia"/>
          <w:color w:val="auto"/>
          <w:szCs w:val="21"/>
          <w:highlight w:val="none"/>
        </w:rPr>
        <w:t>项目</w:t>
      </w:r>
      <w:r>
        <w:rPr>
          <w:color w:val="auto"/>
          <w:szCs w:val="21"/>
          <w:highlight w:val="none"/>
        </w:rPr>
        <w:t>照管与成品、半成品保护</w:t>
      </w:r>
    </w:p>
    <w:p>
      <w:pPr>
        <w:spacing w:line="360" w:lineRule="exact"/>
        <w:ind w:firstLine="420" w:firstLineChars="200"/>
        <w:rPr>
          <w:color w:val="auto"/>
          <w:kern w:val="0"/>
          <w:szCs w:val="21"/>
          <w:highlight w:val="none"/>
          <w:u w:val="single"/>
        </w:rPr>
      </w:pPr>
      <w:r>
        <w:rPr>
          <w:rFonts w:hint="eastAsia"/>
          <w:color w:val="auto"/>
          <w:kern w:val="0"/>
          <w:szCs w:val="21"/>
          <w:highlight w:val="none"/>
        </w:rPr>
        <w:t>乙方</w:t>
      </w:r>
      <w:r>
        <w:rPr>
          <w:color w:val="auto"/>
          <w:kern w:val="0"/>
          <w:szCs w:val="21"/>
          <w:highlight w:val="none"/>
        </w:rPr>
        <w:t>负责照管</w:t>
      </w:r>
      <w:r>
        <w:rPr>
          <w:rFonts w:hint="eastAsia"/>
          <w:color w:val="auto"/>
          <w:kern w:val="0"/>
          <w:szCs w:val="21"/>
          <w:highlight w:val="none"/>
        </w:rPr>
        <w:t>项目</w:t>
      </w:r>
      <w:r>
        <w:rPr>
          <w:color w:val="auto"/>
          <w:kern w:val="0"/>
          <w:szCs w:val="21"/>
          <w:highlight w:val="none"/>
        </w:rPr>
        <w:t>及</w:t>
      </w:r>
      <w:r>
        <w:rPr>
          <w:rFonts w:hint="eastAsia"/>
          <w:color w:val="auto"/>
          <w:kern w:val="0"/>
          <w:szCs w:val="21"/>
          <w:highlight w:val="none"/>
        </w:rPr>
        <w:t>项目</w:t>
      </w:r>
      <w:r>
        <w:rPr>
          <w:color w:val="auto"/>
          <w:kern w:val="0"/>
          <w:szCs w:val="21"/>
          <w:highlight w:val="none"/>
        </w:rPr>
        <w:t>相关的材料、</w:t>
      </w:r>
      <w:r>
        <w:rPr>
          <w:rFonts w:hint="eastAsia"/>
          <w:color w:val="auto"/>
          <w:kern w:val="0"/>
          <w:szCs w:val="21"/>
          <w:highlight w:val="none"/>
        </w:rPr>
        <w:t>项目</w:t>
      </w:r>
      <w:r>
        <w:rPr>
          <w:color w:val="auto"/>
          <w:kern w:val="0"/>
          <w:szCs w:val="21"/>
          <w:highlight w:val="none"/>
        </w:rPr>
        <w:t>设备的起始时间：</w:t>
      </w:r>
      <w:r>
        <w:rPr>
          <w:rFonts w:hint="eastAsia"/>
          <w:color w:val="auto"/>
          <w:szCs w:val="21"/>
          <w:highlight w:val="none"/>
          <w:u w:val="single"/>
        </w:rPr>
        <w:t>按合同通用条款执行</w:t>
      </w:r>
      <w:r>
        <w:rPr>
          <w:color w:val="auto"/>
          <w:kern w:val="0"/>
          <w:szCs w:val="21"/>
          <w:highlight w:val="none"/>
        </w:rPr>
        <w:t>。</w:t>
      </w:r>
    </w:p>
    <w:p>
      <w:pPr>
        <w:spacing w:line="360" w:lineRule="exact"/>
        <w:ind w:firstLine="422" w:firstLineChars="200"/>
        <w:rPr>
          <w:b/>
          <w:color w:val="auto"/>
          <w:szCs w:val="21"/>
          <w:highlight w:val="none"/>
        </w:rPr>
      </w:pPr>
      <w:r>
        <w:rPr>
          <w:rFonts w:hint="eastAsia"/>
          <w:b/>
          <w:color w:val="auto"/>
          <w:szCs w:val="21"/>
          <w:highlight w:val="none"/>
        </w:rPr>
        <w:t>3.6其他事项</w:t>
      </w:r>
    </w:p>
    <w:p>
      <w:pPr>
        <w:spacing w:line="360" w:lineRule="exact"/>
        <w:ind w:firstLine="422" w:firstLineChars="200"/>
        <w:rPr>
          <w:b/>
          <w:color w:val="auto"/>
          <w:szCs w:val="21"/>
          <w:highlight w:val="none"/>
        </w:rPr>
      </w:pPr>
      <w:r>
        <w:rPr>
          <w:rFonts w:hint="eastAsia"/>
          <w:b/>
          <w:color w:val="auto"/>
          <w:szCs w:val="21"/>
          <w:highlight w:val="none"/>
        </w:rPr>
        <w:t>施工时间为：高峰期除外（交警要求高峰施工的除外）。</w:t>
      </w:r>
    </w:p>
    <w:p>
      <w:pPr>
        <w:spacing w:line="360" w:lineRule="exact"/>
        <w:ind w:firstLine="422" w:firstLineChars="200"/>
        <w:rPr>
          <w:b/>
          <w:color w:val="auto"/>
          <w:szCs w:val="21"/>
          <w:highlight w:val="none"/>
        </w:rPr>
      </w:pPr>
      <w:r>
        <w:rPr>
          <w:rFonts w:hint="eastAsia"/>
          <w:b/>
          <w:color w:val="auto"/>
          <w:szCs w:val="21"/>
          <w:highlight w:val="none"/>
        </w:rPr>
        <w:t>标线主次干道施工时间为：每天的20时至次日7时（交警要求除外）。</w:t>
      </w:r>
    </w:p>
    <w:p>
      <w:pPr>
        <w:pStyle w:val="7"/>
        <w:tabs>
          <w:tab w:val="left" w:pos="142"/>
          <w:tab w:val="left" w:pos="993"/>
          <w:tab w:val="left" w:pos="1418"/>
          <w:tab w:val="left" w:pos="1560"/>
        </w:tabs>
        <w:spacing w:before="0" w:after="0" w:line="360" w:lineRule="exact"/>
        <w:ind w:firstLine="422" w:firstLineChars="200"/>
        <w:rPr>
          <w:rFonts w:ascii="Times New Roman" w:hAnsi="Times New Roman"/>
          <w:color w:val="auto"/>
          <w:sz w:val="21"/>
          <w:szCs w:val="21"/>
          <w:highlight w:val="none"/>
        </w:rPr>
      </w:pPr>
      <w:r>
        <w:rPr>
          <w:rFonts w:ascii="Times New Roman" w:hAnsi="Times New Roman"/>
          <w:color w:val="auto"/>
          <w:sz w:val="21"/>
          <w:szCs w:val="21"/>
          <w:highlight w:val="none"/>
        </w:rPr>
        <w:t>4. 监理人</w:t>
      </w:r>
    </w:p>
    <w:p>
      <w:pPr>
        <w:spacing w:line="360" w:lineRule="exact"/>
        <w:ind w:firstLine="420" w:firstLineChars="200"/>
        <w:rPr>
          <w:color w:val="auto"/>
          <w:szCs w:val="21"/>
          <w:highlight w:val="none"/>
        </w:rPr>
      </w:pPr>
      <w:r>
        <w:rPr>
          <w:color w:val="auto"/>
          <w:szCs w:val="21"/>
          <w:highlight w:val="none"/>
        </w:rPr>
        <w:t>4.1监理人的一般规定</w:t>
      </w:r>
    </w:p>
    <w:p>
      <w:pPr>
        <w:spacing w:line="360" w:lineRule="exact"/>
        <w:ind w:firstLine="420" w:firstLineChars="200"/>
        <w:rPr>
          <w:color w:val="auto"/>
          <w:szCs w:val="21"/>
          <w:highlight w:val="none"/>
        </w:rPr>
      </w:pPr>
      <w:r>
        <w:rPr>
          <w:color w:val="auto"/>
          <w:szCs w:val="21"/>
          <w:highlight w:val="none"/>
        </w:rPr>
        <w:t>关于监理人的监理内容：</w:t>
      </w:r>
      <w:r>
        <w:rPr>
          <w:rFonts w:hint="eastAsia"/>
          <w:color w:val="auto"/>
          <w:szCs w:val="21"/>
          <w:highlight w:val="none"/>
          <w:u w:val="single"/>
        </w:rPr>
        <w:t>按本项目监理合同约定内容</w:t>
      </w:r>
      <w:r>
        <w:rPr>
          <w:color w:val="auto"/>
          <w:szCs w:val="21"/>
          <w:highlight w:val="none"/>
        </w:rPr>
        <w:t>。</w:t>
      </w:r>
    </w:p>
    <w:p>
      <w:pPr>
        <w:spacing w:line="360" w:lineRule="exact"/>
        <w:ind w:firstLine="420" w:firstLineChars="200"/>
        <w:rPr>
          <w:color w:val="auto"/>
          <w:szCs w:val="21"/>
          <w:highlight w:val="none"/>
        </w:rPr>
      </w:pPr>
      <w:r>
        <w:rPr>
          <w:color w:val="auto"/>
          <w:szCs w:val="21"/>
          <w:highlight w:val="none"/>
        </w:rPr>
        <w:t>关于监理人的监理权限：</w:t>
      </w:r>
      <w:r>
        <w:rPr>
          <w:rFonts w:hint="eastAsia"/>
          <w:color w:val="auto"/>
          <w:szCs w:val="21"/>
          <w:highlight w:val="none"/>
          <w:u w:val="single"/>
        </w:rPr>
        <w:t>[按本项目监理合同约定内容，涉及项目变更（含设计变更等参建各方变更）均需报甲方审批后生效]</w:t>
      </w:r>
      <w:r>
        <w:rPr>
          <w:color w:val="auto"/>
          <w:szCs w:val="21"/>
          <w:highlight w:val="none"/>
        </w:rPr>
        <w:t xml:space="preserve">。 </w:t>
      </w:r>
    </w:p>
    <w:p>
      <w:pPr>
        <w:spacing w:line="360" w:lineRule="exact"/>
        <w:ind w:firstLine="420" w:firstLineChars="200"/>
        <w:rPr>
          <w:color w:val="auto"/>
          <w:szCs w:val="21"/>
          <w:highlight w:val="none"/>
        </w:rPr>
      </w:pPr>
      <w:r>
        <w:rPr>
          <w:color w:val="auto"/>
          <w:szCs w:val="21"/>
          <w:highlight w:val="none"/>
        </w:rPr>
        <w:t>关于监理人在施工现场的办公场所、生活场所的提供和费用承担的约定：</w:t>
      </w:r>
      <w:r>
        <w:rPr>
          <w:rFonts w:hint="eastAsia"/>
          <w:color w:val="auto"/>
          <w:szCs w:val="21"/>
          <w:highlight w:val="none"/>
          <w:u w:val="single"/>
        </w:rPr>
        <w:t xml:space="preserve">    /        </w:t>
      </w:r>
      <w:r>
        <w:rPr>
          <w:color w:val="auto"/>
          <w:szCs w:val="21"/>
          <w:highlight w:val="none"/>
        </w:rPr>
        <w:t>。</w:t>
      </w:r>
    </w:p>
    <w:p>
      <w:pPr>
        <w:pStyle w:val="7"/>
        <w:tabs>
          <w:tab w:val="left" w:pos="142"/>
          <w:tab w:val="left" w:pos="993"/>
          <w:tab w:val="left" w:pos="1418"/>
          <w:tab w:val="left" w:pos="1560"/>
        </w:tabs>
        <w:spacing w:before="0" w:after="0" w:line="360" w:lineRule="exact"/>
        <w:ind w:firstLine="422" w:firstLineChars="200"/>
        <w:rPr>
          <w:rFonts w:ascii="Times New Roman" w:hAnsi="Times New Roman"/>
          <w:color w:val="auto"/>
          <w:sz w:val="21"/>
          <w:szCs w:val="21"/>
          <w:highlight w:val="none"/>
        </w:rPr>
      </w:pPr>
      <w:r>
        <w:rPr>
          <w:rFonts w:ascii="Times New Roman" w:hAnsi="Times New Roman"/>
          <w:color w:val="auto"/>
          <w:sz w:val="21"/>
          <w:szCs w:val="21"/>
          <w:highlight w:val="none"/>
        </w:rPr>
        <w:t xml:space="preserve">5. </w:t>
      </w:r>
      <w:r>
        <w:rPr>
          <w:rFonts w:hint="eastAsia" w:ascii="Times New Roman" w:hAnsi="Times New Roman"/>
          <w:color w:val="auto"/>
          <w:sz w:val="21"/>
          <w:szCs w:val="21"/>
          <w:highlight w:val="none"/>
        </w:rPr>
        <w:t>项目</w:t>
      </w:r>
      <w:r>
        <w:rPr>
          <w:rFonts w:ascii="Times New Roman" w:hAnsi="Times New Roman"/>
          <w:color w:val="auto"/>
          <w:sz w:val="21"/>
          <w:szCs w:val="21"/>
          <w:highlight w:val="none"/>
        </w:rPr>
        <w:t>质量</w:t>
      </w:r>
    </w:p>
    <w:p>
      <w:pPr>
        <w:spacing w:line="360" w:lineRule="exact"/>
        <w:ind w:firstLine="420" w:firstLineChars="200"/>
        <w:rPr>
          <w:color w:val="auto"/>
          <w:szCs w:val="21"/>
          <w:highlight w:val="none"/>
        </w:rPr>
      </w:pPr>
      <w:r>
        <w:rPr>
          <w:color w:val="auto"/>
          <w:szCs w:val="21"/>
          <w:highlight w:val="none"/>
        </w:rPr>
        <w:t>5.1 质量要求</w:t>
      </w:r>
    </w:p>
    <w:p>
      <w:pPr>
        <w:spacing w:line="360" w:lineRule="exact"/>
        <w:ind w:firstLine="420" w:firstLineChars="200"/>
        <w:rPr>
          <w:color w:val="auto"/>
          <w:szCs w:val="21"/>
          <w:highlight w:val="none"/>
          <w:u w:val="single"/>
        </w:rPr>
      </w:pPr>
      <w:r>
        <w:rPr>
          <w:color w:val="auto"/>
          <w:szCs w:val="21"/>
          <w:highlight w:val="none"/>
        </w:rPr>
        <w:t>5.1.1 特殊质量标准和要求：</w:t>
      </w:r>
      <w:r>
        <w:rPr>
          <w:rFonts w:hint="eastAsia"/>
          <w:color w:val="auto"/>
          <w:szCs w:val="21"/>
          <w:highlight w:val="none"/>
          <w:u w:val="single"/>
        </w:rPr>
        <w:t>合格。</w:t>
      </w:r>
    </w:p>
    <w:p>
      <w:pPr>
        <w:spacing w:line="360" w:lineRule="exact"/>
        <w:ind w:firstLine="420" w:firstLineChars="200"/>
        <w:rPr>
          <w:color w:val="auto"/>
          <w:szCs w:val="21"/>
          <w:highlight w:val="none"/>
          <w:u w:val="single"/>
        </w:rPr>
      </w:pPr>
      <w:r>
        <w:rPr>
          <w:color w:val="auto"/>
          <w:szCs w:val="21"/>
          <w:highlight w:val="none"/>
        </w:rPr>
        <w:t>关于</w:t>
      </w:r>
      <w:r>
        <w:rPr>
          <w:rFonts w:hint="eastAsia"/>
          <w:color w:val="auto"/>
          <w:szCs w:val="21"/>
          <w:highlight w:val="none"/>
        </w:rPr>
        <w:t>项目</w:t>
      </w:r>
      <w:r>
        <w:rPr>
          <w:color w:val="auto"/>
          <w:szCs w:val="21"/>
          <w:highlight w:val="none"/>
        </w:rPr>
        <w:t>奖项的约定：</w:t>
      </w:r>
      <w:r>
        <w:rPr>
          <w:rFonts w:hint="eastAsia"/>
          <w:color w:val="auto"/>
          <w:szCs w:val="21"/>
          <w:highlight w:val="none"/>
          <w:u w:val="single"/>
        </w:rPr>
        <w:t xml:space="preserve">      /      。</w:t>
      </w:r>
    </w:p>
    <w:p>
      <w:pPr>
        <w:spacing w:line="360" w:lineRule="exact"/>
        <w:ind w:firstLine="420" w:firstLineChars="200"/>
        <w:rPr>
          <w:color w:val="auto"/>
          <w:szCs w:val="21"/>
          <w:highlight w:val="none"/>
        </w:rPr>
      </w:pPr>
      <w:r>
        <w:rPr>
          <w:color w:val="auto"/>
          <w:szCs w:val="21"/>
          <w:highlight w:val="none"/>
        </w:rPr>
        <w:t>5.</w:t>
      </w:r>
      <w:r>
        <w:rPr>
          <w:rFonts w:hint="eastAsia"/>
          <w:color w:val="auto"/>
          <w:szCs w:val="21"/>
          <w:highlight w:val="none"/>
        </w:rPr>
        <w:t>2</w:t>
      </w:r>
      <w:r>
        <w:rPr>
          <w:color w:val="auto"/>
          <w:szCs w:val="21"/>
          <w:highlight w:val="none"/>
        </w:rPr>
        <w:t xml:space="preserve"> 隐蔽</w:t>
      </w:r>
      <w:r>
        <w:rPr>
          <w:rFonts w:hint="eastAsia"/>
          <w:color w:val="auto"/>
          <w:szCs w:val="21"/>
          <w:highlight w:val="none"/>
        </w:rPr>
        <w:t>项目</w:t>
      </w:r>
      <w:r>
        <w:rPr>
          <w:color w:val="auto"/>
          <w:szCs w:val="21"/>
          <w:highlight w:val="none"/>
        </w:rPr>
        <w:t>检查</w:t>
      </w:r>
    </w:p>
    <w:p>
      <w:pPr>
        <w:spacing w:line="360" w:lineRule="exact"/>
        <w:ind w:firstLine="420" w:firstLineChars="200"/>
        <w:rPr>
          <w:color w:val="auto"/>
          <w:szCs w:val="21"/>
          <w:highlight w:val="none"/>
        </w:rPr>
      </w:pPr>
      <w:r>
        <w:rPr>
          <w:color w:val="auto"/>
          <w:szCs w:val="21"/>
          <w:highlight w:val="none"/>
        </w:rPr>
        <w:t>5.</w:t>
      </w:r>
      <w:r>
        <w:rPr>
          <w:rFonts w:hint="eastAsia"/>
          <w:color w:val="auto"/>
          <w:szCs w:val="21"/>
          <w:highlight w:val="none"/>
        </w:rPr>
        <w:t>2</w:t>
      </w:r>
      <w:r>
        <w:rPr>
          <w:color w:val="auto"/>
          <w:szCs w:val="21"/>
          <w:highlight w:val="none"/>
        </w:rPr>
        <w:t>.</w:t>
      </w:r>
      <w:r>
        <w:rPr>
          <w:rFonts w:hint="eastAsia"/>
          <w:color w:val="auto"/>
          <w:szCs w:val="21"/>
          <w:highlight w:val="none"/>
        </w:rPr>
        <w:t>1乙方</w:t>
      </w:r>
      <w:r>
        <w:rPr>
          <w:color w:val="auto"/>
          <w:szCs w:val="21"/>
          <w:highlight w:val="none"/>
        </w:rPr>
        <w:t>提前通知监理人隐蔽</w:t>
      </w:r>
      <w:r>
        <w:rPr>
          <w:rFonts w:hint="eastAsia"/>
          <w:color w:val="auto"/>
          <w:szCs w:val="21"/>
          <w:highlight w:val="none"/>
        </w:rPr>
        <w:t>项目</w:t>
      </w:r>
      <w:r>
        <w:rPr>
          <w:color w:val="auto"/>
          <w:szCs w:val="21"/>
          <w:highlight w:val="none"/>
        </w:rPr>
        <w:t>检查的期限的约定：</w:t>
      </w:r>
      <w:r>
        <w:rPr>
          <w:rFonts w:hint="eastAsia"/>
          <w:color w:val="auto"/>
          <w:szCs w:val="21"/>
          <w:highlight w:val="none"/>
          <w:u w:val="single"/>
        </w:rPr>
        <w:t>按合同通用条款执行</w:t>
      </w:r>
      <w:r>
        <w:rPr>
          <w:color w:val="auto"/>
          <w:szCs w:val="21"/>
          <w:highlight w:val="none"/>
        </w:rPr>
        <w:t>。</w:t>
      </w:r>
    </w:p>
    <w:p>
      <w:pPr>
        <w:spacing w:line="360" w:lineRule="exact"/>
        <w:ind w:firstLine="420" w:firstLineChars="200"/>
        <w:rPr>
          <w:color w:val="auto"/>
          <w:szCs w:val="21"/>
          <w:highlight w:val="none"/>
        </w:rPr>
      </w:pPr>
      <w:r>
        <w:rPr>
          <w:color w:val="auto"/>
          <w:szCs w:val="21"/>
          <w:highlight w:val="none"/>
        </w:rPr>
        <w:t>监理人不能按时进行检查时，应提前</w:t>
      </w:r>
      <w:r>
        <w:rPr>
          <w:rFonts w:hint="eastAsia"/>
          <w:color w:val="auto"/>
          <w:szCs w:val="21"/>
          <w:highlight w:val="none"/>
          <w:u w:val="single"/>
        </w:rPr>
        <w:t>24</w:t>
      </w:r>
      <w:r>
        <w:rPr>
          <w:color w:val="auto"/>
          <w:szCs w:val="21"/>
          <w:highlight w:val="none"/>
        </w:rPr>
        <w:t>小时提交书面延期要求。</w:t>
      </w:r>
    </w:p>
    <w:p>
      <w:pPr>
        <w:spacing w:line="360" w:lineRule="exact"/>
        <w:ind w:firstLine="420" w:firstLineChars="200"/>
        <w:rPr>
          <w:color w:val="auto"/>
          <w:szCs w:val="21"/>
          <w:highlight w:val="none"/>
        </w:rPr>
      </w:pPr>
      <w:r>
        <w:rPr>
          <w:color w:val="auto"/>
          <w:szCs w:val="21"/>
          <w:highlight w:val="none"/>
        </w:rPr>
        <w:t>关于延期最长不得超过：</w:t>
      </w:r>
      <w:r>
        <w:rPr>
          <w:rFonts w:hint="eastAsia"/>
          <w:color w:val="auto"/>
          <w:szCs w:val="21"/>
          <w:highlight w:val="none"/>
          <w:u w:val="single"/>
        </w:rPr>
        <w:t>24</w:t>
      </w:r>
      <w:r>
        <w:rPr>
          <w:color w:val="auto"/>
          <w:szCs w:val="21"/>
          <w:highlight w:val="none"/>
        </w:rPr>
        <w:t>小时。</w:t>
      </w:r>
      <w:r>
        <w:rPr>
          <w:rFonts w:hint="eastAsia"/>
          <w:color w:val="auto"/>
          <w:szCs w:val="21"/>
          <w:highlight w:val="none"/>
        </w:rPr>
        <w:t>由此导致工期延误的，工期予以顺延。</w:t>
      </w:r>
    </w:p>
    <w:p>
      <w:pPr>
        <w:spacing w:line="360" w:lineRule="exact"/>
        <w:ind w:firstLine="422" w:firstLineChars="200"/>
        <w:jc w:val="left"/>
        <w:rPr>
          <w:b/>
          <w:bCs/>
          <w:color w:val="auto"/>
          <w:szCs w:val="21"/>
          <w:highlight w:val="none"/>
          <w:u w:val="single"/>
        </w:rPr>
      </w:pPr>
      <w:r>
        <w:rPr>
          <w:rFonts w:hint="eastAsia"/>
          <w:b/>
          <w:bCs/>
          <w:color w:val="auto"/>
          <w:szCs w:val="21"/>
          <w:highlight w:val="none"/>
          <w:u w:val="single"/>
        </w:rPr>
        <w:t>隐蔽项目监管过程、验收过程、验收部位除办理纸质验收记录，还应留置监管过程、验收部位、验收过程、主要验收人员相片、影像等资料。</w:t>
      </w:r>
    </w:p>
    <w:p>
      <w:pPr>
        <w:pStyle w:val="7"/>
        <w:tabs>
          <w:tab w:val="left" w:pos="142"/>
          <w:tab w:val="left" w:pos="993"/>
          <w:tab w:val="left" w:pos="1418"/>
          <w:tab w:val="left" w:pos="1560"/>
        </w:tabs>
        <w:spacing w:before="0" w:after="0" w:line="360" w:lineRule="exact"/>
        <w:ind w:firstLine="422" w:firstLineChars="200"/>
        <w:rPr>
          <w:rFonts w:ascii="Times New Roman" w:hAnsi="Times New Roman" w:eastAsia="宋体"/>
          <w:b w:val="0"/>
          <w:color w:val="auto"/>
          <w:sz w:val="21"/>
          <w:szCs w:val="21"/>
          <w:highlight w:val="none"/>
        </w:rPr>
      </w:pPr>
      <w:r>
        <w:rPr>
          <w:rFonts w:ascii="Times New Roman" w:hAnsi="Times New Roman"/>
          <w:color w:val="auto"/>
          <w:sz w:val="21"/>
          <w:szCs w:val="21"/>
          <w:highlight w:val="none"/>
        </w:rPr>
        <w:t>6. 安全文明施工与环境保护</w:t>
      </w:r>
    </w:p>
    <w:p>
      <w:pPr>
        <w:spacing w:line="360" w:lineRule="exact"/>
        <w:ind w:firstLine="420" w:firstLineChars="200"/>
        <w:rPr>
          <w:color w:val="auto"/>
          <w:szCs w:val="21"/>
          <w:highlight w:val="none"/>
        </w:rPr>
      </w:pPr>
      <w:r>
        <w:rPr>
          <w:color w:val="auto"/>
          <w:szCs w:val="21"/>
          <w:highlight w:val="none"/>
        </w:rPr>
        <w:t>6.1安全文明施工</w:t>
      </w:r>
    </w:p>
    <w:p>
      <w:pPr>
        <w:spacing w:line="360" w:lineRule="exact"/>
        <w:ind w:firstLine="420" w:firstLineChars="200"/>
        <w:rPr>
          <w:color w:val="auto"/>
          <w:szCs w:val="21"/>
          <w:highlight w:val="none"/>
        </w:rPr>
      </w:pPr>
      <w:r>
        <w:rPr>
          <w:color w:val="auto"/>
          <w:szCs w:val="21"/>
          <w:highlight w:val="none"/>
        </w:rPr>
        <w:t>6.1.1 项目安全生产的达标目标及相应事项的约定：</w:t>
      </w:r>
      <w:r>
        <w:rPr>
          <w:rFonts w:hint="eastAsia"/>
          <w:color w:val="auto"/>
          <w:szCs w:val="21"/>
          <w:highlight w:val="none"/>
          <w:u w:val="single"/>
        </w:rPr>
        <w:t>按《浙江省建筑施工安全标准化管理规定》（浙建建[2012]54号）及省、市建筑业、安全监督等相关主管部门发布的有关管理规定执行</w:t>
      </w:r>
      <w:r>
        <w:rPr>
          <w:color w:val="auto"/>
          <w:szCs w:val="21"/>
          <w:highlight w:val="none"/>
          <w:u w:val="single"/>
        </w:rPr>
        <w:t>。</w:t>
      </w:r>
    </w:p>
    <w:p>
      <w:pPr>
        <w:spacing w:line="360" w:lineRule="exact"/>
        <w:ind w:firstLine="420" w:firstLineChars="200"/>
        <w:rPr>
          <w:color w:val="auto"/>
          <w:szCs w:val="21"/>
          <w:highlight w:val="none"/>
        </w:rPr>
      </w:pPr>
      <w:r>
        <w:rPr>
          <w:color w:val="auto"/>
          <w:szCs w:val="21"/>
          <w:highlight w:val="none"/>
        </w:rPr>
        <w:t>6.1.</w:t>
      </w:r>
      <w:r>
        <w:rPr>
          <w:rFonts w:hint="eastAsia"/>
          <w:color w:val="auto"/>
          <w:szCs w:val="21"/>
          <w:highlight w:val="none"/>
        </w:rPr>
        <w:t>2</w:t>
      </w:r>
      <w:r>
        <w:rPr>
          <w:color w:val="auto"/>
          <w:szCs w:val="21"/>
          <w:highlight w:val="none"/>
        </w:rPr>
        <w:t>关于治安保卫的特别约定：</w:t>
      </w:r>
      <w:r>
        <w:rPr>
          <w:rFonts w:hint="eastAsia"/>
          <w:color w:val="auto"/>
          <w:szCs w:val="21"/>
          <w:highlight w:val="none"/>
          <w:u w:val="single"/>
        </w:rPr>
        <w:t>按合同通用条款</w:t>
      </w:r>
      <w:r>
        <w:rPr>
          <w:color w:val="auto"/>
          <w:szCs w:val="21"/>
          <w:highlight w:val="none"/>
        </w:rPr>
        <w:t>。</w:t>
      </w:r>
    </w:p>
    <w:p>
      <w:pPr>
        <w:spacing w:line="360" w:lineRule="exact"/>
        <w:ind w:firstLine="420" w:firstLineChars="200"/>
        <w:rPr>
          <w:color w:val="auto"/>
          <w:szCs w:val="21"/>
          <w:highlight w:val="none"/>
        </w:rPr>
      </w:pPr>
      <w:r>
        <w:rPr>
          <w:color w:val="auto"/>
          <w:szCs w:val="21"/>
          <w:highlight w:val="none"/>
        </w:rPr>
        <w:t>关于编制施工场地治安管理计划的约定：</w:t>
      </w:r>
      <w:r>
        <w:rPr>
          <w:rFonts w:hint="eastAsia"/>
          <w:color w:val="auto"/>
          <w:szCs w:val="21"/>
          <w:highlight w:val="none"/>
          <w:u w:val="single"/>
        </w:rPr>
        <w:t>按合同通用条款</w:t>
      </w:r>
      <w:r>
        <w:rPr>
          <w:color w:val="auto"/>
          <w:szCs w:val="21"/>
          <w:highlight w:val="none"/>
        </w:rPr>
        <w:t>。</w:t>
      </w:r>
    </w:p>
    <w:p>
      <w:pPr>
        <w:spacing w:line="360" w:lineRule="exact"/>
        <w:ind w:firstLine="420" w:firstLineChars="200"/>
        <w:rPr>
          <w:color w:val="auto"/>
          <w:szCs w:val="21"/>
          <w:highlight w:val="none"/>
        </w:rPr>
      </w:pPr>
      <w:r>
        <w:rPr>
          <w:rFonts w:hint="eastAsia"/>
          <w:color w:val="auto"/>
          <w:szCs w:val="21"/>
          <w:highlight w:val="none"/>
        </w:rPr>
        <w:t>6.1.3 文明施工</w:t>
      </w:r>
    </w:p>
    <w:p>
      <w:pPr>
        <w:spacing w:line="360" w:lineRule="exact"/>
        <w:ind w:firstLine="420" w:firstLineChars="200"/>
        <w:rPr>
          <w:color w:val="auto"/>
          <w:szCs w:val="21"/>
          <w:highlight w:val="none"/>
        </w:rPr>
      </w:pPr>
      <w:r>
        <w:rPr>
          <w:rFonts w:hint="eastAsia"/>
          <w:color w:val="auto"/>
          <w:szCs w:val="21"/>
          <w:highlight w:val="none"/>
        </w:rPr>
        <w:t>合同当事人对文明施工的要求：</w:t>
      </w:r>
      <w:r>
        <w:rPr>
          <w:rFonts w:hint="eastAsia"/>
          <w:color w:val="auto"/>
          <w:szCs w:val="21"/>
          <w:highlight w:val="none"/>
          <w:u w:val="single"/>
        </w:rPr>
        <w:t>按省、市发有关文明施工管理规定执行。</w:t>
      </w:r>
      <w:r>
        <w:rPr>
          <w:rFonts w:hint="eastAsia"/>
          <w:color w:val="auto"/>
          <w:szCs w:val="21"/>
          <w:highlight w:val="none"/>
        </w:rPr>
        <w:t>。</w:t>
      </w:r>
    </w:p>
    <w:p>
      <w:pPr>
        <w:spacing w:line="360" w:lineRule="exact"/>
        <w:ind w:firstLine="420" w:firstLineChars="200"/>
        <w:rPr>
          <w:color w:val="auto"/>
          <w:szCs w:val="21"/>
          <w:highlight w:val="none"/>
        </w:rPr>
      </w:pPr>
      <w:r>
        <w:rPr>
          <w:color w:val="auto"/>
          <w:szCs w:val="21"/>
          <w:highlight w:val="none"/>
        </w:rPr>
        <w:t>6.1.</w:t>
      </w:r>
      <w:r>
        <w:rPr>
          <w:rFonts w:hint="eastAsia"/>
          <w:color w:val="auto"/>
          <w:szCs w:val="21"/>
          <w:highlight w:val="none"/>
        </w:rPr>
        <w:t>4</w:t>
      </w:r>
      <w:r>
        <w:rPr>
          <w:color w:val="auto"/>
          <w:szCs w:val="21"/>
          <w:highlight w:val="none"/>
        </w:rPr>
        <w:t xml:space="preserve"> 关于安全文明施工费支付比例和支付期限的约定：</w:t>
      </w:r>
      <w:r>
        <w:rPr>
          <w:rFonts w:hint="eastAsia"/>
          <w:color w:val="auto"/>
          <w:szCs w:val="21"/>
          <w:highlight w:val="none"/>
          <w:u w:val="single"/>
        </w:rPr>
        <w:t>安全文明施工费包含在签约合同价内。乙方经甲方同意采取合同以外的安全措施所产生的费用，由发、乙方协商处理；未经甲方同意，甲方可不承担由此增加费用；安全文明施工费支付比例、期限及使用按通用条款执行</w:t>
      </w:r>
      <w:r>
        <w:rPr>
          <w:color w:val="auto"/>
          <w:szCs w:val="21"/>
          <w:highlight w:val="none"/>
        </w:rPr>
        <w:t>。</w:t>
      </w:r>
    </w:p>
    <w:p>
      <w:pPr>
        <w:pStyle w:val="7"/>
        <w:tabs>
          <w:tab w:val="left" w:pos="142"/>
          <w:tab w:val="left" w:pos="993"/>
          <w:tab w:val="left" w:pos="1418"/>
          <w:tab w:val="left" w:pos="1560"/>
        </w:tabs>
        <w:spacing w:before="0" w:after="0" w:line="360" w:lineRule="exact"/>
        <w:ind w:firstLine="422" w:firstLineChars="200"/>
        <w:rPr>
          <w:rFonts w:ascii="Times New Roman" w:hAnsi="Times New Roman"/>
          <w:color w:val="auto"/>
          <w:sz w:val="21"/>
          <w:szCs w:val="21"/>
          <w:highlight w:val="none"/>
        </w:rPr>
      </w:pPr>
      <w:r>
        <w:rPr>
          <w:rFonts w:ascii="Times New Roman" w:hAnsi="Times New Roman"/>
          <w:color w:val="auto"/>
          <w:sz w:val="21"/>
          <w:szCs w:val="21"/>
          <w:highlight w:val="none"/>
        </w:rPr>
        <w:t>7. 工期和进度</w:t>
      </w:r>
    </w:p>
    <w:p>
      <w:pPr>
        <w:spacing w:line="360" w:lineRule="exact"/>
        <w:ind w:firstLine="420" w:firstLineChars="200"/>
        <w:rPr>
          <w:color w:val="auto"/>
          <w:szCs w:val="21"/>
          <w:highlight w:val="none"/>
        </w:rPr>
      </w:pPr>
      <w:r>
        <w:rPr>
          <w:color w:val="auto"/>
          <w:szCs w:val="21"/>
          <w:highlight w:val="none"/>
        </w:rPr>
        <w:t>7.1 施工组织设计</w:t>
      </w:r>
    </w:p>
    <w:p>
      <w:pPr>
        <w:autoSpaceDE w:val="0"/>
        <w:autoSpaceDN w:val="0"/>
        <w:adjustRightInd w:val="0"/>
        <w:spacing w:line="360" w:lineRule="exact"/>
        <w:ind w:firstLine="420" w:firstLineChars="200"/>
        <w:rPr>
          <w:color w:val="auto"/>
          <w:kern w:val="0"/>
          <w:szCs w:val="21"/>
          <w:highlight w:val="none"/>
        </w:rPr>
      </w:pPr>
      <w:r>
        <w:rPr>
          <w:color w:val="auto"/>
          <w:szCs w:val="21"/>
          <w:highlight w:val="none"/>
        </w:rPr>
        <w:t>7.1.</w:t>
      </w:r>
      <w:r>
        <w:rPr>
          <w:rFonts w:hint="eastAsia"/>
          <w:color w:val="auto"/>
          <w:szCs w:val="21"/>
          <w:highlight w:val="none"/>
        </w:rPr>
        <w:t>1 合</w:t>
      </w:r>
      <w:r>
        <w:rPr>
          <w:rFonts w:hint="eastAsia"/>
          <w:color w:val="auto"/>
          <w:kern w:val="0"/>
          <w:szCs w:val="21"/>
          <w:highlight w:val="none"/>
        </w:rPr>
        <w:t>同当事人约定的</w:t>
      </w:r>
      <w:r>
        <w:rPr>
          <w:color w:val="auto"/>
          <w:kern w:val="0"/>
          <w:szCs w:val="21"/>
          <w:highlight w:val="none"/>
        </w:rPr>
        <w:t>施工组织设计</w:t>
      </w:r>
      <w:r>
        <w:rPr>
          <w:rFonts w:hint="eastAsia"/>
          <w:color w:val="auto"/>
          <w:kern w:val="0"/>
          <w:szCs w:val="21"/>
          <w:highlight w:val="none"/>
        </w:rPr>
        <w:t>应包括的其他内容</w:t>
      </w:r>
      <w:r>
        <w:rPr>
          <w:color w:val="auto"/>
          <w:kern w:val="0"/>
          <w:szCs w:val="21"/>
          <w:highlight w:val="none"/>
        </w:rPr>
        <w:t>：</w:t>
      </w:r>
      <w:r>
        <w:rPr>
          <w:rFonts w:hint="eastAsia"/>
          <w:color w:val="auto"/>
          <w:szCs w:val="21"/>
          <w:highlight w:val="none"/>
          <w:u w:val="single"/>
        </w:rPr>
        <w:t xml:space="preserve">/  </w:t>
      </w:r>
      <w:r>
        <w:rPr>
          <w:color w:val="auto"/>
          <w:szCs w:val="21"/>
          <w:highlight w:val="none"/>
        </w:rPr>
        <w:t>。</w:t>
      </w:r>
    </w:p>
    <w:p>
      <w:pPr>
        <w:autoSpaceDE w:val="0"/>
        <w:autoSpaceDN w:val="0"/>
        <w:adjustRightInd w:val="0"/>
        <w:spacing w:line="360" w:lineRule="exact"/>
        <w:ind w:firstLine="420" w:firstLineChars="200"/>
        <w:rPr>
          <w:color w:val="auto"/>
          <w:kern w:val="0"/>
          <w:szCs w:val="21"/>
          <w:highlight w:val="none"/>
        </w:rPr>
      </w:pPr>
      <w:r>
        <w:rPr>
          <w:color w:val="auto"/>
          <w:szCs w:val="21"/>
          <w:highlight w:val="none"/>
        </w:rPr>
        <w:t xml:space="preserve">7.1.2 </w:t>
      </w:r>
      <w:r>
        <w:rPr>
          <w:color w:val="auto"/>
          <w:kern w:val="0"/>
          <w:szCs w:val="21"/>
          <w:highlight w:val="none"/>
        </w:rPr>
        <w:t>施工组织设计的提交和修改</w:t>
      </w:r>
    </w:p>
    <w:p>
      <w:pPr>
        <w:autoSpaceDE w:val="0"/>
        <w:autoSpaceDN w:val="0"/>
        <w:adjustRightInd w:val="0"/>
        <w:spacing w:line="360" w:lineRule="exact"/>
        <w:ind w:firstLine="420" w:firstLineChars="200"/>
        <w:rPr>
          <w:color w:val="auto"/>
          <w:szCs w:val="21"/>
          <w:highlight w:val="none"/>
        </w:rPr>
      </w:pPr>
      <w:r>
        <w:rPr>
          <w:rFonts w:hint="eastAsia"/>
          <w:color w:val="auto"/>
          <w:kern w:val="0"/>
          <w:szCs w:val="21"/>
          <w:highlight w:val="none"/>
        </w:rPr>
        <w:t>乙方</w:t>
      </w:r>
      <w:r>
        <w:rPr>
          <w:color w:val="auto"/>
          <w:kern w:val="0"/>
          <w:szCs w:val="21"/>
          <w:highlight w:val="none"/>
        </w:rPr>
        <w:t>提交详细施工组织设计的期限的约定：</w:t>
      </w:r>
      <w:r>
        <w:rPr>
          <w:rFonts w:hint="eastAsia"/>
          <w:color w:val="auto"/>
          <w:szCs w:val="21"/>
          <w:highlight w:val="none"/>
          <w:u w:val="single"/>
        </w:rPr>
        <w:t>接到开工通知（或确定开工日期）后7天内，专项施工方案在相应部位施工前7天。甲方对乙方的施工组织设计（或方案）提出质疑和合理修正时，乙方应7天内提供修正完成并重新提交；每月20日前向发包方提交下一月进度计划和施工方案</w:t>
      </w:r>
      <w:r>
        <w:rPr>
          <w:color w:val="auto"/>
          <w:szCs w:val="21"/>
          <w:highlight w:val="none"/>
        </w:rPr>
        <w:t>。</w:t>
      </w:r>
    </w:p>
    <w:p>
      <w:pPr>
        <w:spacing w:line="360" w:lineRule="exact"/>
        <w:ind w:firstLine="420" w:firstLineChars="200"/>
        <w:rPr>
          <w:color w:val="auto"/>
          <w:szCs w:val="21"/>
          <w:highlight w:val="none"/>
        </w:rPr>
      </w:pPr>
      <w:r>
        <w:rPr>
          <w:rFonts w:hint="eastAsia"/>
          <w:color w:val="auto"/>
          <w:szCs w:val="21"/>
          <w:highlight w:val="none"/>
        </w:rPr>
        <w:t>甲方</w:t>
      </w:r>
      <w:r>
        <w:rPr>
          <w:color w:val="auto"/>
          <w:szCs w:val="21"/>
          <w:highlight w:val="none"/>
        </w:rPr>
        <w:t>和监理人在收到</w:t>
      </w:r>
      <w:r>
        <w:rPr>
          <w:rFonts w:hint="eastAsia"/>
          <w:color w:val="auto"/>
          <w:szCs w:val="21"/>
          <w:highlight w:val="none"/>
        </w:rPr>
        <w:t>详细的施工组织设计</w:t>
      </w:r>
      <w:r>
        <w:rPr>
          <w:color w:val="auto"/>
          <w:szCs w:val="21"/>
          <w:highlight w:val="none"/>
        </w:rPr>
        <w:t>后确认或提出修改意见的期限：</w:t>
      </w:r>
      <w:r>
        <w:rPr>
          <w:rFonts w:hint="eastAsia"/>
          <w:color w:val="auto"/>
          <w:szCs w:val="21"/>
          <w:highlight w:val="none"/>
          <w:u w:val="single"/>
        </w:rPr>
        <w:t>收到相应文件后7天内</w:t>
      </w:r>
      <w:r>
        <w:rPr>
          <w:color w:val="auto"/>
          <w:szCs w:val="21"/>
          <w:highlight w:val="none"/>
          <w:u w:val="single"/>
        </w:rPr>
        <w:t>。</w:t>
      </w:r>
    </w:p>
    <w:p>
      <w:pPr>
        <w:spacing w:line="360" w:lineRule="exact"/>
        <w:ind w:firstLine="420" w:firstLineChars="200"/>
        <w:rPr>
          <w:color w:val="auto"/>
          <w:szCs w:val="21"/>
          <w:highlight w:val="none"/>
        </w:rPr>
      </w:pPr>
      <w:r>
        <w:rPr>
          <w:color w:val="auto"/>
          <w:szCs w:val="21"/>
          <w:highlight w:val="none"/>
        </w:rPr>
        <w:t>7.2 施工进度计划</w:t>
      </w:r>
    </w:p>
    <w:p>
      <w:pPr>
        <w:spacing w:line="360" w:lineRule="exact"/>
        <w:ind w:firstLine="420" w:firstLineChars="200"/>
        <w:rPr>
          <w:color w:val="auto"/>
          <w:szCs w:val="21"/>
          <w:highlight w:val="none"/>
        </w:rPr>
      </w:pPr>
      <w:r>
        <w:rPr>
          <w:color w:val="auto"/>
          <w:szCs w:val="21"/>
          <w:highlight w:val="none"/>
        </w:rPr>
        <w:t>7.2.</w:t>
      </w:r>
      <w:r>
        <w:rPr>
          <w:rFonts w:hint="eastAsia"/>
          <w:color w:val="auto"/>
          <w:szCs w:val="21"/>
          <w:highlight w:val="none"/>
        </w:rPr>
        <w:t>1</w:t>
      </w:r>
      <w:r>
        <w:rPr>
          <w:color w:val="auto"/>
          <w:szCs w:val="21"/>
          <w:highlight w:val="none"/>
        </w:rPr>
        <w:t>施工进度计划的修订</w:t>
      </w:r>
    </w:p>
    <w:p>
      <w:pPr>
        <w:spacing w:line="360" w:lineRule="exact"/>
        <w:ind w:firstLine="420" w:firstLineChars="200"/>
        <w:rPr>
          <w:color w:val="auto"/>
          <w:szCs w:val="21"/>
          <w:highlight w:val="none"/>
        </w:rPr>
      </w:pPr>
      <w:r>
        <w:rPr>
          <w:rFonts w:hint="eastAsia"/>
          <w:color w:val="auto"/>
          <w:szCs w:val="21"/>
          <w:highlight w:val="none"/>
        </w:rPr>
        <w:t>甲方</w:t>
      </w:r>
      <w:r>
        <w:rPr>
          <w:color w:val="auto"/>
          <w:szCs w:val="21"/>
          <w:highlight w:val="none"/>
        </w:rPr>
        <w:t>和监理人在收到修订的施工进度计划后确认或提出修改意见的期限：</w:t>
      </w:r>
      <w:r>
        <w:rPr>
          <w:rFonts w:hint="eastAsia"/>
          <w:color w:val="auto"/>
          <w:szCs w:val="21"/>
          <w:highlight w:val="none"/>
          <w:u w:val="single"/>
        </w:rPr>
        <w:t>收到相应文件后7天内</w:t>
      </w:r>
      <w:r>
        <w:rPr>
          <w:color w:val="auto"/>
          <w:szCs w:val="21"/>
          <w:highlight w:val="none"/>
        </w:rPr>
        <w:t>。</w:t>
      </w:r>
    </w:p>
    <w:p>
      <w:pPr>
        <w:spacing w:line="360" w:lineRule="exact"/>
        <w:ind w:firstLine="420" w:firstLineChars="200"/>
        <w:rPr>
          <w:color w:val="auto"/>
          <w:szCs w:val="21"/>
          <w:highlight w:val="none"/>
        </w:rPr>
      </w:pPr>
      <w:r>
        <w:rPr>
          <w:color w:val="auto"/>
          <w:szCs w:val="21"/>
          <w:highlight w:val="none"/>
        </w:rPr>
        <w:t>7.3 开工</w:t>
      </w:r>
    </w:p>
    <w:p>
      <w:pPr>
        <w:spacing w:line="360" w:lineRule="exact"/>
        <w:ind w:firstLine="420" w:firstLineChars="200"/>
        <w:rPr>
          <w:color w:val="auto"/>
          <w:szCs w:val="21"/>
          <w:highlight w:val="none"/>
        </w:rPr>
      </w:pPr>
      <w:r>
        <w:rPr>
          <w:color w:val="auto"/>
          <w:szCs w:val="21"/>
          <w:highlight w:val="none"/>
        </w:rPr>
        <w:t>7.3.1 开工准备</w:t>
      </w:r>
    </w:p>
    <w:p>
      <w:pPr>
        <w:spacing w:line="360" w:lineRule="exact"/>
        <w:ind w:firstLine="420" w:firstLineChars="200"/>
        <w:rPr>
          <w:color w:val="auto"/>
          <w:szCs w:val="21"/>
          <w:highlight w:val="none"/>
          <w:u w:val="single"/>
        </w:rPr>
      </w:pPr>
      <w:r>
        <w:rPr>
          <w:color w:val="auto"/>
          <w:szCs w:val="21"/>
          <w:highlight w:val="none"/>
        </w:rPr>
        <w:t>关于</w:t>
      </w:r>
      <w:r>
        <w:rPr>
          <w:rFonts w:hint="eastAsia"/>
          <w:color w:val="auto"/>
          <w:szCs w:val="21"/>
          <w:highlight w:val="none"/>
        </w:rPr>
        <w:t>乙方</w:t>
      </w:r>
      <w:r>
        <w:rPr>
          <w:color w:val="auto"/>
          <w:szCs w:val="21"/>
          <w:highlight w:val="none"/>
        </w:rPr>
        <w:t>提交</w:t>
      </w:r>
      <w:r>
        <w:rPr>
          <w:rFonts w:hint="eastAsia"/>
          <w:color w:val="auto"/>
          <w:kern w:val="0"/>
          <w:szCs w:val="21"/>
          <w:highlight w:val="none"/>
        </w:rPr>
        <w:t>项目</w:t>
      </w:r>
      <w:r>
        <w:rPr>
          <w:color w:val="auto"/>
          <w:kern w:val="0"/>
          <w:szCs w:val="21"/>
          <w:highlight w:val="none"/>
        </w:rPr>
        <w:t>开工报审表的期限：</w:t>
      </w:r>
      <w:r>
        <w:rPr>
          <w:rFonts w:hint="eastAsia"/>
          <w:color w:val="auto"/>
          <w:szCs w:val="21"/>
          <w:highlight w:val="none"/>
          <w:u w:val="single"/>
        </w:rPr>
        <w:t>接到开工通知（或确定开工日期）后7天内</w:t>
      </w:r>
      <w:r>
        <w:rPr>
          <w:color w:val="auto"/>
          <w:szCs w:val="21"/>
          <w:highlight w:val="none"/>
        </w:rPr>
        <w:t>。</w:t>
      </w:r>
    </w:p>
    <w:p>
      <w:pPr>
        <w:spacing w:line="360" w:lineRule="exact"/>
        <w:ind w:firstLine="420" w:firstLineChars="200"/>
        <w:rPr>
          <w:color w:val="auto"/>
          <w:szCs w:val="21"/>
          <w:highlight w:val="none"/>
        </w:rPr>
      </w:pPr>
      <w:r>
        <w:rPr>
          <w:color w:val="auto"/>
          <w:szCs w:val="21"/>
          <w:highlight w:val="none"/>
        </w:rPr>
        <w:t>关于</w:t>
      </w:r>
      <w:r>
        <w:rPr>
          <w:rFonts w:hint="eastAsia"/>
          <w:color w:val="auto"/>
          <w:szCs w:val="21"/>
          <w:highlight w:val="none"/>
        </w:rPr>
        <w:t>甲方</w:t>
      </w:r>
      <w:r>
        <w:rPr>
          <w:color w:val="auto"/>
          <w:szCs w:val="21"/>
          <w:highlight w:val="none"/>
        </w:rPr>
        <w:t>应完成的其他开工准备工作及期限：</w:t>
      </w:r>
      <w:r>
        <w:rPr>
          <w:rFonts w:hint="eastAsia"/>
          <w:color w:val="auto"/>
          <w:szCs w:val="21"/>
          <w:highlight w:val="none"/>
          <w:u w:val="single"/>
        </w:rPr>
        <w:t>开工前7天</w:t>
      </w:r>
      <w:r>
        <w:rPr>
          <w:color w:val="auto"/>
          <w:szCs w:val="21"/>
          <w:highlight w:val="none"/>
        </w:rPr>
        <w:t>。</w:t>
      </w:r>
    </w:p>
    <w:p>
      <w:pPr>
        <w:spacing w:line="360" w:lineRule="exact"/>
        <w:ind w:firstLine="420" w:firstLineChars="200"/>
        <w:rPr>
          <w:color w:val="auto"/>
          <w:szCs w:val="21"/>
          <w:highlight w:val="none"/>
        </w:rPr>
      </w:pPr>
      <w:r>
        <w:rPr>
          <w:color w:val="auto"/>
          <w:szCs w:val="21"/>
          <w:highlight w:val="none"/>
        </w:rPr>
        <w:t>关于</w:t>
      </w:r>
      <w:r>
        <w:rPr>
          <w:rFonts w:hint="eastAsia"/>
          <w:color w:val="auto"/>
          <w:szCs w:val="21"/>
          <w:highlight w:val="none"/>
        </w:rPr>
        <w:t>乙方</w:t>
      </w:r>
      <w:r>
        <w:rPr>
          <w:color w:val="auto"/>
          <w:szCs w:val="21"/>
          <w:highlight w:val="none"/>
        </w:rPr>
        <w:t>应完成的其他开工准备工作及期限：</w:t>
      </w:r>
      <w:r>
        <w:rPr>
          <w:rFonts w:hint="eastAsia"/>
          <w:color w:val="auto"/>
          <w:szCs w:val="21"/>
          <w:highlight w:val="none"/>
          <w:u w:val="single"/>
        </w:rPr>
        <w:t>开工前</w:t>
      </w:r>
      <w:r>
        <w:rPr>
          <w:color w:val="auto"/>
          <w:szCs w:val="21"/>
          <w:highlight w:val="none"/>
        </w:rPr>
        <w:t>。</w:t>
      </w:r>
    </w:p>
    <w:p>
      <w:pPr>
        <w:spacing w:line="360" w:lineRule="exact"/>
        <w:ind w:firstLine="420" w:firstLineChars="200"/>
        <w:rPr>
          <w:color w:val="auto"/>
          <w:szCs w:val="21"/>
          <w:highlight w:val="none"/>
        </w:rPr>
      </w:pPr>
      <w:r>
        <w:rPr>
          <w:color w:val="auto"/>
          <w:szCs w:val="21"/>
          <w:highlight w:val="none"/>
        </w:rPr>
        <w:t>7.3.2开工通知</w:t>
      </w:r>
    </w:p>
    <w:p>
      <w:pPr>
        <w:spacing w:line="360" w:lineRule="exact"/>
        <w:ind w:firstLine="420" w:firstLineChars="200"/>
        <w:rPr>
          <w:color w:val="auto"/>
          <w:szCs w:val="21"/>
          <w:highlight w:val="none"/>
        </w:rPr>
      </w:pPr>
      <w:r>
        <w:rPr>
          <w:rFonts w:hint="eastAsia"/>
          <w:color w:val="auto"/>
          <w:szCs w:val="21"/>
          <w:highlight w:val="none"/>
        </w:rPr>
        <w:t>甲方（或监理人）在计划开工日期前7天向乙方发出开工通知，工期自开工通知中载明的开工日期起算。</w:t>
      </w:r>
    </w:p>
    <w:p>
      <w:pPr>
        <w:spacing w:line="360" w:lineRule="exact"/>
        <w:ind w:firstLine="420" w:firstLineChars="200"/>
        <w:rPr>
          <w:color w:val="auto"/>
          <w:szCs w:val="21"/>
          <w:highlight w:val="none"/>
        </w:rPr>
      </w:pPr>
      <w:r>
        <w:rPr>
          <w:color w:val="auto"/>
          <w:szCs w:val="21"/>
          <w:highlight w:val="none"/>
        </w:rPr>
        <w:t>因</w:t>
      </w:r>
      <w:r>
        <w:rPr>
          <w:rFonts w:hint="eastAsia"/>
          <w:color w:val="auto"/>
          <w:szCs w:val="21"/>
          <w:highlight w:val="none"/>
        </w:rPr>
        <w:t>甲方</w:t>
      </w:r>
      <w:r>
        <w:rPr>
          <w:color w:val="auto"/>
          <w:szCs w:val="21"/>
          <w:highlight w:val="none"/>
        </w:rPr>
        <w:t>原因造成监理人未能在计划开工日期之日起</w:t>
      </w:r>
      <w:r>
        <w:rPr>
          <w:rFonts w:hint="eastAsia"/>
          <w:color w:val="auto"/>
          <w:szCs w:val="21"/>
          <w:highlight w:val="none"/>
          <w:u w:val="single"/>
        </w:rPr>
        <w:t>60</w:t>
      </w:r>
      <w:r>
        <w:rPr>
          <w:color w:val="auto"/>
          <w:szCs w:val="21"/>
          <w:highlight w:val="none"/>
        </w:rPr>
        <w:t>天内发出开工通知的，</w:t>
      </w:r>
      <w:r>
        <w:rPr>
          <w:rFonts w:hint="eastAsia"/>
          <w:color w:val="auto"/>
          <w:szCs w:val="21"/>
          <w:highlight w:val="none"/>
        </w:rPr>
        <w:t>乙方</w:t>
      </w:r>
      <w:r>
        <w:rPr>
          <w:color w:val="auto"/>
          <w:szCs w:val="21"/>
          <w:highlight w:val="none"/>
        </w:rPr>
        <w:t>有权提出价格调整要求，或者解除合同。</w:t>
      </w:r>
      <w:r>
        <w:rPr>
          <w:rFonts w:hint="eastAsia"/>
          <w:color w:val="auto"/>
          <w:szCs w:val="21"/>
          <w:highlight w:val="none"/>
        </w:rPr>
        <w:t>甲方应当承担由此增加的费用或赔偿乙方的损失。</w:t>
      </w:r>
    </w:p>
    <w:p>
      <w:pPr>
        <w:spacing w:line="360" w:lineRule="exact"/>
        <w:ind w:firstLine="420" w:firstLineChars="200"/>
        <w:rPr>
          <w:color w:val="auto"/>
          <w:szCs w:val="21"/>
          <w:highlight w:val="none"/>
        </w:rPr>
      </w:pPr>
      <w:r>
        <w:rPr>
          <w:color w:val="auto"/>
          <w:szCs w:val="21"/>
          <w:highlight w:val="none"/>
        </w:rPr>
        <w:t>7.4 测量放线</w:t>
      </w:r>
    </w:p>
    <w:p>
      <w:pPr>
        <w:spacing w:line="360" w:lineRule="exact"/>
        <w:ind w:firstLine="420" w:firstLineChars="200"/>
        <w:rPr>
          <w:color w:val="auto"/>
          <w:szCs w:val="21"/>
          <w:highlight w:val="none"/>
          <w:u w:val="single"/>
        </w:rPr>
      </w:pPr>
      <w:r>
        <w:rPr>
          <w:color w:val="auto"/>
          <w:szCs w:val="21"/>
          <w:highlight w:val="none"/>
        </w:rPr>
        <w:t>7.4.1</w:t>
      </w:r>
      <w:r>
        <w:rPr>
          <w:rFonts w:hint="eastAsia"/>
          <w:color w:val="auto"/>
          <w:szCs w:val="21"/>
          <w:highlight w:val="none"/>
        </w:rPr>
        <w:t>甲方</w:t>
      </w:r>
      <w:r>
        <w:rPr>
          <w:color w:val="auto"/>
          <w:szCs w:val="21"/>
          <w:highlight w:val="none"/>
        </w:rPr>
        <w:t>通过监理人向</w:t>
      </w:r>
      <w:r>
        <w:rPr>
          <w:rFonts w:hint="eastAsia"/>
          <w:color w:val="auto"/>
          <w:szCs w:val="21"/>
          <w:highlight w:val="none"/>
        </w:rPr>
        <w:t>乙方</w:t>
      </w:r>
      <w:r>
        <w:rPr>
          <w:color w:val="auto"/>
          <w:szCs w:val="21"/>
          <w:highlight w:val="none"/>
        </w:rPr>
        <w:t>提供测量基准点、基准线和水准点及其书面资料的期限：</w:t>
      </w:r>
      <w:r>
        <w:rPr>
          <w:rFonts w:hint="eastAsia"/>
          <w:color w:val="auto"/>
          <w:szCs w:val="21"/>
          <w:highlight w:val="none"/>
          <w:u w:val="single"/>
        </w:rPr>
        <w:t>按合同通用条款执行</w:t>
      </w:r>
      <w:r>
        <w:rPr>
          <w:color w:val="auto"/>
          <w:szCs w:val="21"/>
          <w:highlight w:val="none"/>
        </w:rPr>
        <w:t>。</w:t>
      </w:r>
    </w:p>
    <w:p>
      <w:pPr>
        <w:spacing w:line="360" w:lineRule="exact"/>
        <w:ind w:firstLine="420" w:firstLineChars="200"/>
        <w:rPr>
          <w:color w:val="auto"/>
          <w:szCs w:val="21"/>
          <w:highlight w:val="none"/>
        </w:rPr>
      </w:pPr>
      <w:r>
        <w:rPr>
          <w:color w:val="auto"/>
          <w:szCs w:val="21"/>
          <w:highlight w:val="none"/>
        </w:rPr>
        <w:t xml:space="preserve">7.5 </w:t>
      </w:r>
      <w:r>
        <w:rPr>
          <w:rFonts w:hint="eastAsia"/>
          <w:color w:val="auto"/>
          <w:szCs w:val="21"/>
          <w:highlight w:val="none"/>
        </w:rPr>
        <w:t>工期进度</w:t>
      </w:r>
    </w:p>
    <w:p>
      <w:pPr>
        <w:spacing w:line="360" w:lineRule="auto"/>
        <w:ind w:firstLine="482" w:firstLineChars="200"/>
        <w:rPr>
          <w:b/>
          <w:bCs/>
          <w:color w:val="auto"/>
          <w:szCs w:val="21"/>
          <w:highlight w:val="none"/>
        </w:rPr>
      </w:pPr>
      <w:r>
        <w:rPr>
          <w:rFonts w:hint="eastAsia" w:ascii="宋体" w:hAnsi="宋体" w:cs="宋体"/>
          <w:b/>
          <w:bCs/>
          <w:color w:val="auto"/>
          <w:sz w:val="24"/>
          <w:highlight w:val="none"/>
        </w:rPr>
        <w:t xml:space="preserve"> </w:t>
      </w:r>
      <w:r>
        <w:rPr>
          <w:rFonts w:hint="eastAsia" w:ascii="宋体" w:hAnsi="宋体" w:cs="宋体"/>
          <w:b/>
          <w:bCs/>
          <w:color w:val="auto"/>
          <w:szCs w:val="21"/>
          <w:highlight w:val="none"/>
        </w:rPr>
        <w:t>开工后50天内完成不少于总工作量的50%，90天内完成不少于总工作量85%，本工程工期120天。</w:t>
      </w:r>
    </w:p>
    <w:p>
      <w:pPr>
        <w:spacing w:line="360" w:lineRule="exact"/>
        <w:ind w:firstLine="420" w:firstLineChars="200"/>
        <w:rPr>
          <w:color w:val="auto"/>
          <w:szCs w:val="21"/>
          <w:highlight w:val="none"/>
        </w:rPr>
      </w:pPr>
      <w:r>
        <w:rPr>
          <w:rFonts w:hint="eastAsia"/>
          <w:color w:val="auto"/>
          <w:szCs w:val="21"/>
          <w:highlight w:val="none"/>
        </w:rPr>
        <w:t>7.6</w:t>
      </w:r>
      <w:r>
        <w:rPr>
          <w:color w:val="auto"/>
          <w:szCs w:val="21"/>
          <w:highlight w:val="none"/>
        </w:rPr>
        <w:t>工期延误</w:t>
      </w:r>
    </w:p>
    <w:p>
      <w:pPr>
        <w:spacing w:line="360" w:lineRule="exact"/>
        <w:ind w:firstLine="420" w:firstLineChars="200"/>
        <w:rPr>
          <w:color w:val="auto"/>
          <w:szCs w:val="21"/>
          <w:highlight w:val="none"/>
        </w:rPr>
      </w:pPr>
      <w:r>
        <w:rPr>
          <w:color w:val="auto"/>
          <w:szCs w:val="21"/>
          <w:highlight w:val="none"/>
        </w:rPr>
        <w:t>7.</w:t>
      </w:r>
      <w:r>
        <w:rPr>
          <w:rFonts w:hint="eastAsia"/>
          <w:color w:val="auto"/>
          <w:szCs w:val="21"/>
          <w:highlight w:val="none"/>
        </w:rPr>
        <w:t>6</w:t>
      </w:r>
      <w:r>
        <w:rPr>
          <w:color w:val="auto"/>
          <w:szCs w:val="21"/>
          <w:highlight w:val="none"/>
        </w:rPr>
        <w:t>.1 因</w:t>
      </w:r>
      <w:r>
        <w:rPr>
          <w:rFonts w:hint="eastAsia"/>
          <w:color w:val="auto"/>
          <w:szCs w:val="21"/>
          <w:highlight w:val="none"/>
        </w:rPr>
        <w:t>甲方</w:t>
      </w:r>
      <w:r>
        <w:rPr>
          <w:color w:val="auto"/>
          <w:szCs w:val="21"/>
          <w:highlight w:val="none"/>
        </w:rPr>
        <w:t>原因导致工期延误</w:t>
      </w:r>
    </w:p>
    <w:p>
      <w:pPr>
        <w:spacing w:line="360" w:lineRule="exact"/>
        <w:ind w:firstLine="420" w:firstLineChars="200"/>
        <w:rPr>
          <w:color w:val="auto"/>
          <w:szCs w:val="21"/>
          <w:highlight w:val="none"/>
          <w:u w:val="single"/>
        </w:rPr>
      </w:pPr>
      <w:r>
        <w:rPr>
          <w:color w:val="auto"/>
          <w:szCs w:val="21"/>
          <w:highlight w:val="none"/>
        </w:rPr>
        <w:t>（7）因</w:t>
      </w:r>
      <w:r>
        <w:rPr>
          <w:rFonts w:hint="eastAsia"/>
          <w:color w:val="auto"/>
          <w:szCs w:val="21"/>
          <w:highlight w:val="none"/>
        </w:rPr>
        <w:t>甲方</w:t>
      </w:r>
      <w:r>
        <w:rPr>
          <w:color w:val="auto"/>
          <w:szCs w:val="21"/>
          <w:highlight w:val="none"/>
        </w:rPr>
        <w:t>原因导致工期延误的其他情形：</w:t>
      </w:r>
      <w:r>
        <w:rPr>
          <w:rFonts w:hint="eastAsia"/>
          <w:color w:val="auto"/>
          <w:szCs w:val="21"/>
          <w:highlight w:val="none"/>
          <w:u w:val="single"/>
        </w:rPr>
        <w:t>/。</w:t>
      </w:r>
    </w:p>
    <w:p>
      <w:pPr>
        <w:spacing w:line="360" w:lineRule="exact"/>
        <w:ind w:firstLine="420" w:firstLineChars="200"/>
        <w:rPr>
          <w:color w:val="auto"/>
          <w:szCs w:val="21"/>
          <w:highlight w:val="none"/>
        </w:rPr>
      </w:pPr>
      <w:r>
        <w:rPr>
          <w:color w:val="auto"/>
          <w:szCs w:val="21"/>
          <w:highlight w:val="none"/>
        </w:rPr>
        <w:t>7.</w:t>
      </w:r>
      <w:r>
        <w:rPr>
          <w:rFonts w:hint="eastAsia"/>
          <w:color w:val="auto"/>
          <w:szCs w:val="21"/>
          <w:highlight w:val="none"/>
        </w:rPr>
        <w:t>6</w:t>
      </w:r>
      <w:r>
        <w:rPr>
          <w:color w:val="auto"/>
          <w:szCs w:val="21"/>
          <w:highlight w:val="none"/>
        </w:rPr>
        <w:t>.2 因</w:t>
      </w:r>
      <w:r>
        <w:rPr>
          <w:rFonts w:hint="eastAsia"/>
          <w:color w:val="auto"/>
          <w:szCs w:val="21"/>
          <w:highlight w:val="none"/>
        </w:rPr>
        <w:t>乙方</w:t>
      </w:r>
      <w:r>
        <w:rPr>
          <w:color w:val="auto"/>
          <w:szCs w:val="21"/>
          <w:highlight w:val="none"/>
        </w:rPr>
        <w:t>原因导致工期延误</w:t>
      </w:r>
    </w:p>
    <w:p>
      <w:pPr>
        <w:spacing w:line="360" w:lineRule="exact"/>
        <w:ind w:firstLine="420" w:firstLineChars="200"/>
        <w:rPr>
          <w:rFonts w:hint="eastAsia" w:ascii="Times New Roman" w:hAnsi="Times New Roman" w:eastAsia="宋体" w:cs="Times New Roman"/>
          <w:color w:val="auto"/>
          <w:szCs w:val="21"/>
          <w:highlight w:val="none"/>
          <w:u w:val="single"/>
        </w:rPr>
      </w:pPr>
      <w:r>
        <w:rPr>
          <w:rFonts w:ascii="Times New Roman" w:hAnsi="Times New Roman" w:eastAsia="宋体" w:cs="Times New Roman"/>
          <w:color w:val="auto"/>
          <w:szCs w:val="21"/>
          <w:highlight w:val="none"/>
          <w:u w:val="single"/>
        </w:rPr>
        <w:t>因</w:t>
      </w:r>
      <w:r>
        <w:rPr>
          <w:rFonts w:hint="eastAsia" w:ascii="Times New Roman" w:hAnsi="Times New Roman" w:eastAsia="宋体" w:cs="Times New Roman"/>
          <w:color w:val="auto"/>
          <w:szCs w:val="21"/>
          <w:highlight w:val="none"/>
          <w:u w:val="single"/>
        </w:rPr>
        <w:t>乙方逾期交付货物的，乙方应按逾期交货总额千分之六每日向甲方支付违约金，由甲方从待付货款中扣除。逾期超过约定日期10个工作日不能交货的，甲方可解除本合同。因乙方逾期交货或因其他违约行为导致甲方解除合同的，没收履约保证金并追究乙方的违约责任</w:t>
      </w:r>
      <w:r>
        <w:rPr>
          <w:rFonts w:hint="eastAsia" w:ascii="Times New Roman" w:hAnsi="Times New Roman" w:eastAsia="宋体" w:cs="Times New Roman"/>
          <w:color w:val="auto"/>
          <w:szCs w:val="21"/>
          <w:highlight w:val="none"/>
          <w:u w:val="single"/>
          <w:lang w:eastAsia="zh-CN"/>
        </w:rPr>
        <w:t>，</w:t>
      </w:r>
      <w:r>
        <w:rPr>
          <w:rFonts w:hint="eastAsia" w:ascii="Times New Roman" w:hAnsi="Times New Roman" w:eastAsia="宋体" w:cs="Times New Roman"/>
          <w:color w:val="auto"/>
          <w:szCs w:val="21"/>
          <w:highlight w:val="none"/>
          <w:u w:val="single"/>
        </w:rPr>
        <w:t>乙方</w:t>
      </w:r>
      <w:r>
        <w:rPr>
          <w:rFonts w:hint="eastAsia" w:ascii="Times New Roman" w:hAnsi="Times New Roman" w:eastAsia="宋体" w:cs="Times New Roman"/>
          <w:color w:val="auto"/>
          <w:szCs w:val="21"/>
          <w:highlight w:val="none"/>
          <w:u w:val="single"/>
          <w:lang w:eastAsia="zh-CN"/>
        </w:rPr>
        <w:t>还</w:t>
      </w:r>
      <w:r>
        <w:rPr>
          <w:rFonts w:hint="eastAsia" w:ascii="Times New Roman" w:hAnsi="Times New Roman" w:eastAsia="宋体" w:cs="Times New Roman"/>
          <w:color w:val="auto"/>
          <w:szCs w:val="21"/>
          <w:highlight w:val="none"/>
          <w:u w:val="single"/>
        </w:rPr>
        <w:t>应向甲方支付合同总值</w:t>
      </w:r>
      <w:r>
        <w:rPr>
          <w:rFonts w:hint="eastAsia" w:ascii="Times New Roman" w:hAnsi="Times New Roman" w:eastAsia="宋体" w:cs="Times New Roman"/>
          <w:color w:val="auto"/>
          <w:szCs w:val="21"/>
          <w:highlight w:val="none"/>
          <w:u w:val="single"/>
          <w:lang w:val="en-US" w:eastAsia="zh-CN"/>
        </w:rPr>
        <w:t>6</w:t>
      </w:r>
      <w:r>
        <w:rPr>
          <w:rFonts w:hint="eastAsia" w:ascii="Times New Roman" w:hAnsi="Times New Roman" w:eastAsia="宋体" w:cs="Times New Roman"/>
          <w:color w:val="auto"/>
          <w:szCs w:val="21"/>
          <w:highlight w:val="none"/>
          <w:u w:val="single"/>
        </w:rPr>
        <w:t xml:space="preserve">%的违约金，如造成甲方损失超过违约金的，超出部分由乙方继续承担赔偿责任。 </w:t>
      </w:r>
    </w:p>
    <w:p>
      <w:pPr>
        <w:spacing w:line="360" w:lineRule="exact"/>
        <w:ind w:firstLine="420" w:firstLineChars="200"/>
        <w:rPr>
          <w:color w:val="auto"/>
          <w:szCs w:val="21"/>
          <w:highlight w:val="none"/>
        </w:rPr>
      </w:pPr>
      <w:r>
        <w:rPr>
          <w:color w:val="auto"/>
          <w:szCs w:val="21"/>
          <w:highlight w:val="none"/>
        </w:rPr>
        <w:t>7.</w:t>
      </w:r>
      <w:r>
        <w:rPr>
          <w:rFonts w:hint="eastAsia"/>
          <w:color w:val="auto"/>
          <w:szCs w:val="21"/>
          <w:highlight w:val="none"/>
        </w:rPr>
        <w:t>7</w:t>
      </w:r>
      <w:r>
        <w:rPr>
          <w:color w:val="auto"/>
          <w:szCs w:val="21"/>
          <w:highlight w:val="none"/>
        </w:rPr>
        <w:t>不利物质条件</w:t>
      </w:r>
    </w:p>
    <w:p>
      <w:pPr>
        <w:spacing w:line="360" w:lineRule="exact"/>
        <w:ind w:firstLine="420" w:firstLineChars="200"/>
        <w:jc w:val="left"/>
        <w:rPr>
          <w:color w:val="auto"/>
          <w:szCs w:val="21"/>
          <w:highlight w:val="none"/>
        </w:rPr>
      </w:pPr>
      <w:r>
        <w:rPr>
          <w:color w:val="auto"/>
          <w:szCs w:val="21"/>
          <w:highlight w:val="none"/>
        </w:rPr>
        <w:t>不利物质条件的其他情形和有关约定：</w:t>
      </w:r>
    </w:p>
    <w:p>
      <w:pPr>
        <w:spacing w:line="360" w:lineRule="exact"/>
        <w:ind w:firstLine="420" w:firstLineChars="200"/>
        <w:rPr>
          <w:color w:val="auto"/>
          <w:szCs w:val="21"/>
          <w:highlight w:val="none"/>
          <w:u w:val="single"/>
        </w:rPr>
      </w:pPr>
      <w:r>
        <w:rPr>
          <w:rFonts w:hint="eastAsia"/>
          <w:color w:val="auto"/>
          <w:szCs w:val="21"/>
          <w:highlight w:val="none"/>
          <w:u w:val="single"/>
        </w:rPr>
        <w:t>1、因政府行政命令（因乙方原因的除外）。</w:t>
      </w:r>
    </w:p>
    <w:p>
      <w:pPr>
        <w:spacing w:line="360" w:lineRule="exact"/>
        <w:ind w:firstLine="420" w:firstLineChars="200"/>
        <w:rPr>
          <w:color w:val="auto"/>
          <w:szCs w:val="21"/>
          <w:highlight w:val="none"/>
          <w:u w:val="single"/>
        </w:rPr>
      </w:pPr>
      <w:r>
        <w:rPr>
          <w:rFonts w:hint="eastAsia"/>
          <w:color w:val="auto"/>
          <w:szCs w:val="21"/>
          <w:highlight w:val="none"/>
          <w:u w:val="single"/>
        </w:rPr>
        <w:t>2、非因双方原因而无法控制的爆炸、火灾等事件。</w:t>
      </w:r>
    </w:p>
    <w:p>
      <w:pPr>
        <w:spacing w:line="360" w:lineRule="exact"/>
        <w:ind w:firstLine="420" w:firstLineChars="200"/>
        <w:rPr>
          <w:color w:val="auto"/>
          <w:szCs w:val="21"/>
          <w:highlight w:val="none"/>
        </w:rPr>
      </w:pPr>
      <w:r>
        <w:rPr>
          <w:color w:val="auto"/>
          <w:szCs w:val="21"/>
          <w:highlight w:val="none"/>
        </w:rPr>
        <w:t>7.</w:t>
      </w:r>
      <w:r>
        <w:rPr>
          <w:rFonts w:hint="eastAsia"/>
          <w:color w:val="auto"/>
          <w:szCs w:val="21"/>
          <w:highlight w:val="none"/>
        </w:rPr>
        <w:t>8</w:t>
      </w:r>
      <w:r>
        <w:rPr>
          <w:color w:val="auto"/>
          <w:szCs w:val="21"/>
          <w:highlight w:val="none"/>
        </w:rPr>
        <w:t>异常恶劣的气候条件</w:t>
      </w:r>
    </w:p>
    <w:p>
      <w:pPr>
        <w:spacing w:line="360" w:lineRule="exact"/>
        <w:ind w:firstLine="420" w:firstLineChars="200"/>
        <w:rPr>
          <w:color w:val="auto"/>
          <w:szCs w:val="21"/>
          <w:highlight w:val="none"/>
        </w:rPr>
      </w:pPr>
      <w:r>
        <w:rPr>
          <w:rFonts w:hint="eastAsia"/>
          <w:color w:val="auto"/>
          <w:szCs w:val="21"/>
          <w:highlight w:val="none"/>
        </w:rPr>
        <w:t>甲方</w:t>
      </w:r>
      <w:r>
        <w:rPr>
          <w:color w:val="auto"/>
          <w:szCs w:val="21"/>
          <w:highlight w:val="none"/>
        </w:rPr>
        <w:t>和</w:t>
      </w:r>
      <w:r>
        <w:rPr>
          <w:rFonts w:hint="eastAsia"/>
          <w:color w:val="auto"/>
          <w:szCs w:val="21"/>
          <w:highlight w:val="none"/>
        </w:rPr>
        <w:t>乙方</w:t>
      </w:r>
      <w:r>
        <w:rPr>
          <w:color w:val="auto"/>
          <w:szCs w:val="21"/>
          <w:highlight w:val="none"/>
        </w:rPr>
        <w:t>同意以下情形视为异常恶劣的气候条件：</w:t>
      </w:r>
    </w:p>
    <w:p>
      <w:pPr>
        <w:spacing w:line="360" w:lineRule="exact"/>
        <w:ind w:firstLine="420" w:firstLineChars="200"/>
        <w:rPr>
          <w:color w:val="auto"/>
          <w:szCs w:val="21"/>
          <w:highlight w:val="none"/>
        </w:rPr>
      </w:pPr>
      <w:r>
        <w:rPr>
          <w:color w:val="auto"/>
          <w:szCs w:val="21"/>
          <w:highlight w:val="none"/>
        </w:rPr>
        <w:t>（1）</w:t>
      </w:r>
      <w:r>
        <w:rPr>
          <w:rFonts w:hint="eastAsia"/>
          <w:color w:val="auto"/>
          <w:szCs w:val="21"/>
          <w:highlight w:val="none"/>
          <w:u w:val="single"/>
        </w:rPr>
        <w:t>8级以上持续24小时的大风（台风）</w:t>
      </w:r>
      <w:r>
        <w:rPr>
          <w:color w:val="auto"/>
          <w:szCs w:val="21"/>
          <w:highlight w:val="none"/>
        </w:rPr>
        <w:t>；</w:t>
      </w:r>
    </w:p>
    <w:p>
      <w:pPr>
        <w:spacing w:line="360" w:lineRule="exact"/>
        <w:ind w:firstLine="420" w:firstLineChars="200"/>
        <w:rPr>
          <w:color w:val="auto"/>
          <w:szCs w:val="21"/>
          <w:highlight w:val="none"/>
        </w:rPr>
      </w:pPr>
      <w:r>
        <w:rPr>
          <w:color w:val="auto"/>
          <w:szCs w:val="21"/>
          <w:highlight w:val="none"/>
        </w:rPr>
        <w:t>（2）</w:t>
      </w:r>
      <w:r>
        <w:rPr>
          <w:rFonts w:hint="eastAsia"/>
          <w:color w:val="auto"/>
          <w:szCs w:val="21"/>
          <w:highlight w:val="none"/>
          <w:u w:val="single"/>
        </w:rPr>
        <w:t>24小时内持续降雨且降水量为200mm以上</w:t>
      </w:r>
      <w:r>
        <w:rPr>
          <w:color w:val="auto"/>
          <w:szCs w:val="21"/>
          <w:highlight w:val="none"/>
        </w:rPr>
        <w:t>；</w:t>
      </w:r>
    </w:p>
    <w:p>
      <w:pPr>
        <w:spacing w:line="360" w:lineRule="exact"/>
        <w:ind w:firstLine="420" w:firstLineChars="200"/>
        <w:rPr>
          <w:color w:val="auto"/>
          <w:szCs w:val="21"/>
          <w:highlight w:val="none"/>
        </w:rPr>
      </w:pPr>
      <w:r>
        <w:rPr>
          <w:color w:val="auto"/>
          <w:szCs w:val="21"/>
          <w:highlight w:val="none"/>
        </w:rPr>
        <w:t>（3）</w:t>
      </w:r>
      <w:r>
        <w:rPr>
          <w:rFonts w:hint="eastAsia"/>
          <w:color w:val="auto"/>
          <w:szCs w:val="21"/>
          <w:highlight w:val="none"/>
          <w:u w:val="single"/>
        </w:rPr>
        <w:t>40摄氏度及以上且持续2天以上以上的高温天气</w:t>
      </w:r>
      <w:r>
        <w:rPr>
          <w:color w:val="auto"/>
          <w:szCs w:val="21"/>
          <w:highlight w:val="none"/>
        </w:rPr>
        <w:t>。</w:t>
      </w:r>
    </w:p>
    <w:p>
      <w:pPr>
        <w:pStyle w:val="7"/>
        <w:tabs>
          <w:tab w:val="left" w:pos="142"/>
          <w:tab w:val="left" w:pos="993"/>
          <w:tab w:val="left" w:pos="1418"/>
          <w:tab w:val="left" w:pos="1560"/>
        </w:tabs>
        <w:spacing w:before="0" w:after="0" w:line="360" w:lineRule="exact"/>
        <w:ind w:firstLine="422" w:firstLineChars="200"/>
        <w:rPr>
          <w:rFonts w:ascii="Times New Roman" w:hAnsi="Times New Roman"/>
          <w:color w:val="auto"/>
          <w:sz w:val="21"/>
          <w:szCs w:val="21"/>
          <w:highlight w:val="none"/>
        </w:rPr>
      </w:pPr>
      <w:r>
        <w:rPr>
          <w:rFonts w:ascii="Times New Roman" w:hAnsi="Times New Roman"/>
          <w:color w:val="auto"/>
          <w:sz w:val="21"/>
          <w:szCs w:val="21"/>
          <w:highlight w:val="none"/>
        </w:rPr>
        <w:t>8. 材料与设备</w:t>
      </w:r>
    </w:p>
    <w:p>
      <w:pPr>
        <w:spacing w:line="360" w:lineRule="exact"/>
        <w:ind w:firstLine="420" w:firstLineChars="200"/>
        <w:rPr>
          <w:color w:val="auto"/>
          <w:szCs w:val="21"/>
          <w:highlight w:val="none"/>
        </w:rPr>
      </w:pPr>
      <w:r>
        <w:rPr>
          <w:rFonts w:hint="eastAsia"/>
          <w:color w:val="auto"/>
          <w:szCs w:val="21"/>
          <w:highlight w:val="none"/>
        </w:rPr>
        <w:t>8.1 乙方采购材料与项目设备</w:t>
      </w:r>
    </w:p>
    <w:p>
      <w:pPr>
        <w:snapToGrid w:val="0"/>
        <w:spacing w:line="360" w:lineRule="exact"/>
        <w:ind w:firstLine="420" w:firstLineChars="200"/>
        <w:rPr>
          <w:color w:val="auto"/>
          <w:szCs w:val="21"/>
          <w:highlight w:val="none"/>
          <w:u w:val="single"/>
        </w:rPr>
      </w:pPr>
      <w:r>
        <w:rPr>
          <w:rFonts w:hint="eastAsia"/>
          <w:color w:val="auto"/>
          <w:szCs w:val="21"/>
          <w:highlight w:val="none"/>
          <w:u w:val="single"/>
        </w:rPr>
        <w:t>（1）材料品牌、规格和使用要求：按招投标文件（相应）技术标准和要求执行。</w:t>
      </w:r>
    </w:p>
    <w:p>
      <w:pPr>
        <w:autoSpaceDE w:val="0"/>
        <w:autoSpaceDN w:val="0"/>
        <w:spacing w:line="360" w:lineRule="exact"/>
        <w:ind w:firstLine="420" w:firstLineChars="200"/>
        <w:rPr>
          <w:color w:val="auto"/>
          <w:szCs w:val="21"/>
          <w:highlight w:val="none"/>
          <w:u w:val="single"/>
        </w:rPr>
      </w:pPr>
      <w:r>
        <w:rPr>
          <w:rFonts w:hint="eastAsia"/>
          <w:color w:val="auto"/>
          <w:szCs w:val="21"/>
          <w:highlight w:val="none"/>
          <w:u w:val="single"/>
        </w:rPr>
        <w:t>（2）本项目使用材料要求。</w:t>
      </w:r>
    </w:p>
    <w:p>
      <w:pPr>
        <w:spacing w:line="360" w:lineRule="exact"/>
        <w:ind w:firstLine="420" w:firstLineChars="200"/>
        <w:rPr>
          <w:color w:val="auto"/>
          <w:szCs w:val="21"/>
          <w:highlight w:val="none"/>
          <w:u w:val="single"/>
        </w:rPr>
      </w:pPr>
      <w:r>
        <w:rPr>
          <w:rFonts w:hint="eastAsia"/>
          <w:color w:val="auto"/>
          <w:szCs w:val="21"/>
          <w:highlight w:val="none"/>
          <w:u w:val="single"/>
        </w:rPr>
        <w:t>（3）所有材料必须有质保书或合格证，符合规范要求，且品牌、产地需报甲方备案，否则，因此产生的后果均由乙方负责。</w:t>
      </w:r>
    </w:p>
    <w:p>
      <w:pPr>
        <w:spacing w:line="360" w:lineRule="exact"/>
        <w:ind w:firstLine="420" w:firstLineChars="200"/>
        <w:rPr>
          <w:color w:val="auto"/>
          <w:szCs w:val="21"/>
          <w:highlight w:val="none"/>
          <w:u w:val="single"/>
        </w:rPr>
      </w:pPr>
      <w:r>
        <w:rPr>
          <w:rFonts w:hint="eastAsia"/>
          <w:color w:val="auto"/>
          <w:szCs w:val="21"/>
          <w:highlight w:val="none"/>
          <w:u w:val="single"/>
        </w:rPr>
        <w:t>（4）凡是招标文件注明规格、型号或相当于的厂家（品牌、产地）的材料，乙方必须按照招标文件要求采购和施工，优先使用相当于的厂家（品牌、产地），如需调整，必须经得甲方认可，否则由此引起的后果由乙方承担。</w:t>
      </w:r>
    </w:p>
    <w:p>
      <w:pPr>
        <w:spacing w:line="360" w:lineRule="exact"/>
        <w:ind w:firstLine="420" w:firstLineChars="200"/>
        <w:rPr>
          <w:color w:val="auto"/>
          <w:szCs w:val="21"/>
          <w:highlight w:val="none"/>
          <w:u w:val="single"/>
        </w:rPr>
      </w:pPr>
      <w:r>
        <w:rPr>
          <w:rFonts w:hint="eastAsia"/>
          <w:color w:val="auto"/>
          <w:szCs w:val="21"/>
          <w:highlight w:val="none"/>
          <w:u w:val="single"/>
        </w:rPr>
        <w:t>（5）所有设备、材料等均需有产品合格证和质保书等必要资料，符合国家规定的技术标准，并且须经甲方及监理单位验收合格后方可使用。</w:t>
      </w:r>
    </w:p>
    <w:p>
      <w:pPr>
        <w:spacing w:line="360" w:lineRule="exact"/>
        <w:ind w:firstLine="420" w:firstLineChars="200"/>
        <w:rPr>
          <w:color w:val="auto"/>
          <w:szCs w:val="21"/>
          <w:highlight w:val="none"/>
        </w:rPr>
      </w:pPr>
      <w:r>
        <w:rPr>
          <w:rFonts w:hint="eastAsia"/>
          <w:color w:val="auto"/>
          <w:szCs w:val="21"/>
          <w:highlight w:val="none"/>
          <w:u w:val="single"/>
        </w:rPr>
        <w:t>（6）根据项目需要，甲方有权对乙方投标时确认的品牌进行更换，更换后的材料价格由甲方签证进行结算。</w:t>
      </w:r>
    </w:p>
    <w:p>
      <w:pPr>
        <w:spacing w:line="360" w:lineRule="exact"/>
        <w:ind w:firstLine="420" w:firstLineChars="200"/>
        <w:rPr>
          <w:color w:val="auto"/>
          <w:szCs w:val="21"/>
          <w:highlight w:val="none"/>
        </w:rPr>
      </w:pPr>
      <w:r>
        <w:rPr>
          <w:color w:val="auto"/>
          <w:szCs w:val="21"/>
          <w:highlight w:val="none"/>
        </w:rPr>
        <w:t>8.</w:t>
      </w:r>
      <w:r>
        <w:rPr>
          <w:rFonts w:hint="eastAsia"/>
          <w:color w:val="auto"/>
          <w:szCs w:val="21"/>
          <w:highlight w:val="none"/>
        </w:rPr>
        <w:t>2</w:t>
      </w:r>
      <w:r>
        <w:rPr>
          <w:color w:val="auto"/>
          <w:szCs w:val="21"/>
          <w:highlight w:val="none"/>
        </w:rPr>
        <w:t>材料与</w:t>
      </w:r>
      <w:r>
        <w:rPr>
          <w:rFonts w:hint="eastAsia"/>
          <w:color w:val="auto"/>
          <w:szCs w:val="21"/>
          <w:highlight w:val="none"/>
        </w:rPr>
        <w:t>项目</w:t>
      </w:r>
      <w:r>
        <w:rPr>
          <w:color w:val="auto"/>
          <w:szCs w:val="21"/>
          <w:highlight w:val="none"/>
        </w:rPr>
        <w:t>设备的保管与使用</w:t>
      </w:r>
    </w:p>
    <w:p>
      <w:pPr>
        <w:spacing w:line="360" w:lineRule="exact"/>
        <w:ind w:firstLine="420" w:firstLineChars="200"/>
        <w:rPr>
          <w:color w:val="auto"/>
          <w:szCs w:val="21"/>
          <w:highlight w:val="none"/>
        </w:rPr>
      </w:pPr>
      <w:r>
        <w:rPr>
          <w:color w:val="auto"/>
          <w:szCs w:val="21"/>
          <w:highlight w:val="none"/>
        </w:rPr>
        <w:t>8.</w:t>
      </w:r>
      <w:r>
        <w:rPr>
          <w:rFonts w:hint="eastAsia"/>
          <w:color w:val="auto"/>
          <w:szCs w:val="21"/>
          <w:highlight w:val="none"/>
        </w:rPr>
        <w:t>2</w:t>
      </w:r>
      <w:r>
        <w:rPr>
          <w:color w:val="auto"/>
          <w:szCs w:val="21"/>
          <w:highlight w:val="none"/>
        </w:rPr>
        <w:t>.1</w:t>
      </w:r>
      <w:r>
        <w:rPr>
          <w:rFonts w:hint="eastAsia"/>
          <w:color w:val="auto"/>
          <w:szCs w:val="21"/>
          <w:highlight w:val="none"/>
        </w:rPr>
        <w:t>甲方</w:t>
      </w:r>
      <w:r>
        <w:rPr>
          <w:color w:val="auto"/>
          <w:szCs w:val="21"/>
          <w:highlight w:val="none"/>
        </w:rPr>
        <w:t>供应的材料设备的保管费用的承担：</w:t>
      </w:r>
      <w:r>
        <w:rPr>
          <w:rFonts w:hint="eastAsia"/>
          <w:color w:val="auto"/>
          <w:szCs w:val="21"/>
          <w:highlight w:val="none"/>
          <w:u w:val="single"/>
        </w:rPr>
        <w:t xml:space="preserve">/ </w:t>
      </w:r>
      <w:r>
        <w:rPr>
          <w:color w:val="auto"/>
          <w:szCs w:val="21"/>
          <w:highlight w:val="none"/>
        </w:rPr>
        <w:t>。</w:t>
      </w:r>
    </w:p>
    <w:p>
      <w:pPr>
        <w:spacing w:line="360" w:lineRule="exact"/>
        <w:ind w:firstLine="420" w:firstLineChars="200"/>
        <w:rPr>
          <w:color w:val="auto"/>
          <w:szCs w:val="21"/>
          <w:highlight w:val="none"/>
        </w:rPr>
      </w:pPr>
      <w:r>
        <w:rPr>
          <w:color w:val="auto"/>
          <w:szCs w:val="21"/>
          <w:highlight w:val="none"/>
        </w:rPr>
        <w:t>8.6 样品</w:t>
      </w:r>
    </w:p>
    <w:p>
      <w:pPr>
        <w:autoSpaceDE w:val="0"/>
        <w:autoSpaceDN w:val="0"/>
        <w:adjustRightInd w:val="0"/>
        <w:spacing w:line="360" w:lineRule="exact"/>
        <w:ind w:firstLine="420" w:firstLineChars="200"/>
        <w:rPr>
          <w:color w:val="auto"/>
          <w:kern w:val="0"/>
          <w:szCs w:val="21"/>
          <w:highlight w:val="none"/>
        </w:rPr>
      </w:pPr>
      <w:r>
        <w:rPr>
          <w:color w:val="auto"/>
          <w:kern w:val="0"/>
          <w:szCs w:val="21"/>
          <w:highlight w:val="none"/>
        </w:rPr>
        <w:t>8.6.1</w:t>
      </w:r>
      <w:r>
        <w:rPr>
          <w:color w:val="auto"/>
          <w:kern w:val="0"/>
          <w:szCs w:val="21"/>
          <w:highlight w:val="none"/>
        </w:rPr>
        <w:tab/>
      </w:r>
      <w:r>
        <w:rPr>
          <w:color w:val="auto"/>
          <w:kern w:val="0"/>
          <w:szCs w:val="21"/>
          <w:highlight w:val="none"/>
        </w:rPr>
        <w:t>样品的报送</w:t>
      </w:r>
      <w:r>
        <w:rPr>
          <w:rFonts w:hint="eastAsia"/>
          <w:color w:val="auto"/>
          <w:kern w:val="0"/>
          <w:szCs w:val="21"/>
          <w:highlight w:val="none"/>
        </w:rPr>
        <w:t>与封存</w:t>
      </w:r>
    </w:p>
    <w:p>
      <w:pPr>
        <w:autoSpaceDE w:val="0"/>
        <w:autoSpaceDN w:val="0"/>
        <w:adjustRightInd w:val="0"/>
        <w:spacing w:line="360" w:lineRule="exact"/>
        <w:ind w:firstLine="420" w:firstLineChars="200"/>
        <w:rPr>
          <w:color w:val="auto"/>
          <w:szCs w:val="21"/>
          <w:highlight w:val="none"/>
        </w:rPr>
      </w:pPr>
      <w:r>
        <w:rPr>
          <w:color w:val="auto"/>
          <w:kern w:val="0"/>
          <w:szCs w:val="21"/>
          <w:highlight w:val="none"/>
        </w:rPr>
        <w:t>需要</w:t>
      </w:r>
      <w:r>
        <w:rPr>
          <w:rFonts w:hint="eastAsia"/>
          <w:color w:val="auto"/>
          <w:kern w:val="0"/>
          <w:szCs w:val="21"/>
          <w:highlight w:val="none"/>
        </w:rPr>
        <w:t>乙方</w:t>
      </w:r>
      <w:r>
        <w:rPr>
          <w:color w:val="auto"/>
          <w:kern w:val="0"/>
          <w:szCs w:val="21"/>
          <w:highlight w:val="none"/>
        </w:rPr>
        <w:t>报送样品的材料或</w:t>
      </w:r>
      <w:r>
        <w:rPr>
          <w:rFonts w:hint="eastAsia"/>
          <w:color w:val="auto"/>
          <w:kern w:val="0"/>
          <w:szCs w:val="21"/>
          <w:highlight w:val="none"/>
        </w:rPr>
        <w:t>项目</w:t>
      </w:r>
      <w:r>
        <w:rPr>
          <w:color w:val="auto"/>
          <w:kern w:val="0"/>
          <w:szCs w:val="21"/>
          <w:highlight w:val="none"/>
        </w:rPr>
        <w:t>设备，样品的种类、名称、规格、数量要求：</w:t>
      </w:r>
      <w:r>
        <w:rPr>
          <w:rFonts w:hint="eastAsia"/>
          <w:color w:val="auto"/>
          <w:szCs w:val="21"/>
          <w:highlight w:val="none"/>
          <w:u w:val="single"/>
        </w:rPr>
        <w:t>按招标文件要求</w:t>
      </w:r>
      <w:r>
        <w:rPr>
          <w:color w:val="auto"/>
          <w:szCs w:val="21"/>
          <w:highlight w:val="none"/>
          <w:u w:val="single"/>
        </w:rPr>
        <w:t>。</w:t>
      </w:r>
    </w:p>
    <w:p>
      <w:pPr>
        <w:spacing w:line="360" w:lineRule="exact"/>
        <w:ind w:firstLine="420" w:firstLineChars="200"/>
        <w:rPr>
          <w:color w:val="auto"/>
          <w:szCs w:val="21"/>
          <w:highlight w:val="none"/>
        </w:rPr>
      </w:pPr>
      <w:r>
        <w:rPr>
          <w:color w:val="auto"/>
          <w:szCs w:val="21"/>
          <w:highlight w:val="none"/>
        </w:rPr>
        <w:t>8.</w:t>
      </w:r>
      <w:r>
        <w:rPr>
          <w:rFonts w:hint="eastAsia"/>
          <w:color w:val="auto"/>
          <w:szCs w:val="21"/>
          <w:highlight w:val="none"/>
        </w:rPr>
        <w:t>7</w:t>
      </w:r>
      <w:r>
        <w:rPr>
          <w:color w:val="auto"/>
          <w:szCs w:val="21"/>
          <w:highlight w:val="none"/>
        </w:rPr>
        <w:t xml:space="preserve"> 施工设备和临时设施</w:t>
      </w:r>
    </w:p>
    <w:p>
      <w:pPr>
        <w:autoSpaceDE w:val="0"/>
        <w:autoSpaceDN w:val="0"/>
        <w:adjustRightInd w:val="0"/>
        <w:spacing w:line="360" w:lineRule="exact"/>
        <w:ind w:firstLine="420" w:firstLineChars="200"/>
        <w:rPr>
          <w:color w:val="auto"/>
          <w:szCs w:val="21"/>
          <w:highlight w:val="none"/>
        </w:rPr>
      </w:pPr>
      <w:r>
        <w:rPr>
          <w:color w:val="auto"/>
          <w:szCs w:val="21"/>
          <w:highlight w:val="none"/>
        </w:rPr>
        <w:t>8.</w:t>
      </w:r>
      <w:r>
        <w:rPr>
          <w:rFonts w:hint="eastAsia"/>
          <w:color w:val="auto"/>
          <w:szCs w:val="21"/>
          <w:highlight w:val="none"/>
        </w:rPr>
        <w:t>7</w:t>
      </w:r>
      <w:r>
        <w:rPr>
          <w:color w:val="auto"/>
          <w:szCs w:val="21"/>
          <w:highlight w:val="none"/>
        </w:rPr>
        <w:t xml:space="preserve">.1 </w:t>
      </w:r>
      <w:r>
        <w:rPr>
          <w:rFonts w:hint="eastAsia"/>
          <w:color w:val="auto"/>
          <w:szCs w:val="21"/>
          <w:highlight w:val="none"/>
        </w:rPr>
        <w:t>乙方</w:t>
      </w:r>
      <w:r>
        <w:rPr>
          <w:color w:val="auto"/>
          <w:szCs w:val="21"/>
          <w:highlight w:val="none"/>
        </w:rPr>
        <w:t>提供的施工设备和临时设施</w:t>
      </w:r>
    </w:p>
    <w:p>
      <w:pPr>
        <w:autoSpaceDE w:val="0"/>
        <w:autoSpaceDN w:val="0"/>
        <w:adjustRightInd w:val="0"/>
        <w:spacing w:line="360" w:lineRule="exact"/>
        <w:ind w:firstLine="420" w:firstLineChars="200"/>
        <w:rPr>
          <w:color w:val="auto"/>
          <w:szCs w:val="21"/>
          <w:highlight w:val="none"/>
        </w:rPr>
      </w:pPr>
      <w:r>
        <w:rPr>
          <w:color w:val="auto"/>
          <w:szCs w:val="21"/>
          <w:highlight w:val="none"/>
        </w:rPr>
        <w:t>关于临时设施费用承担的约定：</w:t>
      </w:r>
      <w:r>
        <w:rPr>
          <w:rFonts w:hint="eastAsia"/>
          <w:color w:val="auto"/>
          <w:szCs w:val="21"/>
          <w:highlight w:val="none"/>
          <w:u w:val="single"/>
        </w:rPr>
        <w:t>由乙方承担</w:t>
      </w:r>
      <w:r>
        <w:rPr>
          <w:color w:val="auto"/>
          <w:szCs w:val="21"/>
          <w:highlight w:val="none"/>
          <w:u w:val="single"/>
        </w:rPr>
        <w:t>。</w:t>
      </w:r>
    </w:p>
    <w:p>
      <w:pPr>
        <w:pStyle w:val="7"/>
        <w:tabs>
          <w:tab w:val="left" w:pos="142"/>
          <w:tab w:val="left" w:pos="993"/>
          <w:tab w:val="left" w:pos="1418"/>
          <w:tab w:val="left" w:pos="1560"/>
        </w:tabs>
        <w:spacing w:before="0" w:after="0" w:line="360" w:lineRule="exact"/>
        <w:ind w:firstLine="422" w:firstLineChars="200"/>
        <w:rPr>
          <w:rFonts w:ascii="Times New Roman" w:hAnsi="Times New Roman"/>
          <w:color w:val="auto"/>
          <w:sz w:val="21"/>
          <w:szCs w:val="21"/>
          <w:highlight w:val="none"/>
        </w:rPr>
      </w:pPr>
      <w:r>
        <w:rPr>
          <w:rFonts w:ascii="Times New Roman" w:hAnsi="Times New Roman"/>
          <w:color w:val="auto"/>
          <w:sz w:val="21"/>
          <w:szCs w:val="21"/>
          <w:highlight w:val="none"/>
        </w:rPr>
        <w:t>9. 试验与检验</w:t>
      </w:r>
    </w:p>
    <w:p>
      <w:pPr>
        <w:spacing w:line="360" w:lineRule="exact"/>
        <w:ind w:firstLine="420" w:firstLineChars="200"/>
        <w:rPr>
          <w:color w:val="auto"/>
          <w:szCs w:val="21"/>
          <w:highlight w:val="none"/>
        </w:rPr>
      </w:pPr>
      <w:r>
        <w:rPr>
          <w:color w:val="auto"/>
          <w:szCs w:val="21"/>
          <w:highlight w:val="none"/>
        </w:rPr>
        <w:t>9.1试验设备与试验人员</w:t>
      </w:r>
    </w:p>
    <w:p>
      <w:pPr>
        <w:spacing w:line="360" w:lineRule="exact"/>
        <w:ind w:firstLine="420" w:firstLineChars="200"/>
        <w:rPr>
          <w:color w:val="auto"/>
          <w:szCs w:val="21"/>
          <w:highlight w:val="none"/>
        </w:rPr>
      </w:pPr>
      <w:r>
        <w:rPr>
          <w:color w:val="auto"/>
          <w:szCs w:val="21"/>
          <w:highlight w:val="none"/>
        </w:rPr>
        <w:t>9.1.</w:t>
      </w:r>
      <w:r>
        <w:rPr>
          <w:rFonts w:hint="eastAsia"/>
          <w:color w:val="auto"/>
          <w:szCs w:val="21"/>
          <w:highlight w:val="none"/>
        </w:rPr>
        <w:t>1</w:t>
      </w:r>
      <w:r>
        <w:rPr>
          <w:color w:val="auto"/>
          <w:szCs w:val="21"/>
          <w:highlight w:val="none"/>
        </w:rPr>
        <w:t xml:space="preserve"> 试验设备</w:t>
      </w:r>
    </w:p>
    <w:p>
      <w:pPr>
        <w:spacing w:line="360" w:lineRule="exact"/>
        <w:ind w:firstLine="420" w:firstLineChars="200"/>
        <w:rPr>
          <w:color w:val="auto"/>
          <w:szCs w:val="21"/>
          <w:highlight w:val="none"/>
        </w:rPr>
      </w:pPr>
      <w:r>
        <w:rPr>
          <w:color w:val="auto"/>
          <w:szCs w:val="21"/>
          <w:highlight w:val="none"/>
        </w:rPr>
        <w:t>施工现场需要配置的试验场所：</w:t>
      </w:r>
      <w:r>
        <w:rPr>
          <w:rFonts w:hint="eastAsia"/>
          <w:color w:val="auto"/>
          <w:szCs w:val="21"/>
          <w:highlight w:val="none"/>
          <w:u w:val="single"/>
        </w:rPr>
        <w:t>/</w:t>
      </w:r>
      <w:r>
        <w:rPr>
          <w:color w:val="auto"/>
          <w:szCs w:val="21"/>
          <w:highlight w:val="none"/>
        </w:rPr>
        <w:t>。</w:t>
      </w:r>
    </w:p>
    <w:p>
      <w:pPr>
        <w:spacing w:line="360" w:lineRule="exact"/>
        <w:ind w:firstLine="420" w:firstLineChars="200"/>
        <w:rPr>
          <w:color w:val="auto"/>
          <w:szCs w:val="21"/>
          <w:highlight w:val="none"/>
        </w:rPr>
      </w:pPr>
      <w:r>
        <w:rPr>
          <w:color w:val="auto"/>
          <w:szCs w:val="21"/>
          <w:highlight w:val="none"/>
        </w:rPr>
        <w:t>施工现场需要配备的</w:t>
      </w:r>
      <w:r>
        <w:rPr>
          <w:rFonts w:hint="eastAsia"/>
          <w:color w:val="auto"/>
          <w:szCs w:val="21"/>
          <w:highlight w:val="none"/>
        </w:rPr>
        <w:t>检</w:t>
      </w:r>
      <w:r>
        <w:rPr>
          <w:color w:val="auto"/>
          <w:szCs w:val="21"/>
          <w:highlight w:val="none"/>
        </w:rPr>
        <w:t>验设备：</w:t>
      </w:r>
      <w:r>
        <w:rPr>
          <w:rFonts w:hint="eastAsia"/>
          <w:color w:val="auto"/>
          <w:szCs w:val="21"/>
          <w:highlight w:val="none"/>
          <w:u w:val="single"/>
        </w:rPr>
        <w:t>按招标文件要求</w:t>
      </w:r>
      <w:r>
        <w:rPr>
          <w:color w:val="auto"/>
          <w:szCs w:val="21"/>
          <w:highlight w:val="none"/>
        </w:rPr>
        <w:t>。</w:t>
      </w:r>
    </w:p>
    <w:p>
      <w:pPr>
        <w:spacing w:line="360" w:lineRule="exact"/>
        <w:ind w:firstLine="420" w:firstLineChars="200"/>
        <w:rPr>
          <w:color w:val="auto"/>
          <w:szCs w:val="21"/>
          <w:highlight w:val="none"/>
        </w:rPr>
      </w:pPr>
      <w:r>
        <w:rPr>
          <w:color w:val="auto"/>
          <w:szCs w:val="21"/>
          <w:highlight w:val="none"/>
        </w:rPr>
        <w:t>施工现场需要具备的其他试验条件：</w:t>
      </w:r>
      <w:r>
        <w:rPr>
          <w:rFonts w:hint="eastAsia"/>
          <w:color w:val="auto"/>
          <w:szCs w:val="21"/>
          <w:highlight w:val="none"/>
          <w:u w:val="single"/>
        </w:rPr>
        <w:t>/</w:t>
      </w:r>
      <w:r>
        <w:rPr>
          <w:color w:val="auto"/>
          <w:szCs w:val="21"/>
          <w:highlight w:val="none"/>
        </w:rPr>
        <w:t>。</w:t>
      </w:r>
    </w:p>
    <w:p>
      <w:pPr>
        <w:spacing w:line="360" w:lineRule="auto"/>
        <w:ind w:firstLine="420" w:firstLineChars="200"/>
        <w:jc w:val="left"/>
        <w:rPr>
          <w:color w:val="auto"/>
          <w:szCs w:val="21"/>
          <w:highlight w:val="none"/>
        </w:rPr>
      </w:pPr>
      <w:r>
        <w:rPr>
          <w:rFonts w:hint="eastAsia"/>
          <w:color w:val="auto"/>
          <w:szCs w:val="21"/>
          <w:highlight w:val="none"/>
        </w:rPr>
        <w:t>9.2材料、项目设备和项目的试验和检验</w:t>
      </w:r>
    </w:p>
    <w:p>
      <w:pPr>
        <w:spacing w:line="360" w:lineRule="exact"/>
        <w:ind w:firstLine="420" w:firstLineChars="200"/>
        <w:rPr>
          <w:color w:val="auto"/>
          <w:szCs w:val="21"/>
          <w:highlight w:val="none"/>
        </w:rPr>
      </w:pPr>
      <w:r>
        <w:rPr>
          <w:rFonts w:hint="eastAsia"/>
          <w:color w:val="auto"/>
          <w:szCs w:val="21"/>
          <w:highlight w:val="none"/>
        </w:rPr>
        <w:t>材料、设备和项目的试验和检验的费用：</w:t>
      </w:r>
    </w:p>
    <w:p>
      <w:pPr>
        <w:spacing w:line="360" w:lineRule="exact"/>
        <w:ind w:firstLine="420" w:firstLineChars="200"/>
        <w:rPr>
          <w:color w:val="auto"/>
          <w:szCs w:val="21"/>
          <w:highlight w:val="none"/>
          <w:u w:val="single"/>
        </w:rPr>
      </w:pPr>
      <w:r>
        <w:rPr>
          <w:rFonts w:hint="eastAsia"/>
          <w:color w:val="auto"/>
          <w:szCs w:val="21"/>
          <w:highlight w:val="none"/>
          <w:u w:val="single"/>
        </w:rPr>
        <w:t>（1）按《建设工程质量管理条例》、《建设工程质量检测管理办法》、《房屋建筑工程和市政基础设施工程实行见证取样和送检的规定》等及省、市地方有关工程质量检测的有关规定实施。对建筑材料、构件和建筑安装物进行一般鉴定、检查所发生的费用，包括建设工程质量见证取样检测费、建筑施工企业配合检测及自设试验室进行试验所耗用的材料和化学药品等费用由乙方承担；专项检测试验费、新结构、新材料、构件破坏性试验及其他特殊要求检测试验等检测试验费由甲方承担。</w:t>
      </w:r>
    </w:p>
    <w:p>
      <w:pPr>
        <w:spacing w:line="360" w:lineRule="exact"/>
        <w:ind w:firstLine="420" w:firstLineChars="200"/>
        <w:rPr>
          <w:color w:val="auto"/>
          <w:szCs w:val="21"/>
          <w:highlight w:val="none"/>
          <w:u w:val="single"/>
        </w:rPr>
      </w:pPr>
      <w:r>
        <w:rPr>
          <w:rFonts w:hint="eastAsia"/>
          <w:color w:val="auto"/>
          <w:szCs w:val="21"/>
          <w:highlight w:val="none"/>
          <w:u w:val="single"/>
        </w:rPr>
        <w:t>（2）当甲方或监理人指示乙方为核实本项目某一部分或某种材料设备是否有缺陷时，乙方应按要求进行检（试）验。如果该检（试）验表明确有缺陷存在，则检（试）验和试样的费用，甲方供应材料设备的，由甲方承担；乙方采购材料设备的，由乙方承担。如果该检（试）验表明没有缺陷，则由甲方承担检（试）验和试样的费用。</w:t>
      </w:r>
    </w:p>
    <w:p>
      <w:pPr>
        <w:spacing w:line="360" w:lineRule="exact"/>
        <w:ind w:firstLine="420" w:firstLineChars="200"/>
        <w:rPr>
          <w:color w:val="auto"/>
          <w:szCs w:val="21"/>
          <w:highlight w:val="none"/>
          <w:u w:val="single"/>
        </w:rPr>
      </w:pPr>
      <w:r>
        <w:rPr>
          <w:rFonts w:hint="eastAsia"/>
          <w:color w:val="auto"/>
          <w:szCs w:val="21"/>
          <w:highlight w:val="none"/>
          <w:u w:val="single"/>
        </w:rPr>
        <w:t>（3）当质量安全管理机构根据相关规范要求开展，要求甲方与乙方开展本工程某一部分质量实体或某项材料设备质量监督抽检，甲方与乙方应配合，按要求进行检（试）验，检测、恢复费用由甲方承担。如检测不合格，则由乙方承担本次及重新检测、恢复费用。</w:t>
      </w:r>
    </w:p>
    <w:p>
      <w:pPr>
        <w:spacing w:line="360" w:lineRule="exact"/>
        <w:ind w:firstLine="420" w:firstLineChars="200"/>
        <w:rPr>
          <w:color w:val="auto"/>
          <w:szCs w:val="21"/>
          <w:highlight w:val="none"/>
        </w:rPr>
      </w:pPr>
      <w:r>
        <w:rPr>
          <w:color w:val="auto"/>
          <w:szCs w:val="21"/>
          <w:highlight w:val="none"/>
        </w:rPr>
        <w:t>9.</w:t>
      </w:r>
      <w:r>
        <w:rPr>
          <w:rFonts w:hint="eastAsia"/>
          <w:color w:val="auto"/>
          <w:szCs w:val="21"/>
          <w:highlight w:val="none"/>
        </w:rPr>
        <w:t>3</w:t>
      </w:r>
      <w:r>
        <w:rPr>
          <w:color w:val="auto"/>
          <w:szCs w:val="21"/>
          <w:highlight w:val="none"/>
        </w:rPr>
        <w:t xml:space="preserve"> 现场工艺试验</w:t>
      </w:r>
    </w:p>
    <w:p>
      <w:pPr>
        <w:spacing w:line="360" w:lineRule="exact"/>
        <w:ind w:firstLine="420" w:firstLineChars="200"/>
        <w:rPr>
          <w:color w:val="auto"/>
          <w:szCs w:val="21"/>
          <w:highlight w:val="none"/>
        </w:rPr>
      </w:pPr>
      <w:r>
        <w:rPr>
          <w:color w:val="auto"/>
          <w:szCs w:val="21"/>
          <w:highlight w:val="none"/>
        </w:rPr>
        <w:t>现场工艺试验的有关约定：</w:t>
      </w:r>
      <w:r>
        <w:rPr>
          <w:rFonts w:hint="eastAsia"/>
          <w:color w:val="auto"/>
          <w:szCs w:val="21"/>
          <w:highlight w:val="none"/>
          <w:u w:val="single"/>
        </w:rPr>
        <w:t xml:space="preserve">/                               </w:t>
      </w:r>
      <w:r>
        <w:rPr>
          <w:color w:val="auto"/>
          <w:szCs w:val="21"/>
          <w:highlight w:val="none"/>
        </w:rPr>
        <w:t>。</w:t>
      </w:r>
    </w:p>
    <w:p>
      <w:pPr>
        <w:pStyle w:val="7"/>
        <w:tabs>
          <w:tab w:val="left" w:pos="142"/>
          <w:tab w:val="left" w:pos="993"/>
          <w:tab w:val="left" w:pos="1418"/>
          <w:tab w:val="left" w:pos="1560"/>
        </w:tabs>
        <w:spacing w:before="0" w:after="0" w:line="360" w:lineRule="exact"/>
        <w:ind w:firstLine="422" w:firstLineChars="200"/>
        <w:rPr>
          <w:rFonts w:ascii="Times New Roman" w:hAnsi="Times New Roman"/>
          <w:color w:val="auto"/>
          <w:sz w:val="21"/>
          <w:szCs w:val="21"/>
          <w:highlight w:val="none"/>
        </w:rPr>
      </w:pPr>
      <w:r>
        <w:rPr>
          <w:rFonts w:ascii="Times New Roman" w:hAnsi="Times New Roman"/>
          <w:color w:val="auto"/>
          <w:sz w:val="21"/>
          <w:szCs w:val="21"/>
          <w:highlight w:val="none"/>
        </w:rPr>
        <w:t>10. 变更</w:t>
      </w:r>
    </w:p>
    <w:p>
      <w:pPr>
        <w:spacing w:line="360" w:lineRule="exact"/>
        <w:ind w:firstLine="420" w:firstLineChars="200"/>
        <w:rPr>
          <w:color w:val="auto"/>
          <w:szCs w:val="21"/>
          <w:highlight w:val="none"/>
        </w:rPr>
      </w:pPr>
      <w:r>
        <w:rPr>
          <w:color w:val="auto"/>
          <w:szCs w:val="21"/>
          <w:highlight w:val="none"/>
        </w:rPr>
        <w:t>10.1变更的范围</w:t>
      </w:r>
    </w:p>
    <w:p>
      <w:pPr>
        <w:spacing w:line="360" w:lineRule="exact"/>
        <w:ind w:firstLine="420" w:firstLineChars="200"/>
        <w:rPr>
          <w:color w:val="auto"/>
          <w:szCs w:val="21"/>
          <w:highlight w:val="none"/>
        </w:rPr>
      </w:pPr>
      <w:r>
        <w:rPr>
          <w:color w:val="auto"/>
          <w:szCs w:val="21"/>
          <w:highlight w:val="none"/>
        </w:rPr>
        <w:t>关于变更的范围的约定：</w:t>
      </w:r>
      <w:r>
        <w:rPr>
          <w:rFonts w:hint="eastAsia"/>
          <w:color w:val="auto"/>
          <w:szCs w:val="21"/>
          <w:highlight w:val="none"/>
          <w:u w:val="single"/>
        </w:rPr>
        <w:t>按合同通用条款</w:t>
      </w:r>
      <w:r>
        <w:rPr>
          <w:color w:val="auto"/>
          <w:szCs w:val="21"/>
          <w:highlight w:val="none"/>
          <w:u w:val="single"/>
        </w:rPr>
        <w:t>。</w:t>
      </w:r>
      <w:r>
        <w:rPr>
          <w:rFonts w:hint="eastAsia"/>
          <w:color w:val="auto"/>
          <w:szCs w:val="21"/>
          <w:highlight w:val="none"/>
          <w:u w:val="single"/>
        </w:rPr>
        <w:t>项目变更引起工作量的减少或增加，乙方不得因此拒绝施工</w:t>
      </w:r>
      <w:r>
        <w:rPr>
          <w:color w:val="auto"/>
          <w:szCs w:val="21"/>
          <w:highlight w:val="none"/>
        </w:rPr>
        <w:t>。</w:t>
      </w:r>
    </w:p>
    <w:p>
      <w:pPr>
        <w:spacing w:line="360" w:lineRule="exact"/>
        <w:ind w:firstLine="420" w:firstLineChars="200"/>
        <w:rPr>
          <w:color w:val="auto"/>
          <w:szCs w:val="21"/>
          <w:highlight w:val="none"/>
        </w:rPr>
      </w:pPr>
      <w:r>
        <w:rPr>
          <w:color w:val="auto"/>
          <w:szCs w:val="21"/>
          <w:highlight w:val="none"/>
        </w:rPr>
        <w:t>10.</w:t>
      </w:r>
      <w:r>
        <w:rPr>
          <w:rFonts w:hint="eastAsia"/>
          <w:color w:val="auto"/>
          <w:szCs w:val="21"/>
          <w:highlight w:val="none"/>
        </w:rPr>
        <w:t>2</w:t>
      </w:r>
      <w:r>
        <w:rPr>
          <w:color w:val="auto"/>
          <w:szCs w:val="21"/>
          <w:highlight w:val="none"/>
        </w:rPr>
        <w:t>变更估价</w:t>
      </w:r>
    </w:p>
    <w:p>
      <w:pPr>
        <w:spacing w:line="360" w:lineRule="exact"/>
        <w:ind w:firstLine="420" w:firstLineChars="200"/>
        <w:rPr>
          <w:color w:val="auto"/>
          <w:szCs w:val="21"/>
          <w:highlight w:val="none"/>
        </w:rPr>
      </w:pPr>
      <w:r>
        <w:rPr>
          <w:rFonts w:hint="eastAsia"/>
          <w:color w:val="auto"/>
          <w:szCs w:val="21"/>
          <w:highlight w:val="none"/>
        </w:rPr>
        <w:t>10.2.1 变更估价原则</w:t>
      </w:r>
    </w:p>
    <w:p>
      <w:pPr>
        <w:spacing w:line="360" w:lineRule="auto"/>
        <w:ind w:firstLine="315" w:firstLineChars="150"/>
        <w:jc w:val="left"/>
        <w:rPr>
          <w:color w:val="auto"/>
          <w:szCs w:val="21"/>
          <w:highlight w:val="none"/>
        </w:rPr>
      </w:pPr>
      <w:r>
        <w:rPr>
          <w:color w:val="auto"/>
          <w:szCs w:val="21"/>
          <w:highlight w:val="none"/>
        </w:rPr>
        <w:t xml:space="preserve">关于变更估价的约定: </w:t>
      </w:r>
    </w:p>
    <w:p>
      <w:pPr>
        <w:spacing w:line="360" w:lineRule="exact"/>
        <w:ind w:firstLine="420" w:firstLineChars="200"/>
        <w:rPr>
          <w:color w:val="auto"/>
          <w:szCs w:val="21"/>
          <w:highlight w:val="none"/>
          <w:u w:val="single"/>
        </w:rPr>
      </w:pPr>
      <w:r>
        <w:rPr>
          <w:rFonts w:hint="eastAsia"/>
          <w:color w:val="auto"/>
          <w:szCs w:val="21"/>
          <w:highlight w:val="none"/>
          <w:u w:val="single"/>
        </w:rPr>
        <w:t>（1）已标价工作量清单或预算书有相同项目的，按照相同项目单价认定。</w:t>
      </w:r>
    </w:p>
    <w:p>
      <w:pPr>
        <w:spacing w:line="360" w:lineRule="exact"/>
        <w:ind w:firstLine="420" w:firstLineChars="200"/>
        <w:rPr>
          <w:color w:val="auto"/>
          <w:szCs w:val="21"/>
          <w:highlight w:val="none"/>
        </w:rPr>
      </w:pPr>
      <w:r>
        <w:rPr>
          <w:rFonts w:hint="eastAsia"/>
          <w:color w:val="auto"/>
          <w:szCs w:val="21"/>
          <w:highlight w:val="none"/>
        </w:rPr>
        <w:t>10.2.2 变更估价程序</w:t>
      </w:r>
    </w:p>
    <w:p>
      <w:pPr>
        <w:spacing w:line="360" w:lineRule="exact"/>
        <w:ind w:firstLine="420" w:firstLineChars="200"/>
        <w:rPr>
          <w:color w:val="auto"/>
          <w:szCs w:val="21"/>
          <w:highlight w:val="none"/>
          <w:u w:val="single"/>
        </w:rPr>
      </w:pPr>
      <w:r>
        <w:rPr>
          <w:rFonts w:hint="eastAsia"/>
          <w:color w:val="auto"/>
          <w:szCs w:val="21"/>
          <w:highlight w:val="none"/>
          <w:u w:val="single"/>
        </w:rPr>
        <w:t>乙方收到甲方、监理人、设计单位的变更指示后14天内向甲方提交变更估价申请。</w:t>
      </w:r>
    </w:p>
    <w:p>
      <w:pPr>
        <w:spacing w:line="360" w:lineRule="exact"/>
        <w:ind w:firstLine="420" w:firstLineChars="200"/>
        <w:rPr>
          <w:color w:val="auto"/>
          <w:szCs w:val="21"/>
          <w:highlight w:val="none"/>
          <w:u w:val="single"/>
        </w:rPr>
      </w:pPr>
      <w:r>
        <w:rPr>
          <w:rFonts w:hint="eastAsia"/>
          <w:color w:val="auto"/>
          <w:szCs w:val="21"/>
          <w:highlight w:val="none"/>
          <w:u w:val="single"/>
        </w:rPr>
        <w:t>乙方提出项目变更、施工方案调整等变更应同时提交变更估价申请。</w:t>
      </w:r>
    </w:p>
    <w:p>
      <w:pPr>
        <w:spacing w:line="360" w:lineRule="exact"/>
        <w:ind w:firstLine="420" w:firstLineChars="200"/>
        <w:rPr>
          <w:color w:val="auto"/>
          <w:szCs w:val="21"/>
          <w:highlight w:val="none"/>
        </w:rPr>
      </w:pPr>
      <w:r>
        <w:rPr>
          <w:color w:val="auto"/>
          <w:szCs w:val="21"/>
          <w:highlight w:val="none"/>
        </w:rPr>
        <w:t>10.</w:t>
      </w:r>
      <w:r>
        <w:rPr>
          <w:rFonts w:hint="eastAsia"/>
          <w:color w:val="auto"/>
          <w:szCs w:val="21"/>
          <w:highlight w:val="none"/>
        </w:rPr>
        <w:t>3乙方</w:t>
      </w:r>
      <w:r>
        <w:rPr>
          <w:color w:val="auto"/>
          <w:szCs w:val="21"/>
          <w:highlight w:val="none"/>
        </w:rPr>
        <w:t>的合理化建议</w:t>
      </w:r>
    </w:p>
    <w:p>
      <w:pPr>
        <w:spacing w:line="360" w:lineRule="exact"/>
        <w:ind w:firstLine="420" w:firstLineChars="200"/>
        <w:rPr>
          <w:color w:val="auto"/>
          <w:szCs w:val="21"/>
          <w:highlight w:val="none"/>
        </w:rPr>
      </w:pPr>
      <w:r>
        <w:rPr>
          <w:color w:val="auto"/>
          <w:szCs w:val="21"/>
          <w:highlight w:val="none"/>
        </w:rPr>
        <w:t>监理人审查</w:t>
      </w:r>
      <w:r>
        <w:rPr>
          <w:rFonts w:hint="eastAsia"/>
          <w:color w:val="auto"/>
          <w:szCs w:val="21"/>
          <w:highlight w:val="none"/>
        </w:rPr>
        <w:t>乙方</w:t>
      </w:r>
      <w:r>
        <w:rPr>
          <w:color w:val="auto"/>
          <w:szCs w:val="21"/>
          <w:highlight w:val="none"/>
        </w:rPr>
        <w:t>合理化建议的期限：</w:t>
      </w:r>
      <w:r>
        <w:rPr>
          <w:rFonts w:hint="eastAsia"/>
          <w:color w:val="auto"/>
          <w:szCs w:val="21"/>
          <w:highlight w:val="none"/>
          <w:u w:val="single"/>
        </w:rPr>
        <w:t>按通用条款执行</w:t>
      </w:r>
      <w:r>
        <w:rPr>
          <w:color w:val="auto"/>
          <w:szCs w:val="21"/>
          <w:highlight w:val="none"/>
        </w:rPr>
        <w:t>。</w:t>
      </w:r>
    </w:p>
    <w:p>
      <w:pPr>
        <w:spacing w:line="360" w:lineRule="exact"/>
        <w:ind w:firstLine="420" w:firstLineChars="200"/>
        <w:rPr>
          <w:color w:val="auto"/>
          <w:szCs w:val="21"/>
          <w:highlight w:val="none"/>
        </w:rPr>
      </w:pPr>
      <w:r>
        <w:rPr>
          <w:rFonts w:hint="eastAsia"/>
          <w:color w:val="auto"/>
          <w:szCs w:val="21"/>
          <w:highlight w:val="none"/>
        </w:rPr>
        <w:t>甲方</w:t>
      </w:r>
      <w:r>
        <w:rPr>
          <w:color w:val="auto"/>
          <w:szCs w:val="21"/>
          <w:highlight w:val="none"/>
        </w:rPr>
        <w:t>审批</w:t>
      </w:r>
      <w:r>
        <w:rPr>
          <w:rFonts w:hint="eastAsia"/>
          <w:color w:val="auto"/>
          <w:szCs w:val="21"/>
          <w:highlight w:val="none"/>
        </w:rPr>
        <w:t>乙方</w:t>
      </w:r>
      <w:r>
        <w:rPr>
          <w:color w:val="auto"/>
          <w:szCs w:val="21"/>
          <w:highlight w:val="none"/>
        </w:rPr>
        <w:t>合理化建议的期限：</w:t>
      </w:r>
      <w:r>
        <w:rPr>
          <w:rFonts w:hint="eastAsia"/>
          <w:color w:val="auto"/>
          <w:szCs w:val="21"/>
          <w:highlight w:val="none"/>
          <w:u w:val="single"/>
        </w:rPr>
        <w:t>按通用条款执行</w:t>
      </w:r>
      <w:r>
        <w:rPr>
          <w:color w:val="auto"/>
          <w:szCs w:val="21"/>
          <w:highlight w:val="none"/>
        </w:rPr>
        <w:t>。</w:t>
      </w:r>
    </w:p>
    <w:p>
      <w:pPr>
        <w:spacing w:line="360" w:lineRule="exact"/>
        <w:ind w:firstLine="420" w:firstLineChars="200"/>
        <w:rPr>
          <w:color w:val="auto"/>
          <w:szCs w:val="21"/>
          <w:highlight w:val="none"/>
          <w:u w:val="single"/>
        </w:rPr>
      </w:pPr>
      <w:r>
        <w:rPr>
          <w:rFonts w:hint="eastAsia"/>
          <w:color w:val="auto"/>
          <w:szCs w:val="21"/>
          <w:highlight w:val="none"/>
        </w:rPr>
        <w:t>乙方</w:t>
      </w:r>
      <w:r>
        <w:rPr>
          <w:color w:val="auto"/>
          <w:szCs w:val="21"/>
          <w:highlight w:val="none"/>
        </w:rPr>
        <w:t>提出的合理化建议降低了合同价格或者提高了</w:t>
      </w:r>
      <w:r>
        <w:rPr>
          <w:rFonts w:hint="eastAsia"/>
          <w:color w:val="auto"/>
          <w:szCs w:val="21"/>
          <w:highlight w:val="none"/>
        </w:rPr>
        <w:t>项目</w:t>
      </w:r>
      <w:r>
        <w:rPr>
          <w:color w:val="auto"/>
          <w:szCs w:val="21"/>
          <w:highlight w:val="none"/>
        </w:rPr>
        <w:t>经济效益的奖励的方法和金额为：</w:t>
      </w:r>
      <w:r>
        <w:rPr>
          <w:rFonts w:hint="eastAsia"/>
          <w:color w:val="auto"/>
          <w:szCs w:val="21"/>
          <w:highlight w:val="none"/>
          <w:u w:val="single"/>
        </w:rPr>
        <w:t>/ 。</w:t>
      </w:r>
    </w:p>
    <w:p>
      <w:pPr>
        <w:spacing w:line="360" w:lineRule="exact"/>
        <w:ind w:firstLine="420" w:firstLineChars="200"/>
        <w:rPr>
          <w:color w:val="auto"/>
          <w:szCs w:val="21"/>
          <w:highlight w:val="none"/>
        </w:rPr>
      </w:pPr>
      <w:r>
        <w:rPr>
          <w:color w:val="auto"/>
          <w:szCs w:val="21"/>
          <w:highlight w:val="none"/>
        </w:rPr>
        <w:t>10.</w:t>
      </w:r>
      <w:r>
        <w:rPr>
          <w:rFonts w:hint="eastAsia"/>
          <w:color w:val="auto"/>
          <w:szCs w:val="21"/>
          <w:highlight w:val="none"/>
        </w:rPr>
        <w:t>4</w:t>
      </w:r>
      <w:r>
        <w:rPr>
          <w:color w:val="auto"/>
          <w:szCs w:val="21"/>
          <w:highlight w:val="none"/>
        </w:rPr>
        <w:t>暂估价</w:t>
      </w:r>
      <w:r>
        <w:rPr>
          <w:rFonts w:hint="eastAsia"/>
          <w:color w:val="auto"/>
          <w:szCs w:val="21"/>
          <w:highlight w:val="none"/>
          <w:u w:val="single"/>
        </w:rPr>
        <w:t xml:space="preserve">     /    </w:t>
      </w:r>
      <w:r>
        <w:rPr>
          <w:rFonts w:hint="eastAsia"/>
          <w:color w:val="auto"/>
          <w:szCs w:val="21"/>
          <w:highlight w:val="none"/>
        </w:rPr>
        <w:t>。</w:t>
      </w:r>
    </w:p>
    <w:p>
      <w:pPr>
        <w:spacing w:line="360" w:lineRule="exact"/>
        <w:ind w:firstLine="420" w:firstLineChars="200"/>
        <w:rPr>
          <w:color w:val="auto"/>
          <w:szCs w:val="21"/>
          <w:highlight w:val="none"/>
        </w:rPr>
      </w:pPr>
      <w:r>
        <w:rPr>
          <w:color w:val="auto"/>
          <w:szCs w:val="21"/>
          <w:highlight w:val="none"/>
        </w:rPr>
        <w:t>10.</w:t>
      </w:r>
      <w:r>
        <w:rPr>
          <w:rFonts w:hint="eastAsia"/>
          <w:color w:val="auto"/>
          <w:szCs w:val="21"/>
          <w:highlight w:val="none"/>
        </w:rPr>
        <w:t>5</w:t>
      </w:r>
      <w:r>
        <w:rPr>
          <w:color w:val="auto"/>
          <w:szCs w:val="21"/>
          <w:highlight w:val="none"/>
        </w:rPr>
        <w:t>.1 依法必须招标的暂估价项目</w:t>
      </w:r>
    </w:p>
    <w:p>
      <w:pPr>
        <w:spacing w:line="360" w:lineRule="exact"/>
        <w:ind w:firstLine="420" w:firstLineChars="200"/>
        <w:rPr>
          <w:color w:val="auto"/>
          <w:szCs w:val="21"/>
          <w:highlight w:val="none"/>
          <w:u w:val="single"/>
        </w:rPr>
      </w:pPr>
      <w:r>
        <w:rPr>
          <w:rFonts w:hint="eastAsia"/>
          <w:color w:val="auto"/>
          <w:szCs w:val="21"/>
          <w:highlight w:val="none"/>
          <w:u w:val="single"/>
        </w:rPr>
        <w:t>无承包价（暂定价）的单项材料、设备、专业分包项目估算价在30万元以上的（指可以向同一家供应商采购的同类材料总价），须由发、承包双方通过公开招标确定价格、供应商或分包人。乙方应按照施工进度计划，在招标工作启动前28天通知甲方，并提交暂估价招标方案和工作分工，招标工作接受有管辖权的建设项目招投标监督部门的监督。与组织招标工作有关的费用由甲方承担。</w:t>
      </w:r>
    </w:p>
    <w:p>
      <w:pPr>
        <w:spacing w:line="360" w:lineRule="exact"/>
        <w:ind w:firstLine="420" w:firstLineChars="200"/>
        <w:rPr>
          <w:color w:val="auto"/>
          <w:szCs w:val="21"/>
          <w:highlight w:val="none"/>
        </w:rPr>
      </w:pPr>
      <w:r>
        <w:rPr>
          <w:color w:val="auto"/>
          <w:szCs w:val="21"/>
          <w:highlight w:val="none"/>
        </w:rPr>
        <w:t>10.</w:t>
      </w:r>
      <w:r>
        <w:rPr>
          <w:rFonts w:hint="eastAsia"/>
          <w:color w:val="auto"/>
          <w:szCs w:val="21"/>
          <w:highlight w:val="none"/>
        </w:rPr>
        <w:t>5</w:t>
      </w:r>
      <w:r>
        <w:rPr>
          <w:color w:val="auto"/>
          <w:szCs w:val="21"/>
          <w:highlight w:val="none"/>
        </w:rPr>
        <w:t>.2 不属于依法必须招标的暂估价项目</w:t>
      </w:r>
    </w:p>
    <w:p>
      <w:pPr>
        <w:spacing w:line="360" w:lineRule="exact"/>
        <w:ind w:firstLine="420" w:firstLineChars="200"/>
        <w:rPr>
          <w:color w:val="auto"/>
          <w:szCs w:val="21"/>
          <w:highlight w:val="none"/>
        </w:rPr>
      </w:pPr>
      <w:r>
        <w:rPr>
          <w:rFonts w:hint="eastAsia"/>
          <w:color w:val="auto"/>
          <w:szCs w:val="21"/>
          <w:highlight w:val="none"/>
          <w:u w:val="single"/>
        </w:rPr>
        <w:t>按合同通用条款。</w:t>
      </w:r>
    </w:p>
    <w:p>
      <w:pPr>
        <w:spacing w:line="360" w:lineRule="exact"/>
        <w:ind w:firstLine="420" w:firstLineChars="200"/>
        <w:rPr>
          <w:color w:val="auto"/>
          <w:szCs w:val="21"/>
          <w:highlight w:val="none"/>
        </w:rPr>
      </w:pPr>
      <w:r>
        <w:rPr>
          <w:rFonts w:hint="eastAsia"/>
          <w:color w:val="auto"/>
          <w:szCs w:val="21"/>
          <w:highlight w:val="none"/>
        </w:rPr>
        <w:t>乙方</w:t>
      </w:r>
      <w:r>
        <w:rPr>
          <w:color w:val="auto"/>
          <w:szCs w:val="21"/>
          <w:highlight w:val="none"/>
        </w:rPr>
        <w:t>直接实施的暂估价项目的约定：</w:t>
      </w:r>
      <w:r>
        <w:rPr>
          <w:rFonts w:hint="eastAsia"/>
          <w:color w:val="auto"/>
          <w:szCs w:val="21"/>
          <w:highlight w:val="none"/>
          <w:u w:val="single"/>
        </w:rPr>
        <w:t xml:space="preserve">/     </w:t>
      </w:r>
      <w:r>
        <w:rPr>
          <w:color w:val="auto"/>
          <w:szCs w:val="21"/>
          <w:highlight w:val="none"/>
        </w:rPr>
        <w:t>。</w:t>
      </w:r>
    </w:p>
    <w:p>
      <w:pPr>
        <w:spacing w:line="360" w:lineRule="exact"/>
        <w:ind w:firstLine="420" w:firstLineChars="200"/>
        <w:rPr>
          <w:color w:val="auto"/>
          <w:szCs w:val="21"/>
          <w:highlight w:val="none"/>
        </w:rPr>
      </w:pPr>
      <w:r>
        <w:rPr>
          <w:color w:val="auto"/>
          <w:szCs w:val="21"/>
          <w:highlight w:val="none"/>
        </w:rPr>
        <w:t>10.</w:t>
      </w:r>
      <w:r>
        <w:rPr>
          <w:rFonts w:hint="eastAsia"/>
          <w:color w:val="auto"/>
          <w:szCs w:val="21"/>
          <w:highlight w:val="none"/>
        </w:rPr>
        <w:t>6</w:t>
      </w:r>
      <w:r>
        <w:rPr>
          <w:color w:val="auto"/>
          <w:szCs w:val="21"/>
          <w:highlight w:val="none"/>
        </w:rPr>
        <w:t xml:space="preserve"> 暂列金额</w:t>
      </w:r>
    </w:p>
    <w:p>
      <w:pPr>
        <w:autoSpaceDE w:val="0"/>
        <w:autoSpaceDN w:val="0"/>
        <w:adjustRightInd w:val="0"/>
        <w:spacing w:line="360" w:lineRule="exact"/>
        <w:ind w:firstLine="420" w:firstLineChars="200"/>
        <w:rPr>
          <w:color w:val="auto"/>
          <w:kern w:val="0"/>
          <w:szCs w:val="21"/>
          <w:highlight w:val="none"/>
        </w:rPr>
      </w:pPr>
      <w:r>
        <w:rPr>
          <w:rFonts w:hint="eastAsia"/>
          <w:color w:val="auto"/>
          <w:kern w:val="0"/>
          <w:szCs w:val="21"/>
          <w:highlight w:val="none"/>
        </w:rPr>
        <w:t>合同当事人关于暂列金额使用的约定：</w:t>
      </w:r>
      <w:r>
        <w:rPr>
          <w:rFonts w:hint="eastAsia"/>
          <w:color w:val="auto"/>
          <w:szCs w:val="21"/>
          <w:highlight w:val="none"/>
          <w:u w:val="single"/>
        </w:rPr>
        <w:t xml:space="preserve">/             </w:t>
      </w:r>
      <w:r>
        <w:rPr>
          <w:rFonts w:hint="eastAsia"/>
          <w:color w:val="auto"/>
          <w:kern w:val="0"/>
          <w:szCs w:val="21"/>
          <w:highlight w:val="none"/>
        </w:rPr>
        <w:t>。</w:t>
      </w:r>
    </w:p>
    <w:p>
      <w:pPr>
        <w:pStyle w:val="7"/>
        <w:tabs>
          <w:tab w:val="left" w:pos="142"/>
          <w:tab w:val="left" w:pos="993"/>
          <w:tab w:val="left" w:pos="1418"/>
          <w:tab w:val="left" w:pos="1560"/>
        </w:tabs>
        <w:spacing w:before="0" w:after="0" w:line="360" w:lineRule="exact"/>
        <w:ind w:firstLine="422" w:firstLineChars="200"/>
        <w:rPr>
          <w:rFonts w:ascii="Times New Roman" w:hAnsi="Times New Roman"/>
          <w:color w:val="auto"/>
          <w:sz w:val="21"/>
          <w:szCs w:val="21"/>
          <w:highlight w:val="none"/>
        </w:rPr>
      </w:pPr>
      <w:r>
        <w:rPr>
          <w:rFonts w:ascii="Times New Roman" w:hAnsi="Times New Roman"/>
          <w:color w:val="auto"/>
          <w:sz w:val="21"/>
          <w:szCs w:val="21"/>
          <w:highlight w:val="none"/>
        </w:rPr>
        <w:t>11. 价格调整</w:t>
      </w:r>
    </w:p>
    <w:p>
      <w:pPr>
        <w:spacing w:line="360" w:lineRule="exact"/>
        <w:ind w:firstLine="420" w:firstLineChars="200"/>
        <w:rPr>
          <w:color w:val="auto"/>
          <w:szCs w:val="21"/>
          <w:highlight w:val="none"/>
        </w:rPr>
      </w:pPr>
      <w:r>
        <w:rPr>
          <w:color w:val="auto"/>
          <w:szCs w:val="21"/>
          <w:highlight w:val="none"/>
        </w:rPr>
        <w:t>11.1 市场价格波动引起的调整</w:t>
      </w:r>
    </w:p>
    <w:p>
      <w:pPr>
        <w:spacing w:line="360" w:lineRule="exact"/>
        <w:ind w:firstLine="420" w:firstLineChars="200"/>
        <w:rPr>
          <w:color w:val="auto"/>
          <w:szCs w:val="21"/>
          <w:highlight w:val="none"/>
        </w:rPr>
      </w:pPr>
      <w:r>
        <w:rPr>
          <w:color w:val="auto"/>
          <w:kern w:val="0"/>
          <w:szCs w:val="21"/>
          <w:highlight w:val="none"/>
        </w:rPr>
        <w:t>市场价格波动是否调整合同价格的约定：</w:t>
      </w:r>
      <w:r>
        <w:rPr>
          <w:rFonts w:hint="eastAsia"/>
          <w:color w:val="auto"/>
          <w:szCs w:val="21"/>
          <w:highlight w:val="none"/>
          <w:u w:val="single"/>
        </w:rPr>
        <w:t>不调整</w:t>
      </w:r>
      <w:r>
        <w:rPr>
          <w:color w:val="auto"/>
          <w:szCs w:val="21"/>
          <w:highlight w:val="none"/>
          <w:u w:val="single"/>
        </w:rPr>
        <w:t>。</w:t>
      </w:r>
    </w:p>
    <w:p>
      <w:pPr>
        <w:pStyle w:val="7"/>
        <w:tabs>
          <w:tab w:val="left" w:pos="142"/>
          <w:tab w:val="left" w:pos="993"/>
          <w:tab w:val="left" w:pos="1418"/>
          <w:tab w:val="left" w:pos="1560"/>
        </w:tabs>
        <w:spacing w:before="0" w:after="0" w:line="360" w:lineRule="exact"/>
        <w:ind w:firstLine="422" w:firstLineChars="200"/>
        <w:rPr>
          <w:rFonts w:ascii="Times New Roman" w:hAnsi="Times New Roman"/>
          <w:color w:val="auto"/>
          <w:sz w:val="21"/>
          <w:szCs w:val="21"/>
          <w:highlight w:val="none"/>
        </w:rPr>
      </w:pPr>
      <w:r>
        <w:rPr>
          <w:rFonts w:ascii="Times New Roman" w:hAnsi="Times New Roman"/>
          <w:color w:val="auto"/>
          <w:sz w:val="21"/>
          <w:szCs w:val="21"/>
          <w:highlight w:val="none"/>
        </w:rPr>
        <w:t>12. 合同价格、计量与支付</w:t>
      </w:r>
    </w:p>
    <w:p>
      <w:pPr>
        <w:spacing w:line="360" w:lineRule="exact"/>
        <w:ind w:firstLine="420" w:firstLineChars="200"/>
        <w:rPr>
          <w:color w:val="auto"/>
          <w:szCs w:val="21"/>
          <w:highlight w:val="none"/>
        </w:rPr>
      </w:pPr>
      <w:r>
        <w:rPr>
          <w:color w:val="auto"/>
          <w:szCs w:val="21"/>
          <w:highlight w:val="none"/>
        </w:rPr>
        <w:t>12.1 合同价格形式</w:t>
      </w:r>
    </w:p>
    <w:p>
      <w:pPr>
        <w:spacing w:line="360" w:lineRule="exact"/>
        <w:ind w:firstLine="420" w:firstLineChars="200"/>
        <w:rPr>
          <w:color w:val="auto"/>
          <w:szCs w:val="21"/>
          <w:highlight w:val="none"/>
        </w:rPr>
      </w:pPr>
      <w:r>
        <w:rPr>
          <w:color w:val="auto"/>
          <w:szCs w:val="21"/>
          <w:highlight w:val="none"/>
          <w:u w:val="single"/>
        </w:rPr>
        <w:t>1</w:t>
      </w:r>
      <w:r>
        <w:rPr>
          <w:rFonts w:hint="eastAsia"/>
          <w:color w:val="auto"/>
          <w:szCs w:val="21"/>
          <w:highlight w:val="none"/>
          <w:u w:val="single"/>
        </w:rPr>
        <w:t>）</w:t>
      </w:r>
      <w:r>
        <w:rPr>
          <w:color w:val="auto"/>
          <w:szCs w:val="21"/>
          <w:highlight w:val="none"/>
          <w:u w:val="single"/>
        </w:rPr>
        <w:t>、</w:t>
      </w:r>
      <w:r>
        <w:rPr>
          <w:rFonts w:hint="eastAsia"/>
          <w:color w:val="auto"/>
          <w:szCs w:val="21"/>
          <w:highlight w:val="none"/>
          <w:u w:val="single"/>
        </w:rPr>
        <w:t>结算方式：</w:t>
      </w:r>
    </w:p>
    <w:p>
      <w:pPr>
        <w:pStyle w:val="12"/>
        <w:widowControl/>
        <w:adjustRightInd w:val="0"/>
        <w:spacing w:line="380" w:lineRule="exact"/>
        <w:rPr>
          <w:rFonts w:hint="eastAsia" w:hAnsi="宋体" w:eastAsia="宋体"/>
          <w:color w:val="auto"/>
          <w:sz w:val="24"/>
          <w:highlight w:val="none"/>
          <w:u w:val="single"/>
          <w:lang w:eastAsia="zh-CN"/>
        </w:rPr>
      </w:pPr>
      <w:r>
        <w:rPr>
          <w:rFonts w:hint="eastAsia" w:hAnsi="宋体"/>
          <w:color w:val="auto"/>
          <w:kern w:val="0"/>
          <w:szCs w:val="21"/>
          <w:highlight w:val="none"/>
        </w:rPr>
        <w:t xml:space="preserve">    以实际发生工作量结算，结算金额不超过本项目预算</w:t>
      </w:r>
      <w:r>
        <w:rPr>
          <w:rFonts w:hint="eastAsia" w:hAnsi="宋体"/>
          <w:color w:val="auto"/>
          <w:kern w:val="0"/>
          <w:szCs w:val="21"/>
          <w:highlight w:val="none"/>
          <w:lang w:eastAsia="zh-CN"/>
        </w:rPr>
        <w:t>。（</w:t>
      </w:r>
      <w:r>
        <w:rPr>
          <w:rFonts w:hint="eastAsia" w:hAnsi="宋体"/>
          <w:color w:val="auto"/>
          <w:kern w:val="0"/>
          <w:szCs w:val="21"/>
          <w:highlight w:val="none"/>
          <w:lang w:val="en-US" w:eastAsia="zh-CN"/>
        </w:rPr>
        <w:t>600万元</w:t>
      </w:r>
      <w:r>
        <w:rPr>
          <w:rFonts w:hint="eastAsia" w:hAnsi="宋体"/>
          <w:color w:val="auto"/>
          <w:kern w:val="0"/>
          <w:szCs w:val="21"/>
          <w:highlight w:val="none"/>
          <w:lang w:eastAsia="zh-CN"/>
        </w:rPr>
        <w:t>）</w:t>
      </w:r>
    </w:p>
    <w:p>
      <w:pPr>
        <w:autoSpaceDE w:val="0"/>
        <w:autoSpaceDN w:val="0"/>
        <w:spacing w:line="360" w:lineRule="exact"/>
        <w:ind w:firstLine="420" w:firstLineChars="200"/>
        <w:rPr>
          <w:color w:val="auto"/>
          <w:szCs w:val="21"/>
          <w:highlight w:val="none"/>
          <w:u w:val="single"/>
        </w:rPr>
      </w:pPr>
      <w:r>
        <w:rPr>
          <w:rFonts w:hint="eastAsia"/>
          <w:color w:val="auto"/>
          <w:szCs w:val="21"/>
          <w:highlight w:val="none"/>
          <w:u w:val="single"/>
        </w:rPr>
        <w:t>2）其他可能发生的费用：</w:t>
      </w:r>
    </w:p>
    <w:p>
      <w:pPr>
        <w:autoSpaceDE w:val="0"/>
        <w:autoSpaceDN w:val="0"/>
        <w:spacing w:line="360" w:lineRule="exact"/>
        <w:ind w:firstLine="420" w:firstLineChars="200"/>
        <w:rPr>
          <w:color w:val="auto"/>
          <w:szCs w:val="21"/>
          <w:highlight w:val="none"/>
          <w:u w:val="single"/>
        </w:rPr>
      </w:pPr>
      <w:r>
        <w:rPr>
          <w:rFonts w:hint="eastAsia"/>
          <w:color w:val="auto"/>
          <w:szCs w:val="21"/>
          <w:highlight w:val="none"/>
          <w:u w:val="single"/>
        </w:rPr>
        <w:t>a.因施工噪音、物体坠落、材料抛散而扰民及影响环境卫生、现场文明和施工安全等问题而产生的费用，由乙方自行解决。因此，造成工期延长由乙方负责。如给甲方另行造成额外的经济损失，甲方可从乙方的项目款中扣回。</w:t>
      </w:r>
    </w:p>
    <w:p>
      <w:pPr>
        <w:spacing w:line="360" w:lineRule="exact"/>
        <w:ind w:firstLine="420" w:firstLineChars="200"/>
        <w:rPr>
          <w:color w:val="auto"/>
          <w:szCs w:val="21"/>
          <w:highlight w:val="none"/>
        </w:rPr>
      </w:pPr>
      <w:r>
        <w:rPr>
          <w:color w:val="auto"/>
          <w:szCs w:val="21"/>
          <w:highlight w:val="none"/>
        </w:rPr>
        <w:t>风险费用的计算方法：</w:t>
      </w:r>
      <w:r>
        <w:rPr>
          <w:rFonts w:hint="eastAsia"/>
          <w:color w:val="auto"/>
          <w:szCs w:val="21"/>
          <w:highlight w:val="none"/>
          <w:u w:val="single"/>
        </w:rPr>
        <w:t>已包含在合同价内</w:t>
      </w:r>
      <w:r>
        <w:rPr>
          <w:color w:val="auto"/>
          <w:szCs w:val="21"/>
          <w:highlight w:val="none"/>
        </w:rPr>
        <w:t>。</w:t>
      </w:r>
    </w:p>
    <w:p>
      <w:pPr>
        <w:spacing w:line="360" w:lineRule="exact"/>
        <w:ind w:firstLine="420" w:firstLineChars="200"/>
        <w:rPr>
          <w:color w:val="auto"/>
          <w:szCs w:val="21"/>
          <w:highlight w:val="none"/>
        </w:rPr>
      </w:pPr>
      <w:r>
        <w:rPr>
          <w:color w:val="auto"/>
          <w:szCs w:val="21"/>
          <w:highlight w:val="none"/>
        </w:rPr>
        <w:t>风险范围以外合同价格的调整方法：</w:t>
      </w:r>
    </w:p>
    <w:p>
      <w:pPr>
        <w:autoSpaceDE w:val="0"/>
        <w:autoSpaceDN w:val="0"/>
        <w:spacing w:line="360" w:lineRule="exact"/>
        <w:ind w:firstLine="420" w:firstLineChars="200"/>
        <w:rPr>
          <w:color w:val="auto"/>
          <w:szCs w:val="21"/>
          <w:highlight w:val="none"/>
          <w:u w:val="single"/>
        </w:rPr>
      </w:pPr>
      <w:r>
        <w:rPr>
          <w:rFonts w:hint="eastAsia"/>
          <w:color w:val="auto"/>
          <w:szCs w:val="21"/>
          <w:highlight w:val="none"/>
          <w:u w:val="single"/>
          <w:lang w:val="zh-CN"/>
        </w:rPr>
        <w:t>1）</w:t>
      </w:r>
      <w:r>
        <w:rPr>
          <w:rFonts w:hint="eastAsia"/>
          <w:color w:val="auto"/>
          <w:szCs w:val="21"/>
          <w:highlight w:val="none"/>
          <w:u w:val="single"/>
        </w:rPr>
        <w:t>项目量按照《市政工程工程量计算规范》（GB 50857-2013）、《建设工程工程量计算规范（2013）浙江省补充规定》（浙建站计〔2013〕63号）、《交通建设工程工程量清单计价规范</w:t>
      </w:r>
      <w:r>
        <w:rPr>
          <w:rFonts w:hint="eastAsia" w:ascii="宋体" w:hAnsi="宋体"/>
          <w:color w:val="auto"/>
          <w:szCs w:val="21"/>
          <w:highlight w:val="none"/>
          <w:u w:val="single"/>
        </w:rPr>
        <w:t>第1部分 公路工程(DB33T628.1-2007</w:t>
      </w:r>
      <w:r>
        <w:rPr>
          <w:rFonts w:hint="eastAsia"/>
          <w:color w:val="auto"/>
          <w:szCs w:val="21"/>
          <w:highlight w:val="none"/>
          <w:u w:val="single"/>
        </w:rPr>
        <w:t>》及甲方提供的工作量清单中说明的工作量计算规则计算，由乙方计量、甲方及有关部门审核。</w:t>
      </w:r>
    </w:p>
    <w:p>
      <w:pPr>
        <w:autoSpaceDE w:val="0"/>
        <w:autoSpaceDN w:val="0"/>
        <w:spacing w:line="360" w:lineRule="exact"/>
        <w:ind w:firstLine="420" w:firstLineChars="200"/>
        <w:rPr>
          <w:color w:val="auto"/>
          <w:szCs w:val="21"/>
          <w:highlight w:val="none"/>
          <w:u w:val="single"/>
          <w:lang w:val="zh-CN"/>
        </w:rPr>
      </w:pPr>
      <w:r>
        <w:rPr>
          <w:rFonts w:hint="eastAsia"/>
          <w:color w:val="auto"/>
          <w:szCs w:val="21"/>
          <w:highlight w:val="none"/>
          <w:u w:val="single"/>
        </w:rPr>
        <w:t>2）</w:t>
      </w:r>
      <w:r>
        <w:rPr>
          <w:color w:val="auto"/>
          <w:kern w:val="0"/>
          <w:szCs w:val="21"/>
          <w:highlight w:val="none"/>
          <w:u w:val="single"/>
        </w:rPr>
        <w:t>因市场价格波动引起的调整</w:t>
      </w:r>
      <w:r>
        <w:rPr>
          <w:rFonts w:hint="eastAsia"/>
          <w:color w:val="auto"/>
          <w:kern w:val="0"/>
          <w:szCs w:val="21"/>
          <w:highlight w:val="none"/>
          <w:u w:val="single"/>
        </w:rPr>
        <w:t>按</w:t>
      </w:r>
      <w:r>
        <w:rPr>
          <w:rFonts w:hint="eastAsia"/>
          <w:color w:val="auto"/>
          <w:szCs w:val="21"/>
          <w:highlight w:val="none"/>
          <w:u w:val="single"/>
        </w:rPr>
        <w:t>本合同专用条款第11.1款的约定调整。</w:t>
      </w:r>
    </w:p>
    <w:p>
      <w:pPr>
        <w:autoSpaceDE w:val="0"/>
        <w:autoSpaceDN w:val="0"/>
        <w:spacing w:line="360" w:lineRule="exact"/>
        <w:ind w:firstLine="420" w:firstLineChars="200"/>
        <w:rPr>
          <w:color w:val="auto"/>
          <w:szCs w:val="21"/>
          <w:highlight w:val="none"/>
          <w:u w:val="single"/>
          <w:lang w:val="zh-CN"/>
        </w:rPr>
      </w:pPr>
      <w:r>
        <w:rPr>
          <w:rFonts w:hint="eastAsia"/>
          <w:color w:val="auto"/>
          <w:szCs w:val="21"/>
          <w:highlight w:val="none"/>
          <w:u w:val="single"/>
          <w:lang w:val="zh-CN"/>
        </w:rPr>
        <w:t>3）甲方提供的</w:t>
      </w:r>
      <w:r>
        <w:rPr>
          <w:rFonts w:hint="eastAsia"/>
          <w:color w:val="auto"/>
          <w:szCs w:val="21"/>
          <w:highlight w:val="none"/>
          <w:u w:val="single"/>
        </w:rPr>
        <w:t>工作</w:t>
      </w:r>
      <w:r>
        <w:rPr>
          <w:rFonts w:hint="eastAsia"/>
          <w:color w:val="auto"/>
          <w:szCs w:val="21"/>
          <w:highlight w:val="none"/>
          <w:u w:val="single"/>
          <w:lang w:val="zh-CN"/>
        </w:rPr>
        <w:t>量清单项目漏项、项目变更引起的新增项目、</w:t>
      </w:r>
      <w:r>
        <w:rPr>
          <w:rFonts w:hint="eastAsia"/>
          <w:color w:val="auto"/>
          <w:szCs w:val="21"/>
          <w:highlight w:val="none"/>
          <w:u w:val="single"/>
        </w:rPr>
        <w:t>工作</w:t>
      </w:r>
      <w:r>
        <w:rPr>
          <w:rFonts w:hint="eastAsia"/>
          <w:color w:val="auto"/>
          <w:szCs w:val="21"/>
          <w:highlight w:val="none"/>
          <w:u w:val="single"/>
          <w:lang w:val="zh-CN"/>
        </w:rPr>
        <w:t>量清单局部变更，</w:t>
      </w:r>
      <w:r>
        <w:rPr>
          <w:rFonts w:hint="eastAsia"/>
          <w:color w:val="auto"/>
          <w:szCs w:val="21"/>
          <w:highlight w:val="none"/>
          <w:u w:val="single"/>
        </w:rPr>
        <w:t>与已标价工作量清单项目不同或相类似项目，</w:t>
      </w:r>
      <w:r>
        <w:rPr>
          <w:rFonts w:hint="eastAsia"/>
          <w:color w:val="auto"/>
          <w:szCs w:val="21"/>
          <w:highlight w:val="none"/>
          <w:u w:val="single"/>
          <w:lang w:val="zh-CN"/>
        </w:rPr>
        <w:t>其每项单价的确定方法</w:t>
      </w:r>
      <w:r>
        <w:rPr>
          <w:rFonts w:hint="eastAsia"/>
          <w:color w:val="auto"/>
          <w:szCs w:val="21"/>
          <w:highlight w:val="none"/>
          <w:u w:val="single"/>
        </w:rPr>
        <w:t>按本合同专用条款12.1.1）款约定执行。</w:t>
      </w:r>
    </w:p>
    <w:p>
      <w:pPr>
        <w:spacing w:line="360" w:lineRule="exact"/>
        <w:ind w:firstLine="420" w:firstLineChars="200"/>
        <w:rPr>
          <w:color w:val="auto"/>
          <w:szCs w:val="21"/>
          <w:highlight w:val="none"/>
        </w:rPr>
      </w:pPr>
      <w:r>
        <w:rPr>
          <w:color w:val="auto"/>
          <w:szCs w:val="21"/>
          <w:highlight w:val="none"/>
        </w:rPr>
        <w:t>12.2 预付款</w:t>
      </w:r>
    </w:p>
    <w:p>
      <w:pPr>
        <w:spacing w:line="360" w:lineRule="exact"/>
        <w:ind w:firstLine="420" w:firstLineChars="200"/>
        <w:rPr>
          <w:color w:val="auto"/>
          <w:szCs w:val="21"/>
          <w:highlight w:val="none"/>
        </w:rPr>
      </w:pPr>
      <w:r>
        <w:rPr>
          <w:color w:val="auto"/>
          <w:szCs w:val="21"/>
          <w:highlight w:val="none"/>
        </w:rPr>
        <w:t>12.2.1 预付款的支付</w:t>
      </w:r>
    </w:p>
    <w:p>
      <w:pPr>
        <w:spacing w:line="360" w:lineRule="exact"/>
        <w:ind w:firstLine="420" w:firstLineChars="200"/>
        <w:rPr>
          <w:i/>
          <w:color w:val="auto"/>
          <w:szCs w:val="21"/>
          <w:highlight w:val="none"/>
          <w:u w:val="single"/>
        </w:rPr>
      </w:pPr>
      <w:r>
        <w:rPr>
          <w:color w:val="auto"/>
          <w:szCs w:val="21"/>
          <w:highlight w:val="none"/>
        </w:rPr>
        <w:t>预付款支付比例或金额：</w:t>
      </w:r>
      <w:r>
        <w:rPr>
          <w:rFonts w:hint="eastAsia"/>
          <w:color w:val="auto"/>
          <w:szCs w:val="21"/>
          <w:highlight w:val="none"/>
          <w:u w:val="single"/>
        </w:rPr>
        <w:t>合同签订，乙方提供发票后7个工作日内，支付合同总额的40%作为预付款</w:t>
      </w:r>
      <w:r>
        <w:rPr>
          <w:i/>
          <w:color w:val="auto"/>
          <w:szCs w:val="21"/>
          <w:highlight w:val="none"/>
          <w:u w:val="single"/>
        </w:rPr>
        <w:t>。</w:t>
      </w:r>
    </w:p>
    <w:p>
      <w:pPr>
        <w:spacing w:line="360" w:lineRule="exact"/>
        <w:ind w:firstLine="420" w:firstLineChars="200"/>
        <w:rPr>
          <w:color w:val="auto"/>
          <w:szCs w:val="21"/>
          <w:highlight w:val="none"/>
        </w:rPr>
      </w:pPr>
      <w:r>
        <w:rPr>
          <w:color w:val="auto"/>
          <w:szCs w:val="21"/>
          <w:highlight w:val="none"/>
        </w:rPr>
        <w:t>12.3 计量</w:t>
      </w:r>
    </w:p>
    <w:p>
      <w:pPr>
        <w:spacing w:line="360" w:lineRule="exact"/>
        <w:ind w:firstLine="420" w:firstLineChars="200"/>
        <w:rPr>
          <w:color w:val="auto"/>
          <w:szCs w:val="21"/>
          <w:highlight w:val="none"/>
        </w:rPr>
      </w:pPr>
      <w:r>
        <w:rPr>
          <w:color w:val="auto"/>
          <w:szCs w:val="21"/>
          <w:highlight w:val="none"/>
        </w:rPr>
        <w:t>12.3.1 计量原则</w:t>
      </w:r>
    </w:p>
    <w:p>
      <w:pPr>
        <w:spacing w:line="360" w:lineRule="exact"/>
        <w:ind w:firstLine="420" w:firstLineChars="200"/>
        <w:rPr>
          <w:color w:val="auto"/>
          <w:szCs w:val="21"/>
          <w:highlight w:val="none"/>
          <w:u w:val="single"/>
        </w:rPr>
      </w:pPr>
      <w:r>
        <w:rPr>
          <w:rFonts w:hint="eastAsia"/>
          <w:color w:val="auto"/>
          <w:szCs w:val="21"/>
          <w:highlight w:val="none"/>
          <w:u w:val="single"/>
        </w:rPr>
        <w:t>工作量计算按照实际已完成的工作量及经甲方同意增加的施工内容按实计算。</w:t>
      </w:r>
    </w:p>
    <w:p>
      <w:pPr>
        <w:spacing w:line="360" w:lineRule="exact"/>
        <w:ind w:firstLine="420" w:firstLineChars="200"/>
        <w:rPr>
          <w:color w:val="auto"/>
          <w:szCs w:val="21"/>
          <w:highlight w:val="none"/>
        </w:rPr>
      </w:pPr>
      <w:r>
        <w:rPr>
          <w:rFonts w:hint="eastAsia"/>
          <w:color w:val="auto"/>
          <w:szCs w:val="21"/>
          <w:highlight w:val="none"/>
        </w:rPr>
        <w:t>12</w:t>
      </w:r>
      <w:r>
        <w:rPr>
          <w:color w:val="auto"/>
          <w:szCs w:val="21"/>
          <w:highlight w:val="none"/>
        </w:rPr>
        <w:t>.3.</w:t>
      </w:r>
      <w:r>
        <w:rPr>
          <w:rFonts w:hint="eastAsia"/>
          <w:color w:val="auto"/>
          <w:szCs w:val="21"/>
          <w:highlight w:val="none"/>
        </w:rPr>
        <w:t>2</w:t>
      </w:r>
      <w:r>
        <w:rPr>
          <w:color w:val="auto"/>
          <w:szCs w:val="21"/>
          <w:highlight w:val="none"/>
        </w:rPr>
        <w:t xml:space="preserve"> 单价合同的计量</w:t>
      </w:r>
    </w:p>
    <w:p>
      <w:pPr>
        <w:spacing w:line="360" w:lineRule="exact"/>
        <w:ind w:firstLine="420" w:firstLineChars="200"/>
        <w:rPr>
          <w:color w:val="auto"/>
          <w:szCs w:val="21"/>
          <w:highlight w:val="none"/>
        </w:rPr>
      </w:pPr>
      <w:r>
        <w:rPr>
          <w:color w:val="auto"/>
          <w:szCs w:val="21"/>
          <w:highlight w:val="none"/>
        </w:rPr>
        <w:t>关于单价合同计量的约定：</w:t>
      </w:r>
      <w:r>
        <w:rPr>
          <w:rFonts w:hint="eastAsia"/>
          <w:color w:val="auto"/>
          <w:szCs w:val="21"/>
          <w:highlight w:val="none"/>
          <w:u w:val="single"/>
        </w:rPr>
        <w:t>按合同通用条款执行，但确认的工作量和单价仅作为本期工程款支付的依据</w:t>
      </w:r>
      <w:r>
        <w:rPr>
          <w:color w:val="auto"/>
          <w:szCs w:val="21"/>
          <w:highlight w:val="none"/>
          <w:u w:val="single"/>
        </w:rPr>
        <w:t>。</w:t>
      </w:r>
    </w:p>
    <w:p>
      <w:pPr>
        <w:spacing w:line="360" w:lineRule="exact"/>
        <w:ind w:firstLine="420" w:firstLineChars="200"/>
        <w:rPr>
          <w:color w:val="auto"/>
          <w:szCs w:val="21"/>
          <w:highlight w:val="none"/>
        </w:rPr>
      </w:pPr>
      <w:r>
        <w:rPr>
          <w:color w:val="auto"/>
          <w:szCs w:val="21"/>
          <w:highlight w:val="none"/>
        </w:rPr>
        <w:t xml:space="preserve">12.4 </w:t>
      </w:r>
      <w:r>
        <w:rPr>
          <w:rFonts w:hint="eastAsia"/>
          <w:color w:val="auto"/>
          <w:szCs w:val="21"/>
          <w:highlight w:val="none"/>
        </w:rPr>
        <w:t>项目</w:t>
      </w:r>
      <w:r>
        <w:rPr>
          <w:color w:val="auto"/>
          <w:szCs w:val="21"/>
          <w:highlight w:val="none"/>
        </w:rPr>
        <w:t>进度款支付</w:t>
      </w:r>
    </w:p>
    <w:p>
      <w:pPr>
        <w:spacing w:line="360" w:lineRule="exact"/>
        <w:ind w:firstLine="420" w:firstLineChars="200"/>
        <w:rPr>
          <w:color w:val="auto"/>
          <w:szCs w:val="21"/>
          <w:highlight w:val="none"/>
        </w:rPr>
      </w:pPr>
      <w:r>
        <w:rPr>
          <w:color w:val="auto"/>
          <w:szCs w:val="21"/>
          <w:highlight w:val="none"/>
        </w:rPr>
        <w:t>12.4.1 付款周期</w:t>
      </w:r>
    </w:p>
    <w:p>
      <w:pPr>
        <w:spacing w:line="360" w:lineRule="exact"/>
        <w:ind w:firstLine="420" w:firstLineChars="200"/>
        <w:rPr>
          <w:color w:val="auto"/>
          <w:szCs w:val="21"/>
          <w:highlight w:val="none"/>
        </w:rPr>
      </w:pPr>
      <w:r>
        <w:rPr>
          <w:color w:val="auto"/>
          <w:szCs w:val="21"/>
          <w:highlight w:val="none"/>
        </w:rPr>
        <w:t>关于付款周期的约定：</w:t>
      </w:r>
      <w:r>
        <w:rPr>
          <w:rFonts w:hint="eastAsia"/>
          <w:color w:val="auto"/>
          <w:szCs w:val="21"/>
          <w:highlight w:val="none"/>
        </w:rPr>
        <w:t>合同签订后120天内完成项目，通过初验</w:t>
      </w:r>
      <w:r>
        <w:rPr>
          <w:rFonts w:hint="eastAsia"/>
          <w:color w:val="auto"/>
          <w:szCs w:val="21"/>
          <w:highlight w:val="none"/>
          <w:lang w:eastAsia="zh-CN"/>
        </w:rPr>
        <w:t>乙方</w:t>
      </w:r>
      <w:r>
        <w:rPr>
          <w:rFonts w:hint="eastAsia"/>
          <w:color w:val="auto"/>
          <w:szCs w:val="21"/>
          <w:highlight w:val="none"/>
        </w:rPr>
        <w:t>提供发票后7个工作日内支付至实际工程量结算金额的80%，项目整体竣工验收合格并经审核结束，</w:t>
      </w:r>
      <w:r>
        <w:rPr>
          <w:rFonts w:hint="eastAsia"/>
          <w:color w:val="auto"/>
          <w:szCs w:val="21"/>
          <w:highlight w:val="none"/>
          <w:lang w:eastAsia="zh-CN"/>
        </w:rPr>
        <w:t>乙方</w:t>
      </w:r>
      <w:r>
        <w:rPr>
          <w:rFonts w:hint="eastAsia"/>
          <w:color w:val="auto"/>
          <w:szCs w:val="21"/>
          <w:highlight w:val="none"/>
        </w:rPr>
        <w:t>提供发票后7个工作日内支付剩余结算金额；</w:t>
      </w:r>
    </w:p>
    <w:p>
      <w:pPr>
        <w:spacing w:line="360" w:lineRule="exact"/>
        <w:ind w:firstLine="420" w:firstLineChars="200"/>
        <w:rPr>
          <w:color w:val="auto"/>
          <w:szCs w:val="21"/>
          <w:highlight w:val="none"/>
        </w:rPr>
      </w:pPr>
      <w:r>
        <w:rPr>
          <w:color w:val="auto"/>
          <w:szCs w:val="21"/>
          <w:highlight w:val="none"/>
        </w:rPr>
        <w:t>12.4.</w:t>
      </w:r>
      <w:r>
        <w:rPr>
          <w:rFonts w:hint="eastAsia"/>
          <w:color w:val="auto"/>
          <w:szCs w:val="21"/>
          <w:highlight w:val="none"/>
        </w:rPr>
        <w:t>2</w:t>
      </w:r>
      <w:r>
        <w:rPr>
          <w:color w:val="auto"/>
          <w:szCs w:val="21"/>
          <w:highlight w:val="none"/>
        </w:rPr>
        <w:t xml:space="preserve"> 进度付款申请单的提交</w:t>
      </w:r>
    </w:p>
    <w:p>
      <w:pPr>
        <w:spacing w:line="360" w:lineRule="exact"/>
        <w:ind w:firstLine="420" w:firstLineChars="200"/>
        <w:rPr>
          <w:color w:val="auto"/>
          <w:szCs w:val="21"/>
          <w:highlight w:val="none"/>
        </w:rPr>
      </w:pPr>
      <w:r>
        <w:rPr>
          <w:color w:val="auto"/>
          <w:szCs w:val="21"/>
          <w:highlight w:val="none"/>
        </w:rPr>
        <w:t>（1）单价合同进度付款申请单提交的约定</w:t>
      </w:r>
      <w:r>
        <w:rPr>
          <w:rFonts w:hint="eastAsia"/>
          <w:color w:val="auto"/>
          <w:szCs w:val="21"/>
          <w:highlight w:val="none"/>
        </w:rPr>
        <w:t>：</w:t>
      </w:r>
      <w:r>
        <w:rPr>
          <w:rFonts w:hint="eastAsia"/>
          <w:color w:val="auto"/>
          <w:szCs w:val="21"/>
          <w:highlight w:val="none"/>
          <w:u w:val="single"/>
        </w:rPr>
        <w:t>按合同通用条款</w:t>
      </w:r>
      <w:r>
        <w:rPr>
          <w:color w:val="auto"/>
          <w:szCs w:val="21"/>
          <w:highlight w:val="none"/>
          <w:u w:val="single"/>
        </w:rPr>
        <w:t>。</w:t>
      </w:r>
    </w:p>
    <w:p>
      <w:pPr>
        <w:spacing w:line="360" w:lineRule="exact"/>
        <w:ind w:firstLine="420" w:firstLineChars="200"/>
        <w:rPr>
          <w:color w:val="auto"/>
          <w:szCs w:val="21"/>
          <w:highlight w:val="none"/>
        </w:rPr>
      </w:pPr>
      <w:r>
        <w:rPr>
          <w:color w:val="auto"/>
          <w:szCs w:val="21"/>
          <w:highlight w:val="none"/>
        </w:rPr>
        <w:t>（2）总价合同进度付款申请单提交的约定</w:t>
      </w:r>
      <w:r>
        <w:rPr>
          <w:rFonts w:hint="eastAsia"/>
          <w:color w:val="auto"/>
          <w:szCs w:val="21"/>
          <w:highlight w:val="none"/>
        </w:rPr>
        <w:t>：</w:t>
      </w:r>
      <w:r>
        <w:rPr>
          <w:rFonts w:hint="eastAsia"/>
          <w:color w:val="auto"/>
          <w:szCs w:val="21"/>
          <w:highlight w:val="none"/>
          <w:u w:val="single"/>
        </w:rPr>
        <w:t>/</w:t>
      </w:r>
      <w:r>
        <w:rPr>
          <w:color w:val="auto"/>
          <w:szCs w:val="21"/>
          <w:highlight w:val="none"/>
        </w:rPr>
        <w:t>。</w:t>
      </w:r>
    </w:p>
    <w:p>
      <w:pPr>
        <w:spacing w:line="360" w:lineRule="exact"/>
        <w:ind w:firstLine="420" w:firstLineChars="200"/>
        <w:rPr>
          <w:color w:val="auto"/>
          <w:szCs w:val="21"/>
          <w:highlight w:val="none"/>
        </w:rPr>
      </w:pPr>
      <w:r>
        <w:rPr>
          <w:color w:val="auto"/>
          <w:szCs w:val="21"/>
          <w:highlight w:val="none"/>
        </w:rPr>
        <w:t>12.4.</w:t>
      </w:r>
      <w:r>
        <w:rPr>
          <w:rFonts w:hint="eastAsia"/>
          <w:color w:val="auto"/>
          <w:szCs w:val="21"/>
          <w:highlight w:val="none"/>
        </w:rPr>
        <w:t>3</w:t>
      </w:r>
      <w:r>
        <w:rPr>
          <w:color w:val="auto"/>
          <w:szCs w:val="21"/>
          <w:highlight w:val="none"/>
        </w:rPr>
        <w:t>进度款审核和支付</w:t>
      </w:r>
    </w:p>
    <w:p>
      <w:pPr>
        <w:spacing w:line="360" w:lineRule="exact"/>
        <w:ind w:firstLine="420" w:firstLineChars="200"/>
        <w:rPr>
          <w:color w:val="auto"/>
          <w:szCs w:val="21"/>
          <w:highlight w:val="none"/>
        </w:rPr>
      </w:pPr>
      <w:r>
        <w:rPr>
          <w:color w:val="auto"/>
          <w:szCs w:val="21"/>
          <w:highlight w:val="none"/>
        </w:rPr>
        <w:t>（1）</w:t>
      </w:r>
      <w:r>
        <w:rPr>
          <w:rFonts w:hint="eastAsia"/>
          <w:color w:val="auto"/>
          <w:szCs w:val="21"/>
          <w:highlight w:val="none"/>
        </w:rPr>
        <w:t>甲方</w:t>
      </w:r>
      <w:r>
        <w:rPr>
          <w:color w:val="auto"/>
          <w:szCs w:val="21"/>
          <w:highlight w:val="none"/>
        </w:rPr>
        <w:t>完成审批并签发进度款支付证书的期限：</w:t>
      </w:r>
      <w:r>
        <w:rPr>
          <w:rFonts w:hint="eastAsia"/>
          <w:color w:val="auto"/>
          <w:szCs w:val="21"/>
          <w:highlight w:val="none"/>
          <w:u w:val="single"/>
        </w:rPr>
        <w:t>按合同通用条款</w:t>
      </w:r>
      <w:r>
        <w:rPr>
          <w:color w:val="auto"/>
          <w:szCs w:val="21"/>
          <w:highlight w:val="none"/>
          <w:u w:val="single"/>
        </w:rPr>
        <w:t>。</w:t>
      </w:r>
    </w:p>
    <w:p>
      <w:pPr>
        <w:spacing w:line="360" w:lineRule="exact"/>
        <w:ind w:firstLine="420" w:firstLineChars="200"/>
        <w:rPr>
          <w:color w:val="auto"/>
          <w:szCs w:val="21"/>
          <w:highlight w:val="none"/>
          <w:u w:val="single"/>
        </w:rPr>
      </w:pPr>
      <w:r>
        <w:rPr>
          <w:color w:val="auto"/>
          <w:szCs w:val="21"/>
          <w:highlight w:val="none"/>
        </w:rPr>
        <w:t>（2）</w:t>
      </w:r>
      <w:r>
        <w:rPr>
          <w:rFonts w:hint="eastAsia"/>
          <w:color w:val="auto"/>
          <w:szCs w:val="21"/>
          <w:highlight w:val="none"/>
        </w:rPr>
        <w:t>甲方</w:t>
      </w:r>
      <w:r>
        <w:rPr>
          <w:color w:val="auto"/>
          <w:szCs w:val="21"/>
          <w:highlight w:val="none"/>
        </w:rPr>
        <w:t>支付进度款的期限：</w:t>
      </w:r>
      <w:r>
        <w:rPr>
          <w:rFonts w:hint="eastAsia"/>
          <w:color w:val="auto"/>
          <w:szCs w:val="21"/>
          <w:highlight w:val="none"/>
          <w:u w:val="single"/>
        </w:rPr>
        <w:t>在甲方确认计量结果后14天内完成支付</w:t>
      </w:r>
      <w:r>
        <w:rPr>
          <w:color w:val="auto"/>
          <w:szCs w:val="21"/>
          <w:highlight w:val="none"/>
          <w:u w:val="single"/>
        </w:rPr>
        <w:t>。</w:t>
      </w:r>
    </w:p>
    <w:p>
      <w:pPr>
        <w:spacing w:line="360" w:lineRule="exact"/>
        <w:ind w:firstLine="420" w:firstLineChars="200"/>
        <w:rPr>
          <w:color w:val="auto"/>
          <w:szCs w:val="21"/>
          <w:highlight w:val="none"/>
        </w:rPr>
      </w:pPr>
      <w:r>
        <w:rPr>
          <w:rFonts w:hint="eastAsia"/>
          <w:color w:val="auto"/>
          <w:szCs w:val="21"/>
          <w:highlight w:val="none"/>
        </w:rPr>
        <w:t>甲方</w:t>
      </w:r>
      <w:r>
        <w:rPr>
          <w:color w:val="auto"/>
          <w:szCs w:val="21"/>
          <w:highlight w:val="none"/>
        </w:rPr>
        <w:t>逾期支付进度款的违约金的计算方式：</w:t>
      </w:r>
      <w:r>
        <w:rPr>
          <w:color w:val="auto"/>
          <w:szCs w:val="21"/>
          <w:highlight w:val="none"/>
          <w:u w:val="single"/>
        </w:rPr>
        <w:t>甲方无故逾期验收和办理货款支付手续的,甲方应按逾期付款</w:t>
      </w:r>
      <w:r>
        <w:rPr>
          <w:rFonts w:hint="eastAsia"/>
          <w:color w:val="auto"/>
          <w:szCs w:val="21"/>
          <w:highlight w:val="none"/>
          <w:u w:val="single"/>
        </w:rPr>
        <w:t>金</w:t>
      </w:r>
      <w:r>
        <w:rPr>
          <w:color w:val="auto"/>
          <w:szCs w:val="21"/>
          <w:highlight w:val="none"/>
          <w:u w:val="single"/>
        </w:rPr>
        <w:t>额万分之五</w:t>
      </w:r>
      <w:r>
        <w:rPr>
          <w:rFonts w:hint="eastAsia"/>
          <w:color w:val="auto"/>
          <w:szCs w:val="21"/>
          <w:highlight w:val="none"/>
          <w:u w:val="single"/>
        </w:rPr>
        <w:t>每</w:t>
      </w:r>
      <w:r>
        <w:rPr>
          <w:color w:val="auto"/>
          <w:szCs w:val="21"/>
          <w:highlight w:val="none"/>
          <w:u w:val="single"/>
        </w:rPr>
        <w:t>日向乙方支付违约金</w:t>
      </w:r>
      <w:r>
        <w:rPr>
          <w:color w:val="auto"/>
          <w:szCs w:val="21"/>
          <w:highlight w:val="none"/>
        </w:rPr>
        <w:t>。</w:t>
      </w:r>
    </w:p>
    <w:p>
      <w:pPr>
        <w:spacing w:line="360" w:lineRule="exact"/>
        <w:ind w:firstLine="420" w:firstLineChars="200"/>
        <w:rPr>
          <w:color w:val="auto"/>
          <w:szCs w:val="21"/>
          <w:highlight w:val="none"/>
          <w:u w:val="single"/>
        </w:rPr>
      </w:pPr>
      <w:r>
        <w:rPr>
          <w:rFonts w:hint="eastAsia"/>
          <w:color w:val="auto"/>
          <w:szCs w:val="21"/>
          <w:highlight w:val="none"/>
        </w:rPr>
        <w:t>（3）</w:t>
      </w:r>
      <w:r>
        <w:rPr>
          <w:rFonts w:hint="eastAsia"/>
          <w:color w:val="auto"/>
          <w:szCs w:val="21"/>
          <w:highlight w:val="none"/>
          <w:u w:val="single"/>
        </w:rPr>
        <w:t>甲方每月签发的项目量审核报告、进度款支付证书或临时进度款支付证书，不表明甲方已同意、批准或接受了乙方完成的相应部分工作或已确认计量结果，仅为本期项目款支付依据。</w:t>
      </w:r>
    </w:p>
    <w:p>
      <w:pPr>
        <w:spacing w:line="360" w:lineRule="exact"/>
        <w:ind w:firstLine="420" w:firstLineChars="200"/>
        <w:rPr>
          <w:color w:val="auto"/>
          <w:szCs w:val="21"/>
          <w:highlight w:val="none"/>
        </w:rPr>
      </w:pPr>
      <w:r>
        <w:rPr>
          <w:rFonts w:hint="eastAsia"/>
          <w:color w:val="auto"/>
          <w:szCs w:val="21"/>
          <w:highlight w:val="none"/>
        </w:rPr>
        <w:t>12.5 支付帐户：</w:t>
      </w:r>
    </w:p>
    <w:p>
      <w:pPr>
        <w:spacing w:line="360" w:lineRule="exact"/>
        <w:ind w:firstLine="420" w:firstLineChars="200"/>
        <w:rPr>
          <w:color w:val="auto"/>
          <w:szCs w:val="21"/>
          <w:highlight w:val="none"/>
        </w:rPr>
      </w:pPr>
      <w:r>
        <w:rPr>
          <w:rFonts w:hint="eastAsia"/>
          <w:color w:val="auto"/>
          <w:szCs w:val="21"/>
          <w:highlight w:val="none"/>
        </w:rPr>
        <w:t>甲方应将合同价款支至合同协议书中约定的乙方帐户：</w:t>
      </w:r>
      <w:r>
        <w:rPr>
          <w:rFonts w:hint="eastAsia"/>
          <w:color w:val="auto"/>
          <w:szCs w:val="21"/>
          <w:highlight w:val="none"/>
          <w:u w:val="single"/>
        </w:rPr>
        <w:t>开户行：           帐号：                       。</w:t>
      </w:r>
      <w:r>
        <w:rPr>
          <w:rFonts w:hint="eastAsia"/>
          <w:color w:val="auto"/>
          <w:szCs w:val="21"/>
          <w:highlight w:val="none"/>
        </w:rPr>
        <w:t>乙方收取款项时应开具建筑业统一发票。</w:t>
      </w:r>
    </w:p>
    <w:p>
      <w:pPr>
        <w:pStyle w:val="7"/>
        <w:tabs>
          <w:tab w:val="left" w:pos="142"/>
          <w:tab w:val="left" w:pos="993"/>
          <w:tab w:val="left" w:pos="1418"/>
          <w:tab w:val="left" w:pos="1560"/>
        </w:tabs>
        <w:spacing w:before="0" w:after="0" w:line="360" w:lineRule="exact"/>
        <w:ind w:firstLine="422" w:firstLineChars="200"/>
        <w:rPr>
          <w:rFonts w:ascii="Times New Roman" w:hAnsi="Times New Roman"/>
          <w:color w:val="auto"/>
          <w:sz w:val="21"/>
          <w:szCs w:val="21"/>
          <w:highlight w:val="none"/>
        </w:rPr>
      </w:pPr>
      <w:r>
        <w:rPr>
          <w:rFonts w:ascii="Times New Roman" w:hAnsi="Times New Roman"/>
          <w:color w:val="auto"/>
          <w:sz w:val="21"/>
          <w:szCs w:val="21"/>
          <w:highlight w:val="none"/>
        </w:rPr>
        <w:t>13.验收和</w:t>
      </w:r>
      <w:r>
        <w:rPr>
          <w:rFonts w:hint="eastAsia" w:ascii="Times New Roman" w:hAnsi="Times New Roman"/>
          <w:color w:val="auto"/>
          <w:sz w:val="21"/>
          <w:szCs w:val="21"/>
          <w:highlight w:val="none"/>
        </w:rPr>
        <w:t>项目</w:t>
      </w:r>
      <w:r>
        <w:rPr>
          <w:rFonts w:ascii="Times New Roman" w:hAnsi="Times New Roman"/>
          <w:color w:val="auto"/>
          <w:sz w:val="21"/>
          <w:szCs w:val="21"/>
          <w:highlight w:val="none"/>
        </w:rPr>
        <w:t>试车</w:t>
      </w:r>
    </w:p>
    <w:p>
      <w:pPr>
        <w:spacing w:line="360" w:lineRule="exact"/>
        <w:ind w:firstLine="420" w:firstLineChars="200"/>
        <w:rPr>
          <w:color w:val="auto"/>
          <w:szCs w:val="21"/>
          <w:highlight w:val="none"/>
        </w:rPr>
      </w:pPr>
      <w:r>
        <w:rPr>
          <w:color w:val="auto"/>
          <w:szCs w:val="21"/>
          <w:highlight w:val="none"/>
        </w:rPr>
        <w:t>13.1 分部分项</w:t>
      </w:r>
      <w:r>
        <w:rPr>
          <w:rFonts w:hint="eastAsia"/>
          <w:color w:val="auto"/>
          <w:szCs w:val="21"/>
          <w:highlight w:val="none"/>
        </w:rPr>
        <w:t>项目</w:t>
      </w:r>
      <w:r>
        <w:rPr>
          <w:color w:val="auto"/>
          <w:szCs w:val="21"/>
          <w:highlight w:val="none"/>
        </w:rPr>
        <w:t>验收</w:t>
      </w:r>
    </w:p>
    <w:p>
      <w:pPr>
        <w:spacing w:line="360" w:lineRule="exact"/>
        <w:ind w:firstLine="420" w:firstLineChars="200"/>
        <w:rPr>
          <w:color w:val="auto"/>
          <w:szCs w:val="21"/>
          <w:highlight w:val="none"/>
        </w:rPr>
      </w:pPr>
      <w:r>
        <w:rPr>
          <w:color w:val="auto"/>
          <w:szCs w:val="21"/>
          <w:highlight w:val="none"/>
        </w:rPr>
        <w:t>13.1.2监理人不能按时进行验收时，应提前</w:t>
      </w:r>
      <w:r>
        <w:rPr>
          <w:rFonts w:hint="eastAsia"/>
          <w:color w:val="auto"/>
          <w:szCs w:val="21"/>
          <w:highlight w:val="none"/>
          <w:u w:val="single"/>
        </w:rPr>
        <w:t>24</w:t>
      </w:r>
      <w:r>
        <w:rPr>
          <w:color w:val="auto"/>
          <w:szCs w:val="21"/>
          <w:highlight w:val="none"/>
        </w:rPr>
        <w:t>小时提交书面延期要求。</w:t>
      </w:r>
    </w:p>
    <w:p>
      <w:pPr>
        <w:spacing w:line="360" w:lineRule="exact"/>
        <w:ind w:firstLine="420" w:firstLineChars="200"/>
        <w:rPr>
          <w:color w:val="auto"/>
          <w:szCs w:val="21"/>
          <w:highlight w:val="none"/>
        </w:rPr>
      </w:pPr>
      <w:r>
        <w:rPr>
          <w:color w:val="auto"/>
          <w:szCs w:val="21"/>
          <w:highlight w:val="none"/>
        </w:rPr>
        <w:t>关于延期最长不得超过：</w:t>
      </w:r>
      <w:r>
        <w:rPr>
          <w:rFonts w:hint="eastAsia"/>
          <w:color w:val="auto"/>
          <w:szCs w:val="21"/>
          <w:highlight w:val="none"/>
          <w:u w:val="single"/>
        </w:rPr>
        <w:t>24</w:t>
      </w:r>
      <w:r>
        <w:rPr>
          <w:color w:val="auto"/>
          <w:szCs w:val="21"/>
          <w:highlight w:val="none"/>
        </w:rPr>
        <w:t>小时。</w:t>
      </w:r>
    </w:p>
    <w:p>
      <w:pPr>
        <w:spacing w:line="360" w:lineRule="exact"/>
        <w:ind w:firstLine="420" w:firstLineChars="200"/>
        <w:rPr>
          <w:b/>
          <w:color w:val="auto"/>
          <w:szCs w:val="21"/>
          <w:highlight w:val="none"/>
          <w:u w:val="single"/>
        </w:rPr>
      </w:pPr>
      <w:r>
        <w:rPr>
          <w:rFonts w:hint="eastAsia"/>
          <w:color w:val="auto"/>
          <w:szCs w:val="21"/>
          <w:highlight w:val="none"/>
          <w:u w:val="single"/>
        </w:rPr>
        <w:t>项目监管过程、验收过程、验收部位除办理纸质验收记录，还应留置监管项目、验收部位、验收过程、主要验收人员相片、影像等资料。</w:t>
      </w:r>
    </w:p>
    <w:p>
      <w:pPr>
        <w:spacing w:line="360" w:lineRule="exact"/>
        <w:ind w:firstLine="420" w:firstLineChars="200"/>
        <w:rPr>
          <w:color w:val="auto"/>
          <w:szCs w:val="21"/>
          <w:highlight w:val="none"/>
        </w:rPr>
      </w:pPr>
      <w:r>
        <w:rPr>
          <w:color w:val="auto"/>
          <w:szCs w:val="21"/>
          <w:highlight w:val="none"/>
        </w:rPr>
        <w:t>13.2 竣工验收</w:t>
      </w:r>
    </w:p>
    <w:p>
      <w:pPr>
        <w:spacing w:line="360" w:lineRule="exact"/>
        <w:ind w:firstLine="420" w:firstLineChars="200"/>
        <w:rPr>
          <w:color w:val="auto"/>
          <w:szCs w:val="21"/>
          <w:highlight w:val="none"/>
        </w:rPr>
      </w:pPr>
      <w:r>
        <w:rPr>
          <w:color w:val="auto"/>
          <w:szCs w:val="21"/>
          <w:highlight w:val="none"/>
        </w:rPr>
        <w:t>13.2.2竣工验收程序</w:t>
      </w:r>
    </w:p>
    <w:p>
      <w:pPr>
        <w:spacing w:line="360" w:lineRule="exact"/>
        <w:ind w:firstLine="420" w:firstLineChars="200"/>
        <w:rPr>
          <w:color w:val="auto"/>
          <w:szCs w:val="21"/>
          <w:highlight w:val="none"/>
        </w:rPr>
      </w:pPr>
      <w:r>
        <w:rPr>
          <w:color w:val="auto"/>
          <w:kern w:val="0"/>
          <w:szCs w:val="21"/>
          <w:highlight w:val="none"/>
        </w:rPr>
        <w:t>关于竣工验收程序的约定：</w:t>
      </w:r>
      <w:r>
        <w:rPr>
          <w:rFonts w:hint="eastAsia"/>
          <w:color w:val="auto"/>
          <w:szCs w:val="21"/>
          <w:highlight w:val="none"/>
          <w:u w:val="single"/>
        </w:rPr>
        <w:t>按通用条款</w:t>
      </w:r>
      <w:r>
        <w:rPr>
          <w:color w:val="auto"/>
          <w:szCs w:val="21"/>
          <w:highlight w:val="none"/>
        </w:rPr>
        <w:t>。</w:t>
      </w:r>
    </w:p>
    <w:p>
      <w:pPr>
        <w:spacing w:line="360" w:lineRule="exact"/>
        <w:ind w:firstLine="420" w:firstLineChars="200"/>
        <w:rPr>
          <w:color w:val="auto"/>
          <w:szCs w:val="21"/>
          <w:highlight w:val="none"/>
        </w:rPr>
      </w:pPr>
      <w:r>
        <w:rPr>
          <w:rFonts w:hint="eastAsia"/>
          <w:color w:val="auto"/>
          <w:kern w:val="0"/>
          <w:szCs w:val="21"/>
          <w:highlight w:val="none"/>
        </w:rPr>
        <w:t>甲方</w:t>
      </w:r>
      <w:r>
        <w:rPr>
          <w:color w:val="auto"/>
          <w:kern w:val="0"/>
          <w:szCs w:val="21"/>
          <w:highlight w:val="none"/>
        </w:rPr>
        <w:t>不按照本项约定组织竣工验收、颁发</w:t>
      </w:r>
      <w:r>
        <w:rPr>
          <w:rFonts w:hint="eastAsia"/>
          <w:color w:val="auto"/>
          <w:kern w:val="0"/>
          <w:szCs w:val="21"/>
          <w:highlight w:val="none"/>
        </w:rPr>
        <w:t>项目</w:t>
      </w:r>
      <w:r>
        <w:rPr>
          <w:color w:val="auto"/>
          <w:kern w:val="0"/>
          <w:szCs w:val="21"/>
          <w:highlight w:val="none"/>
        </w:rPr>
        <w:t>接收证书的违约金的计算方法：</w:t>
      </w:r>
      <w:r>
        <w:rPr>
          <w:rFonts w:hint="eastAsia"/>
          <w:color w:val="auto"/>
          <w:szCs w:val="21"/>
          <w:highlight w:val="none"/>
          <w:u w:val="single"/>
        </w:rPr>
        <w:t>不计违约金</w:t>
      </w:r>
      <w:r>
        <w:rPr>
          <w:color w:val="auto"/>
          <w:szCs w:val="21"/>
          <w:highlight w:val="none"/>
          <w:u w:val="single"/>
        </w:rPr>
        <w:t>。</w:t>
      </w:r>
    </w:p>
    <w:p>
      <w:pPr>
        <w:spacing w:line="360" w:lineRule="exact"/>
        <w:ind w:firstLine="420" w:firstLineChars="200"/>
        <w:rPr>
          <w:color w:val="auto"/>
          <w:szCs w:val="21"/>
          <w:highlight w:val="none"/>
        </w:rPr>
      </w:pPr>
      <w:r>
        <w:rPr>
          <w:rFonts w:hint="eastAsia"/>
          <w:color w:val="auto"/>
          <w:szCs w:val="21"/>
          <w:highlight w:val="none"/>
          <w:u w:val="single"/>
        </w:rPr>
        <w:t>因甲方原因，未在监理人接收到乙方提交的竣工验收申请报告42天内完成验收，或完成验收不予签发项目接收证书的，以提交竣工验收申请报告的日期为实际竣工日期</w:t>
      </w:r>
      <w:r>
        <w:rPr>
          <w:color w:val="auto"/>
          <w:szCs w:val="21"/>
          <w:highlight w:val="none"/>
          <w:u w:val="single"/>
        </w:rPr>
        <w:t>。</w:t>
      </w:r>
    </w:p>
    <w:p>
      <w:pPr>
        <w:spacing w:line="360" w:lineRule="exact"/>
        <w:ind w:firstLine="420" w:firstLineChars="200"/>
        <w:rPr>
          <w:color w:val="auto"/>
          <w:szCs w:val="21"/>
          <w:highlight w:val="none"/>
        </w:rPr>
      </w:pPr>
      <w:r>
        <w:rPr>
          <w:color w:val="auto"/>
          <w:szCs w:val="21"/>
          <w:highlight w:val="none"/>
        </w:rPr>
        <w:t>13.2.</w:t>
      </w:r>
      <w:r>
        <w:rPr>
          <w:rFonts w:hint="eastAsia"/>
          <w:color w:val="auto"/>
          <w:szCs w:val="21"/>
          <w:highlight w:val="none"/>
        </w:rPr>
        <w:t>3</w:t>
      </w:r>
      <w:r>
        <w:rPr>
          <w:color w:val="auto"/>
          <w:szCs w:val="21"/>
          <w:highlight w:val="none"/>
        </w:rPr>
        <w:t>移交、接收全部与部分</w:t>
      </w:r>
      <w:r>
        <w:rPr>
          <w:rFonts w:hint="eastAsia"/>
          <w:color w:val="auto"/>
          <w:szCs w:val="21"/>
          <w:highlight w:val="none"/>
        </w:rPr>
        <w:t>项目</w:t>
      </w:r>
    </w:p>
    <w:p>
      <w:pPr>
        <w:spacing w:line="360" w:lineRule="exact"/>
        <w:ind w:firstLine="420" w:firstLineChars="200"/>
        <w:rPr>
          <w:color w:val="auto"/>
          <w:szCs w:val="21"/>
          <w:highlight w:val="none"/>
          <w:u w:val="single"/>
        </w:rPr>
      </w:pPr>
      <w:r>
        <w:rPr>
          <w:rFonts w:hint="eastAsia"/>
          <w:color w:val="auto"/>
          <w:kern w:val="0"/>
          <w:szCs w:val="21"/>
          <w:highlight w:val="none"/>
        </w:rPr>
        <w:t>乙方向甲方移交项目的期限：</w:t>
      </w:r>
      <w:r>
        <w:rPr>
          <w:rFonts w:hint="eastAsia"/>
          <w:color w:val="auto"/>
          <w:szCs w:val="21"/>
          <w:highlight w:val="none"/>
          <w:u w:val="single"/>
        </w:rPr>
        <w:t>按通用条款执行。</w:t>
      </w:r>
    </w:p>
    <w:p>
      <w:pPr>
        <w:spacing w:line="360" w:lineRule="exact"/>
        <w:ind w:firstLine="420" w:firstLineChars="200"/>
        <w:rPr>
          <w:color w:val="auto"/>
          <w:szCs w:val="21"/>
          <w:highlight w:val="none"/>
          <w:u w:val="single"/>
        </w:rPr>
      </w:pPr>
      <w:r>
        <w:rPr>
          <w:rFonts w:hint="eastAsia"/>
          <w:color w:val="auto"/>
          <w:kern w:val="0"/>
          <w:szCs w:val="21"/>
          <w:highlight w:val="none"/>
        </w:rPr>
        <w:t>甲方</w:t>
      </w:r>
      <w:r>
        <w:rPr>
          <w:color w:val="auto"/>
          <w:kern w:val="0"/>
          <w:szCs w:val="21"/>
          <w:highlight w:val="none"/>
        </w:rPr>
        <w:t>未按本合同约定接收全部或部分</w:t>
      </w:r>
      <w:r>
        <w:rPr>
          <w:rFonts w:hint="eastAsia"/>
          <w:color w:val="auto"/>
          <w:kern w:val="0"/>
          <w:szCs w:val="21"/>
          <w:highlight w:val="none"/>
        </w:rPr>
        <w:t>项目</w:t>
      </w:r>
      <w:r>
        <w:rPr>
          <w:color w:val="auto"/>
          <w:kern w:val="0"/>
          <w:szCs w:val="21"/>
          <w:highlight w:val="none"/>
        </w:rPr>
        <w:t>的，违约金的计算方法为：</w:t>
      </w:r>
      <w:r>
        <w:rPr>
          <w:rFonts w:hint="eastAsia"/>
          <w:color w:val="auto"/>
          <w:szCs w:val="21"/>
          <w:highlight w:val="none"/>
          <w:u w:val="single"/>
        </w:rPr>
        <w:t>/</w:t>
      </w:r>
      <w:r>
        <w:rPr>
          <w:color w:val="auto"/>
          <w:szCs w:val="21"/>
          <w:highlight w:val="none"/>
        </w:rPr>
        <w:t>。</w:t>
      </w:r>
    </w:p>
    <w:p>
      <w:pPr>
        <w:spacing w:line="360" w:lineRule="exact"/>
        <w:ind w:firstLine="420" w:firstLineChars="200"/>
        <w:rPr>
          <w:color w:val="auto"/>
          <w:szCs w:val="21"/>
          <w:highlight w:val="none"/>
        </w:rPr>
      </w:pPr>
      <w:r>
        <w:rPr>
          <w:rFonts w:hint="eastAsia"/>
          <w:color w:val="auto"/>
          <w:szCs w:val="21"/>
          <w:highlight w:val="none"/>
        </w:rPr>
        <w:t>乙方</w:t>
      </w:r>
      <w:r>
        <w:rPr>
          <w:color w:val="auto"/>
          <w:szCs w:val="21"/>
          <w:highlight w:val="none"/>
        </w:rPr>
        <w:t>未按时移交</w:t>
      </w:r>
      <w:r>
        <w:rPr>
          <w:rFonts w:hint="eastAsia"/>
          <w:color w:val="auto"/>
          <w:szCs w:val="21"/>
          <w:highlight w:val="none"/>
        </w:rPr>
        <w:t>项目</w:t>
      </w:r>
      <w:r>
        <w:rPr>
          <w:color w:val="auto"/>
          <w:szCs w:val="21"/>
          <w:highlight w:val="none"/>
        </w:rPr>
        <w:t>的，违约金的计算方法为：</w:t>
      </w:r>
      <w:r>
        <w:rPr>
          <w:rFonts w:hint="eastAsia"/>
          <w:color w:val="auto"/>
          <w:szCs w:val="21"/>
          <w:highlight w:val="none"/>
          <w:u w:val="single"/>
        </w:rPr>
        <w:t xml:space="preserve">     /   </w:t>
      </w:r>
      <w:r>
        <w:rPr>
          <w:color w:val="auto"/>
          <w:szCs w:val="21"/>
          <w:highlight w:val="none"/>
        </w:rPr>
        <w:t>。</w:t>
      </w:r>
    </w:p>
    <w:p>
      <w:pPr>
        <w:spacing w:line="360" w:lineRule="exact"/>
        <w:ind w:firstLine="420" w:firstLineChars="200"/>
        <w:rPr>
          <w:color w:val="auto"/>
          <w:szCs w:val="21"/>
          <w:highlight w:val="none"/>
        </w:rPr>
      </w:pPr>
      <w:r>
        <w:rPr>
          <w:color w:val="auto"/>
          <w:szCs w:val="21"/>
          <w:highlight w:val="none"/>
        </w:rPr>
        <w:t>13.</w:t>
      </w:r>
      <w:r>
        <w:rPr>
          <w:rFonts w:hint="eastAsia"/>
          <w:color w:val="auto"/>
          <w:szCs w:val="21"/>
          <w:highlight w:val="none"/>
        </w:rPr>
        <w:t>3</w:t>
      </w:r>
      <w:r>
        <w:rPr>
          <w:color w:val="auto"/>
          <w:szCs w:val="21"/>
          <w:highlight w:val="none"/>
        </w:rPr>
        <w:t xml:space="preserve"> 竣工退场</w:t>
      </w:r>
    </w:p>
    <w:p>
      <w:pPr>
        <w:spacing w:line="360" w:lineRule="exact"/>
        <w:ind w:firstLine="420" w:firstLineChars="200"/>
        <w:rPr>
          <w:color w:val="auto"/>
          <w:kern w:val="0"/>
          <w:szCs w:val="21"/>
          <w:highlight w:val="none"/>
        </w:rPr>
      </w:pPr>
      <w:r>
        <w:rPr>
          <w:color w:val="auto"/>
          <w:kern w:val="0"/>
          <w:szCs w:val="21"/>
          <w:highlight w:val="none"/>
        </w:rPr>
        <w:t>13.</w:t>
      </w:r>
      <w:r>
        <w:rPr>
          <w:rFonts w:hint="eastAsia"/>
          <w:color w:val="auto"/>
          <w:kern w:val="0"/>
          <w:szCs w:val="21"/>
          <w:highlight w:val="none"/>
        </w:rPr>
        <w:t>3</w:t>
      </w:r>
      <w:r>
        <w:rPr>
          <w:color w:val="auto"/>
          <w:kern w:val="0"/>
          <w:szCs w:val="21"/>
          <w:highlight w:val="none"/>
        </w:rPr>
        <w:t>.1 竣工退场</w:t>
      </w:r>
    </w:p>
    <w:p>
      <w:pPr>
        <w:spacing w:line="360" w:lineRule="exact"/>
        <w:ind w:firstLine="420" w:firstLineChars="200"/>
        <w:rPr>
          <w:color w:val="auto"/>
          <w:kern w:val="0"/>
          <w:szCs w:val="21"/>
          <w:highlight w:val="none"/>
        </w:rPr>
      </w:pPr>
      <w:r>
        <w:rPr>
          <w:rFonts w:hint="eastAsia"/>
          <w:color w:val="auto"/>
          <w:kern w:val="0"/>
          <w:szCs w:val="21"/>
          <w:highlight w:val="none"/>
        </w:rPr>
        <w:t>乙方</w:t>
      </w:r>
      <w:r>
        <w:rPr>
          <w:color w:val="auto"/>
          <w:kern w:val="0"/>
          <w:szCs w:val="21"/>
          <w:highlight w:val="none"/>
        </w:rPr>
        <w:t>完成竣工退场的期限：</w:t>
      </w:r>
      <w:r>
        <w:rPr>
          <w:rFonts w:hint="eastAsia"/>
          <w:color w:val="auto"/>
          <w:szCs w:val="21"/>
          <w:highlight w:val="none"/>
          <w:u w:val="single"/>
        </w:rPr>
        <w:t>颁发项目接收证书后7天内</w:t>
      </w:r>
      <w:r>
        <w:rPr>
          <w:color w:val="auto"/>
          <w:kern w:val="0"/>
          <w:szCs w:val="21"/>
          <w:highlight w:val="none"/>
        </w:rPr>
        <w:t>。</w:t>
      </w:r>
    </w:p>
    <w:p>
      <w:pPr>
        <w:pStyle w:val="7"/>
        <w:tabs>
          <w:tab w:val="left" w:pos="142"/>
          <w:tab w:val="left" w:pos="993"/>
          <w:tab w:val="left" w:pos="1418"/>
          <w:tab w:val="left" w:pos="1560"/>
        </w:tabs>
        <w:spacing w:before="0" w:after="0" w:line="360" w:lineRule="exact"/>
        <w:ind w:firstLine="422" w:firstLineChars="200"/>
        <w:rPr>
          <w:rFonts w:ascii="Times New Roman" w:hAnsi="Times New Roman"/>
          <w:color w:val="auto"/>
          <w:sz w:val="21"/>
          <w:szCs w:val="21"/>
          <w:highlight w:val="none"/>
        </w:rPr>
      </w:pPr>
      <w:r>
        <w:rPr>
          <w:rFonts w:ascii="Times New Roman" w:hAnsi="Times New Roman"/>
          <w:color w:val="auto"/>
          <w:sz w:val="21"/>
          <w:szCs w:val="21"/>
          <w:highlight w:val="none"/>
        </w:rPr>
        <w:t>14. 竣工结算</w:t>
      </w:r>
    </w:p>
    <w:p>
      <w:pPr>
        <w:spacing w:after="120" w:line="360" w:lineRule="exact"/>
        <w:ind w:firstLine="420" w:firstLineChars="200"/>
        <w:rPr>
          <w:color w:val="auto"/>
          <w:szCs w:val="21"/>
          <w:highlight w:val="none"/>
          <w:u w:val="single"/>
        </w:rPr>
      </w:pPr>
      <w:r>
        <w:rPr>
          <w:rFonts w:hint="eastAsia"/>
          <w:color w:val="auto"/>
          <w:szCs w:val="21"/>
          <w:highlight w:val="none"/>
          <w:u w:val="single"/>
        </w:rPr>
        <w:t>乙方应在项目竣工验收合格后90天内向甲方和监理人提交竣工结算申请单，并提交完整的项目结算资料七套。超过90天未提交竣工结算资料，经甲方催告后28天，乙方还不提交竣工结算资料的，甲方可根据自己资料办理竣工结算，且视为乙方认可竣工结算结果。</w:t>
      </w:r>
    </w:p>
    <w:p>
      <w:pPr>
        <w:spacing w:after="120" w:line="360" w:lineRule="exact"/>
        <w:ind w:firstLine="420" w:firstLineChars="200"/>
        <w:rPr>
          <w:color w:val="auto"/>
          <w:highlight w:val="none"/>
        </w:rPr>
      </w:pPr>
      <w:r>
        <w:rPr>
          <w:rFonts w:hint="eastAsia"/>
          <w:color w:val="auto"/>
          <w:highlight w:val="none"/>
        </w:rPr>
        <w:t>14.1竣工付款申请</w:t>
      </w:r>
    </w:p>
    <w:p>
      <w:pPr>
        <w:spacing w:after="120" w:line="360" w:lineRule="exact"/>
        <w:ind w:firstLine="420" w:firstLineChars="200"/>
        <w:rPr>
          <w:color w:val="auto"/>
          <w:szCs w:val="21"/>
          <w:highlight w:val="none"/>
        </w:rPr>
      </w:pPr>
      <w:r>
        <w:rPr>
          <w:rFonts w:hint="eastAsia"/>
          <w:color w:val="auto"/>
          <w:highlight w:val="none"/>
        </w:rPr>
        <w:t>乙方提交竣工付款单的期限：</w:t>
      </w:r>
      <w:r>
        <w:rPr>
          <w:rFonts w:hint="eastAsia"/>
          <w:color w:val="auto"/>
          <w:szCs w:val="21"/>
          <w:highlight w:val="none"/>
          <w:u w:val="single"/>
        </w:rPr>
        <w:t>按通用条款执行</w:t>
      </w:r>
      <w:r>
        <w:rPr>
          <w:rFonts w:hint="eastAsia"/>
          <w:color w:val="auto"/>
          <w:szCs w:val="21"/>
          <w:highlight w:val="none"/>
        </w:rPr>
        <w:t>。</w:t>
      </w:r>
    </w:p>
    <w:p>
      <w:pPr>
        <w:spacing w:after="120" w:line="360" w:lineRule="exact"/>
        <w:ind w:firstLine="420" w:firstLineChars="200"/>
        <w:rPr>
          <w:color w:val="auto"/>
          <w:szCs w:val="21"/>
          <w:highlight w:val="none"/>
          <w:u w:val="single"/>
        </w:rPr>
      </w:pPr>
      <w:r>
        <w:rPr>
          <w:rFonts w:hint="eastAsia"/>
          <w:color w:val="auto"/>
          <w:szCs w:val="21"/>
          <w:highlight w:val="none"/>
        </w:rPr>
        <w:t>竣工付款申请单应包括的内容：</w:t>
      </w:r>
      <w:r>
        <w:rPr>
          <w:rFonts w:hint="eastAsia"/>
          <w:color w:val="auto"/>
          <w:szCs w:val="21"/>
          <w:highlight w:val="none"/>
          <w:u w:val="single"/>
        </w:rPr>
        <w:t>按通用条款执行</w:t>
      </w:r>
      <w:r>
        <w:rPr>
          <w:rFonts w:hint="eastAsia"/>
          <w:color w:val="auto"/>
          <w:szCs w:val="21"/>
          <w:highlight w:val="none"/>
        </w:rPr>
        <w:t>。</w:t>
      </w:r>
    </w:p>
    <w:p>
      <w:pPr>
        <w:spacing w:line="360" w:lineRule="exact"/>
        <w:ind w:firstLine="420" w:firstLineChars="200"/>
        <w:rPr>
          <w:color w:val="auto"/>
          <w:szCs w:val="21"/>
          <w:highlight w:val="none"/>
        </w:rPr>
      </w:pPr>
      <w:r>
        <w:rPr>
          <w:color w:val="auto"/>
          <w:szCs w:val="21"/>
          <w:highlight w:val="none"/>
        </w:rPr>
        <w:t>14.2 竣工结算审核</w:t>
      </w:r>
    </w:p>
    <w:p>
      <w:pPr>
        <w:spacing w:line="360" w:lineRule="exact"/>
        <w:ind w:firstLine="420" w:firstLineChars="200"/>
        <w:rPr>
          <w:color w:val="auto"/>
          <w:szCs w:val="21"/>
          <w:highlight w:val="none"/>
          <w:u w:val="single"/>
        </w:rPr>
      </w:pPr>
      <w:r>
        <w:rPr>
          <w:rFonts w:hint="eastAsia"/>
          <w:color w:val="auto"/>
          <w:szCs w:val="21"/>
          <w:highlight w:val="none"/>
        </w:rPr>
        <w:t>（1）甲方结算审核时间：</w:t>
      </w:r>
      <w:r>
        <w:rPr>
          <w:rFonts w:hint="eastAsia"/>
          <w:color w:val="auto"/>
          <w:szCs w:val="21"/>
          <w:highlight w:val="none"/>
          <w:u w:val="single"/>
        </w:rPr>
        <w:t>甲方收到乙方递交的竣工结算报告及结算资料后，在6个月内审核完毕。</w:t>
      </w:r>
    </w:p>
    <w:p>
      <w:pPr>
        <w:spacing w:line="360" w:lineRule="exact"/>
        <w:ind w:firstLine="420" w:firstLineChars="200"/>
        <w:rPr>
          <w:color w:val="auto"/>
          <w:szCs w:val="21"/>
          <w:highlight w:val="none"/>
          <w:u w:val="single"/>
        </w:rPr>
      </w:pPr>
      <w:r>
        <w:rPr>
          <w:rFonts w:hint="eastAsia"/>
          <w:color w:val="auto"/>
          <w:szCs w:val="21"/>
          <w:highlight w:val="none"/>
          <w:u w:val="single"/>
        </w:rPr>
        <w:t>由甲方原因逾期审核责任：向乙方支付违约金，违约金为项目结算后应付项目款的利息，利率按中国人民银行发布的同期同类贷款基准利率，利息计算时间为应付项目款日至支付项目款日至。</w:t>
      </w:r>
    </w:p>
    <w:p>
      <w:pPr>
        <w:spacing w:line="360" w:lineRule="exact"/>
        <w:ind w:firstLine="420" w:firstLineChars="200"/>
        <w:rPr>
          <w:color w:val="auto"/>
          <w:szCs w:val="21"/>
          <w:highlight w:val="none"/>
          <w:u w:val="single"/>
        </w:rPr>
      </w:pPr>
      <w:r>
        <w:rPr>
          <w:rFonts w:hint="eastAsia"/>
          <w:color w:val="auto"/>
          <w:szCs w:val="21"/>
          <w:highlight w:val="none"/>
          <w:u w:val="single"/>
        </w:rPr>
        <w:t>（2）甲方在财政审核结束后14天内，完成对乙方的竣工付款。逾期支付按中国人民银行发布的同期同类贷款基准利率支付违约金；逾期超过56天，按中国人民银行发布的同期同类贷款基准利率的两倍支付违约金。</w:t>
      </w:r>
    </w:p>
    <w:p>
      <w:pPr>
        <w:spacing w:line="360" w:lineRule="exact"/>
        <w:ind w:firstLine="420" w:firstLineChars="200"/>
        <w:rPr>
          <w:color w:val="auto"/>
          <w:szCs w:val="21"/>
          <w:highlight w:val="none"/>
          <w:u w:val="single"/>
        </w:rPr>
      </w:pPr>
      <w:r>
        <w:rPr>
          <w:rFonts w:hint="eastAsia"/>
          <w:color w:val="auto"/>
          <w:szCs w:val="21"/>
          <w:highlight w:val="none"/>
          <w:u w:val="single"/>
        </w:rPr>
        <w:t>（3）乙方对甲方签认的结算价有异议的，甲方可先支付乙方无异议部分结算款。异议部分重新进行复核或按照第20条[争议解决约定处理。</w:t>
      </w:r>
    </w:p>
    <w:p>
      <w:pPr>
        <w:spacing w:line="360" w:lineRule="exact"/>
        <w:ind w:firstLine="420" w:firstLineChars="200"/>
        <w:rPr>
          <w:color w:val="auto"/>
          <w:szCs w:val="21"/>
          <w:highlight w:val="none"/>
        </w:rPr>
      </w:pPr>
      <w:r>
        <w:rPr>
          <w:rFonts w:hint="eastAsia"/>
          <w:color w:val="auto"/>
          <w:szCs w:val="21"/>
          <w:highlight w:val="none"/>
        </w:rPr>
        <w:t>（4）结算特殊要求：</w:t>
      </w:r>
      <w:r>
        <w:rPr>
          <w:rFonts w:hint="eastAsia"/>
          <w:color w:val="auto"/>
          <w:szCs w:val="21"/>
          <w:highlight w:val="none"/>
          <w:u w:val="single"/>
        </w:rPr>
        <w:t xml:space="preserve">      /        。</w:t>
      </w:r>
    </w:p>
    <w:p>
      <w:pPr>
        <w:spacing w:line="360" w:lineRule="exact"/>
        <w:ind w:firstLine="420" w:firstLineChars="200"/>
        <w:rPr>
          <w:color w:val="auto"/>
          <w:szCs w:val="21"/>
          <w:highlight w:val="none"/>
        </w:rPr>
      </w:pPr>
      <w:r>
        <w:rPr>
          <w:color w:val="auto"/>
          <w:szCs w:val="21"/>
          <w:highlight w:val="none"/>
        </w:rPr>
        <w:t>14.</w:t>
      </w:r>
      <w:r>
        <w:rPr>
          <w:rFonts w:hint="eastAsia"/>
          <w:color w:val="auto"/>
          <w:szCs w:val="21"/>
          <w:highlight w:val="none"/>
        </w:rPr>
        <w:t>3</w:t>
      </w:r>
      <w:r>
        <w:rPr>
          <w:color w:val="auto"/>
          <w:szCs w:val="21"/>
          <w:highlight w:val="none"/>
        </w:rPr>
        <w:t xml:space="preserve"> 最终结清</w:t>
      </w:r>
    </w:p>
    <w:p>
      <w:pPr>
        <w:spacing w:line="360" w:lineRule="exact"/>
        <w:ind w:firstLine="420" w:firstLineChars="200"/>
        <w:rPr>
          <w:color w:val="auto"/>
          <w:kern w:val="0"/>
          <w:szCs w:val="21"/>
          <w:highlight w:val="none"/>
        </w:rPr>
      </w:pPr>
      <w:r>
        <w:rPr>
          <w:color w:val="auto"/>
          <w:kern w:val="0"/>
          <w:szCs w:val="21"/>
          <w:highlight w:val="none"/>
        </w:rPr>
        <w:t>14.</w:t>
      </w:r>
      <w:r>
        <w:rPr>
          <w:rFonts w:hint="eastAsia"/>
          <w:color w:val="auto"/>
          <w:kern w:val="0"/>
          <w:szCs w:val="21"/>
          <w:highlight w:val="none"/>
        </w:rPr>
        <w:t>3</w:t>
      </w:r>
      <w:r>
        <w:rPr>
          <w:color w:val="auto"/>
          <w:kern w:val="0"/>
          <w:szCs w:val="21"/>
          <w:highlight w:val="none"/>
        </w:rPr>
        <w:t>.1 最终结清申请单</w:t>
      </w:r>
    </w:p>
    <w:p>
      <w:pPr>
        <w:spacing w:line="360" w:lineRule="exact"/>
        <w:ind w:firstLine="420" w:firstLineChars="200"/>
        <w:rPr>
          <w:color w:val="auto"/>
          <w:kern w:val="0"/>
          <w:szCs w:val="21"/>
          <w:highlight w:val="none"/>
        </w:rPr>
      </w:pPr>
      <w:r>
        <w:rPr>
          <w:rFonts w:hint="eastAsia"/>
          <w:color w:val="auto"/>
          <w:kern w:val="0"/>
          <w:szCs w:val="21"/>
          <w:highlight w:val="none"/>
        </w:rPr>
        <w:t>乙方</w:t>
      </w:r>
      <w:r>
        <w:rPr>
          <w:color w:val="auto"/>
          <w:kern w:val="0"/>
          <w:szCs w:val="21"/>
          <w:highlight w:val="none"/>
        </w:rPr>
        <w:t>提交最终结清申请单的份数：</w:t>
      </w:r>
      <w:r>
        <w:rPr>
          <w:rFonts w:hint="eastAsia"/>
          <w:color w:val="auto"/>
          <w:szCs w:val="21"/>
          <w:highlight w:val="none"/>
          <w:u w:val="single"/>
        </w:rPr>
        <w:t>/</w:t>
      </w:r>
      <w:r>
        <w:rPr>
          <w:color w:val="auto"/>
          <w:szCs w:val="21"/>
          <w:highlight w:val="none"/>
        </w:rPr>
        <w:t>。</w:t>
      </w:r>
    </w:p>
    <w:p>
      <w:pPr>
        <w:spacing w:line="360" w:lineRule="exact"/>
        <w:ind w:firstLine="420" w:firstLineChars="200"/>
        <w:rPr>
          <w:color w:val="auto"/>
          <w:szCs w:val="21"/>
          <w:highlight w:val="none"/>
        </w:rPr>
      </w:pPr>
      <w:r>
        <w:rPr>
          <w:rFonts w:hint="eastAsia"/>
          <w:color w:val="auto"/>
          <w:kern w:val="0"/>
          <w:szCs w:val="21"/>
          <w:highlight w:val="none"/>
        </w:rPr>
        <w:t>乙方</w:t>
      </w:r>
      <w:r>
        <w:rPr>
          <w:color w:val="auto"/>
          <w:kern w:val="0"/>
          <w:szCs w:val="21"/>
          <w:highlight w:val="none"/>
        </w:rPr>
        <w:t>提交最终结算申请单的期限：</w:t>
      </w:r>
      <w:r>
        <w:rPr>
          <w:rFonts w:hint="eastAsia"/>
          <w:color w:val="auto"/>
          <w:szCs w:val="21"/>
          <w:highlight w:val="none"/>
          <w:u w:val="single"/>
        </w:rPr>
        <w:t>/</w:t>
      </w:r>
      <w:r>
        <w:rPr>
          <w:color w:val="auto"/>
          <w:szCs w:val="21"/>
          <w:highlight w:val="none"/>
        </w:rPr>
        <w:t xml:space="preserve">。 </w:t>
      </w:r>
    </w:p>
    <w:p>
      <w:pPr>
        <w:spacing w:line="360" w:lineRule="exact"/>
        <w:ind w:firstLine="420" w:firstLineChars="200"/>
        <w:rPr>
          <w:color w:val="auto"/>
          <w:szCs w:val="21"/>
          <w:highlight w:val="none"/>
        </w:rPr>
      </w:pPr>
      <w:r>
        <w:rPr>
          <w:color w:val="auto"/>
          <w:szCs w:val="21"/>
          <w:highlight w:val="none"/>
        </w:rPr>
        <w:t>14.</w:t>
      </w:r>
      <w:r>
        <w:rPr>
          <w:rFonts w:hint="eastAsia"/>
          <w:color w:val="auto"/>
          <w:szCs w:val="21"/>
          <w:highlight w:val="none"/>
        </w:rPr>
        <w:t>3</w:t>
      </w:r>
      <w:r>
        <w:rPr>
          <w:color w:val="auto"/>
          <w:szCs w:val="21"/>
          <w:highlight w:val="none"/>
        </w:rPr>
        <w:t>.2 最终结清证书和支付</w:t>
      </w:r>
    </w:p>
    <w:p>
      <w:pPr>
        <w:spacing w:line="360" w:lineRule="exact"/>
        <w:ind w:firstLine="420" w:firstLineChars="200"/>
        <w:rPr>
          <w:color w:val="auto"/>
          <w:szCs w:val="21"/>
          <w:highlight w:val="none"/>
        </w:rPr>
      </w:pPr>
      <w:r>
        <w:rPr>
          <w:color w:val="auto"/>
          <w:szCs w:val="21"/>
          <w:highlight w:val="none"/>
        </w:rPr>
        <w:t>（1）</w:t>
      </w:r>
      <w:r>
        <w:rPr>
          <w:rFonts w:hint="eastAsia"/>
          <w:color w:val="auto"/>
          <w:szCs w:val="21"/>
          <w:highlight w:val="none"/>
        </w:rPr>
        <w:t>甲方</w:t>
      </w:r>
      <w:r>
        <w:rPr>
          <w:color w:val="auto"/>
          <w:szCs w:val="21"/>
          <w:highlight w:val="none"/>
        </w:rPr>
        <w:t>完成最终结清申请单的</w:t>
      </w:r>
      <w:r>
        <w:rPr>
          <w:rFonts w:hint="eastAsia"/>
          <w:color w:val="auto"/>
          <w:szCs w:val="21"/>
          <w:highlight w:val="none"/>
        </w:rPr>
        <w:t>审批</w:t>
      </w:r>
      <w:r>
        <w:rPr>
          <w:color w:val="auto"/>
          <w:szCs w:val="21"/>
          <w:highlight w:val="none"/>
        </w:rPr>
        <w:t>并颁发最终结清证书的期限：</w:t>
      </w:r>
      <w:r>
        <w:rPr>
          <w:rFonts w:hint="eastAsia"/>
          <w:color w:val="auto"/>
          <w:szCs w:val="21"/>
          <w:highlight w:val="none"/>
          <w:u w:val="single"/>
        </w:rPr>
        <w:t>按通用条款</w:t>
      </w:r>
      <w:r>
        <w:rPr>
          <w:color w:val="auto"/>
          <w:szCs w:val="21"/>
          <w:highlight w:val="none"/>
        </w:rPr>
        <w:t>。</w:t>
      </w:r>
    </w:p>
    <w:p>
      <w:pPr>
        <w:spacing w:line="360" w:lineRule="exact"/>
        <w:ind w:firstLine="420" w:firstLineChars="200"/>
        <w:rPr>
          <w:color w:val="auto"/>
          <w:szCs w:val="21"/>
          <w:highlight w:val="none"/>
        </w:rPr>
      </w:pPr>
      <w:r>
        <w:rPr>
          <w:color w:val="auto"/>
          <w:szCs w:val="21"/>
          <w:highlight w:val="none"/>
        </w:rPr>
        <w:t>（2）</w:t>
      </w:r>
      <w:r>
        <w:rPr>
          <w:rFonts w:hint="eastAsia"/>
          <w:color w:val="auto"/>
          <w:szCs w:val="21"/>
          <w:highlight w:val="none"/>
        </w:rPr>
        <w:t>甲方</w:t>
      </w:r>
      <w:r>
        <w:rPr>
          <w:color w:val="auto"/>
          <w:szCs w:val="21"/>
          <w:highlight w:val="none"/>
        </w:rPr>
        <w:t>完成支付的期限：</w:t>
      </w:r>
      <w:r>
        <w:rPr>
          <w:rFonts w:hint="eastAsia"/>
          <w:color w:val="auto"/>
          <w:szCs w:val="21"/>
          <w:highlight w:val="none"/>
          <w:u w:val="single"/>
        </w:rPr>
        <w:t>按通用条款</w:t>
      </w:r>
      <w:r>
        <w:rPr>
          <w:color w:val="auto"/>
          <w:szCs w:val="21"/>
          <w:highlight w:val="none"/>
        </w:rPr>
        <w:t>。</w:t>
      </w:r>
    </w:p>
    <w:p>
      <w:pPr>
        <w:pStyle w:val="7"/>
        <w:tabs>
          <w:tab w:val="left" w:pos="142"/>
          <w:tab w:val="left" w:pos="993"/>
          <w:tab w:val="left" w:pos="1418"/>
          <w:tab w:val="left" w:pos="1560"/>
        </w:tabs>
        <w:spacing w:before="0" w:after="0" w:line="360" w:lineRule="exact"/>
        <w:ind w:firstLine="422" w:firstLineChars="200"/>
        <w:rPr>
          <w:rFonts w:ascii="Times New Roman" w:hAnsi="Times New Roman" w:eastAsia="宋体"/>
          <w:b w:val="0"/>
          <w:color w:val="auto"/>
          <w:sz w:val="21"/>
          <w:szCs w:val="21"/>
          <w:highlight w:val="none"/>
        </w:rPr>
      </w:pPr>
      <w:r>
        <w:rPr>
          <w:rFonts w:ascii="Times New Roman" w:hAnsi="Times New Roman"/>
          <w:color w:val="auto"/>
          <w:sz w:val="21"/>
          <w:szCs w:val="21"/>
          <w:highlight w:val="none"/>
        </w:rPr>
        <w:t xml:space="preserve">15. </w:t>
      </w:r>
      <w:r>
        <w:rPr>
          <w:rFonts w:hint="eastAsia" w:ascii="Times New Roman" w:hAnsi="Times New Roman"/>
          <w:color w:val="auto"/>
          <w:sz w:val="21"/>
          <w:szCs w:val="21"/>
          <w:highlight w:val="none"/>
        </w:rPr>
        <w:t>质保</w:t>
      </w:r>
      <w:r>
        <w:rPr>
          <w:rFonts w:ascii="Times New Roman" w:hAnsi="Times New Roman"/>
          <w:color w:val="auto"/>
          <w:sz w:val="21"/>
          <w:szCs w:val="21"/>
          <w:highlight w:val="none"/>
        </w:rPr>
        <w:t>期与保修</w:t>
      </w:r>
    </w:p>
    <w:p>
      <w:pPr>
        <w:spacing w:line="360" w:lineRule="exact"/>
        <w:ind w:firstLine="420" w:firstLineChars="200"/>
        <w:rPr>
          <w:color w:val="auto"/>
          <w:szCs w:val="21"/>
          <w:highlight w:val="none"/>
        </w:rPr>
      </w:pPr>
      <w:r>
        <w:rPr>
          <w:color w:val="auto"/>
          <w:szCs w:val="21"/>
          <w:highlight w:val="none"/>
        </w:rPr>
        <w:t>15.</w:t>
      </w:r>
      <w:r>
        <w:rPr>
          <w:rFonts w:hint="eastAsia"/>
          <w:color w:val="auto"/>
          <w:szCs w:val="21"/>
          <w:highlight w:val="none"/>
        </w:rPr>
        <w:t>1质保期</w:t>
      </w:r>
      <w:r>
        <w:rPr>
          <w:color w:val="auto"/>
          <w:szCs w:val="21"/>
          <w:highlight w:val="none"/>
        </w:rPr>
        <w:t>期</w:t>
      </w:r>
    </w:p>
    <w:p>
      <w:pPr>
        <w:spacing w:line="360" w:lineRule="exact"/>
        <w:ind w:firstLine="420" w:firstLineChars="200"/>
        <w:rPr>
          <w:color w:val="auto"/>
          <w:szCs w:val="21"/>
          <w:highlight w:val="none"/>
        </w:rPr>
      </w:pPr>
      <w:r>
        <w:rPr>
          <w:rFonts w:hint="eastAsia"/>
          <w:color w:val="auto"/>
          <w:szCs w:val="21"/>
          <w:highlight w:val="none"/>
          <w:u w:val="single"/>
        </w:rPr>
        <w:t>质量保质期为</w:t>
      </w:r>
      <w:r>
        <w:rPr>
          <w:rFonts w:hint="eastAsia"/>
          <w:color w:val="auto"/>
          <w:szCs w:val="21"/>
          <w:highlight w:val="none"/>
        </w:rPr>
        <w:t>自</w:t>
      </w:r>
      <w:r>
        <w:rPr>
          <w:color w:val="auto"/>
          <w:szCs w:val="21"/>
          <w:highlight w:val="none"/>
        </w:rPr>
        <w:t>交</w:t>
      </w:r>
      <w:r>
        <w:rPr>
          <w:rFonts w:hint="eastAsia"/>
          <w:color w:val="auto"/>
          <w:szCs w:val="21"/>
          <w:highlight w:val="none"/>
        </w:rPr>
        <w:t>付</w:t>
      </w:r>
      <w:r>
        <w:rPr>
          <w:color w:val="auto"/>
          <w:szCs w:val="21"/>
          <w:highlight w:val="none"/>
        </w:rPr>
        <w:t>验收合格之日起</w:t>
      </w:r>
      <w:r>
        <w:rPr>
          <w:rFonts w:hint="eastAsia"/>
          <w:color w:val="auto"/>
          <w:szCs w:val="21"/>
          <w:highlight w:val="none"/>
        </w:rPr>
        <w:t>，主次干道标线不少于1年，支路标线不少于2年（技术需求中有列明质保期的按照技术需求中的要求）</w:t>
      </w:r>
    </w:p>
    <w:p>
      <w:pPr>
        <w:spacing w:line="360" w:lineRule="exact"/>
        <w:ind w:firstLine="420" w:firstLineChars="200"/>
        <w:rPr>
          <w:color w:val="auto"/>
          <w:szCs w:val="21"/>
          <w:highlight w:val="none"/>
        </w:rPr>
      </w:pPr>
      <w:r>
        <w:rPr>
          <w:color w:val="auto"/>
          <w:szCs w:val="21"/>
          <w:highlight w:val="none"/>
        </w:rPr>
        <w:t>15.</w:t>
      </w:r>
      <w:r>
        <w:rPr>
          <w:rFonts w:hint="eastAsia"/>
          <w:color w:val="auto"/>
          <w:szCs w:val="21"/>
          <w:highlight w:val="none"/>
        </w:rPr>
        <w:t>2</w:t>
      </w:r>
      <w:r>
        <w:rPr>
          <w:color w:val="auto"/>
          <w:szCs w:val="21"/>
          <w:highlight w:val="none"/>
        </w:rPr>
        <w:t>修复通知</w:t>
      </w:r>
    </w:p>
    <w:p>
      <w:pPr>
        <w:spacing w:line="360" w:lineRule="exact"/>
        <w:ind w:firstLine="420" w:firstLineChars="200"/>
        <w:rPr>
          <w:color w:val="auto"/>
          <w:kern w:val="0"/>
          <w:szCs w:val="21"/>
          <w:highlight w:val="none"/>
        </w:rPr>
      </w:pPr>
      <w:r>
        <w:rPr>
          <w:rFonts w:hint="eastAsia"/>
          <w:color w:val="auto"/>
          <w:kern w:val="0"/>
          <w:szCs w:val="21"/>
          <w:highlight w:val="none"/>
        </w:rPr>
        <w:t>乙方</w:t>
      </w:r>
      <w:r>
        <w:rPr>
          <w:color w:val="auto"/>
          <w:kern w:val="0"/>
          <w:szCs w:val="21"/>
          <w:highlight w:val="none"/>
        </w:rPr>
        <w:t>收到保修通知并到达工程现场的合理时间：</w:t>
      </w:r>
      <w:r>
        <w:rPr>
          <w:rFonts w:hint="eastAsia"/>
          <w:color w:val="auto"/>
          <w:kern w:val="0"/>
          <w:szCs w:val="21"/>
          <w:highlight w:val="none"/>
          <w:u w:val="single"/>
          <w:lang w:val="en-US" w:eastAsia="zh-CN"/>
        </w:rPr>
        <w:t xml:space="preserve">      </w:t>
      </w:r>
      <w:r>
        <w:rPr>
          <w:color w:val="auto"/>
          <w:kern w:val="0"/>
          <w:szCs w:val="21"/>
          <w:highlight w:val="none"/>
        </w:rPr>
        <w:t>。</w:t>
      </w:r>
    </w:p>
    <w:p>
      <w:pPr>
        <w:pStyle w:val="7"/>
        <w:tabs>
          <w:tab w:val="left" w:pos="142"/>
          <w:tab w:val="left" w:pos="993"/>
          <w:tab w:val="left" w:pos="1418"/>
          <w:tab w:val="left" w:pos="1560"/>
        </w:tabs>
        <w:spacing w:before="0" w:after="0" w:line="360" w:lineRule="exact"/>
        <w:ind w:firstLine="422" w:firstLineChars="200"/>
        <w:rPr>
          <w:rFonts w:ascii="Times New Roman" w:hAnsi="Times New Roman"/>
          <w:color w:val="auto"/>
          <w:sz w:val="21"/>
          <w:szCs w:val="21"/>
          <w:highlight w:val="none"/>
        </w:rPr>
      </w:pPr>
      <w:r>
        <w:rPr>
          <w:rFonts w:ascii="Times New Roman" w:hAnsi="Times New Roman"/>
          <w:color w:val="auto"/>
          <w:sz w:val="21"/>
          <w:szCs w:val="21"/>
          <w:highlight w:val="none"/>
        </w:rPr>
        <w:t>16. 违约</w:t>
      </w:r>
    </w:p>
    <w:p>
      <w:pPr>
        <w:spacing w:line="360" w:lineRule="exact"/>
        <w:ind w:firstLine="420" w:firstLineChars="200"/>
        <w:rPr>
          <w:color w:val="auto"/>
          <w:szCs w:val="21"/>
          <w:highlight w:val="none"/>
        </w:rPr>
      </w:pPr>
      <w:r>
        <w:rPr>
          <w:color w:val="auto"/>
          <w:szCs w:val="21"/>
          <w:highlight w:val="none"/>
        </w:rPr>
        <w:t xml:space="preserve">16.1 </w:t>
      </w:r>
      <w:r>
        <w:rPr>
          <w:rFonts w:hint="eastAsia"/>
          <w:color w:val="auto"/>
          <w:szCs w:val="21"/>
          <w:highlight w:val="none"/>
        </w:rPr>
        <w:t>甲方</w:t>
      </w:r>
      <w:r>
        <w:rPr>
          <w:color w:val="auto"/>
          <w:szCs w:val="21"/>
          <w:highlight w:val="none"/>
        </w:rPr>
        <w:t>违约</w:t>
      </w:r>
    </w:p>
    <w:p>
      <w:pPr>
        <w:spacing w:line="360" w:lineRule="exact"/>
        <w:ind w:firstLine="420" w:firstLineChars="200"/>
        <w:rPr>
          <w:color w:val="auto"/>
          <w:szCs w:val="21"/>
          <w:highlight w:val="none"/>
        </w:rPr>
      </w:pPr>
      <w:r>
        <w:rPr>
          <w:color w:val="auto"/>
          <w:szCs w:val="21"/>
          <w:highlight w:val="none"/>
        </w:rPr>
        <w:t>16.1.1</w:t>
      </w:r>
      <w:r>
        <w:rPr>
          <w:rFonts w:hint="eastAsia"/>
          <w:color w:val="auto"/>
          <w:szCs w:val="21"/>
          <w:highlight w:val="none"/>
        </w:rPr>
        <w:t>甲方</w:t>
      </w:r>
      <w:r>
        <w:rPr>
          <w:color w:val="auto"/>
          <w:szCs w:val="21"/>
          <w:highlight w:val="none"/>
        </w:rPr>
        <w:t>违约的情形</w:t>
      </w:r>
    </w:p>
    <w:p>
      <w:pPr>
        <w:spacing w:line="360" w:lineRule="exact"/>
        <w:ind w:firstLine="420" w:firstLineChars="200"/>
        <w:rPr>
          <w:color w:val="auto"/>
          <w:kern w:val="0"/>
          <w:szCs w:val="21"/>
          <w:highlight w:val="none"/>
        </w:rPr>
      </w:pPr>
      <w:r>
        <w:rPr>
          <w:rFonts w:hint="eastAsia"/>
          <w:color w:val="auto"/>
          <w:kern w:val="0"/>
          <w:szCs w:val="21"/>
          <w:highlight w:val="none"/>
        </w:rPr>
        <w:t>甲方</w:t>
      </w:r>
      <w:r>
        <w:rPr>
          <w:color w:val="auto"/>
          <w:kern w:val="0"/>
          <w:szCs w:val="21"/>
          <w:highlight w:val="none"/>
        </w:rPr>
        <w:t>违约的其他情形：</w:t>
      </w:r>
      <w:r>
        <w:rPr>
          <w:rFonts w:hint="eastAsia"/>
          <w:color w:val="auto"/>
          <w:kern w:val="0"/>
          <w:szCs w:val="21"/>
          <w:highlight w:val="none"/>
          <w:u w:val="single"/>
        </w:rPr>
        <w:t>/</w:t>
      </w:r>
      <w:r>
        <w:rPr>
          <w:color w:val="auto"/>
          <w:kern w:val="0"/>
          <w:szCs w:val="21"/>
          <w:highlight w:val="none"/>
        </w:rPr>
        <w:t>。</w:t>
      </w:r>
    </w:p>
    <w:p>
      <w:pPr>
        <w:spacing w:line="360" w:lineRule="exact"/>
        <w:ind w:firstLine="420" w:firstLineChars="200"/>
        <w:rPr>
          <w:color w:val="auto"/>
          <w:kern w:val="0"/>
          <w:szCs w:val="21"/>
          <w:highlight w:val="none"/>
        </w:rPr>
      </w:pPr>
      <w:r>
        <w:rPr>
          <w:color w:val="auto"/>
          <w:kern w:val="0"/>
          <w:szCs w:val="21"/>
          <w:highlight w:val="none"/>
        </w:rPr>
        <w:t xml:space="preserve">16.1.2 </w:t>
      </w:r>
      <w:r>
        <w:rPr>
          <w:rFonts w:hint="eastAsia"/>
          <w:color w:val="auto"/>
          <w:kern w:val="0"/>
          <w:szCs w:val="21"/>
          <w:highlight w:val="none"/>
        </w:rPr>
        <w:t>甲方</w:t>
      </w:r>
      <w:r>
        <w:rPr>
          <w:color w:val="auto"/>
          <w:kern w:val="0"/>
          <w:szCs w:val="21"/>
          <w:highlight w:val="none"/>
        </w:rPr>
        <w:t>违约的责任</w:t>
      </w:r>
    </w:p>
    <w:p>
      <w:pPr>
        <w:spacing w:line="360" w:lineRule="exact"/>
        <w:ind w:firstLine="420" w:firstLineChars="200"/>
        <w:rPr>
          <w:color w:val="auto"/>
          <w:kern w:val="0"/>
          <w:szCs w:val="21"/>
          <w:highlight w:val="none"/>
        </w:rPr>
      </w:pPr>
      <w:r>
        <w:rPr>
          <w:rFonts w:hint="eastAsia"/>
          <w:color w:val="auto"/>
          <w:kern w:val="0"/>
          <w:szCs w:val="21"/>
          <w:highlight w:val="none"/>
        </w:rPr>
        <w:t>甲方</w:t>
      </w:r>
      <w:r>
        <w:rPr>
          <w:color w:val="auto"/>
          <w:kern w:val="0"/>
          <w:szCs w:val="21"/>
          <w:highlight w:val="none"/>
        </w:rPr>
        <w:t>违约责任的承担方式和计算方法：</w:t>
      </w:r>
    </w:p>
    <w:p>
      <w:pPr>
        <w:spacing w:line="360" w:lineRule="exact"/>
        <w:ind w:firstLine="420" w:firstLineChars="200"/>
        <w:rPr>
          <w:color w:val="auto"/>
          <w:kern w:val="0"/>
          <w:szCs w:val="21"/>
          <w:highlight w:val="none"/>
          <w:u w:val="single"/>
        </w:rPr>
      </w:pPr>
      <w:r>
        <w:rPr>
          <w:color w:val="auto"/>
          <w:kern w:val="0"/>
          <w:szCs w:val="21"/>
          <w:highlight w:val="none"/>
        </w:rPr>
        <w:t>（1）因</w:t>
      </w:r>
      <w:r>
        <w:rPr>
          <w:rFonts w:hint="eastAsia"/>
          <w:color w:val="auto"/>
          <w:kern w:val="0"/>
          <w:szCs w:val="21"/>
          <w:highlight w:val="none"/>
        </w:rPr>
        <w:t>甲方</w:t>
      </w:r>
      <w:r>
        <w:rPr>
          <w:color w:val="auto"/>
          <w:kern w:val="0"/>
          <w:szCs w:val="21"/>
          <w:highlight w:val="none"/>
        </w:rPr>
        <w:t>原因未能在计划开工日期前7天内下达开工通知的违约责任：</w:t>
      </w:r>
      <w:r>
        <w:rPr>
          <w:rFonts w:hint="eastAsia"/>
          <w:color w:val="auto"/>
          <w:kern w:val="0"/>
          <w:szCs w:val="21"/>
          <w:highlight w:val="none"/>
          <w:u w:val="single"/>
        </w:rPr>
        <w:t>开始计算第7天后乙方已进场施工设备租赁费及施工人员误工费</w:t>
      </w:r>
      <w:r>
        <w:rPr>
          <w:color w:val="auto"/>
          <w:kern w:val="0"/>
          <w:szCs w:val="21"/>
          <w:highlight w:val="none"/>
        </w:rPr>
        <w:t>。</w:t>
      </w:r>
    </w:p>
    <w:p>
      <w:pPr>
        <w:spacing w:line="360" w:lineRule="exact"/>
        <w:ind w:firstLine="420" w:firstLineChars="200"/>
        <w:rPr>
          <w:color w:val="auto"/>
          <w:kern w:val="0"/>
          <w:szCs w:val="21"/>
          <w:highlight w:val="none"/>
          <w:u w:val="single"/>
        </w:rPr>
      </w:pPr>
      <w:r>
        <w:rPr>
          <w:rFonts w:hint="eastAsia"/>
          <w:color w:val="auto"/>
          <w:kern w:val="0"/>
          <w:szCs w:val="21"/>
          <w:highlight w:val="none"/>
        </w:rPr>
        <w:t>（2）</w:t>
      </w:r>
      <w:r>
        <w:rPr>
          <w:color w:val="auto"/>
          <w:kern w:val="0"/>
          <w:szCs w:val="21"/>
          <w:highlight w:val="none"/>
        </w:rPr>
        <w:t>因</w:t>
      </w:r>
      <w:r>
        <w:rPr>
          <w:rFonts w:hint="eastAsia"/>
          <w:color w:val="auto"/>
          <w:kern w:val="0"/>
          <w:szCs w:val="21"/>
          <w:highlight w:val="none"/>
        </w:rPr>
        <w:t>甲方</w:t>
      </w:r>
      <w:r>
        <w:rPr>
          <w:color w:val="auto"/>
          <w:kern w:val="0"/>
          <w:szCs w:val="21"/>
          <w:highlight w:val="none"/>
        </w:rPr>
        <w:t>原因未能按合同约定支付合同价款的违约责任：</w:t>
      </w:r>
      <w:r>
        <w:rPr>
          <w:rFonts w:hint="eastAsia"/>
          <w:color w:val="auto"/>
          <w:kern w:val="0"/>
          <w:szCs w:val="21"/>
          <w:highlight w:val="none"/>
          <w:u w:val="single"/>
        </w:rPr>
        <w:t>支付违约金，按逾期付款金额万分之五每日</w:t>
      </w:r>
    </w:p>
    <w:p>
      <w:pPr>
        <w:spacing w:line="360" w:lineRule="exact"/>
        <w:ind w:firstLine="420" w:firstLineChars="200"/>
        <w:rPr>
          <w:color w:val="auto"/>
          <w:kern w:val="0"/>
          <w:szCs w:val="21"/>
          <w:highlight w:val="none"/>
        </w:rPr>
      </w:pPr>
      <w:r>
        <w:rPr>
          <w:color w:val="auto"/>
          <w:kern w:val="0"/>
          <w:szCs w:val="21"/>
          <w:highlight w:val="none"/>
        </w:rPr>
        <w:t>（3）</w:t>
      </w:r>
      <w:r>
        <w:rPr>
          <w:rFonts w:hint="eastAsia"/>
          <w:color w:val="auto"/>
          <w:kern w:val="0"/>
          <w:szCs w:val="21"/>
          <w:highlight w:val="none"/>
        </w:rPr>
        <w:t>甲方</w:t>
      </w:r>
      <w:r>
        <w:rPr>
          <w:color w:val="auto"/>
          <w:kern w:val="0"/>
          <w:szCs w:val="21"/>
          <w:highlight w:val="none"/>
        </w:rPr>
        <w:t>违反第10.1款</w:t>
      </w:r>
      <w:r>
        <w:rPr>
          <w:rFonts w:hint="eastAsia"/>
          <w:color w:val="auto"/>
          <w:kern w:val="0"/>
          <w:szCs w:val="21"/>
          <w:highlight w:val="none"/>
        </w:rPr>
        <w:t>〔</w:t>
      </w:r>
      <w:r>
        <w:rPr>
          <w:color w:val="auto"/>
          <w:kern w:val="0"/>
          <w:szCs w:val="21"/>
          <w:highlight w:val="none"/>
        </w:rPr>
        <w:t>变更的范围</w:t>
      </w:r>
      <w:r>
        <w:rPr>
          <w:rFonts w:hint="eastAsia"/>
          <w:color w:val="auto"/>
          <w:kern w:val="0"/>
          <w:szCs w:val="21"/>
          <w:highlight w:val="none"/>
        </w:rPr>
        <w:t>〕</w:t>
      </w:r>
      <w:r>
        <w:rPr>
          <w:color w:val="auto"/>
          <w:kern w:val="0"/>
          <w:szCs w:val="21"/>
          <w:highlight w:val="none"/>
        </w:rPr>
        <w:t>第（2）项约定，自行实施被取消的工作或转由他人实施的违约责任：</w:t>
      </w:r>
      <w:r>
        <w:rPr>
          <w:rFonts w:hint="eastAsia"/>
          <w:color w:val="auto"/>
          <w:kern w:val="0"/>
          <w:szCs w:val="21"/>
          <w:highlight w:val="none"/>
          <w:u w:val="single"/>
        </w:rPr>
        <w:t xml:space="preserve">  /     </w:t>
      </w:r>
      <w:r>
        <w:rPr>
          <w:color w:val="auto"/>
          <w:kern w:val="0"/>
          <w:szCs w:val="21"/>
          <w:highlight w:val="none"/>
        </w:rPr>
        <w:t>。</w:t>
      </w:r>
    </w:p>
    <w:p>
      <w:pPr>
        <w:spacing w:line="360" w:lineRule="exact"/>
        <w:ind w:firstLine="420" w:firstLineChars="200"/>
        <w:rPr>
          <w:color w:val="auto"/>
          <w:kern w:val="0"/>
          <w:szCs w:val="21"/>
          <w:highlight w:val="none"/>
        </w:rPr>
      </w:pPr>
      <w:r>
        <w:rPr>
          <w:color w:val="auto"/>
          <w:kern w:val="0"/>
          <w:szCs w:val="21"/>
          <w:highlight w:val="none"/>
        </w:rPr>
        <w:t>（</w:t>
      </w:r>
      <w:r>
        <w:rPr>
          <w:rFonts w:hint="eastAsia"/>
          <w:color w:val="auto"/>
          <w:kern w:val="0"/>
          <w:szCs w:val="21"/>
          <w:highlight w:val="none"/>
        </w:rPr>
        <w:t>4</w:t>
      </w:r>
      <w:r>
        <w:rPr>
          <w:color w:val="auto"/>
          <w:kern w:val="0"/>
          <w:szCs w:val="21"/>
          <w:highlight w:val="none"/>
        </w:rPr>
        <w:t>）因</w:t>
      </w:r>
      <w:r>
        <w:rPr>
          <w:rFonts w:hint="eastAsia"/>
          <w:color w:val="auto"/>
          <w:kern w:val="0"/>
          <w:szCs w:val="21"/>
          <w:highlight w:val="none"/>
        </w:rPr>
        <w:t>甲方</w:t>
      </w:r>
      <w:r>
        <w:rPr>
          <w:color w:val="auto"/>
          <w:kern w:val="0"/>
          <w:szCs w:val="21"/>
          <w:highlight w:val="none"/>
        </w:rPr>
        <w:t>违反合同约定造成暂停施工的违约责任：</w:t>
      </w:r>
      <w:r>
        <w:rPr>
          <w:rFonts w:hint="eastAsia"/>
          <w:color w:val="auto"/>
          <w:kern w:val="0"/>
          <w:szCs w:val="21"/>
          <w:highlight w:val="none"/>
          <w:u w:val="single"/>
        </w:rPr>
        <w:t xml:space="preserve"> /    </w:t>
      </w:r>
      <w:r>
        <w:rPr>
          <w:color w:val="auto"/>
          <w:kern w:val="0"/>
          <w:szCs w:val="21"/>
          <w:highlight w:val="none"/>
        </w:rPr>
        <w:t>。</w:t>
      </w:r>
    </w:p>
    <w:p>
      <w:pPr>
        <w:spacing w:line="360" w:lineRule="exact"/>
        <w:ind w:left="420" w:leftChars="200"/>
        <w:rPr>
          <w:color w:val="auto"/>
          <w:kern w:val="0"/>
          <w:szCs w:val="21"/>
          <w:highlight w:val="none"/>
        </w:rPr>
      </w:pPr>
      <w:r>
        <w:rPr>
          <w:color w:val="auto"/>
          <w:kern w:val="0"/>
          <w:szCs w:val="21"/>
          <w:highlight w:val="none"/>
        </w:rPr>
        <w:t>（</w:t>
      </w:r>
      <w:r>
        <w:rPr>
          <w:rFonts w:hint="eastAsia"/>
          <w:color w:val="auto"/>
          <w:kern w:val="0"/>
          <w:szCs w:val="21"/>
          <w:highlight w:val="none"/>
        </w:rPr>
        <w:t>5</w:t>
      </w:r>
      <w:r>
        <w:rPr>
          <w:color w:val="auto"/>
          <w:kern w:val="0"/>
          <w:szCs w:val="21"/>
          <w:highlight w:val="none"/>
        </w:rPr>
        <w:t>）</w:t>
      </w:r>
      <w:r>
        <w:rPr>
          <w:rFonts w:hint="eastAsia"/>
          <w:color w:val="auto"/>
          <w:kern w:val="0"/>
          <w:szCs w:val="21"/>
          <w:highlight w:val="none"/>
        </w:rPr>
        <w:t>甲方</w:t>
      </w:r>
      <w:r>
        <w:rPr>
          <w:color w:val="auto"/>
          <w:kern w:val="0"/>
          <w:szCs w:val="21"/>
          <w:highlight w:val="none"/>
        </w:rPr>
        <w:t>无正当理由没有在约定期限内发出复工指示，导致</w:t>
      </w:r>
      <w:r>
        <w:rPr>
          <w:rFonts w:hint="eastAsia"/>
          <w:color w:val="auto"/>
          <w:kern w:val="0"/>
          <w:szCs w:val="21"/>
          <w:highlight w:val="none"/>
        </w:rPr>
        <w:t>乙方</w:t>
      </w:r>
      <w:r>
        <w:rPr>
          <w:color w:val="auto"/>
          <w:kern w:val="0"/>
          <w:szCs w:val="21"/>
          <w:highlight w:val="none"/>
        </w:rPr>
        <w:t>无法复工的违约责任：</w:t>
      </w:r>
      <w:r>
        <w:rPr>
          <w:rFonts w:hint="eastAsia"/>
          <w:color w:val="auto"/>
          <w:kern w:val="0"/>
          <w:szCs w:val="21"/>
          <w:highlight w:val="none"/>
          <w:u w:val="single"/>
        </w:rPr>
        <w:t xml:space="preserve"> /</w:t>
      </w:r>
      <w:r>
        <w:rPr>
          <w:color w:val="auto"/>
          <w:kern w:val="0"/>
          <w:szCs w:val="21"/>
          <w:highlight w:val="none"/>
        </w:rPr>
        <w:t>。</w:t>
      </w:r>
    </w:p>
    <w:p>
      <w:pPr>
        <w:spacing w:line="360" w:lineRule="exact"/>
        <w:ind w:firstLine="420" w:firstLineChars="200"/>
        <w:rPr>
          <w:color w:val="auto"/>
          <w:kern w:val="0"/>
          <w:szCs w:val="21"/>
          <w:highlight w:val="none"/>
        </w:rPr>
      </w:pPr>
      <w:r>
        <w:rPr>
          <w:color w:val="auto"/>
          <w:kern w:val="0"/>
          <w:szCs w:val="21"/>
          <w:highlight w:val="none"/>
        </w:rPr>
        <w:t>（</w:t>
      </w:r>
      <w:r>
        <w:rPr>
          <w:rFonts w:hint="eastAsia"/>
          <w:color w:val="auto"/>
          <w:kern w:val="0"/>
          <w:szCs w:val="21"/>
          <w:highlight w:val="none"/>
        </w:rPr>
        <w:t>6</w:t>
      </w:r>
      <w:r>
        <w:rPr>
          <w:color w:val="auto"/>
          <w:kern w:val="0"/>
          <w:szCs w:val="21"/>
          <w:highlight w:val="none"/>
        </w:rPr>
        <w:t>）</w:t>
      </w:r>
      <w:r>
        <w:rPr>
          <w:rFonts w:hint="eastAsia"/>
          <w:color w:val="auto"/>
          <w:kern w:val="0"/>
          <w:szCs w:val="21"/>
          <w:highlight w:val="none"/>
        </w:rPr>
        <w:t>其他：</w:t>
      </w:r>
      <w:r>
        <w:rPr>
          <w:rFonts w:hint="eastAsia"/>
          <w:color w:val="auto"/>
          <w:kern w:val="0"/>
          <w:szCs w:val="21"/>
          <w:highlight w:val="none"/>
          <w:u w:val="single"/>
        </w:rPr>
        <w:t xml:space="preserve">/ </w:t>
      </w:r>
      <w:r>
        <w:rPr>
          <w:color w:val="auto"/>
          <w:kern w:val="0"/>
          <w:szCs w:val="21"/>
          <w:highlight w:val="none"/>
        </w:rPr>
        <w:t>。</w:t>
      </w:r>
    </w:p>
    <w:p>
      <w:pPr>
        <w:spacing w:line="360" w:lineRule="exact"/>
        <w:ind w:firstLine="420" w:firstLineChars="200"/>
        <w:rPr>
          <w:color w:val="auto"/>
          <w:szCs w:val="21"/>
          <w:highlight w:val="none"/>
        </w:rPr>
      </w:pPr>
      <w:r>
        <w:rPr>
          <w:color w:val="auto"/>
          <w:szCs w:val="21"/>
          <w:highlight w:val="none"/>
        </w:rPr>
        <w:t>16.1.3 因</w:t>
      </w:r>
      <w:r>
        <w:rPr>
          <w:rFonts w:hint="eastAsia"/>
          <w:color w:val="auto"/>
          <w:szCs w:val="21"/>
          <w:highlight w:val="none"/>
        </w:rPr>
        <w:t>甲方</w:t>
      </w:r>
      <w:r>
        <w:rPr>
          <w:color w:val="auto"/>
          <w:szCs w:val="21"/>
          <w:highlight w:val="none"/>
        </w:rPr>
        <w:t>违约解除合同</w:t>
      </w:r>
    </w:p>
    <w:p>
      <w:pPr>
        <w:autoSpaceDE w:val="0"/>
        <w:autoSpaceDN w:val="0"/>
        <w:adjustRightInd w:val="0"/>
        <w:spacing w:line="360" w:lineRule="exact"/>
        <w:ind w:firstLine="420" w:firstLineChars="200"/>
        <w:rPr>
          <w:color w:val="auto"/>
          <w:kern w:val="0"/>
          <w:szCs w:val="21"/>
          <w:highlight w:val="none"/>
        </w:rPr>
      </w:pPr>
      <w:r>
        <w:rPr>
          <w:rFonts w:hint="eastAsia"/>
          <w:color w:val="auto"/>
          <w:kern w:val="0"/>
          <w:szCs w:val="21"/>
          <w:highlight w:val="none"/>
        </w:rPr>
        <w:t>乙方</w:t>
      </w:r>
      <w:r>
        <w:rPr>
          <w:color w:val="auto"/>
          <w:kern w:val="0"/>
          <w:szCs w:val="21"/>
          <w:highlight w:val="none"/>
        </w:rPr>
        <w:t>按16.1.1项</w:t>
      </w:r>
      <w:r>
        <w:rPr>
          <w:rFonts w:hint="eastAsia"/>
          <w:color w:val="auto"/>
          <w:kern w:val="0"/>
          <w:szCs w:val="21"/>
          <w:highlight w:val="none"/>
        </w:rPr>
        <w:t>〔甲方</w:t>
      </w:r>
      <w:r>
        <w:rPr>
          <w:color w:val="auto"/>
          <w:kern w:val="0"/>
          <w:szCs w:val="21"/>
          <w:highlight w:val="none"/>
        </w:rPr>
        <w:t>违约的情形</w:t>
      </w:r>
      <w:r>
        <w:rPr>
          <w:rFonts w:hint="eastAsia"/>
          <w:color w:val="auto"/>
          <w:kern w:val="0"/>
          <w:szCs w:val="21"/>
          <w:highlight w:val="none"/>
        </w:rPr>
        <w:t>〕</w:t>
      </w:r>
      <w:r>
        <w:rPr>
          <w:color w:val="auto"/>
          <w:kern w:val="0"/>
          <w:szCs w:val="21"/>
          <w:highlight w:val="none"/>
        </w:rPr>
        <w:t>约定暂停施工满</w:t>
      </w:r>
      <w:r>
        <w:rPr>
          <w:rFonts w:hint="eastAsia"/>
          <w:color w:val="auto"/>
          <w:kern w:val="0"/>
          <w:szCs w:val="21"/>
          <w:highlight w:val="none"/>
          <w:u w:val="single"/>
        </w:rPr>
        <w:t>/</w:t>
      </w:r>
      <w:r>
        <w:rPr>
          <w:color w:val="auto"/>
          <w:kern w:val="0"/>
          <w:szCs w:val="21"/>
          <w:highlight w:val="none"/>
        </w:rPr>
        <w:t>天后</w:t>
      </w:r>
      <w:r>
        <w:rPr>
          <w:rFonts w:hint="eastAsia"/>
          <w:color w:val="auto"/>
          <w:kern w:val="0"/>
          <w:szCs w:val="21"/>
          <w:highlight w:val="none"/>
        </w:rPr>
        <w:t>甲方</w:t>
      </w:r>
      <w:r>
        <w:rPr>
          <w:color w:val="auto"/>
          <w:kern w:val="0"/>
          <w:szCs w:val="21"/>
          <w:highlight w:val="none"/>
        </w:rPr>
        <w:t>仍不纠正其违约行为并致使合同目的不能实现的，</w:t>
      </w:r>
      <w:r>
        <w:rPr>
          <w:rFonts w:hint="eastAsia"/>
          <w:color w:val="auto"/>
          <w:kern w:val="0"/>
          <w:szCs w:val="21"/>
          <w:highlight w:val="none"/>
        </w:rPr>
        <w:t>乙方</w:t>
      </w:r>
      <w:r>
        <w:rPr>
          <w:color w:val="auto"/>
          <w:kern w:val="0"/>
          <w:szCs w:val="21"/>
          <w:highlight w:val="none"/>
        </w:rPr>
        <w:t>有权解除合同。</w:t>
      </w:r>
    </w:p>
    <w:p>
      <w:pPr>
        <w:spacing w:line="360" w:lineRule="exact"/>
        <w:ind w:firstLine="420" w:firstLineChars="200"/>
        <w:rPr>
          <w:color w:val="auto"/>
          <w:szCs w:val="21"/>
          <w:highlight w:val="none"/>
        </w:rPr>
      </w:pPr>
      <w:r>
        <w:rPr>
          <w:color w:val="auto"/>
          <w:szCs w:val="21"/>
          <w:highlight w:val="none"/>
        </w:rPr>
        <w:t xml:space="preserve">16.2 </w:t>
      </w:r>
      <w:r>
        <w:rPr>
          <w:rFonts w:hint="eastAsia"/>
          <w:color w:val="auto"/>
          <w:szCs w:val="21"/>
          <w:highlight w:val="none"/>
        </w:rPr>
        <w:t>乙方</w:t>
      </w:r>
      <w:r>
        <w:rPr>
          <w:color w:val="auto"/>
          <w:szCs w:val="21"/>
          <w:highlight w:val="none"/>
        </w:rPr>
        <w:t>违约</w:t>
      </w:r>
    </w:p>
    <w:p>
      <w:pPr>
        <w:spacing w:line="360" w:lineRule="exact"/>
        <w:ind w:firstLine="420" w:firstLineChars="200"/>
        <w:rPr>
          <w:color w:val="auto"/>
          <w:kern w:val="0"/>
          <w:szCs w:val="21"/>
          <w:highlight w:val="none"/>
        </w:rPr>
      </w:pPr>
      <w:r>
        <w:rPr>
          <w:color w:val="auto"/>
          <w:kern w:val="0"/>
          <w:szCs w:val="21"/>
          <w:highlight w:val="none"/>
        </w:rPr>
        <w:t xml:space="preserve">16.2.1 </w:t>
      </w:r>
      <w:r>
        <w:rPr>
          <w:rFonts w:hint="eastAsia"/>
          <w:color w:val="auto"/>
          <w:kern w:val="0"/>
          <w:szCs w:val="21"/>
          <w:highlight w:val="none"/>
        </w:rPr>
        <w:t>乙方</w:t>
      </w:r>
      <w:r>
        <w:rPr>
          <w:color w:val="auto"/>
          <w:kern w:val="0"/>
          <w:szCs w:val="21"/>
          <w:highlight w:val="none"/>
        </w:rPr>
        <w:t>违约的情形</w:t>
      </w:r>
    </w:p>
    <w:p>
      <w:pPr>
        <w:spacing w:line="360" w:lineRule="auto"/>
        <w:ind w:firstLine="420" w:firstLineChars="200"/>
        <w:jc w:val="left"/>
        <w:rPr>
          <w:color w:val="auto"/>
          <w:kern w:val="0"/>
          <w:szCs w:val="21"/>
          <w:highlight w:val="none"/>
        </w:rPr>
      </w:pPr>
      <w:r>
        <w:rPr>
          <w:rFonts w:hint="eastAsia"/>
          <w:color w:val="auto"/>
          <w:kern w:val="0"/>
          <w:szCs w:val="21"/>
          <w:highlight w:val="none"/>
        </w:rPr>
        <w:t>乙方</w:t>
      </w:r>
      <w:r>
        <w:rPr>
          <w:color w:val="auto"/>
          <w:kern w:val="0"/>
          <w:szCs w:val="21"/>
          <w:highlight w:val="none"/>
        </w:rPr>
        <w:t>违约的其他情形：</w:t>
      </w:r>
    </w:p>
    <w:p>
      <w:pPr>
        <w:spacing w:line="360" w:lineRule="exact"/>
        <w:ind w:firstLine="420" w:firstLineChars="200"/>
        <w:rPr>
          <w:color w:val="auto"/>
          <w:szCs w:val="21"/>
          <w:highlight w:val="none"/>
          <w:u w:val="single"/>
        </w:rPr>
      </w:pPr>
      <w:r>
        <w:rPr>
          <w:rFonts w:hint="eastAsia"/>
          <w:color w:val="auto"/>
          <w:kern w:val="0"/>
          <w:szCs w:val="21"/>
          <w:highlight w:val="none"/>
        </w:rPr>
        <w:t>1</w:t>
      </w:r>
      <w:r>
        <w:rPr>
          <w:rFonts w:hint="eastAsia"/>
          <w:color w:val="auto"/>
          <w:kern w:val="0"/>
          <w:szCs w:val="21"/>
          <w:highlight w:val="none"/>
          <w:u w:val="single"/>
        </w:rPr>
        <w:t>、</w:t>
      </w:r>
      <w:r>
        <w:rPr>
          <w:rFonts w:hint="eastAsia"/>
          <w:color w:val="auto"/>
          <w:szCs w:val="21"/>
          <w:highlight w:val="none"/>
          <w:u w:val="single"/>
        </w:rPr>
        <w:t>机械设备、施工项目班子未按投标承诺及时到位；</w:t>
      </w:r>
    </w:p>
    <w:p>
      <w:pPr>
        <w:spacing w:line="360" w:lineRule="exact"/>
        <w:ind w:firstLine="420" w:firstLineChars="200"/>
        <w:rPr>
          <w:color w:val="auto"/>
          <w:szCs w:val="21"/>
          <w:highlight w:val="none"/>
          <w:u w:val="single"/>
        </w:rPr>
      </w:pPr>
      <w:r>
        <w:rPr>
          <w:rFonts w:hint="eastAsia"/>
          <w:color w:val="auto"/>
          <w:szCs w:val="21"/>
          <w:highlight w:val="none"/>
        </w:rPr>
        <w:t>2</w:t>
      </w:r>
      <w:r>
        <w:rPr>
          <w:rFonts w:hint="eastAsia"/>
          <w:color w:val="auto"/>
          <w:szCs w:val="21"/>
          <w:highlight w:val="none"/>
          <w:u w:val="single"/>
        </w:rPr>
        <w:t>、本项目在实施过程中，如乙方的施工队伍素质、力量、现场管理班子、现场安全文明施工不符合投标书的承诺，造成现场管理混乱、项目质量和进度达不到投标所承诺的要求；</w:t>
      </w:r>
    </w:p>
    <w:p>
      <w:pPr>
        <w:spacing w:line="360" w:lineRule="exact"/>
        <w:ind w:firstLine="420" w:firstLineChars="200"/>
        <w:rPr>
          <w:color w:val="auto"/>
          <w:kern w:val="0"/>
          <w:szCs w:val="21"/>
          <w:highlight w:val="none"/>
        </w:rPr>
      </w:pPr>
      <w:r>
        <w:rPr>
          <w:rFonts w:hint="eastAsia"/>
          <w:color w:val="auto"/>
          <w:szCs w:val="21"/>
          <w:highlight w:val="none"/>
        </w:rPr>
        <w:t>3</w:t>
      </w:r>
      <w:r>
        <w:rPr>
          <w:rFonts w:hint="eastAsia"/>
          <w:color w:val="auto"/>
          <w:szCs w:val="21"/>
          <w:highlight w:val="none"/>
          <w:u w:val="single"/>
        </w:rPr>
        <w:t>、乙方允许其他人挂靠经营、私自转包</w:t>
      </w:r>
      <w:r>
        <w:rPr>
          <w:rFonts w:hint="eastAsia"/>
          <w:color w:val="auto"/>
          <w:kern w:val="0"/>
          <w:szCs w:val="21"/>
          <w:highlight w:val="none"/>
        </w:rPr>
        <w:t>；</w:t>
      </w:r>
    </w:p>
    <w:p>
      <w:pPr>
        <w:spacing w:line="360" w:lineRule="exact"/>
        <w:ind w:firstLine="420" w:firstLineChars="200"/>
        <w:rPr>
          <w:color w:val="auto"/>
          <w:kern w:val="0"/>
          <w:szCs w:val="21"/>
          <w:highlight w:val="none"/>
        </w:rPr>
      </w:pPr>
      <w:r>
        <w:rPr>
          <w:rFonts w:hint="eastAsia"/>
          <w:color w:val="auto"/>
          <w:kern w:val="0"/>
          <w:szCs w:val="21"/>
          <w:highlight w:val="none"/>
        </w:rPr>
        <w:t>4</w:t>
      </w:r>
      <w:r>
        <w:rPr>
          <w:rFonts w:hint="eastAsia"/>
          <w:color w:val="auto"/>
          <w:kern w:val="0"/>
          <w:szCs w:val="21"/>
          <w:highlight w:val="none"/>
          <w:u w:val="single"/>
        </w:rPr>
        <w:t>、乙方未达到投标时所承诺的诚信与技术标准。</w:t>
      </w:r>
    </w:p>
    <w:p>
      <w:pPr>
        <w:spacing w:line="360" w:lineRule="exact"/>
        <w:ind w:firstLine="420" w:firstLineChars="200"/>
        <w:rPr>
          <w:color w:val="auto"/>
          <w:kern w:val="0"/>
          <w:szCs w:val="21"/>
          <w:highlight w:val="none"/>
        </w:rPr>
      </w:pPr>
      <w:r>
        <w:rPr>
          <w:color w:val="auto"/>
          <w:kern w:val="0"/>
          <w:szCs w:val="21"/>
          <w:highlight w:val="none"/>
        </w:rPr>
        <w:t>16.2.2</w:t>
      </w:r>
      <w:r>
        <w:rPr>
          <w:rFonts w:hint="eastAsia"/>
          <w:color w:val="auto"/>
          <w:kern w:val="0"/>
          <w:szCs w:val="21"/>
          <w:highlight w:val="none"/>
        </w:rPr>
        <w:t>乙方</w:t>
      </w:r>
      <w:r>
        <w:rPr>
          <w:color w:val="auto"/>
          <w:kern w:val="0"/>
          <w:szCs w:val="21"/>
          <w:highlight w:val="none"/>
        </w:rPr>
        <w:t>违约的责任</w:t>
      </w:r>
    </w:p>
    <w:p>
      <w:pPr>
        <w:spacing w:line="360" w:lineRule="exact"/>
        <w:ind w:firstLine="525" w:firstLineChars="250"/>
        <w:rPr>
          <w:color w:val="auto"/>
          <w:kern w:val="0"/>
          <w:szCs w:val="21"/>
          <w:highlight w:val="none"/>
        </w:rPr>
      </w:pPr>
      <w:r>
        <w:rPr>
          <w:rFonts w:hint="eastAsia"/>
          <w:color w:val="auto"/>
          <w:kern w:val="0"/>
          <w:szCs w:val="21"/>
          <w:highlight w:val="none"/>
        </w:rPr>
        <w:t>乙方</w:t>
      </w:r>
      <w:r>
        <w:rPr>
          <w:color w:val="auto"/>
          <w:kern w:val="0"/>
          <w:szCs w:val="21"/>
          <w:highlight w:val="none"/>
        </w:rPr>
        <w:t>违约责任的承担方式和计算方法：</w:t>
      </w:r>
    </w:p>
    <w:p>
      <w:pPr>
        <w:spacing w:line="360" w:lineRule="exact"/>
        <w:ind w:firstLine="420" w:firstLineChars="200"/>
        <w:rPr>
          <w:color w:val="auto"/>
          <w:kern w:val="0"/>
          <w:szCs w:val="21"/>
          <w:highlight w:val="none"/>
        </w:rPr>
      </w:pPr>
      <w:r>
        <w:rPr>
          <w:color w:val="auto"/>
          <w:kern w:val="0"/>
          <w:szCs w:val="21"/>
          <w:highlight w:val="none"/>
        </w:rPr>
        <w:t>16.2.2</w:t>
      </w:r>
      <w:r>
        <w:rPr>
          <w:rFonts w:hint="eastAsia"/>
          <w:color w:val="auto"/>
          <w:kern w:val="0"/>
          <w:szCs w:val="21"/>
          <w:highlight w:val="none"/>
        </w:rPr>
        <w:t>乙方</w:t>
      </w:r>
      <w:r>
        <w:rPr>
          <w:color w:val="auto"/>
          <w:kern w:val="0"/>
          <w:szCs w:val="21"/>
          <w:highlight w:val="none"/>
        </w:rPr>
        <w:t>违约的责任</w:t>
      </w:r>
    </w:p>
    <w:p>
      <w:pPr>
        <w:spacing w:line="360" w:lineRule="exact"/>
        <w:ind w:firstLine="525" w:firstLineChars="250"/>
        <w:rPr>
          <w:color w:val="auto"/>
          <w:kern w:val="0"/>
          <w:szCs w:val="21"/>
          <w:highlight w:val="none"/>
        </w:rPr>
      </w:pPr>
      <w:r>
        <w:rPr>
          <w:rFonts w:hint="eastAsia"/>
          <w:color w:val="auto"/>
          <w:kern w:val="0"/>
          <w:szCs w:val="21"/>
          <w:highlight w:val="none"/>
        </w:rPr>
        <w:t>乙方</w:t>
      </w:r>
      <w:r>
        <w:rPr>
          <w:color w:val="auto"/>
          <w:kern w:val="0"/>
          <w:szCs w:val="21"/>
          <w:highlight w:val="none"/>
        </w:rPr>
        <w:t>违约责任的承担方式和计算方法：</w:t>
      </w:r>
    </w:p>
    <w:p>
      <w:pPr>
        <w:spacing w:line="360" w:lineRule="exact"/>
        <w:ind w:firstLine="420" w:firstLineChars="200"/>
        <w:rPr>
          <w:color w:val="auto"/>
          <w:kern w:val="0"/>
          <w:szCs w:val="21"/>
          <w:highlight w:val="none"/>
          <w:u w:val="single"/>
        </w:rPr>
      </w:pPr>
      <w:r>
        <w:rPr>
          <w:rFonts w:hint="eastAsia"/>
          <w:color w:val="auto"/>
          <w:kern w:val="0"/>
          <w:szCs w:val="21"/>
          <w:highlight w:val="none"/>
        </w:rPr>
        <w:t>▲ 1、</w:t>
      </w:r>
      <w:r>
        <w:rPr>
          <w:rFonts w:hint="eastAsia"/>
          <w:color w:val="auto"/>
          <w:szCs w:val="21"/>
          <w:highlight w:val="none"/>
          <w:u w:val="single"/>
        </w:rPr>
        <w:t>施工中发现用不合规范要求的材料，第一次扣履约保证金50000元；第二次没收全部履约保证金，甲方有权终止合同。</w:t>
      </w:r>
    </w:p>
    <w:p>
      <w:pPr>
        <w:spacing w:line="360" w:lineRule="exact"/>
        <w:ind w:firstLine="420" w:firstLineChars="200"/>
        <w:rPr>
          <w:color w:val="auto"/>
          <w:kern w:val="0"/>
          <w:szCs w:val="21"/>
          <w:highlight w:val="none"/>
          <w:u w:val="single"/>
        </w:rPr>
      </w:pPr>
      <w:r>
        <w:rPr>
          <w:rFonts w:hint="eastAsia"/>
          <w:color w:val="auto"/>
          <w:kern w:val="0"/>
          <w:szCs w:val="21"/>
          <w:highlight w:val="none"/>
        </w:rPr>
        <w:t>▲2、</w:t>
      </w:r>
      <w:r>
        <w:rPr>
          <w:rFonts w:hint="eastAsia"/>
          <w:color w:val="auto"/>
          <w:kern w:val="0"/>
          <w:szCs w:val="21"/>
          <w:highlight w:val="none"/>
          <w:u w:val="single"/>
        </w:rPr>
        <w:t>未按投标文件或投标承诺到位，每</w:t>
      </w:r>
      <w:r>
        <w:rPr>
          <w:rFonts w:hint="eastAsia"/>
          <w:color w:val="auto"/>
          <w:szCs w:val="21"/>
          <w:highlight w:val="none"/>
          <w:u w:val="single"/>
        </w:rPr>
        <w:t>发现一次</w:t>
      </w:r>
      <w:r>
        <w:rPr>
          <w:rFonts w:hint="eastAsia"/>
          <w:color w:val="auto"/>
          <w:kern w:val="0"/>
          <w:szCs w:val="21"/>
          <w:highlight w:val="none"/>
          <w:u w:val="single"/>
        </w:rPr>
        <w:t>扣除履约保证金1000元，超过3次的，甲方有权解除合同，</w:t>
      </w:r>
      <w:r>
        <w:rPr>
          <w:rFonts w:hint="eastAsia"/>
          <w:color w:val="auto"/>
          <w:szCs w:val="21"/>
          <w:highlight w:val="none"/>
          <w:u w:val="single"/>
        </w:rPr>
        <w:t>所有履约保证金归甲方</w:t>
      </w:r>
      <w:r>
        <w:rPr>
          <w:rFonts w:hint="eastAsia"/>
          <w:color w:val="auto"/>
          <w:kern w:val="0"/>
          <w:szCs w:val="21"/>
          <w:highlight w:val="none"/>
          <w:u w:val="single"/>
        </w:rPr>
        <w:t>；</w:t>
      </w:r>
    </w:p>
    <w:p>
      <w:pPr>
        <w:spacing w:line="360" w:lineRule="exact"/>
        <w:ind w:firstLine="420" w:firstLineChars="200"/>
        <w:rPr>
          <w:color w:val="auto"/>
          <w:kern w:val="0"/>
          <w:szCs w:val="21"/>
          <w:highlight w:val="none"/>
          <w:u w:val="single"/>
        </w:rPr>
      </w:pPr>
      <w:r>
        <w:rPr>
          <w:rFonts w:hint="eastAsia"/>
          <w:color w:val="auto"/>
          <w:kern w:val="0"/>
          <w:szCs w:val="21"/>
          <w:highlight w:val="none"/>
        </w:rPr>
        <w:t>▲3、</w:t>
      </w:r>
      <w:r>
        <w:rPr>
          <w:rFonts w:hint="eastAsia"/>
          <w:color w:val="auto"/>
          <w:szCs w:val="21"/>
          <w:highlight w:val="none"/>
          <w:u w:val="single"/>
        </w:rPr>
        <w:t>标线施划错误、厚度、发光度、施划质量等不满足招标要求和规范要求的，</w:t>
      </w:r>
      <w:r>
        <w:rPr>
          <w:rFonts w:hint="eastAsia"/>
          <w:color w:val="auto"/>
          <w:kern w:val="0"/>
          <w:szCs w:val="21"/>
          <w:highlight w:val="none"/>
          <w:u w:val="single"/>
        </w:rPr>
        <w:t>每</w:t>
      </w:r>
      <w:r>
        <w:rPr>
          <w:rFonts w:hint="eastAsia"/>
          <w:color w:val="auto"/>
          <w:szCs w:val="21"/>
          <w:highlight w:val="none"/>
          <w:u w:val="single"/>
        </w:rPr>
        <w:t>发现一次</w:t>
      </w:r>
      <w:r>
        <w:rPr>
          <w:rFonts w:hint="eastAsia"/>
          <w:color w:val="auto"/>
          <w:kern w:val="0"/>
          <w:szCs w:val="21"/>
          <w:highlight w:val="none"/>
          <w:u w:val="single"/>
        </w:rPr>
        <w:t>扣除履约保证金2000元，超过3次的，甲方有权解除合同，</w:t>
      </w:r>
      <w:r>
        <w:rPr>
          <w:rFonts w:hint="eastAsia"/>
          <w:color w:val="auto"/>
          <w:szCs w:val="21"/>
          <w:highlight w:val="none"/>
          <w:u w:val="single"/>
        </w:rPr>
        <w:t>所有履约保证金归</w:t>
      </w:r>
      <w:r>
        <w:rPr>
          <w:rFonts w:hint="eastAsia"/>
          <w:color w:val="auto"/>
          <w:kern w:val="0"/>
          <w:szCs w:val="21"/>
          <w:highlight w:val="none"/>
          <w:u w:val="single"/>
        </w:rPr>
        <w:t>甲方；</w:t>
      </w:r>
    </w:p>
    <w:p>
      <w:pPr>
        <w:spacing w:line="360" w:lineRule="exact"/>
        <w:ind w:firstLine="420" w:firstLineChars="200"/>
        <w:rPr>
          <w:color w:val="auto"/>
          <w:szCs w:val="21"/>
          <w:highlight w:val="none"/>
          <w:u w:val="single"/>
        </w:rPr>
      </w:pPr>
      <w:r>
        <w:rPr>
          <w:rFonts w:hint="eastAsia"/>
          <w:color w:val="auto"/>
          <w:kern w:val="0"/>
          <w:szCs w:val="21"/>
          <w:highlight w:val="none"/>
        </w:rPr>
        <w:t>3、</w:t>
      </w:r>
      <w:r>
        <w:rPr>
          <w:rFonts w:hint="eastAsia"/>
          <w:color w:val="auto"/>
          <w:szCs w:val="21"/>
          <w:highlight w:val="none"/>
          <w:u w:val="single"/>
        </w:rPr>
        <w:t>发现乙方允许其他人挂靠经营、私自转包，所有履约担保归甲方，甲方有权终止合同。</w:t>
      </w:r>
    </w:p>
    <w:p>
      <w:pPr>
        <w:spacing w:line="360" w:lineRule="exact"/>
        <w:ind w:firstLine="210" w:firstLineChars="100"/>
        <w:rPr>
          <w:color w:val="auto"/>
          <w:kern w:val="0"/>
          <w:szCs w:val="21"/>
          <w:highlight w:val="none"/>
          <w:u w:val="single"/>
        </w:rPr>
      </w:pPr>
      <w:r>
        <w:rPr>
          <w:rFonts w:hint="eastAsia"/>
          <w:color w:val="auto"/>
          <w:kern w:val="0"/>
          <w:szCs w:val="21"/>
          <w:highlight w:val="none"/>
        </w:rPr>
        <w:t xml:space="preserve"> 4、</w:t>
      </w:r>
      <w:r>
        <w:rPr>
          <w:rFonts w:hint="eastAsia"/>
          <w:color w:val="auto"/>
          <w:kern w:val="0"/>
          <w:szCs w:val="21"/>
          <w:highlight w:val="none"/>
          <w:u w:val="single"/>
        </w:rPr>
        <w:t>乙方原因造成现场管理混乱、</w:t>
      </w:r>
      <w:r>
        <w:rPr>
          <w:rFonts w:hint="eastAsia"/>
          <w:color w:val="auto"/>
          <w:szCs w:val="21"/>
          <w:highlight w:val="none"/>
          <w:u w:val="single"/>
        </w:rPr>
        <w:t>项目质量和进度达不到投标承诺的要求，超过3次的甲方有权要求乙方调整充实施工力量、更换项目班子，及至解除施工合同，所有履约保证金归甲方，并赔偿甲方损失。</w:t>
      </w:r>
    </w:p>
    <w:p>
      <w:pPr>
        <w:spacing w:line="360" w:lineRule="exact"/>
        <w:ind w:firstLine="420" w:firstLineChars="200"/>
        <w:rPr>
          <w:rFonts w:hint="eastAsia" w:ascii="Times New Roman" w:hAnsi="Times New Roman" w:eastAsia="宋体" w:cs="Times New Roman"/>
          <w:color w:val="auto"/>
          <w:szCs w:val="21"/>
          <w:highlight w:val="none"/>
          <w:u w:val="single"/>
        </w:rPr>
      </w:pPr>
      <w:r>
        <w:rPr>
          <w:rFonts w:hint="eastAsia"/>
          <w:color w:val="auto"/>
          <w:szCs w:val="21"/>
          <w:highlight w:val="none"/>
        </w:rPr>
        <w:t>5、</w:t>
      </w:r>
      <w:r>
        <w:rPr>
          <w:rFonts w:hint="eastAsia"/>
          <w:color w:val="auto"/>
          <w:kern w:val="0"/>
          <w:szCs w:val="21"/>
          <w:highlight w:val="none"/>
          <w:u w:val="single"/>
        </w:rPr>
        <w:t>因</w:t>
      </w:r>
      <w:r>
        <w:rPr>
          <w:rFonts w:hint="eastAsia" w:ascii="Times New Roman" w:hAnsi="Times New Roman" w:eastAsia="宋体" w:cs="Times New Roman"/>
          <w:color w:val="auto"/>
          <w:szCs w:val="21"/>
          <w:highlight w:val="none"/>
          <w:u w:val="single"/>
        </w:rPr>
        <w:t>乙方逾期交付货物的，乙方应按逾期交货总额千分之六每日向甲方支付违约金，由甲方从待付货款中扣除。逾期超过约定日期10个工作日不能交货的，甲方可解除本合同。因乙方逾期交货或因其他违约行为导致甲方解除合同的，没收履约保证金并追究乙方的违约责任</w:t>
      </w:r>
      <w:r>
        <w:rPr>
          <w:rFonts w:hint="eastAsia" w:ascii="Times New Roman" w:hAnsi="Times New Roman" w:eastAsia="宋体" w:cs="Times New Roman"/>
          <w:color w:val="auto"/>
          <w:szCs w:val="21"/>
          <w:highlight w:val="none"/>
          <w:u w:val="single"/>
          <w:lang w:eastAsia="zh-CN"/>
        </w:rPr>
        <w:t>，</w:t>
      </w:r>
      <w:r>
        <w:rPr>
          <w:rFonts w:hint="eastAsia" w:ascii="Times New Roman" w:hAnsi="Times New Roman" w:eastAsia="宋体" w:cs="Times New Roman"/>
          <w:color w:val="auto"/>
          <w:szCs w:val="21"/>
          <w:highlight w:val="none"/>
          <w:u w:val="single"/>
        </w:rPr>
        <w:t>乙方</w:t>
      </w:r>
      <w:r>
        <w:rPr>
          <w:rFonts w:hint="eastAsia" w:ascii="Times New Roman" w:hAnsi="Times New Roman" w:eastAsia="宋体" w:cs="Times New Roman"/>
          <w:color w:val="auto"/>
          <w:szCs w:val="21"/>
          <w:highlight w:val="none"/>
          <w:u w:val="single"/>
          <w:lang w:eastAsia="zh-CN"/>
        </w:rPr>
        <w:t>还</w:t>
      </w:r>
      <w:r>
        <w:rPr>
          <w:rFonts w:hint="eastAsia" w:ascii="Times New Roman" w:hAnsi="Times New Roman" w:eastAsia="宋体" w:cs="Times New Roman"/>
          <w:color w:val="auto"/>
          <w:szCs w:val="21"/>
          <w:highlight w:val="none"/>
          <w:u w:val="single"/>
        </w:rPr>
        <w:t>应向甲方支付合同总值</w:t>
      </w:r>
      <w:r>
        <w:rPr>
          <w:rFonts w:hint="eastAsia" w:ascii="Times New Roman" w:hAnsi="Times New Roman" w:eastAsia="宋体" w:cs="Times New Roman"/>
          <w:color w:val="auto"/>
          <w:szCs w:val="21"/>
          <w:highlight w:val="none"/>
          <w:u w:val="single"/>
          <w:lang w:val="en-US" w:eastAsia="zh-CN"/>
        </w:rPr>
        <w:t>6</w:t>
      </w:r>
      <w:r>
        <w:rPr>
          <w:rFonts w:hint="eastAsia" w:ascii="Times New Roman" w:hAnsi="Times New Roman" w:eastAsia="宋体" w:cs="Times New Roman"/>
          <w:color w:val="auto"/>
          <w:szCs w:val="21"/>
          <w:highlight w:val="none"/>
          <w:u w:val="single"/>
        </w:rPr>
        <w:t xml:space="preserve">%的违约金，如造成甲方损失超过违约金的，超出部分由乙方继续承担赔偿责任。 </w:t>
      </w:r>
    </w:p>
    <w:p>
      <w:pPr>
        <w:spacing w:line="360" w:lineRule="exact"/>
        <w:ind w:firstLine="420" w:firstLineChars="200"/>
        <w:rPr>
          <w:color w:val="auto"/>
          <w:szCs w:val="21"/>
          <w:highlight w:val="none"/>
          <w:u w:val="single"/>
        </w:rPr>
      </w:pPr>
      <w:r>
        <w:rPr>
          <w:rFonts w:hint="eastAsia"/>
          <w:color w:val="auto"/>
          <w:szCs w:val="21"/>
          <w:highlight w:val="none"/>
        </w:rPr>
        <w:t>6、</w:t>
      </w:r>
      <w:r>
        <w:rPr>
          <w:rFonts w:hint="eastAsia"/>
          <w:color w:val="auto"/>
          <w:szCs w:val="21"/>
          <w:highlight w:val="none"/>
          <w:u w:val="single"/>
        </w:rPr>
        <w:t>发现擅自改变施工内容或数量的，每发现一次扣履约保证金1000元。</w:t>
      </w:r>
    </w:p>
    <w:p>
      <w:pPr>
        <w:spacing w:line="360" w:lineRule="exact"/>
        <w:ind w:firstLine="422" w:firstLineChars="200"/>
        <w:rPr>
          <w:color w:val="auto"/>
          <w:szCs w:val="21"/>
          <w:highlight w:val="none"/>
          <w:u w:val="single"/>
        </w:rPr>
      </w:pPr>
      <w:r>
        <w:rPr>
          <w:rFonts w:hint="eastAsia"/>
          <w:b/>
          <w:color w:val="auto"/>
          <w:kern w:val="0"/>
          <w:szCs w:val="21"/>
          <w:highlight w:val="none"/>
        </w:rPr>
        <w:t>7</w:t>
      </w:r>
      <w:r>
        <w:rPr>
          <w:rFonts w:hint="eastAsia"/>
          <w:color w:val="auto"/>
          <w:szCs w:val="21"/>
          <w:highlight w:val="none"/>
          <w:u w:val="single"/>
        </w:rPr>
        <w:t>、验收时，提供的工作量清单明显不属实的、每次扣履约保证金10000元，实际工作量结算按验收时的不属实比例下浮，扣除相应的履约保证金。</w:t>
      </w:r>
    </w:p>
    <w:p>
      <w:pPr>
        <w:spacing w:line="360" w:lineRule="exact"/>
        <w:ind w:firstLine="420" w:firstLineChars="200"/>
        <w:rPr>
          <w:color w:val="auto"/>
          <w:szCs w:val="21"/>
          <w:highlight w:val="none"/>
          <w:u w:val="single"/>
        </w:rPr>
      </w:pPr>
      <w:r>
        <w:rPr>
          <w:rFonts w:hint="eastAsia"/>
          <w:color w:val="auto"/>
          <w:szCs w:val="21"/>
          <w:highlight w:val="none"/>
          <w:u w:val="single"/>
        </w:rPr>
        <w:t>8、现场安全文明施工不符合投标书承诺或规范要求的，每次扣</w:t>
      </w:r>
      <w:r>
        <w:rPr>
          <w:rFonts w:hint="eastAsia"/>
          <w:color w:val="auto"/>
          <w:kern w:val="0"/>
          <w:szCs w:val="21"/>
          <w:highlight w:val="none"/>
          <w:u w:val="single"/>
        </w:rPr>
        <w:t>履约保证金</w:t>
      </w:r>
      <w:r>
        <w:rPr>
          <w:rFonts w:hint="eastAsia"/>
          <w:color w:val="auto"/>
          <w:szCs w:val="21"/>
          <w:highlight w:val="none"/>
          <w:u w:val="single"/>
        </w:rPr>
        <w:t>500元；</w:t>
      </w:r>
    </w:p>
    <w:p>
      <w:pPr>
        <w:spacing w:line="360" w:lineRule="exact"/>
        <w:ind w:firstLine="420" w:firstLineChars="200"/>
        <w:rPr>
          <w:color w:val="auto"/>
          <w:szCs w:val="21"/>
          <w:highlight w:val="none"/>
          <w:u w:val="single"/>
        </w:rPr>
      </w:pPr>
      <w:r>
        <w:rPr>
          <w:rFonts w:hint="eastAsia"/>
          <w:color w:val="auto"/>
          <w:szCs w:val="21"/>
          <w:highlight w:val="none"/>
        </w:rPr>
        <w:t>9、</w:t>
      </w:r>
      <w:r>
        <w:rPr>
          <w:rFonts w:hint="eastAsia"/>
          <w:color w:val="auto"/>
          <w:szCs w:val="21"/>
          <w:highlight w:val="none"/>
          <w:u w:val="single"/>
        </w:rPr>
        <w:t>施工现场不规范（含高峰时间段施工）、影响交通、施工后现场不清理，扣履约保证金1000元。</w:t>
      </w:r>
    </w:p>
    <w:p>
      <w:pPr>
        <w:spacing w:line="360" w:lineRule="exact"/>
        <w:ind w:firstLine="422" w:firstLineChars="200"/>
        <w:rPr>
          <w:color w:val="auto"/>
          <w:szCs w:val="21"/>
          <w:highlight w:val="none"/>
          <w:u w:val="single"/>
        </w:rPr>
      </w:pPr>
      <w:r>
        <w:rPr>
          <w:rFonts w:hint="eastAsia"/>
          <w:b/>
          <w:bCs/>
          <w:color w:val="auto"/>
          <w:kern w:val="0"/>
          <w:szCs w:val="21"/>
          <w:highlight w:val="none"/>
          <w:u w:val="single"/>
        </w:rPr>
        <w:t>10、</w:t>
      </w:r>
      <w:r>
        <w:rPr>
          <w:rFonts w:hint="eastAsia"/>
          <w:color w:val="auto"/>
          <w:kern w:val="0"/>
          <w:szCs w:val="21"/>
          <w:highlight w:val="none"/>
          <w:u w:val="single"/>
        </w:rPr>
        <w:t>施工期间发生伤人交通事故，负同等责任以上的第一次扣除履约金10000元，第二次扣除履约金20000元，第三次甲方有权终止合同。</w:t>
      </w:r>
    </w:p>
    <w:p>
      <w:pPr>
        <w:spacing w:line="360" w:lineRule="exact"/>
        <w:ind w:firstLine="420" w:firstLineChars="200"/>
        <w:rPr>
          <w:color w:val="auto"/>
          <w:szCs w:val="21"/>
          <w:highlight w:val="none"/>
          <w:u w:val="single"/>
        </w:rPr>
      </w:pPr>
      <w:r>
        <w:rPr>
          <w:rFonts w:hint="eastAsia"/>
          <w:color w:val="auto"/>
          <w:szCs w:val="21"/>
          <w:highlight w:val="none"/>
        </w:rPr>
        <w:t>11、施工人员着装不规范、不整洁，每次扣</w:t>
      </w:r>
      <w:r>
        <w:rPr>
          <w:rFonts w:hint="eastAsia"/>
          <w:color w:val="auto"/>
          <w:kern w:val="0"/>
          <w:szCs w:val="21"/>
          <w:highlight w:val="none"/>
          <w:u w:val="single"/>
        </w:rPr>
        <w:t>履约保证金</w:t>
      </w:r>
      <w:r>
        <w:rPr>
          <w:rFonts w:hint="eastAsia"/>
          <w:color w:val="auto"/>
          <w:szCs w:val="21"/>
          <w:highlight w:val="none"/>
          <w:u w:val="single"/>
        </w:rPr>
        <w:t>500元。</w:t>
      </w:r>
    </w:p>
    <w:p>
      <w:pPr>
        <w:spacing w:line="360" w:lineRule="exact"/>
        <w:ind w:firstLine="420" w:firstLineChars="200"/>
        <w:rPr>
          <w:color w:val="auto"/>
          <w:szCs w:val="21"/>
          <w:highlight w:val="none"/>
          <w:u w:val="single"/>
        </w:rPr>
      </w:pPr>
      <w:r>
        <w:rPr>
          <w:rFonts w:hint="eastAsia"/>
          <w:color w:val="auto"/>
          <w:szCs w:val="21"/>
          <w:highlight w:val="none"/>
          <w:u w:val="single"/>
        </w:rPr>
        <w:t>12、施工人员不服从交警或监理人员指挥、管理的，</w:t>
      </w:r>
      <w:r>
        <w:rPr>
          <w:rFonts w:hint="eastAsia"/>
          <w:color w:val="auto"/>
          <w:szCs w:val="21"/>
          <w:highlight w:val="none"/>
        </w:rPr>
        <w:t>每次扣</w:t>
      </w:r>
      <w:r>
        <w:rPr>
          <w:rFonts w:hint="eastAsia"/>
          <w:color w:val="auto"/>
          <w:kern w:val="0"/>
          <w:szCs w:val="21"/>
          <w:highlight w:val="none"/>
          <w:u w:val="single"/>
        </w:rPr>
        <w:t>履约保证金</w:t>
      </w:r>
      <w:r>
        <w:rPr>
          <w:rFonts w:hint="eastAsia"/>
          <w:color w:val="auto"/>
          <w:szCs w:val="21"/>
          <w:highlight w:val="none"/>
          <w:u w:val="single"/>
        </w:rPr>
        <w:t>1000元，</w:t>
      </w:r>
      <w:r>
        <w:rPr>
          <w:rFonts w:hint="eastAsia"/>
          <w:color w:val="auto"/>
          <w:kern w:val="0"/>
          <w:szCs w:val="21"/>
          <w:highlight w:val="none"/>
          <w:u w:val="single"/>
        </w:rPr>
        <w:t>超过3次的，甲方有权解除合同，</w:t>
      </w:r>
      <w:r>
        <w:rPr>
          <w:rFonts w:hint="eastAsia"/>
          <w:color w:val="auto"/>
          <w:szCs w:val="21"/>
          <w:highlight w:val="none"/>
          <w:u w:val="single"/>
        </w:rPr>
        <w:t>所有履约保证金归甲方。</w:t>
      </w:r>
    </w:p>
    <w:p>
      <w:pPr>
        <w:spacing w:line="360" w:lineRule="exact"/>
        <w:ind w:firstLine="420" w:firstLineChars="200"/>
        <w:rPr>
          <w:color w:val="auto"/>
          <w:kern w:val="0"/>
          <w:szCs w:val="21"/>
          <w:highlight w:val="none"/>
          <w:u w:val="single"/>
        </w:rPr>
      </w:pPr>
      <w:r>
        <w:rPr>
          <w:rFonts w:hint="eastAsia"/>
          <w:color w:val="auto"/>
          <w:szCs w:val="21"/>
          <w:highlight w:val="none"/>
          <w:u w:val="single"/>
        </w:rPr>
        <w:t>13、质保期内，未按质量保修书中要求的时间进行维护的，每次扣</w:t>
      </w:r>
      <w:r>
        <w:rPr>
          <w:rFonts w:hint="eastAsia"/>
          <w:color w:val="auto"/>
          <w:kern w:val="0"/>
          <w:szCs w:val="21"/>
          <w:highlight w:val="none"/>
          <w:u w:val="single"/>
        </w:rPr>
        <w:t>履约保证金</w:t>
      </w:r>
      <w:r>
        <w:rPr>
          <w:rFonts w:hint="eastAsia"/>
          <w:color w:val="auto"/>
          <w:szCs w:val="21"/>
          <w:highlight w:val="none"/>
          <w:u w:val="single"/>
        </w:rPr>
        <w:t>1000元，超过5次的，甲方有权终止合同，所有履约保证金归甲方。</w:t>
      </w:r>
    </w:p>
    <w:p>
      <w:pPr>
        <w:spacing w:line="360" w:lineRule="exact"/>
        <w:ind w:firstLine="420" w:firstLineChars="200"/>
        <w:rPr>
          <w:color w:val="auto"/>
          <w:szCs w:val="21"/>
          <w:highlight w:val="none"/>
        </w:rPr>
      </w:pPr>
      <w:r>
        <w:rPr>
          <w:rFonts w:hint="eastAsia"/>
          <w:color w:val="auto"/>
          <w:szCs w:val="21"/>
          <w:highlight w:val="none"/>
        </w:rPr>
        <w:t>14、</w:t>
      </w:r>
      <w:r>
        <w:rPr>
          <w:rFonts w:hint="eastAsia"/>
          <w:color w:val="auto"/>
          <w:szCs w:val="21"/>
          <w:highlight w:val="none"/>
          <w:u w:val="single"/>
        </w:rPr>
        <w:t>乙方无法继续履行、明确表示不履行或实质上已停止履行合同，甲方应通知乙方解除合同，所有履约保证金归甲方。</w:t>
      </w:r>
    </w:p>
    <w:p>
      <w:pPr>
        <w:spacing w:line="360" w:lineRule="exact"/>
        <w:ind w:firstLine="420" w:firstLineChars="200"/>
        <w:rPr>
          <w:color w:val="auto"/>
          <w:szCs w:val="21"/>
          <w:highlight w:val="none"/>
        </w:rPr>
      </w:pPr>
      <w:r>
        <w:rPr>
          <w:color w:val="auto"/>
          <w:szCs w:val="21"/>
          <w:highlight w:val="none"/>
        </w:rPr>
        <w:t>16.2.3 因</w:t>
      </w:r>
      <w:r>
        <w:rPr>
          <w:rFonts w:hint="eastAsia"/>
          <w:color w:val="auto"/>
          <w:szCs w:val="21"/>
          <w:highlight w:val="none"/>
        </w:rPr>
        <w:t>乙方</w:t>
      </w:r>
      <w:r>
        <w:rPr>
          <w:color w:val="auto"/>
          <w:szCs w:val="21"/>
          <w:highlight w:val="none"/>
        </w:rPr>
        <w:t>违约解除合同</w:t>
      </w:r>
    </w:p>
    <w:p>
      <w:pPr>
        <w:spacing w:line="360" w:lineRule="exact"/>
        <w:ind w:firstLine="420" w:firstLineChars="200"/>
        <w:rPr>
          <w:color w:val="auto"/>
          <w:kern w:val="0"/>
          <w:szCs w:val="21"/>
          <w:highlight w:val="none"/>
        </w:rPr>
      </w:pPr>
      <w:r>
        <w:rPr>
          <w:color w:val="auto"/>
          <w:kern w:val="0"/>
          <w:szCs w:val="21"/>
          <w:highlight w:val="none"/>
        </w:rPr>
        <w:t>关于</w:t>
      </w:r>
      <w:r>
        <w:rPr>
          <w:rFonts w:hint="eastAsia"/>
          <w:color w:val="auto"/>
          <w:kern w:val="0"/>
          <w:szCs w:val="21"/>
          <w:highlight w:val="none"/>
        </w:rPr>
        <w:t>乙方</w:t>
      </w:r>
      <w:r>
        <w:rPr>
          <w:color w:val="auto"/>
          <w:kern w:val="0"/>
          <w:szCs w:val="21"/>
          <w:highlight w:val="none"/>
        </w:rPr>
        <w:t>违约解除合同的特别约定：</w:t>
      </w:r>
      <w:r>
        <w:rPr>
          <w:rFonts w:hint="eastAsia"/>
          <w:color w:val="auto"/>
          <w:kern w:val="0"/>
          <w:szCs w:val="21"/>
          <w:highlight w:val="none"/>
          <w:u w:val="single"/>
        </w:rPr>
        <w:t>因3.4，16.2.2（乙方</w:t>
      </w:r>
      <w:r>
        <w:rPr>
          <w:color w:val="auto"/>
          <w:kern w:val="0"/>
          <w:szCs w:val="21"/>
          <w:highlight w:val="none"/>
          <w:u w:val="single"/>
        </w:rPr>
        <w:t>违约的责任</w:t>
      </w:r>
      <w:r>
        <w:rPr>
          <w:rFonts w:hint="eastAsia"/>
          <w:color w:val="auto"/>
          <w:kern w:val="0"/>
          <w:szCs w:val="21"/>
          <w:highlight w:val="none"/>
          <w:u w:val="single"/>
        </w:rPr>
        <w:t>）造成履约保证金扣除金额超过履约保证金额20 %时或在扣除履约保证金后拒绝补齐履约保证金时，</w:t>
      </w:r>
      <w:r>
        <w:rPr>
          <w:rFonts w:hint="eastAsia"/>
          <w:color w:val="auto"/>
          <w:szCs w:val="21"/>
          <w:highlight w:val="none"/>
          <w:u w:val="single"/>
        </w:rPr>
        <w:t>所有履约保证金归甲方，</w:t>
      </w:r>
      <w:r>
        <w:rPr>
          <w:rFonts w:hint="eastAsia"/>
          <w:color w:val="auto"/>
          <w:kern w:val="0"/>
          <w:szCs w:val="21"/>
          <w:highlight w:val="none"/>
          <w:u w:val="single"/>
        </w:rPr>
        <w:t>甲方有权解除合同</w:t>
      </w:r>
      <w:r>
        <w:rPr>
          <w:color w:val="auto"/>
          <w:kern w:val="0"/>
          <w:szCs w:val="21"/>
          <w:highlight w:val="none"/>
        </w:rPr>
        <w:t>。</w:t>
      </w:r>
    </w:p>
    <w:p>
      <w:pPr>
        <w:spacing w:line="360" w:lineRule="exact"/>
        <w:ind w:firstLine="420" w:firstLineChars="200"/>
        <w:rPr>
          <w:color w:val="auto"/>
          <w:szCs w:val="21"/>
          <w:highlight w:val="none"/>
          <w:u w:val="single"/>
        </w:rPr>
      </w:pPr>
      <w:r>
        <w:rPr>
          <w:rFonts w:hint="eastAsia"/>
          <w:color w:val="auto"/>
          <w:szCs w:val="21"/>
          <w:highlight w:val="none"/>
          <w:u w:val="single"/>
        </w:rPr>
        <w:t>16.2.4 因乙方违约解除合同后的处理： 已完成的工作量如经验收合格后按实结算，如验收后不合格则必须无偿返工并扣除相应的履约保证金，同时赔偿甲方损失。</w:t>
      </w:r>
    </w:p>
    <w:p>
      <w:pPr>
        <w:pStyle w:val="7"/>
        <w:tabs>
          <w:tab w:val="left" w:pos="142"/>
          <w:tab w:val="left" w:pos="993"/>
          <w:tab w:val="left" w:pos="1418"/>
          <w:tab w:val="left" w:pos="1560"/>
        </w:tabs>
        <w:spacing w:before="0" w:after="0" w:line="360" w:lineRule="exact"/>
        <w:ind w:firstLine="422" w:firstLineChars="200"/>
        <w:rPr>
          <w:rFonts w:ascii="Times New Roman" w:hAnsi="Times New Roman" w:eastAsia="宋体"/>
          <w:b w:val="0"/>
          <w:color w:val="auto"/>
          <w:sz w:val="21"/>
          <w:szCs w:val="21"/>
          <w:highlight w:val="none"/>
        </w:rPr>
      </w:pPr>
      <w:r>
        <w:rPr>
          <w:rFonts w:ascii="Times New Roman" w:hAnsi="Times New Roman"/>
          <w:color w:val="auto"/>
          <w:sz w:val="21"/>
          <w:szCs w:val="21"/>
          <w:highlight w:val="none"/>
        </w:rPr>
        <w:t>17. 不可抗力</w:t>
      </w:r>
    </w:p>
    <w:p>
      <w:pPr>
        <w:spacing w:line="360" w:lineRule="exact"/>
        <w:ind w:firstLine="420" w:firstLineChars="200"/>
        <w:rPr>
          <w:color w:val="auto"/>
          <w:szCs w:val="21"/>
          <w:highlight w:val="none"/>
        </w:rPr>
      </w:pPr>
      <w:r>
        <w:rPr>
          <w:color w:val="auto"/>
          <w:szCs w:val="21"/>
          <w:highlight w:val="none"/>
        </w:rPr>
        <w:t>17.1 不可抗力的确认</w:t>
      </w:r>
    </w:p>
    <w:p>
      <w:pPr>
        <w:spacing w:line="360" w:lineRule="exact"/>
        <w:ind w:firstLine="420" w:firstLineChars="200"/>
        <w:rPr>
          <w:color w:val="auto"/>
          <w:kern w:val="0"/>
          <w:szCs w:val="21"/>
          <w:highlight w:val="none"/>
          <w:u w:val="single"/>
        </w:rPr>
      </w:pPr>
      <w:r>
        <w:rPr>
          <w:color w:val="auto"/>
          <w:szCs w:val="21"/>
          <w:highlight w:val="none"/>
        </w:rPr>
        <w:t>除通用合同条款约定的不可抗力事件之外，视为不可抗力的其他情形：</w:t>
      </w:r>
      <w:r>
        <w:rPr>
          <w:rFonts w:hint="eastAsia"/>
          <w:color w:val="auto"/>
          <w:kern w:val="0"/>
          <w:szCs w:val="21"/>
          <w:highlight w:val="none"/>
          <w:u w:val="single"/>
        </w:rPr>
        <w:t xml:space="preserve">遇洪水、暴风雪、政府禁令等 </w:t>
      </w:r>
      <w:r>
        <w:rPr>
          <w:color w:val="auto"/>
          <w:kern w:val="0"/>
          <w:szCs w:val="21"/>
          <w:highlight w:val="none"/>
        </w:rPr>
        <w:t>。</w:t>
      </w:r>
    </w:p>
    <w:p>
      <w:pPr>
        <w:spacing w:line="360" w:lineRule="exact"/>
        <w:ind w:firstLine="420" w:firstLineChars="200"/>
        <w:rPr>
          <w:color w:val="auto"/>
          <w:szCs w:val="21"/>
          <w:highlight w:val="none"/>
        </w:rPr>
      </w:pPr>
      <w:r>
        <w:rPr>
          <w:color w:val="auto"/>
          <w:szCs w:val="21"/>
          <w:highlight w:val="none"/>
        </w:rPr>
        <w:t>17.</w:t>
      </w:r>
      <w:r>
        <w:rPr>
          <w:rFonts w:hint="eastAsia"/>
          <w:color w:val="auto"/>
          <w:szCs w:val="21"/>
          <w:highlight w:val="none"/>
        </w:rPr>
        <w:t>2</w:t>
      </w:r>
      <w:r>
        <w:rPr>
          <w:color w:val="auto"/>
          <w:szCs w:val="21"/>
          <w:highlight w:val="none"/>
        </w:rPr>
        <w:t xml:space="preserve"> 因不可抗力解除合同</w:t>
      </w:r>
    </w:p>
    <w:p>
      <w:pPr>
        <w:spacing w:line="360" w:lineRule="exact"/>
        <w:ind w:firstLine="420" w:firstLineChars="200"/>
        <w:rPr>
          <w:color w:val="auto"/>
          <w:szCs w:val="21"/>
          <w:highlight w:val="none"/>
        </w:rPr>
      </w:pPr>
      <w:r>
        <w:rPr>
          <w:color w:val="auto"/>
          <w:szCs w:val="21"/>
          <w:highlight w:val="none"/>
        </w:rPr>
        <w:t>合同解除后，</w:t>
      </w:r>
      <w:r>
        <w:rPr>
          <w:rFonts w:hint="eastAsia"/>
          <w:color w:val="auto"/>
          <w:szCs w:val="21"/>
          <w:highlight w:val="none"/>
        </w:rPr>
        <w:t>甲方</w:t>
      </w:r>
      <w:r>
        <w:rPr>
          <w:color w:val="auto"/>
          <w:szCs w:val="21"/>
          <w:highlight w:val="none"/>
        </w:rPr>
        <w:t>应在商定或确定</w:t>
      </w:r>
      <w:r>
        <w:rPr>
          <w:rFonts w:hint="eastAsia"/>
          <w:color w:val="auto"/>
          <w:szCs w:val="21"/>
          <w:highlight w:val="none"/>
        </w:rPr>
        <w:t>甲方</w:t>
      </w:r>
      <w:r>
        <w:rPr>
          <w:color w:val="auto"/>
          <w:szCs w:val="21"/>
          <w:highlight w:val="none"/>
        </w:rPr>
        <w:t>应支付款项后</w:t>
      </w:r>
      <w:r>
        <w:rPr>
          <w:rFonts w:hint="eastAsia"/>
          <w:color w:val="auto"/>
          <w:szCs w:val="21"/>
          <w:highlight w:val="none"/>
          <w:u w:val="single"/>
        </w:rPr>
        <w:t>30</w:t>
      </w:r>
      <w:r>
        <w:rPr>
          <w:color w:val="auto"/>
          <w:szCs w:val="21"/>
          <w:highlight w:val="none"/>
        </w:rPr>
        <w:t>天内完成款项的支付。</w:t>
      </w:r>
    </w:p>
    <w:p>
      <w:pPr>
        <w:spacing w:line="360" w:lineRule="exact"/>
        <w:ind w:firstLine="420" w:firstLineChars="200"/>
        <w:rPr>
          <w:color w:val="auto"/>
          <w:szCs w:val="21"/>
          <w:highlight w:val="none"/>
        </w:rPr>
      </w:pPr>
    </w:p>
    <w:p>
      <w:pPr>
        <w:spacing w:line="360" w:lineRule="auto"/>
        <w:rPr>
          <w:color w:val="auto"/>
          <w:szCs w:val="21"/>
          <w:highlight w:val="none"/>
        </w:rPr>
      </w:pPr>
      <w:r>
        <w:rPr>
          <w:rFonts w:hint="eastAsia"/>
          <w:color w:val="auto"/>
          <w:szCs w:val="21"/>
          <w:highlight w:val="none"/>
        </w:rPr>
        <w:t>甲方</w:t>
      </w:r>
      <w:r>
        <w:rPr>
          <w:color w:val="auto"/>
          <w:szCs w:val="21"/>
          <w:highlight w:val="none"/>
        </w:rPr>
        <w:t>(公章)：</w:t>
      </w:r>
      <w:r>
        <w:rPr>
          <w:rFonts w:hint="eastAsia"/>
          <w:color w:val="auto"/>
          <w:szCs w:val="21"/>
          <w:highlight w:val="none"/>
        </w:rPr>
        <w:t xml:space="preserve">                           乙方</w:t>
      </w:r>
      <w:r>
        <w:rPr>
          <w:color w:val="auto"/>
          <w:szCs w:val="21"/>
          <w:highlight w:val="none"/>
        </w:rPr>
        <w:t>(公章)：</w:t>
      </w:r>
    </w:p>
    <w:p>
      <w:pPr>
        <w:spacing w:line="360" w:lineRule="auto"/>
        <w:rPr>
          <w:color w:val="auto"/>
          <w:szCs w:val="21"/>
          <w:highlight w:val="none"/>
        </w:rPr>
      </w:pPr>
      <w:r>
        <w:rPr>
          <w:color w:val="auto"/>
          <w:szCs w:val="21"/>
          <w:highlight w:val="none"/>
        </w:rPr>
        <w:t>地  址：</w:t>
      </w:r>
      <w:r>
        <w:rPr>
          <w:rFonts w:hint="eastAsia"/>
          <w:color w:val="auto"/>
          <w:szCs w:val="21"/>
          <w:highlight w:val="none"/>
        </w:rPr>
        <w:t xml:space="preserve">                                 </w:t>
      </w:r>
      <w:r>
        <w:rPr>
          <w:color w:val="auto"/>
          <w:szCs w:val="21"/>
          <w:highlight w:val="none"/>
        </w:rPr>
        <w:t>地  址：</w:t>
      </w:r>
    </w:p>
    <w:p>
      <w:pPr>
        <w:spacing w:line="360" w:lineRule="auto"/>
        <w:rPr>
          <w:color w:val="auto"/>
          <w:szCs w:val="21"/>
          <w:highlight w:val="none"/>
        </w:rPr>
      </w:pPr>
      <w:r>
        <w:rPr>
          <w:color w:val="auto"/>
          <w:szCs w:val="21"/>
          <w:highlight w:val="none"/>
        </w:rPr>
        <w:t>法定代表人(签字)：</w:t>
      </w:r>
      <w:r>
        <w:rPr>
          <w:rFonts w:hint="eastAsia"/>
          <w:color w:val="auto"/>
          <w:szCs w:val="21"/>
          <w:highlight w:val="none"/>
        </w:rPr>
        <w:t xml:space="preserve">                       </w:t>
      </w:r>
      <w:r>
        <w:rPr>
          <w:color w:val="auto"/>
          <w:szCs w:val="21"/>
          <w:highlight w:val="none"/>
        </w:rPr>
        <w:t>法定代表人(签字)：</w:t>
      </w:r>
    </w:p>
    <w:p>
      <w:pPr>
        <w:spacing w:line="360" w:lineRule="auto"/>
        <w:rPr>
          <w:color w:val="auto"/>
          <w:szCs w:val="21"/>
          <w:highlight w:val="none"/>
        </w:rPr>
      </w:pPr>
      <w:r>
        <w:rPr>
          <w:color w:val="auto"/>
          <w:szCs w:val="21"/>
          <w:highlight w:val="none"/>
        </w:rPr>
        <w:t>委托代理人(签字)：</w:t>
      </w:r>
      <w:r>
        <w:rPr>
          <w:rFonts w:hint="eastAsia"/>
          <w:color w:val="auto"/>
          <w:szCs w:val="21"/>
          <w:highlight w:val="none"/>
        </w:rPr>
        <w:t xml:space="preserve">                      </w:t>
      </w:r>
      <w:r>
        <w:rPr>
          <w:color w:val="auto"/>
          <w:szCs w:val="21"/>
          <w:highlight w:val="none"/>
        </w:rPr>
        <w:t>委托代理人(签字)：</w:t>
      </w:r>
    </w:p>
    <w:p>
      <w:pPr>
        <w:spacing w:line="360" w:lineRule="auto"/>
        <w:rPr>
          <w:color w:val="auto"/>
          <w:szCs w:val="21"/>
          <w:highlight w:val="none"/>
        </w:rPr>
      </w:pPr>
      <w:r>
        <w:rPr>
          <w:color w:val="auto"/>
          <w:szCs w:val="21"/>
          <w:highlight w:val="none"/>
        </w:rPr>
        <w:t>电  话：</w:t>
      </w:r>
      <w:r>
        <w:rPr>
          <w:rFonts w:hint="eastAsia"/>
          <w:color w:val="auto"/>
          <w:szCs w:val="21"/>
          <w:highlight w:val="none"/>
        </w:rPr>
        <w:t xml:space="preserve">                                </w:t>
      </w:r>
      <w:r>
        <w:rPr>
          <w:color w:val="auto"/>
          <w:szCs w:val="21"/>
          <w:highlight w:val="none"/>
        </w:rPr>
        <w:t>电  话：</w:t>
      </w:r>
    </w:p>
    <w:p>
      <w:pPr>
        <w:spacing w:line="360" w:lineRule="exact"/>
        <w:rPr>
          <w:color w:val="auto"/>
          <w:szCs w:val="21"/>
          <w:highlight w:val="none"/>
        </w:rPr>
      </w:pPr>
      <w:r>
        <w:rPr>
          <w:color w:val="auto"/>
          <w:szCs w:val="21"/>
          <w:highlight w:val="none"/>
        </w:rPr>
        <w:t>传  真：</w:t>
      </w:r>
      <w:r>
        <w:rPr>
          <w:rFonts w:hint="eastAsia"/>
          <w:color w:val="auto"/>
          <w:szCs w:val="21"/>
          <w:highlight w:val="none"/>
        </w:rPr>
        <w:t xml:space="preserve">                                </w:t>
      </w:r>
      <w:r>
        <w:rPr>
          <w:color w:val="auto"/>
          <w:szCs w:val="21"/>
          <w:highlight w:val="none"/>
        </w:rPr>
        <w:t>传  真：</w:t>
      </w:r>
    </w:p>
    <w:p>
      <w:pPr>
        <w:rPr>
          <w:rFonts w:ascii="宋体" w:hAnsi="宋体" w:cs="宋体"/>
          <w:b/>
          <w:bCs/>
          <w:color w:val="auto"/>
          <w:sz w:val="24"/>
          <w:highlight w:val="none"/>
        </w:rPr>
      </w:pPr>
    </w:p>
    <w:p>
      <w:pPr>
        <w:pStyle w:val="3"/>
        <w:rPr>
          <w:rFonts w:ascii="宋体" w:hAnsi="宋体" w:cs="宋体"/>
          <w:b/>
          <w:bCs/>
          <w:color w:val="auto"/>
          <w:sz w:val="24"/>
          <w:highlight w:val="none"/>
        </w:rPr>
      </w:pPr>
    </w:p>
    <w:p>
      <w:pPr>
        <w:rPr>
          <w:rFonts w:ascii="宋体" w:hAnsi="宋体" w:cs="宋体"/>
          <w:b/>
          <w:bCs/>
          <w:color w:val="auto"/>
          <w:sz w:val="24"/>
          <w:highlight w:val="none"/>
        </w:rPr>
      </w:pPr>
    </w:p>
    <w:p>
      <w:pPr>
        <w:pStyle w:val="18"/>
        <w:ind w:left="0" w:leftChars="0" w:firstLine="0" w:firstLineChars="0"/>
        <w:rPr>
          <w:rFonts w:ascii="宋体" w:hAnsi="宋体" w:cs="宋体"/>
          <w:b/>
          <w:bCs/>
          <w:color w:val="auto"/>
          <w:sz w:val="24"/>
          <w:highlight w:val="none"/>
        </w:rPr>
      </w:pPr>
    </w:p>
    <w:p>
      <w:pPr>
        <w:rPr>
          <w:rFonts w:hint="eastAsia" w:ascii="宋体" w:hAnsi="宋体" w:cs="宋体"/>
          <w:b/>
          <w:bCs/>
          <w:color w:val="auto"/>
          <w:sz w:val="28"/>
          <w:szCs w:val="28"/>
          <w:highlight w:val="none"/>
        </w:rPr>
      </w:pPr>
      <w:r>
        <w:rPr>
          <w:rFonts w:hint="eastAsia" w:ascii="宋体" w:hAnsi="宋体" w:cs="宋体"/>
          <w:b/>
          <w:bCs/>
          <w:color w:val="auto"/>
          <w:sz w:val="28"/>
          <w:szCs w:val="28"/>
          <w:highlight w:val="none"/>
        </w:rPr>
        <w:br w:type="page"/>
      </w:r>
    </w:p>
    <w:p>
      <w:pPr>
        <w:rPr>
          <w:rFonts w:ascii="宋体" w:hAnsi="宋体" w:cs="宋体"/>
          <w:b/>
          <w:bCs/>
          <w:color w:val="auto"/>
          <w:sz w:val="28"/>
          <w:szCs w:val="28"/>
          <w:highlight w:val="none"/>
        </w:rPr>
      </w:pPr>
      <w:r>
        <w:rPr>
          <w:rFonts w:hint="eastAsia" w:ascii="宋体" w:hAnsi="宋体" w:cs="宋体"/>
          <w:b/>
          <w:bCs/>
          <w:color w:val="auto"/>
          <w:sz w:val="28"/>
          <w:szCs w:val="28"/>
          <w:highlight w:val="none"/>
        </w:rPr>
        <w:t>合同附件一</w:t>
      </w:r>
    </w:p>
    <w:p>
      <w:pPr>
        <w:jc w:val="center"/>
        <w:rPr>
          <w:rFonts w:ascii="Calibri" w:hAnsi="Calibri"/>
          <w:b/>
          <w:bCs/>
          <w:color w:val="auto"/>
          <w:sz w:val="28"/>
          <w:szCs w:val="28"/>
          <w:highlight w:val="none"/>
        </w:rPr>
      </w:pPr>
      <w:r>
        <w:rPr>
          <w:rFonts w:hint="eastAsia" w:ascii="宋体" w:hAnsi="宋体" w:cs="宋体"/>
          <w:b/>
          <w:bCs/>
          <w:color w:val="auto"/>
          <w:sz w:val="28"/>
          <w:szCs w:val="28"/>
          <w:highlight w:val="none"/>
        </w:rPr>
        <w:t>廉洁诚信协议</w:t>
      </w:r>
    </w:p>
    <w:p>
      <w:pPr>
        <w:spacing w:line="30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为加强台州市公安局交通警察局政府采购项目廉政建设，预防违法违规行为，确保双方在业务交往中保持廉洁自律，防止各种不正当行为的发生，保证合作双方在业务交往活动中做到诚信廉洁、高效共赢，根据国家相关法律法规及政策规定，经双方协商一致，在签订合同的同时订立本廉洁诚信协议，内容如下：</w:t>
      </w:r>
    </w:p>
    <w:p>
      <w:pPr>
        <w:spacing w:line="30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1、双方在整个项目采购、建设活动中，做到公平、公正、公开，不搞暗箱操作，不搞不正当竞争，双方工作人员及亲属不得违反以下规定：</w:t>
      </w:r>
    </w:p>
    <w:p>
      <w:pPr>
        <w:spacing w:line="30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（1）不得收受或向对方馈送现金、贵重物品、有价证券、购物卡、充值卡等，不得收受回扣；</w:t>
      </w:r>
    </w:p>
    <w:p>
      <w:pPr>
        <w:spacing w:line="30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不得介绍亲友或为对方亲友安排从事与双方合作有关的业务活动，甲方项目相关员工及其配偶、父母、子女、利害关系人及控股、参股企业不得在乙方或乙方关联企业中投资入股，甲方员工不得在乙方或乙方关联企业担任兼职，不得以咨询费、服务费或其他任何形式从乙方或乙方关联企业获得收入； </w:t>
      </w:r>
    </w:p>
    <w:p>
      <w:pPr>
        <w:spacing w:line="30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（3）不得接受对方或向对方在住房建修、婚丧嫁娶、出国考察、旅游、攻读学历学位等方面提供资助；</w:t>
      </w:r>
    </w:p>
    <w:p>
      <w:pPr>
        <w:spacing w:line="30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（4）不得参加或提供可能影响合作业务公平、公正的娱乐、宴请、健身等活动；</w:t>
      </w:r>
    </w:p>
    <w:p>
      <w:pPr>
        <w:spacing w:line="30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（5）不得报销或为对方报销应由个人支付的费用。</w:t>
      </w:r>
    </w:p>
    <w:p>
      <w:pPr>
        <w:spacing w:line="30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2、乙方人员若有违反第1条规定的行为，或者存在其它违反商业道德与市场规则的情况,甲方有义务向对方监察或相应部门举报，同时甲方有权视情节轻重停止该项目或类似项目的合作。</w:t>
      </w:r>
    </w:p>
    <w:p>
      <w:pPr>
        <w:spacing w:line="30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3、甲方人员有违反第1条规定的行为，或者存在其它索贿、受贿行为或者徇私舞弊、滥用职权、严重渎职等情况时，乙方有义务向对方监察或相应部门举报。</w:t>
      </w:r>
    </w:p>
    <w:p>
      <w:pPr>
        <w:spacing w:line="30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4、双方及相关人员违反上述规定及其他廉洁诚信准则的，愿意接受党纪政纪及法律惩处。</w:t>
      </w:r>
    </w:p>
    <w:p>
      <w:pPr>
        <w:spacing w:line="30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5、本保证及承诺的有效期与对应的合同或交易事项相同。</w:t>
      </w:r>
    </w:p>
    <w:p>
      <w:pPr>
        <w:spacing w:line="30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6、本廉洁承诺约定作为双方签订的合同附件，具有同等法律效力。</w:t>
      </w:r>
    </w:p>
    <w:p>
      <w:pPr>
        <w:spacing w:line="300" w:lineRule="auto"/>
        <w:rPr>
          <w:rFonts w:ascii="宋体" w:hAnsi="宋体" w:cs="宋体"/>
          <w:color w:val="auto"/>
          <w:sz w:val="24"/>
          <w:highlight w:val="none"/>
        </w:rPr>
      </w:pPr>
    </w:p>
    <w:p>
      <w:pPr>
        <w:pStyle w:val="31"/>
        <w:rPr>
          <w:color w:val="auto"/>
          <w:sz w:val="24"/>
          <w:szCs w:val="24"/>
          <w:highlight w:val="none"/>
        </w:rPr>
      </w:pPr>
    </w:p>
    <w:p>
      <w:pPr>
        <w:spacing w:line="30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台州市公安局交通警察局举报渠道：   合作方举报渠道：</w:t>
      </w:r>
    </w:p>
    <w:p>
      <w:pPr>
        <w:pStyle w:val="8"/>
        <w:spacing w:line="300" w:lineRule="auto"/>
        <w:ind w:firstLine="480"/>
        <w:rPr>
          <w:rFonts w:asciiTheme="majorEastAsia" w:hAnsiTheme="majorEastAsia" w:eastAsiaTheme="majorEastAsia"/>
          <w:color w:val="auto"/>
          <w:sz w:val="28"/>
          <w:szCs w:val="28"/>
          <w:highlight w:val="none"/>
        </w:rPr>
      </w:pPr>
      <w:r>
        <w:rPr>
          <w:rFonts w:hint="eastAsia" w:ascii="宋体" w:hAnsi="宋体" w:cs="宋体"/>
          <w:color w:val="auto"/>
          <w:sz w:val="24"/>
          <w:szCs w:val="24"/>
          <w:highlight w:val="none"/>
        </w:rPr>
        <w:t>电话：12389                        电话：</w:t>
      </w:r>
    </w:p>
    <w:p>
      <w:pPr>
        <w:pStyle w:val="11"/>
        <w:rPr>
          <w:color w:val="auto"/>
          <w:highlight w:val="none"/>
        </w:rPr>
      </w:pPr>
    </w:p>
    <w:p>
      <w:pPr>
        <w:rPr>
          <w:rFonts w:hint="eastAsia" w:asciiTheme="minorEastAsia" w:hAnsiTheme="minorEastAsia" w:eastAsiaTheme="minorEastAsia"/>
          <w:b/>
          <w:color w:val="auto"/>
          <w:sz w:val="36"/>
          <w:szCs w:val="36"/>
          <w:highlight w:val="none"/>
        </w:rPr>
      </w:pPr>
      <w:r>
        <w:rPr>
          <w:rFonts w:hint="eastAsia" w:asciiTheme="minorEastAsia" w:hAnsiTheme="minorEastAsia" w:eastAsiaTheme="minorEastAsia"/>
          <w:b/>
          <w:color w:val="auto"/>
          <w:sz w:val="36"/>
          <w:szCs w:val="36"/>
          <w:highlight w:val="none"/>
        </w:rPr>
        <w:br w:type="page"/>
      </w:r>
    </w:p>
    <w:p>
      <w:pPr>
        <w:spacing w:line="360" w:lineRule="auto"/>
        <w:jc w:val="center"/>
        <w:rPr>
          <w:rFonts w:asciiTheme="minorEastAsia" w:hAnsiTheme="minorEastAsia" w:eastAsiaTheme="minorEastAsia"/>
          <w:b/>
          <w:color w:val="auto"/>
          <w:sz w:val="36"/>
          <w:szCs w:val="36"/>
          <w:highlight w:val="none"/>
        </w:rPr>
      </w:pPr>
      <w:r>
        <w:rPr>
          <w:rFonts w:hint="eastAsia" w:asciiTheme="minorEastAsia" w:hAnsiTheme="minorEastAsia" w:eastAsiaTheme="minorEastAsia"/>
          <w:b/>
          <w:color w:val="auto"/>
          <w:sz w:val="36"/>
          <w:szCs w:val="36"/>
          <w:highlight w:val="none"/>
        </w:rPr>
        <w:t>第六章 投标文件格式</w:t>
      </w:r>
      <w:bookmarkEnd w:id="38"/>
    </w:p>
    <w:p>
      <w:pPr>
        <w:rPr>
          <w:rFonts w:ascii="宋体" w:hAnsi="宋体"/>
          <w:b/>
          <w:color w:val="auto"/>
          <w:kern w:val="0"/>
          <w:sz w:val="28"/>
          <w:szCs w:val="28"/>
          <w:highlight w:val="none"/>
        </w:rPr>
      </w:pPr>
      <w:r>
        <w:rPr>
          <w:rFonts w:hint="eastAsia" w:ascii="宋体" w:hAnsi="宋体"/>
          <w:b/>
          <w:color w:val="auto"/>
          <w:kern w:val="0"/>
          <w:sz w:val="28"/>
          <w:szCs w:val="28"/>
          <w:highlight w:val="none"/>
        </w:rPr>
        <w:t>附件1</w:t>
      </w:r>
      <w:r>
        <w:rPr>
          <w:rFonts w:hint="eastAsia" w:ascii="宋体" w:hAnsi="宋体"/>
          <w:b/>
          <w:color w:val="auto"/>
          <w:sz w:val="30"/>
          <w:szCs w:val="30"/>
          <w:highlight w:val="none"/>
        </w:rPr>
        <w:t xml:space="preserve">                             </w:t>
      </w:r>
      <w:r>
        <w:rPr>
          <w:rFonts w:hint="eastAsia" w:ascii="宋体" w:hAnsi="宋体"/>
          <w:color w:val="auto"/>
          <w:sz w:val="30"/>
          <w:szCs w:val="30"/>
          <w:highlight w:val="none"/>
        </w:rPr>
        <w:t xml:space="preserve"> 　　　</w:t>
      </w:r>
      <w:r>
        <w:rPr>
          <w:rFonts w:hint="eastAsia" w:ascii="宋体" w:hAnsi="宋体"/>
          <w:b/>
          <w:color w:val="auto"/>
          <w:sz w:val="28"/>
          <w:highlight w:val="none"/>
        </w:rPr>
        <w:t xml:space="preserve">        </w:t>
      </w:r>
    </w:p>
    <w:p>
      <w:pPr>
        <w:spacing w:line="360" w:lineRule="auto"/>
        <w:rPr>
          <w:rFonts w:asciiTheme="minorEastAsia" w:hAnsiTheme="minorEastAsia" w:eastAsiaTheme="minorEastAsia"/>
          <w:b/>
          <w:color w:val="auto"/>
          <w:sz w:val="30"/>
          <w:szCs w:val="30"/>
          <w:highlight w:val="none"/>
        </w:rPr>
      </w:pPr>
    </w:p>
    <w:p>
      <w:pPr>
        <w:jc w:val="center"/>
        <w:rPr>
          <w:color w:val="auto"/>
          <w:sz w:val="52"/>
          <w:szCs w:val="52"/>
          <w:highlight w:val="none"/>
        </w:rPr>
      </w:pPr>
      <w:bookmarkStart w:id="39" w:name="_Toc4956_WPSOffice_Level1"/>
      <w:bookmarkStart w:id="40" w:name="_Toc32372_WPSOffice_Level1"/>
      <w:bookmarkStart w:id="41" w:name="_Toc19093_WPSOffice_Level1"/>
      <w:r>
        <w:rPr>
          <w:rFonts w:hint="eastAsia"/>
          <w:color w:val="auto"/>
          <w:sz w:val="52"/>
          <w:szCs w:val="52"/>
          <w:highlight w:val="none"/>
        </w:rPr>
        <w:t>项目名称</w:t>
      </w:r>
      <w:bookmarkEnd w:id="39"/>
      <w:bookmarkEnd w:id="40"/>
      <w:bookmarkEnd w:id="41"/>
    </w:p>
    <w:p>
      <w:pPr>
        <w:spacing w:beforeLines="100" w:line="360" w:lineRule="auto"/>
        <w:ind w:right="-108"/>
        <w:jc w:val="center"/>
        <w:rPr>
          <w:rFonts w:ascii="宋体" w:hAnsi="宋体"/>
          <w:color w:val="auto"/>
          <w:sz w:val="36"/>
          <w:szCs w:val="36"/>
          <w:highlight w:val="none"/>
        </w:rPr>
      </w:pPr>
      <w:r>
        <w:rPr>
          <w:rFonts w:hint="eastAsia" w:ascii="宋体" w:hAnsi="宋体"/>
          <w:color w:val="auto"/>
          <w:sz w:val="36"/>
          <w:szCs w:val="36"/>
          <w:highlight w:val="none"/>
        </w:rPr>
        <w:t>项目编号：（</w:t>
      </w:r>
      <w:r>
        <w:rPr>
          <w:rFonts w:hint="eastAsia" w:ascii="宋体" w:hAnsi="宋体"/>
          <w:color w:val="auto"/>
          <w:sz w:val="36"/>
          <w:szCs w:val="36"/>
          <w:highlight w:val="none"/>
          <w:lang w:eastAsia="zh-CN"/>
        </w:rPr>
        <w:t>标项</w:t>
      </w:r>
      <w:r>
        <w:rPr>
          <w:rFonts w:hint="eastAsia" w:ascii="宋体" w:hAnsi="宋体"/>
          <w:color w:val="auto"/>
          <w:sz w:val="36"/>
          <w:szCs w:val="36"/>
          <w:highlight w:val="none"/>
        </w:rPr>
        <w:t>）</w:t>
      </w:r>
    </w:p>
    <w:p>
      <w:pPr>
        <w:pStyle w:val="2"/>
        <w:rPr>
          <w:color w:val="auto"/>
          <w:highlight w:val="none"/>
        </w:rPr>
      </w:pPr>
    </w:p>
    <w:p>
      <w:pPr>
        <w:jc w:val="center"/>
        <w:rPr>
          <w:color w:val="auto"/>
          <w:sz w:val="84"/>
          <w:szCs w:val="84"/>
          <w:highlight w:val="none"/>
          <w:lang w:val="zh-CN"/>
        </w:rPr>
      </w:pPr>
      <w:r>
        <w:rPr>
          <w:rFonts w:hint="eastAsia"/>
          <w:color w:val="auto"/>
          <w:sz w:val="84"/>
          <w:szCs w:val="84"/>
          <w:highlight w:val="none"/>
          <w:lang w:val="zh-CN"/>
        </w:rPr>
        <w:t>投</w:t>
      </w:r>
    </w:p>
    <w:p>
      <w:pPr>
        <w:jc w:val="center"/>
        <w:rPr>
          <w:color w:val="auto"/>
          <w:sz w:val="84"/>
          <w:szCs w:val="84"/>
          <w:highlight w:val="none"/>
          <w:lang w:val="zh-CN"/>
        </w:rPr>
      </w:pPr>
      <w:r>
        <w:rPr>
          <w:rFonts w:hint="eastAsia"/>
          <w:color w:val="auto"/>
          <w:sz w:val="84"/>
          <w:szCs w:val="84"/>
          <w:highlight w:val="none"/>
          <w:lang w:val="zh-CN"/>
        </w:rPr>
        <w:t>标</w:t>
      </w:r>
    </w:p>
    <w:p>
      <w:pPr>
        <w:jc w:val="center"/>
        <w:rPr>
          <w:color w:val="auto"/>
          <w:sz w:val="84"/>
          <w:szCs w:val="84"/>
          <w:highlight w:val="none"/>
        </w:rPr>
      </w:pPr>
      <w:r>
        <w:rPr>
          <w:rFonts w:hint="eastAsia"/>
          <w:color w:val="auto"/>
          <w:sz w:val="84"/>
          <w:szCs w:val="84"/>
          <w:highlight w:val="none"/>
          <w:lang w:val="zh-CN"/>
        </w:rPr>
        <w:t>文</w:t>
      </w:r>
    </w:p>
    <w:p>
      <w:pPr>
        <w:jc w:val="center"/>
        <w:rPr>
          <w:color w:val="auto"/>
          <w:sz w:val="84"/>
          <w:szCs w:val="84"/>
          <w:highlight w:val="none"/>
          <w:lang w:val="zh-CN"/>
        </w:rPr>
      </w:pPr>
      <w:r>
        <w:rPr>
          <w:rFonts w:hint="eastAsia"/>
          <w:color w:val="auto"/>
          <w:sz w:val="84"/>
          <w:szCs w:val="84"/>
          <w:highlight w:val="none"/>
          <w:lang w:val="zh-CN"/>
        </w:rPr>
        <w:t>件</w:t>
      </w:r>
    </w:p>
    <w:p>
      <w:pPr>
        <w:spacing w:after="100" w:afterAutospacing="1" w:line="360" w:lineRule="auto"/>
        <w:ind w:right="-108"/>
        <w:jc w:val="center"/>
        <w:rPr>
          <w:rFonts w:ascii="宋体" w:hAnsi="宋体"/>
          <w:b/>
          <w:color w:val="auto"/>
          <w:sz w:val="28"/>
          <w:szCs w:val="28"/>
          <w:highlight w:val="none"/>
        </w:rPr>
      </w:pPr>
      <w:r>
        <w:rPr>
          <w:rFonts w:hint="eastAsia" w:ascii="宋体" w:hAnsi="宋体" w:cs="宋体"/>
          <w:color w:val="auto"/>
          <w:sz w:val="28"/>
          <w:szCs w:val="28"/>
          <w:highlight w:val="none"/>
          <w:lang w:val="zh-CN"/>
        </w:rPr>
        <w:t>（</w:t>
      </w:r>
      <w:r>
        <w:rPr>
          <w:rFonts w:hint="eastAsia" w:ascii="宋体" w:hAnsi="宋体"/>
          <w:b/>
          <w:color w:val="auto"/>
          <w:sz w:val="28"/>
          <w:szCs w:val="28"/>
          <w:highlight w:val="none"/>
        </w:rPr>
        <w:t>资格证明文件）</w:t>
      </w:r>
    </w:p>
    <w:p>
      <w:pPr>
        <w:pStyle w:val="2"/>
        <w:rPr>
          <w:color w:val="auto"/>
          <w:highlight w:val="none"/>
        </w:rPr>
      </w:pPr>
    </w:p>
    <w:p>
      <w:pPr>
        <w:spacing w:line="360" w:lineRule="auto"/>
        <w:ind w:right="532" w:firstLine="640" w:firstLineChars="200"/>
        <w:rPr>
          <w:rFonts w:ascii="宋体" w:hAnsi="宋体"/>
          <w:color w:val="auto"/>
          <w:sz w:val="32"/>
          <w:szCs w:val="32"/>
          <w:highlight w:val="none"/>
        </w:rPr>
      </w:pPr>
      <w:r>
        <w:rPr>
          <w:rFonts w:hint="eastAsia" w:ascii="宋体" w:hAnsi="宋体"/>
          <w:color w:val="auto"/>
          <w:sz w:val="32"/>
          <w:szCs w:val="32"/>
          <w:highlight w:val="none"/>
        </w:rPr>
        <w:t>投标人全称（电子印章）：</w:t>
      </w:r>
    </w:p>
    <w:p>
      <w:pPr>
        <w:spacing w:line="360" w:lineRule="auto"/>
        <w:ind w:right="532" w:firstLine="640" w:firstLineChars="200"/>
        <w:rPr>
          <w:rFonts w:ascii="宋体" w:hAnsi="宋体"/>
          <w:color w:val="auto"/>
          <w:sz w:val="32"/>
          <w:szCs w:val="32"/>
          <w:highlight w:val="none"/>
        </w:rPr>
      </w:pPr>
      <w:r>
        <w:rPr>
          <w:rFonts w:hint="eastAsia" w:ascii="宋体" w:hAnsi="宋体"/>
          <w:color w:val="auto"/>
          <w:sz w:val="32"/>
          <w:szCs w:val="32"/>
          <w:highlight w:val="none"/>
        </w:rPr>
        <w:t>地    址：</w:t>
      </w:r>
    </w:p>
    <w:p>
      <w:pPr>
        <w:spacing w:line="360" w:lineRule="auto"/>
        <w:ind w:right="532" w:firstLine="640" w:firstLineChars="200"/>
        <w:rPr>
          <w:rFonts w:ascii="宋体" w:hAnsi="宋体"/>
          <w:color w:val="auto"/>
          <w:sz w:val="32"/>
          <w:szCs w:val="32"/>
          <w:highlight w:val="none"/>
        </w:rPr>
      </w:pPr>
      <w:r>
        <w:rPr>
          <w:rFonts w:hint="eastAsia" w:ascii="宋体" w:hAnsi="宋体"/>
          <w:color w:val="auto"/>
          <w:sz w:val="32"/>
          <w:szCs w:val="32"/>
          <w:highlight w:val="none"/>
        </w:rPr>
        <w:t>时    间：</w:t>
      </w:r>
    </w:p>
    <w:p>
      <w:pPr>
        <w:snapToGrid w:val="0"/>
        <w:spacing w:before="50" w:after="50" w:line="360" w:lineRule="auto"/>
        <w:rPr>
          <w:rFonts w:ascii="仿宋_GB2312" w:hAnsi="宋体" w:eastAsia="仿宋_GB2312"/>
          <w:b/>
          <w:color w:val="auto"/>
          <w:sz w:val="36"/>
          <w:szCs w:val="36"/>
          <w:highlight w:val="none"/>
        </w:rPr>
      </w:pPr>
    </w:p>
    <w:p>
      <w:pPr>
        <w:rPr>
          <w:rFonts w:ascii="仿宋_GB2312" w:hAnsi="宋体" w:eastAsia="仿宋_GB2312"/>
          <w:b/>
          <w:color w:val="auto"/>
          <w:sz w:val="36"/>
          <w:szCs w:val="36"/>
          <w:highlight w:val="none"/>
        </w:rPr>
      </w:pPr>
      <w:r>
        <w:rPr>
          <w:rFonts w:ascii="仿宋_GB2312" w:hAnsi="宋体" w:eastAsia="仿宋_GB2312"/>
          <w:b/>
          <w:color w:val="auto"/>
          <w:sz w:val="36"/>
          <w:szCs w:val="36"/>
          <w:highlight w:val="none"/>
        </w:rPr>
        <w:br w:type="page"/>
      </w:r>
    </w:p>
    <w:p>
      <w:pPr>
        <w:spacing w:line="360" w:lineRule="auto"/>
        <w:ind w:left="420"/>
        <w:rPr>
          <w:rFonts w:ascii="宋体" w:hAnsi="宋体"/>
          <w:b/>
          <w:color w:val="auto"/>
          <w:sz w:val="28"/>
          <w:highlight w:val="none"/>
        </w:rPr>
      </w:pPr>
    </w:p>
    <w:p>
      <w:pPr>
        <w:jc w:val="center"/>
        <w:rPr>
          <w:b/>
          <w:bCs/>
          <w:color w:val="auto"/>
          <w:sz w:val="32"/>
          <w:szCs w:val="40"/>
          <w:highlight w:val="none"/>
        </w:rPr>
      </w:pPr>
      <w:r>
        <w:rPr>
          <w:rFonts w:hint="eastAsia"/>
          <w:b/>
          <w:bCs/>
          <w:color w:val="auto"/>
          <w:sz w:val="32"/>
          <w:szCs w:val="40"/>
          <w:highlight w:val="none"/>
        </w:rPr>
        <w:t>资格证明文件目录</w:t>
      </w:r>
    </w:p>
    <w:p>
      <w:pPr>
        <w:pStyle w:val="8"/>
        <w:rPr>
          <w:color w:val="auto"/>
          <w:highlight w:val="none"/>
        </w:rPr>
      </w:pPr>
    </w:p>
    <w:p>
      <w:pPr>
        <w:spacing w:line="360" w:lineRule="auto"/>
        <w:ind w:firstLine="480" w:firstLineChars="200"/>
        <w:rPr>
          <w:rFonts w:hint="eastAsia" w:ascii="宋体" w:hAnsi="宋体" w:eastAsia="宋体" w:cs="Times New Roman"/>
          <w:b w:val="0"/>
          <w:bCs/>
          <w:color w:val="auto"/>
          <w:sz w:val="24"/>
          <w:highlight w:val="none"/>
        </w:rPr>
      </w:pPr>
    </w:p>
    <w:p>
      <w:pPr>
        <w:widowControl/>
        <w:numPr>
          <w:ilvl w:val="0"/>
          <w:numId w:val="16"/>
        </w:numPr>
        <w:spacing w:line="360" w:lineRule="auto"/>
        <w:ind w:right="60" w:firstLine="472" w:firstLineChars="197"/>
        <w:jc w:val="left"/>
        <w:outlineLvl w:val="0"/>
        <w:rPr>
          <w:rFonts w:ascii="宋体" w:hAnsi="宋体" w:cs="宋体"/>
          <w:color w:val="auto"/>
          <w:sz w:val="24"/>
          <w:highlight w:val="none"/>
        </w:rPr>
      </w:pPr>
      <w:r>
        <w:rPr>
          <w:rFonts w:hint="eastAsia" w:ascii="宋体" w:hAnsi="宋体" w:cs="宋体"/>
          <w:color w:val="auto"/>
          <w:sz w:val="24"/>
          <w:highlight w:val="none"/>
        </w:rPr>
        <w:t>投标声明书（格式见附件）；</w:t>
      </w:r>
    </w:p>
    <w:p>
      <w:pPr>
        <w:widowControl/>
        <w:numPr>
          <w:ilvl w:val="0"/>
          <w:numId w:val="16"/>
        </w:numPr>
        <w:spacing w:line="360" w:lineRule="auto"/>
        <w:ind w:right="60" w:firstLine="472" w:firstLineChars="197"/>
        <w:jc w:val="left"/>
        <w:outlineLvl w:val="0"/>
        <w:rPr>
          <w:rFonts w:ascii="宋体" w:hAnsi="宋体" w:cs="宋体"/>
          <w:color w:val="auto"/>
          <w:sz w:val="24"/>
          <w:highlight w:val="none"/>
        </w:rPr>
      </w:pPr>
      <w:r>
        <w:rPr>
          <w:rFonts w:hint="eastAsia" w:ascii="宋体" w:hAnsi="宋体" w:cs="宋体"/>
          <w:color w:val="auto"/>
          <w:sz w:val="24"/>
          <w:highlight w:val="none"/>
        </w:rPr>
        <w:t>授权委托书（法定代表人亲自办理投标事宜的，则无需提交)；</w:t>
      </w:r>
    </w:p>
    <w:p>
      <w:pPr>
        <w:widowControl/>
        <w:numPr>
          <w:ilvl w:val="0"/>
          <w:numId w:val="16"/>
        </w:numPr>
        <w:spacing w:line="360" w:lineRule="auto"/>
        <w:ind w:right="60" w:firstLine="472" w:firstLineChars="197"/>
        <w:jc w:val="left"/>
        <w:outlineLvl w:val="0"/>
        <w:rPr>
          <w:rFonts w:ascii="宋体" w:hAnsi="宋体" w:cs="宋体"/>
          <w:color w:val="auto"/>
          <w:sz w:val="24"/>
          <w:highlight w:val="none"/>
        </w:rPr>
      </w:pPr>
      <w:r>
        <w:rPr>
          <w:rFonts w:hint="eastAsia" w:ascii="宋体" w:hAnsi="宋体" w:cs="宋体"/>
          <w:color w:val="auto"/>
          <w:sz w:val="24"/>
          <w:highlight w:val="none"/>
        </w:rPr>
        <w:t>法人或者其他组织的营业执照等证明文件，自然人的身份证明；</w:t>
      </w:r>
    </w:p>
    <w:p>
      <w:pPr>
        <w:widowControl/>
        <w:numPr>
          <w:ilvl w:val="0"/>
          <w:numId w:val="16"/>
        </w:numPr>
        <w:spacing w:line="360" w:lineRule="auto"/>
        <w:ind w:right="60" w:firstLine="472" w:firstLineChars="197"/>
        <w:jc w:val="left"/>
        <w:outlineLvl w:val="0"/>
        <w:rPr>
          <w:rFonts w:hint="eastAsia" w:ascii="宋体" w:hAnsi="宋体" w:cs="宋体"/>
          <w:color w:val="auto"/>
          <w:sz w:val="24"/>
          <w:highlight w:val="none"/>
        </w:rPr>
      </w:pPr>
      <w:r>
        <w:rPr>
          <w:rFonts w:hint="eastAsia" w:ascii="宋体" w:hAnsi="宋体" w:cs="宋体"/>
          <w:color w:val="auto"/>
          <w:kern w:val="0"/>
          <w:sz w:val="24"/>
          <w:highlight w:val="none"/>
        </w:rPr>
        <w:t>提供关于供应商财务状况和依法缴纳税收及社会保障资金的书面承诺函（格式详见附件）</w:t>
      </w:r>
      <w:r>
        <w:rPr>
          <w:rFonts w:hint="eastAsia" w:ascii="宋体" w:hAnsi="宋体" w:cs="宋体"/>
          <w:color w:val="auto"/>
          <w:sz w:val="24"/>
          <w:highlight w:val="none"/>
        </w:rPr>
        <w:t>；</w:t>
      </w:r>
    </w:p>
    <w:p>
      <w:pPr>
        <w:widowControl/>
        <w:numPr>
          <w:ilvl w:val="0"/>
          <w:numId w:val="16"/>
        </w:numPr>
        <w:spacing w:line="360" w:lineRule="auto"/>
        <w:ind w:right="60" w:firstLine="472" w:firstLineChars="197"/>
        <w:jc w:val="left"/>
        <w:outlineLvl w:val="0"/>
        <w:rPr>
          <w:rFonts w:ascii="宋体" w:hAnsi="宋体" w:cs="宋体"/>
          <w:color w:val="auto"/>
          <w:sz w:val="24"/>
          <w:highlight w:val="none"/>
        </w:rPr>
      </w:pPr>
      <w:r>
        <w:rPr>
          <w:rFonts w:hint="eastAsia" w:ascii="宋体" w:hAnsi="宋体" w:cs="宋体"/>
          <w:color w:val="auto"/>
          <w:kern w:val="0"/>
          <w:sz w:val="24"/>
          <w:highlight w:val="none"/>
        </w:rPr>
        <w:t>具备履行合同所必需的设备和专业技术能力的承诺函（格式详见附件）</w:t>
      </w:r>
      <w:r>
        <w:rPr>
          <w:rFonts w:hint="eastAsia" w:ascii="宋体" w:hAnsi="宋体" w:cs="宋体"/>
          <w:color w:val="auto"/>
          <w:sz w:val="24"/>
          <w:highlight w:val="none"/>
        </w:rPr>
        <w:t>；</w:t>
      </w:r>
    </w:p>
    <w:p>
      <w:pPr>
        <w:widowControl/>
        <w:numPr>
          <w:ilvl w:val="0"/>
          <w:numId w:val="16"/>
        </w:numPr>
        <w:spacing w:line="360" w:lineRule="auto"/>
        <w:ind w:right="60" w:firstLine="472" w:firstLineChars="197"/>
        <w:jc w:val="left"/>
        <w:outlineLvl w:val="0"/>
        <w:rPr>
          <w:rFonts w:ascii="宋体" w:hAnsi="宋体" w:cs="宋体"/>
          <w:color w:val="auto"/>
          <w:sz w:val="24"/>
          <w:highlight w:val="none"/>
        </w:rPr>
      </w:pPr>
      <w:r>
        <w:rPr>
          <w:rFonts w:hint="eastAsia" w:asciiTheme="minorEastAsia" w:hAnsiTheme="minorEastAsia" w:eastAsiaTheme="minorEastAsia"/>
          <w:color w:val="auto"/>
          <w:kern w:val="0"/>
          <w:sz w:val="24"/>
          <w:highlight w:val="none"/>
        </w:rPr>
        <w:t>《中小企业声明函》落实政府采购政策需满足资格要求声明函等[提供中小企业声明函（格式详见附件）或残疾人福利性单位声明函（格式详见附件）或监狱企业证明文件]</w:t>
      </w:r>
      <w:r>
        <w:rPr>
          <w:rFonts w:hint="eastAsia" w:asciiTheme="minorEastAsia" w:hAnsiTheme="minorEastAsia" w:eastAsiaTheme="minorEastAsia"/>
          <w:color w:val="auto"/>
          <w:kern w:val="0"/>
          <w:sz w:val="24"/>
          <w:highlight w:val="none"/>
          <w:lang w:eastAsia="zh-CN"/>
        </w:rPr>
        <w:t>。</w:t>
      </w:r>
    </w:p>
    <w:p>
      <w:pPr>
        <w:widowControl/>
        <w:numPr>
          <w:ilvl w:val="0"/>
          <w:numId w:val="16"/>
        </w:numPr>
        <w:spacing w:line="360" w:lineRule="auto"/>
        <w:ind w:right="60" w:firstLine="472" w:firstLineChars="197"/>
        <w:jc w:val="left"/>
        <w:outlineLvl w:val="0"/>
        <w:rPr>
          <w:rFonts w:hint="eastAsia" w:cs="Times New Roman" w:asciiTheme="minorEastAsia" w:hAnsiTheme="minorEastAsia" w:eastAsiaTheme="minorEastAsia"/>
          <w:color w:val="auto"/>
          <w:kern w:val="0"/>
          <w:sz w:val="24"/>
          <w:highlight w:val="none"/>
        </w:rPr>
      </w:pPr>
      <w:r>
        <w:rPr>
          <w:rFonts w:hint="eastAsia" w:cs="Times New Roman" w:asciiTheme="minorEastAsia" w:hAnsiTheme="minorEastAsia" w:eastAsiaTheme="minorEastAsia"/>
          <w:color w:val="auto"/>
          <w:kern w:val="0"/>
          <w:sz w:val="24"/>
          <w:highlight w:val="none"/>
        </w:rPr>
        <w:t>(提供采购公告中符合供应商特定条件的有效资质证书扫描件(投标供应商特定条件中有要求的必须提供)，以及需要说明的其他资料</w:t>
      </w:r>
      <w:r>
        <w:rPr>
          <w:rFonts w:hint="eastAsia" w:cs="Times New Roman" w:asciiTheme="minorEastAsia" w:hAnsiTheme="minorEastAsia" w:eastAsiaTheme="minorEastAsia"/>
          <w:color w:val="auto"/>
          <w:kern w:val="0"/>
          <w:sz w:val="24"/>
          <w:highlight w:val="none"/>
          <w:lang w:eastAsia="zh-CN"/>
        </w:rPr>
        <w:t>；</w:t>
      </w:r>
    </w:p>
    <w:p>
      <w:pPr>
        <w:rPr>
          <w:rFonts w:hint="eastAsia" w:ascii="宋体" w:hAnsi="宋体"/>
          <w:b/>
          <w:color w:val="auto"/>
          <w:sz w:val="28"/>
          <w:highlight w:val="none"/>
        </w:rPr>
      </w:pPr>
      <w:r>
        <w:rPr>
          <w:rFonts w:hint="eastAsia" w:ascii="宋体" w:hAnsi="宋体"/>
          <w:b/>
          <w:color w:val="auto"/>
          <w:sz w:val="28"/>
          <w:highlight w:val="none"/>
        </w:rPr>
        <w:br w:type="page"/>
      </w:r>
    </w:p>
    <w:p>
      <w:pPr>
        <w:spacing w:line="312" w:lineRule="auto"/>
        <w:rPr>
          <w:rFonts w:ascii="宋体" w:hAnsi="宋体"/>
          <w:b/>
          <w:color w:val="auto"/>
          <w:sz w:val="28"/>
          <w:highlight w:val="none"/>
        </w:rPr>
      </w:pPr>
      <w:r>
        <w:rPr>
          <w:rFonts w:hint="eastAsia" w:ascii="宋体" w:hAnsi="宋体"/>
          <w:b/>
          <w:color w:val="auto"/>
          <w:sz w:val="28"/>
          <w:highlight w:val="none"/>
        </w:rPr>
        <w:t>附件2</w:t>
      </w:r>
    </w:p>
    <w:p>
      <w:pPr>
        <w:adjustRightInd w:val="0"/>
        <w:snapToGrid w:val="0"/>
        <w:spacing w:line="312" w:lineRule="auto"/>
        <w:ind w:right="480"/>
        <w:jc w:val="center"/>
        <w:rPr>
          <w:rFonts w:ascii="宋体" w:hAnsi="宋体"/>
          <w:b/>
          <w:color w:val="auto"/>
          <w:kern w:val="0"/>
          <w:sz w:val="32"/>
          <w:szCs w:val="32"/>
          <w:highlight w:val="none"/>
          <w:lang w:val="zh-CN"/>
        </w:rPr>
      </w:pPr>
      <w:bookmarkStart w:id="42" w:name="_Toc31708_WPSOffice_Level1"/>
      <w:bookmarkStart w:id="43" w:name="_Toc30723_WPSOffice_Level1"/>
      <w:r>
        <w:rPr>
          <w:rFonts w:hint="eastAsia" w:ascii="宋体" w:hAnsi="宋体"/>
          <w:b/>
          <w:color w:val="auto"/>
          <w:kern w:val="0"/>
          <w:sz w:val="32"/>
          <w:szCs w:val="32"/>
          <w:highlight w:val="none"/>
          <w:lang w:val="zh-CN"/>
        </w:rPr>
        <w:t>投标声明书</w:t>
      </w:r>
      <w:bookmarkEnd w:id="42"/>
      <w:bookmarkEnd w:id="43"/>
    </w:p>
    <w:p>
      <w:pPr>
        <w:snapToGrid w:val="0"/>
        <w:spacing w:beforeLines="50" w:after="50" w:line="312" w:lineRule="auto"/>
        <w:rPr>
          <w:rFonts w:ascii="宋体" w:hAnsi="宋体" w:cs="宋体"/>
          <w:color w:val="auto"/>
          <w:kern w:val="0"/>
          <w:sz w:val="24"/>
          <w:highlight w:val="none"/>
        </w:rPr>
      </w:pPr>
      <w:r>
        <w:rPr>
          <w:rFonts w:hint="eastAsia" w:ascii="宋体" w:hAnsi="宋体" w:cstheme="minorBidi"/>
          <w:color w:val="auto"/>
          <w:sz w:val="24"/>
          <w:highlight w:val="none"/>
          <w:u w:val="single"/>
        </w:rPr>
        <w:t>×</w:t>
      </w:r>
      <w:r>
        <w:rPr>
          <w:rFonts w:hint="eastAsia" w:ascii="宋体" w:hAnsi="宋体" w:cs="宋体"/>
          <w:color w:val="auto"/>
          <w:kern w:val="0"/>
          <w:sz w:val="24"/>
          <w:highlight w:val="none"/>
        </w:rPr>
        <w:t>（</w:t>
      </w:r>
      <w:r>
        <w:rPr>
          <w:rFonts w:hint="eastAsia" w:asciiTheme="minorEastAsia" w:hAnsiTheme="minorEastAsia" w:eastAsiaTheme="minorEastAsia"/>
          <w:color w:val="auto"/>
          <w:sz w:val="24"/>
          <w:highlight w:val="none"/>
        </w:rPr>
        <w:t>采购组织机构名称</w:t>
      </w:r>
      <w:r>
        <w:rPr>
          <w:rFonts w:hint="eastAsia" w:ascii="宋体" w:hAnsi="宋体" w:cs="宋体"/>
          <w:color w:val="auto"/>
          <w:kern w:val="0"/>
          <w:sz w:val="24"/>
          <w:highlight w:val="none"/>
        </w:rPr>
        <w:t>）：</w:t>
      </w:r>
    </w:p>
    <w:p>
      <w:pPr>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（投标人名称）系中华人民共和国合法企业，经营地址。</w:t>
      </w:r>
    </w:p>
    <w:p>
      <w:pPr>
        <w:snapToGrid w:val="0"/>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 w:val="24"/>
          <w:highlight w:val="none"/>
          <w:u w:val="single"/>
        </w:rPr>
        <w:t xml:space="preserve"> 姓名 </w:t>
      </w:r>
      <w:r>
        <w:rPr>
          <w:rFonts w:hint="eastAsia" w:ascii="宋体" w:hAnsi="宋体" w:cs="宋体"/>
          <w:color w:val="auto"/>
          <w:kern w:val="0"/>
          <w:sz w:val="24"/>
          <w:highlight w:val="none"/>
        </w:rPr>
        <w:t>）系（</w:t>
      </w:r>
      <w:r>
        <w:rPr>
          <w:rFonts w:hint="eastAsia" w:ascii="宋体" w:hAnsi="宋体" w:cs="宋体"/>
          <w:color w:val="auto"/>
          <w:kern w:val="0"/>
          <w:sz w:val="24"/>
          <w:highlight w:val="none"/>
          <w:u w:val="single"/>
        </w:rPr>
        <w:t xml:space="preserve"> 投标人名称 </w:t>
      </w:r>
      <w:r>
        <w:rPr>
          <w:rFonts w:hint="eastAsia" w:ascii="宋体" w:hAnsi="宋体" w:cs="宋体"/>
          <w:color w:val="auto"/>
          <w:kern w:val="0"/>
          <w:sz w:val="24"/>
          <w:highlight w:val="none"/>
        </w:rPr>
        <w:t>）的法定代表人，我公司自愿参加贵方组织的</w:t>
      </w:r>
      <w:r>
        <w:rPr>
          <w:rFonts w:hint="eastAsia" w:ascii="宋体" w:hAnsi="宋体" w:cs="宋体"/>
          <w:color w:val="auto"/>
          <w:kern w:val="0"/>
          <w:sz w:val="24"/>
          <w:highlight w:val="none"/>
          <w:u w:val="single"/>
          <w:lang w:eastAsia="zh-CN"/>
        </w:rPr>
        <w:t>2023年台州市区交通标线采购项目（重新招标）</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（编号为</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rPr>
        <w:t>）的投标，为此，我公司就本次投标有关事项郑重声明如下：</w:t>
      </w:r>
    </w:p>
    <w:p>
      <w:pPr>
        <w:numPr>
          <w:ilvl w:val="0"/>
          <w:numId w:val="17"/>
        </w:numPr>
        <w:snapToGrid w:val="0"/>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我公司声明截止投标时间近三年以来：未被列入失信被执行人、</w:t>
      </w:r>
      <w:r>
        <w:rPr>
          <w:rFonts w:hint="eastAsia" w:ascii="宋体" w:hAnsi="宋体" w:cs="宋体"/>
          <w:color w:val="auto"/>
          <w:kern w:val="0"/>
          <w:sz w:val="24"/>
          <w:highlight w:val="none"/>
          <w:lang w:eastAsia="zh-CN"/>
        </w:rPr>
        <w:t>重大税收违法失信主体</w:t>
      </w:r>
      <w:r>
        <w:rPr>
          <w:rFonts w:hint="eastAsia" w:ascii="宋体" w:hAnsi="宋体" w:cs="宋体"/>
          <w:color w:val="auto"/>
          <w:kern w:val="0"/>
          <w:sz w:val="24"/>
          <w:highlight w:val="none"/>
        </w:rPr>
        <w:t>、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17"/>
        </w:numPr>
        <w:snapToGrid w:val="0"/>
        <w:spacing w:line="360" w:lineRule="auto"/>
        <w:ind w:firstLine="480" w:firstLineChars="200"/>
        <w:rPr>
          <w:rFonts w:hint="eastAsia" w:ascii="宋体" w:hAnsi="宋体" w:cs="宋体"/>
          <w:color w:val="auto"/>
          <w:kern w:val="0"/>
          <w:sz w:val="24"/>
          <w:highlight w:val="none"/>
          <w:lang w:eastAsia="zh-CN"/>
        </w:rPr>
      </w:pPr>
      <w:r>
        <w:rPr>
          <w:rFonts w:hint="eastAsia" w:ascii="宋体" w:hAnsi="宋体" w:cs="宋体"/>
          <w:color w:val="auto"/>
          <w:kern w:val="0"/>
          <w:sz w:val="24"/>
          <w:highlight w:val="none"/>
        </w:rPr>
        <w:t>我公司在参与投标前已详细审查了招标文件和所有相关资料，我方完全</w:t>
      </w:r>
      <w:r>
        <w:rPr>
          <w:rFonts w:hint="eastAsia" w:ascii="宋体" w:hAnsi="宋体" w:cs="宋体"/>
          <w:color w:val="auto"/>
          <w:kern w:val="0"/>
          <w:sz w:val="24"/>
          <w:highlight w:val="none"/>
          <w:lang w:eastAsia="zh-CN"/>
        </w:rPr>
        <w:t>知悉</w:t>
      </w:r>
      <w:r>
        <w:rPr>
          <w:rFonts w:hint="eastAsia" w:ascii="宋体" w:hAnsi="宋体" w:cs="宋体"/>
          <w:color w:val="auto"/>
          <w:kern w:val="0"/>
          <w:sz w:val="24"/>
          <w:highlight w:val="none"/>
        </w:rPr>
        <w:t>并认为此招标文件没有倾向性，也没有存在排斥潜在投标人的内容，我方</w:t>
      </w:r>
      <w:r>
        <w:rPr>
          <w:rFonts w:hint="eastAsia" w:ascii="宋体" w:hAnsi="宋体" w:cs="宋体"/>
          <w:color w:val="auto"/>
          <w:kern w:val="0"/>
          <w:sz w:val="24"/>
          <w:highlight w:val="none"/>
          <w:lang w:eastAsia="zh-CN"/>
        </w:rPr>
        <w:t>对招标文件的所有内容没有任何异议，不申请澄清和质疑。</w:t>
      </w:r>
    </w:p>
    <w:p>
      <w:pPr>
        <w:numPr>
          <w:ilvl w:val="0"/>
          <w:numId w:val="17"/>
        </w:numPr>
        <w:snapToGrid w:val="0"/>
        <w:spacing w:line="360" w:lineRule="auto"/>
        <w:ind w:firstLine="480" w:firstLineChars="200"/>
        <w:rPr>
          <w:rFonts w:ascii="宋体" w:hAnsi="宋体"/>
          <w:color w:val="auto"/>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 w:val="24"/>
          <w:highlight w:val="none"/>
          <w:lang w:val="zh-CN"/>
        </w:rPr>
        <w:t>公司</w:t>
      </w:r>
      <w:r>
        <w:rPr>
          <w:rFonts w:hint="eastAsia" w:ascii="宋体" w:hAnsi="宋体" w:cs="宋体"/>
          <w:color w:val="auto"/>
          <w:kern w:val="0"/>
          <w:sz w:val="24"/>
          <w:highlight w:val="none"/>
        </w:rPr>
        <w:t>不是采购人的附属机构；</w:t>
      </w:r>
      <w:r>
        <w:rPr>
          <w:rFonts w:hint="eastAsia" w:ascii="宋体" w:hAnsi="宋体"/>
          <w:color w:val="auto"/>
          <w:sz w:val="24"/>
          <w:highlight w:val="none"/>
        </w:rPr>
        <w:t>在获知本项目采购信息后，与采购人聘请的为此项目提供咨询服务的公司及其附属机构没有任何联系。</w:t>
      </w:r>
    </w:p>
    <w:p>
      <w:pPr>
        <w:snapToGrid w:val="0"/>
        <w:spacing w:line="360" w:lineRule="auto"/>
        <w:ind w:firstLine="480" w:firstLineChars="200"/>
        <w:rPr>
          <w:rFonts w:ascii="宋体" w:hAnsi="宋体"/>
          <w:color w:val="auto"/>
          <w:kern w:val="0"/>
          <w:sz w:val="24"/>
          <w:highlight w:val="none"/>
          <w:lang w:val="af-ZA"/>
        </w:rPr>
      </w:pPr>
      <w:r>
        <w:rPr>
          <w:rFonts w:hint="eastAsia" w:ascii="宋体" w:hAnsi="宋体"/>
          <w:color w:val="auto"/>
          <w:sz w:val="24"/>
          <w:highlight w:val="none"/>
        </w:rPr>
        <w:t>4、</w:t>
      </w:r>
      <w:r>
        <w:rPr>
          <w:rFonts w:hint="eastAsia" w:ascii="宋体" w:hAnsi="宋体" w:cs="宋体"/>
          <w:color w:val="auto"/>
          <w:kern w:val="0"/>
          <w:sz w:val="24"/>
          <w:highlight w:val="none"/>
        </w:rPr>
        <w:t>我</w:t>
      </w:r>
      <w:r>
        <w:rPr>
          <w:rFonts w:hint="eastAsia" w:ascii="宋体" w:hAnsi="宋体" w:cs="仿宋_GB2312"/>
          <w:color w:val="auto"/>
          <w:kern w:val="0"/>
          <w:sz w:val="24"/>
          <w:highlight w:val="none"/>
          <w:lang w:val="zh-CN"/>
        </w:rPr>
        <w:t>公司</w:t>
      </w:r>
      <w:r>
        <w:rPr>
          <w:rFonts w:hint="eastAsia" w:ascii="宋体" w:hAnsi="宋体" w:cs="宋体"/>
          <w:color w:val="auto"/>
          <w:kern w:val="0"/>
          <w:sz w:val="24"/>
          <w:highlight w:val="none"/>
        </w:rPr>
        <w:t>保证，</w:t>
      </w:r>
      <w:r>
        <w:rPr>
          <w:rFonts w:hint="eastAsia" w:ascii="宋体" w:hAnsi="宋体"/>
          <w:color w:val="auto"/>
          <w:kern w:val="0"/>
          <w:sz w:val="24"/>
          <w:highlight w:val="none"/>
          <w:lang w:val="af-ZA"/>
        </w:rPr>
        <w:t>采购人在中华人民共和国境内使用</w:t>
      </w:r>
      <w:r>
        <w:rPr>
          <w:rFonts w:hint="eastAsia" w:ascii="宋体" w:hAnsi="宋体" w:cs="宋体"/>
          <w:color w:val="auto"/>
          <w:kern w:val="0"/>
          <w:sz w:val="24"/>
          <w:highlight w:val="none"/>
        </w:rPr>
        <w:t>我</w:t>
      </w:r>
      <w:r>
        <w:rPr>
          <w:rFonts w:hint="eastAsia" w:ascii="宋体" w:hAnsi="宋体" w:cs="仿宋_GB2312"/>
          <w:color w:val="auto"/>
          <w:kern w:val="0"/>
          <w:sz w:val="24"/>
          <w:highlight w:val="none"/>
          <w:lang w:val="zh-CN"/>
        </w:rPr>
        <w:t>公司</w:t>
      </w:r>
      <w:r>
        <w:rPr>
          <w:rFonts w:hint="eastAsia" w:ascii="宋体" w:hAnsi="宋体"/>
          <w:color w:val="auto"/>
          <w:kern w:val="0"/>
          <w:sz w:val="24"/>
          <w:highlight w:val="none"/>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color w:val="auto"/>
          <w:kern w:val="0"/>
          <w:sz w:val="24"/>
          <w:highlight w:val="none"/>
          <w:lang w:val="af-ZA"/>
        </w:rPr>
        <w:t>我方</w:t>
      </w:r>
      <w:r>
        <w:rPr>
          <w:rFonts w:hint="eastAsia" w:ascii="宋体" w:hAnsi="宋体"/>
          <w:color w:val="auto"/>
          <w:kern w:val="0"/>
          <w:sz w:val="24"/>
          <w:highlight w:val="none"/>
          <w:lang w:val="af-ZA"/>
        </w:rPr>
        <w:t>承担。</w:t>
      </w:r>
      <w:r>
        <w:rPr>
          <w:rFonts w:hint="eastAsia" w:ascii="宋体" w:hAnsi="宋体" w:cs="宋体"/>
          <w:color w:val="auto"/>
          <w:kern w:val="0"/>
          <w:sz w:val="24"/>
          <w:highlight w:val="none"/>
          <w:lang w:val="af-ZA"/>
        </w:rPr>
        <w:t>我方的</w:t>
      </w:r>
      <w:r>
        <w:rPr>
          <w:rFonts w:hint="eastAsia" w:ascii="宋体" w:hAnsi="宋体"/>
          <w:color w:val="auto"/>
          <w:kern w:val="0"/>
          <w:sz w:val="24"/>
          <w:highlight w:val="none"/>
          <w:lang w:val="af-ZA"/>
        </w:rPr>
        <w:t>投标报价</w:t>
      </w:r>
      <w:r>
        <w:rPr>
          <w:rFonts w:hint="eastAsia" w:ascii="宋体" w:hAnsi="宋体" w:cs="宋体"/>
          <w:color w:val="auto"/>
          <w:kern w:val="0"/>
          <w:sz w:val="24"/>
          <w:highlight w:val="none"/>
          <w:lang w:val="af-ZA"/>
        </w:rPr>
        <w:t>已</w:t>
      </w:r>
      <w:r>
        <w:rPr>
          <w:rFonts w:hint="eastAsia" w:ascii="宋体" w:hAnsi="宋体"/>
          <w:color w:val="auto"/>
          <w:kern w:val="0"/>
          <w:sz w:val="24"/>
          <w:highlight w:val="none"/>
          <w:lang w:val="af-ZA"/>
        </w:rPr>
        <w:t>包含所有应向所有权人支付的专利权、商标权或其它知识产权的一切相关费用。</w:t>
      </w:r>
    </w:p>
    <w:p>
      <w:pPr>
        <w:snapToGrid w:val="0"/>
        <w:spacing w:line="360" w:lineRule="auto"/>
        <w:ind w:firstLine="480" w:firstLineChars="200"/>
        <w:rPr>
          <w:rFonts w:ascii="仿宋_GB2312" w:hAnsi="仿宋_GB2312" w:eastAsia="仿宋_GB2312" w:cs="仿宋_GB2312"/>
          <w:color w:val="auto"/>
          <w:sz w:val="24"/>
          <w:highlight w:val="none"/>
        </w:rPr>
      </w:pPr>
      <w:r>
        <w:rPr>
          <w:rFonts w:hint="eastAsia" w:ascii="宋体" w:hAnsi="宋体" w:cs="宋体"/>
          <w:color w:val="auto"/>
          <w:kern w:val="0"/>
          <w:sz w:val="24"/>
          <w:highlight w:val="none"/>
          <w:lang w:val="af-ZA"/>
        </w:rPr>
        <w:t>5、我</w:t>
      </w:r>
      <w:r>
        <w:rPr>
          <w:rFonts w:hint="eastAsia" w:ascii="宋体" w:hAnsi="宋体" w:cs="宋体"/>
          <w:color w:val="auto"/>
          <w:kern w:val="0"/>
          <w:sz w:val="24"/>
          <w:highlight w:val="none"/>
          <w:lang w:val="zh-CN"/>
        </w:rPr>
        <w:t>公司</w:t>
      </w:r>
      <w:r>
        <w:rPr>
          <w:rFonts w:hint="eastAsia" w:ascii="宋体" w:hAnsi="宋体" w:cs="宋体"/>
          <w:color w:val="auto"/>
          <w:kern w:val="0"/>
          <w:sz w:val="24"/>
          <w:highlight w:val="none"/>
          <w:lang w:val="af-ZA"/>
        </w:rPr>
        <w:t>严格履行政府采购合同，不降低合同约定的产品质量和服务，不擅自变更、中止、终止合同，或拒绝履行合同义务；</w:t>
      </w:r>
    </w:p>
    <w:p>
      <w:pPr>
        <w:snapToGrid w:val="0"/>
        <w:spacing w:line="360" w:lineRule="auto"/>
        <w:ind w:firstLine="480" w:firstLineChars="200"/>
        <w:rPr>
          <w:rFonts w:ascii="宋体" w:hAnsi="宋体"/>
          <w:color w:val="auto"/>
          <w:sz w:val="24"/>
          <w:highlight w:val="none"/>
        </w:rPr>
      </w:pPr>
      <w:r>
        <w:rPr>
          <w:rFonts w:hint="eastAsia" w:ascii="宋体" w:hAnsi="宋体"/>
          <w:color w:val="auto"/>
          <w:sz w:val="24"/>
          <w:highlight w:val="none"/>
        </w:rPr>
        <w:t>6、以上事项如有虚假或隐瞒，我</w:t>
      </w:r>
      <w:r>
        <w:rPr>
          <w:rFonts w:hint="eastAsia" w:ascii="宋体" w:hAnsi="宋体" w:cs="仿宋_GB2312"/>
          <w:color w:val="auto"/>
          <w:kern w:val="0"/>
          <w:sz w:val="24"/>
          <w:highlight w:val="none"/>
          <w:lang w:val="zh-CN"/>
        </w:rPr>
        <w:t>公司</w:t>
      </w:r>
      <w:r>
        <w:rPr>
          <w:rFonts w:hint="eastAsia" w:ascii="宋体" w:hAnsi="宋体"/>
          <w:color w:val="auto"/>
          <w:sz w:val="24"/>
          <w:highlight w:val="none"/>
        </w:rPr>
        <w:t>愿意承担一切后果，并不再寻求任何旨在减轻或免除法律责任的辩解。</w:t>
      </w:r>
    </w:p>
    <w:p>
      <w:pPr>
        <w:adjustRightInd w:val="0"/>
        <w:snapToGrid w:val="0"/>
        <w:spacing w:line="360" w:lineRule="auto"/>
        <w:ind w:firstLine="480"/>
        <w:rPr>
          <w:rFonts w:ascii="宋体" w:hAnsi="宋体" w:cs="仿宋_GB2312"/>
          <w:color w:val="auto"/>
          <w:kern w:val="0"/>
          <w:sz w:val="24"/>
          <w:highlight w:val="none"/>
        </w:rPr>
      </w:pPr>
    </w:p>
    <w:p>
      <w:pPr>
        <w:adjustRightInd w:val="0"/>
        <w:snapToGrid w:val="0"/>
        <w:spacing w:line="360" w:lineRule="auto"/>
        <w:ind w:firstLine="4680" w:firstLineChars="1950"/>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 xml:space="preserve">    投标人名称（电子印章)：</w:t>
      </w:r>
    </w:p>
    <w:p>
      <w:pPr>
        <w:adjustRightInd w:val="0"/>
        <w:snapToGrid w:val="0"/>
        <w:spacing w:line="360" w:lineRule="auto"/>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 xml:space="preserve">                                      法定代表人或授权委托人签字或电子印章：</w:t>
      </w:r>
    </w:p>
    <w:p>
      <w:pPr>
        <w:adjustRightInd w:val="0"/>
        <w:snapToGrid w:val="0"/>
        <w:spacing w:line="360" w:lineRule="auto"/>
        <w:ind w:right="480"/>
        <w:jc w:val="center"/>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t xml:space="preserve">                                  日期：</w:t>
      </w:r>
      <w:r>
        <w:rPr>
          <w:rFonts w:hint="eastAsia" w:ascii="宋体" w:hAnsi="宋体" w:cstheme="minorBidi"/>
          <w:color w:val="auto"/>
          <w:sz w:val="24"/>
          <w:highlight w:val="none"/>
        </w:rPr>
        <w:t>××</w:t>
      </w:r>
      <w:r>
        <w:rPr>
          <w:rFonts w:hint="eastAsia" w:ascii="宋体" w:hAnsi="宋体" w:cs="仿宋_GB2312"/>
          <w:color w:val="auto"/>
          <w:kern w:val="0"/>
          <w:sz w:val="24"/>
          <w:highlight w:val="none"/>
          <w:lang w:val="zh-CN"/>
        </w:rPr>
        <w:t xml:space="preserve">年 </w:t>
      </w:r>
      <w:r>
        <w:rPr>
          <w:rFonts w:hint="eastAsia" w:ascii="宋体" w:hAnsi="宋体" w:cstheme="minorBidi"/>
          <w:color w:val="auto"/>
          <w:sz w:val="24"/>
          <w:highlight w:val="none"/>
        </w:rPr>
        <w:t>××</w:t>
      </w:r>
      <w:r>
        <w:rPr>
          <w:rFonts w:hint="eastAsia" w:ascii="宋体" w:hAnsi="宋体" w:cs="仿宋_GB2312"/>
          <w:color w:val="auto"/>
          <w:kern w:val="0"/>
          <w:sz w:val="24"/>
          <w:highlight w:val="none"/>
          <w:lang w:val="zh-CN"/>
        </w:rPr>
        <w:t xml:space="preserve"> 月 </w:t>
      </w:r>
      <w:r>
        <w:rPr>
          <w:rFonts w:hint="eastAsia" w:ascii="宋体" w:hAnsi="宋体" w:cstheme="minorBidi"/>
          <w:color w:val="auto"/>
          <w:sz w:val="24"/>
          <w:highlight w:val="none"/>
        </w:rPr>
        <w:t>××</w:t>
      </w:r>
      <w:r>
        <w:rPr>
          <w:rFonts w:hint="eastAsia" w:ascii="宋体" w:hAnsi="宋体" w:cs="仿宋_GB2312"/>
          <w:color w:val="auto"/>
          <w:kern w:val="0"/>
          <w:sz w:val="24"/>
          <w:highlight w:val="none"/>
          <w:lang w:val="zh-CN"/>
        </w:rPr>
        <w:t xml:space="preserve"> 日</w:t>
      </w:r>
    </w:p>
    <w:p>
      <w:pPr>
        <w:rPr>
          <w:rFonts w:ascii="宋体" w:hAnsi="宋体" w:cs="仿宋_GB2312"/>
          <w:color w:val="auto"/>
          <w:kern w:val="0"/>
          <w:sz w:val="24"/>
          <w:highlight w:val="none"/>
          <w:lang w:val="zh-CN"/>
        </w:rPr>
      </w:pPr>
      <w:r>
        <w:rPr>
          <w:rFonts w:hint="eastAsia" w:ascii="宋体" w:hAnsi="宋体" w:cs="仿宋_GB2312"/>
          <w:color w:val="auto"/>
          <w:kern w:val="0"/>
          <w:sz w:val="24"/>
          <w:highlight w:val="none"/>
          <w:lang w:val="zh-CN"/>
        </w:rPr>
        <w:br w:type="page"/>
      </w:r>
    </w:p>
    <w:p>
      <w:pPr>
        <w:pStyle w:val="2"/>
        <w:rPr>
          <w:color w:val="auto"/>
          <w:highlight w:val="none"/>
          <w:lang w:val="zh-CN"/>
        </w:rPr>
      </w:pPr>
    </w:p>
    <w:p>
      <w:pPr>
        <w:adjustRightInd w:val="0"/>
        <w:snapToGrid w:val="0"/>
        <w:spacing w:line="360" w:lineRule="auto"/>
        <w:ind w:right="480"/>
        <w:rPr>
          <w:rFonts w:ascii="宋体"/>
          <w:b/>
          <w:color w:val="auto"/>
          <w:sz w:val="30"/>
          <w:szCs w:val="30"/>
          <w:highlight w:val="none"/>
        </w:rPr>
      </w:pPr>
      <w:r>
        <w:rPr>
          <w:rFonts w:hint="eastAsia" w:ascii="宋体" w:hAnsi="宋体"/>
          <w:b/>
          <w:color w:val="auto"/>
          <w:sz w:val="28"/>
          <w:highlight w:val="none"/>
        </w:rPr>
        <w:t>附件3</w:t>
      </w:r>
    </w:p>
    <w:p>
      <w:pPr>
        <w:spacing w:line="360" w:lineRule="auto"/>
        <w:ind w:firstLine="321" w:firstLineChars="100"/>
        <w:jc w:val="center"/>
        <w:rPr>
          <w:rFonts w:hAnsi="宋体"/>
          <w:b/>
          <w:color w:val="auto"/>
          <w:sz w:val="32"/>
          <w:szCs w:val="32"/>
          <w:highlight w:val="none"/>
          <w:u w:val="single"/>
        </w:rPr>
      </w:pPr>
      <w:bookmarkStart w:id="44" w:name="_Toc6870_WPSOffice_Level1"/>
      <w:bookmarkStart w:id="45" w:name="_Toc24373_WPSOffice_Level1"/>
      <w:r>
        <w:rPr>
          <w:b/>
          <w:color w:val="auto"/>
          <w:sz w:val="32"/>
          <w:szCs w:val="32"/>
          <w:highlight w:val="none"/>
        </w:rPr>
        <w:t>授权</w:t>
      </w:r>
      <w:r>
        <w:rPr>
          <w:rFonts w:hint="eastAsia"/>
          <w:b/>
          <w:color w:val="auto"/>
          <w:sz w:val="32"/>
          <w:szCs w:val="32"/>
          <w:highlight w:val="none"/>
        </w:rPr>
        <w:t>委托</w:t>
      </w:r>
      <w:r>
        <w:rPr>
          <w:b/>
          <w:color w:val="auto"/>
          <w:sz w:val="32"/>
          <w:szCs w:val="32"/>
          <w:highlight w:val="none"/>
        </w:rPr>
        <w:t>书</w:t>
      </w:r>
      <w:bookmarkEnd w:id="44"/>
      <w:bookmarkEnd w:id="45"/>
    </w:p>
    <w:p>
      <w:pPr>
        <w:snapToGrid w:val="0"/>
        <w:spacing w:beforeLines="50" w:after="50" w:line="360" w:lineRule="auto"/>
        <w:rPr>
          <w:rFonts w:ascii="宋体" w:hAnsi="宋体" w:cs="宋体"/>
          <w:color w:val="auto"/>
          <w:kern w:val="0"/>
          <w:sz w:val="24"/>
          <w:highlight w:val="none"/>
        </w:rPr>
      </w:pPr>
      <w:r>
        <w:rPr>
          <w:rFonts w:hint="eastAsia" w:ascii="宋体" w:hAnsi="宋体" w:cstheme="minorBidi"/>
          <w:color w:val="auto"/>
          <w:sz w:val="24"/>
          <w:highlight w:val="none"/>
          <w:u w:val="single"/>
        </w:rPr>
        <w:t>××</w:t>
      </w:r>
      <w:r>
        <w:rPr>
          <w:rFonts w:hint="eastAsia" w:ascii="宋体" w:hAnsi="宋体" w:cs="宋体"/>
          <w:color w:val="auto"/>
          <w:kern w:val="0"/>
          <w:sz w:val="24"/>
          <w:highlight w:val="none"/>
        </w:rPr>
        <w:t>（采购代理机构名称）：</w:t>
      </w:r>
    </w:p>
    <w:p>
      <w:pPr>
        <w:pStyle w:val="12"/>
        <w:spacing w:line="360" w:lineRule="auto"/>
        <w:ind w:firstLine="480" w:firstLineChars="200"/>
        <w:rPr>
          <w:rFonts w:hAnsi="宋体"/>
          <w:color w:val="auto"/>
          <w:sz w:val="24"/>
          <w:highlight w:val="none"/>
        </w:rPr>
      </w:pPr>
      <w:r>
        <w:rPr>
          <w:rFonts w:hAnsi="宋体"/>
          <w:color w:val="auto"/>
          <w:sz w:val="24"/>
          <w:highlight w:val="none"/>
          <w:u w:val="single"/>
        </w:rPr>
        <w:t xml:space="preserve">  （投标人全称）  </w:t>
      </w:r>
      <w:r>
        <w:rPr>
          <w:rFonts w:hAnsi="宋体"/>
          <w:color w:val="auto"/>
          <w:sz w:val="24"/>
          <w:highlight w:val="none"/>
        </w:rPr>
        <w:t>法定代表人</w:t>
      </w:r>
      <w:r>
        <w:rPr>
          <w:rFonts w:hint="eastAsia" w:ascii="Arial" w:hAnsi="Arial" w:cs="Arial"/>
          <w:color w:val="auto"/>
          <w:sz w:val="24"/>
          <w:highlight w:val="none"/>
        </w:rPr>
        <w:t>（或营业执照中单位负责人）</w:t>
      </w:r>
      <w:r>
        <w:rPr>
          <w:rFonts w:hAnsi="宋体"/>
          <w:color w:val="auto"/>
          <w:sz w:val="24"/>
          <w:highlight w:val="none"/>
          <w:u w:val="single"/>
        </w:rPr>
        <w:tab/>
      </w:r>
      <w:r>
        <w:rPr>
          <w:rFonts w:hAnsi="宋体"/>
          <w:color w:val="auto"/>
          <w:sz w:val="24"/>
          <w:highlight w:val="none"/>
          <w:u w:val="single"/>
        </w:rPr>
        <w:t>（法定代表</w:t>
      </w:r>
      <w:r>
        <w:rPr>
          <w:rFonts w:hint="eastAsia" w:hAnsi="宋体"/>
          <w:color w:val="auto"/>
          <w:sz w:val="24"/>
          <w:highlight w:val="none"/>
          <w:u w:val="single"/>
        </w:rPr>
        <w:t>人</w:t>
      </w:r>
      <w:r>
        <w:rPr>
          <w:rFonts w:hint="eastAsia" w:ascii="Arial" w:hAnsi="Arial" w:cs="Arial"/>
          <w:color w:val="auto"/>
          <w:sz w:val="24"/>
          <w:highlight w:val="none"/>
          <w:u w:val="single"/>
        </w:rPr>
        <w:t>或营业执照中单位负责人</w:t>
      </w:r>
      <w:r>
        <w:rPr>
          <w:rFonts w:hAnsi="宋体"/>
          <w:color w:val="auto"/>
          <w:sz w:val="24"/>
          <w:highlight w:val="none"/>
          <w:u w:val="single"/>
        </w:rPr>
        <w:t xml:space="preserve">姓名） </w:t>
      </w:r>
      <w:r>
        <w:rPr>
          <w:rFonts w:hAnsi="宋体"/>
          <w:color w:val="auto"/>
          <w:sz w:val="24"/>
          <w:highlight w:val="none"/>
        </w:rPr>
        <w:t>授权</w:t>
      </w:r>
      <w:r>
        <w:rPr>
          <w:rFonts w:hint="eastAsia" w:hAnsi="宋体"/>
          <w:color w:val="auto"/>
          <w:sz w:val="24"/>
          <w:highlight w:val="none"/>
          <w:u w:val="single"/>
        </w:rPr>
        <w:t xml:space="preserve">   （全权代表</w:t>
      </w:r>
      <w:r>
        <w:rPr>
          <w:rFonts w:hAnsi="宋体"/>
          <w:color w:val="auto"/>
          <w:sz w:val="24"/>
          <w:highlight w:val="none"/>
          <w:u w:val="single"/>
        </w:rPr>
        <w:t>姓名</w:t>
      </w:r>
      <w:r>
        <w:rPr>
          <w:rFonts w:hint="eastAsia" w:hAnsi="宋体"/>
          <w:color w:val="auto"/>
          <w:sz w:val="24"/>
          <w:highlight w:val="none"/>
          <w:u w:val="single"/>
        </w:rPr>
        <w:t xml:space="preserve">） </w:t>
      </w:r>
      <w:r>
        <w:rPr>
          <w:rFonts w:hAnsi="宋体"/>
          <w:color w:val="auto"/>
          <w:sz w:val="24"/>
          <w:highlight w:val="none"/>
        </w:rPr>
        <w:t>为</w:t>
      </w:r>
      <w:r>
        <w:rPr>
          <w:rFonts w:hint="eastAsia" w:hAnsi="宋体"/>
          <w:color w:val="auto"/>
          <w:sz w:val="24"/>
          <w:highlight w:val="none"/>
        </w:rPr>
        <w:t>全权代表</w:t>
      </w:r>
      <w:r>
        <w:rPr>
          <w:rFonts w:hAnsi="宋体"/>
          <w:color w:val="auto"/>
          <w:sz w:val="24"/>
          <w:highlight w:val="none"/>
        </w:rPr>
        <w:t>，参加贵单位组织的</w:t>
      </w:r>
      <w:r>
        <w:rPr>
          <w:rFonts w:hint="eastAsia" w:hAnsi="宋体"/>
          <w:color w:val="auto"/>
          <w:sz w:val="24"/>
          <w:highlight w:val="none"/>
          <w:u w:val="single"/>
          <w:lang w:eastAsia="zh-CN"/>
        </w:rPr>
        <w:t>2023年台州市区交通标线采购项目（重新招标）</w:t>
      </w:r>
      <w:r>
        <w:rPr>
          <w:rFonts w:hint="eastAsia" w:hAnsi="宋体"/>
          <w:color w:val="auto"/>
          <w:sz w:val="24"/>
          <w:highlight w:val="none"/>
          <w:u w:val="single"/>
        </w:rPr>
        <w:t xml:space="preserve">   ）</w:t>
      </w:r>
      <w:r>
        <w:rPr>
          <w:rFonts w:hAnsi="宋体"/>
          <w:color w:val="auto"/>
          <w:sz w:val="24"/>
          <w:highlight w:val="none"/>
        </w:rPr>
        <w:t>的采购活动，并代表我方全权办理针对上述项目的投标、开标、评标、签约等具体事务和签署相关文件。</w:t>
      </w:r>
      <w:r>
        <w:rPr>
          <w:rFonts w:hint="eastAsia" w:hAnsi="宋体"/>
          <w:color w:val="auto"/>
          <w:sz w:val="24"/>
          <w:highlight w:val="none"/>
        </w:rPr>
        <w:t>我方对全权代表的签字事项负全部责任。</w:t>
      </w:r>
    </w:p>
    <w:p>
      <w:pPr>
        <w:pStyle w:val="12"/>
        <w:spacing w:line="360" w:lineRule="auto"/>
        <w:ind w:firstLine="480" w:firstLineChars="200"/>
        <w:rPr>
          <w:rFonts w:hAnsi="宋体"/>
          <w:color w:val="auto"/>
          <w:sz w:val="24"/>
          <w:highlight w:val="none"/>
        </w:rPr>
      </w:pPr>
      <w:r>
        <w:rPr>
          <w:rFonts w:hint="eastAsia" w:hAnsi="宋体"/>
          <w:color w:val="auto"/>
          <w:sz w:val="24"/>
          <w:highlight w:val="none"/>
        </w:rPr>
        <w:t>在撤销授权的书面通知以前，本授权书一直有效。全权代表在授权委托书有效期内签署的所有文件不因授权的撤销而失效。</w:t>
      </w:r>
    </w:p>
    <w:p>
      <w:pPr>
        <w:pStyle w:val="12"/>
        <w:spacing w:line="360" w:lineRule="auto"/>
        <w:ind w:firstLine="480" w:firstLineChars="200"/>
        <w:rPr>
          <w:rFonts w:hAnsi="宋体"/>
          <w:color w:val="auto"/>
          <w:sz w:val="24"/>
          <w:highlight w:val="none"/>
        </w:rPr>
      </w:pPr>
      <w:r>
        <w:rPr>
          <w:rFonts w:hint="eastAsia" w:hAnsi="宋体"/>
          <w:color w:val="auto"/>
          <w:sz w:val="24"/>
          <w:highlight w:val="none"/>
        </w:rPr>
        <w:t>全权代表无转委托权，特此委托。</w:t>
      </w:r>
    </w:p>
    <w:p>
      <w:pPr>
        <w:spacing w:line="360" w:lineRule="auto"/>
        <w:rPr>
          <w:color w:val="auto"/>
          <w:sz w:val="24"/>
          <w:highlight w:val="none"/>
        </w:rPr>
      </w:pPr>
    </w:p>
    <w:p>
      <w:pPr>
        <w:spacing w:line="360" w:lineRule="auto"/>
        <w:rPr>
          <w:color w:val="auto"/>
          <w:sz w:val="24"/>
          <w:highlight w:val="none"/>
        </w:rPr>
      </w:pPr>
      <w:r>
        <w:rPr>
          <w:rFonts w:hint="eastAsia" w:ascii="宋体"/>
          <w:color w:val="auto"/>
          <w:sz w:val="24"/>
          <w:highlight w:val="none"/>
        </w:rPr>
        <w:t>法定代表人签字或盖章：</w:t>
      </w:r>
    </w:p>
    <w:p>
      <w:pPr>
        <w:spacing w:line="360" w:lineRule="auto"/>
        <w:rPr>
          <w:color w:val="auto"/>
          <w:sz w:val="24"/>
          <w:highlight w:val="none"/>
        </w:rPr>
      </w:pPr>
      <w:r>
        <w:rPr>
          <w:rFonts w:hint="eastAsia" w:ascii="宋体"/>
          <w:color w:val="auto"/>
          <w:sz w:val="24"/>
          <w:highlight w:val="none"/>
        </w:rPr>
        <w:t>投标人全称（电子印章）：                              日期：</w:t>
      </w:r>
    </w:p>
    <w:p>
      <w:pPr>
        <w:spacing w:line="360" w:lineRule="auto"/>
        <w:rPr>
          <w:color w:val="auto"/>
          <w:sz w:val="24"/>
          <w:highlight w:val="none"/>
        </w:rPr>
      </w:pPr>
    </w:p>
    <w:p>
      <w:pPr>
        <w:spacing w:line="360" w:lineRule="auto"/>
        <w:rPr>
          <w:b/>
          <w:color w:val="auto"/>
          <w:sz w:val="24"/>
          <w:highlight w:val="none"/>
        </w:rPr>
      </w:pPr>
      <w:r>
        <w:rPr>
          <w:rFonts w:hint="eastAsia" w:ascii="宋体"/>
          <w:b/>
          <w:color w:val="auto"/>
          <w:sz w:val="24"/>
          <w:highlight w:val="none"/>
        </w:rPr>
        <w:t>附：</w:t>
      </w:r>
    </w:p>
    <w:tbl>
      <w:tblPr>
        <w:tblStyle w:val="19"/>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color w:val="auto"/>
                <w:sz w:val="24"/>
                <w:highlight w:val="none"/>
              </w:rPr>
            </w:pPr>
          </w:p>
          <w:p>
            <w:pPr>
              <w:spacing w:line="360" w:lineRule="auto"/>
              <w:ind w:firstLine="361" w:firstLineChars="150"/>
              <w:rPr>
                <w:rFonts w:ascii="宋体"/>
                <w:b/>
                <w:color w:val="auto"/>
                <w:sz w:val="24"/>
                <w:highlight w:val="none"/>
              </w:rPr>
            </w:pPr>
            <w:r>
              <w:rPr>
                <w:rFonts w:hint="eastAsia" w:ascii="宋体"/>
                <w:b/>
                <w:color w:val="auto"/>
                <w:sz w:val="24"/>
                <w:highlight w:val="none"/>
              </w:rPr>
              <w:t>法定代表身份证复印件粘贴处</w:t>
            </w:r>
          </w:p>
        </w:tc>
      </w:tr>
    </w:tbl>
    <w:p>
      <w:pPr>
        <w:spacing w:line="360" w:lineRule="auto"/>
        <w:rPr>
          <w:color w:val="auto"/>
          <w:sz w:val="24"/>
          <w:highlight w:val="none"/>
        </w:rPr>
      </w:pPr>
      <w:r>
        <w:rPr>
          <w:rFonts w:hint="eastAsia" w:ascii="宋体"/>
          <w:color w:val="auto"/>
          <w:sz w:val="24"/>
          <w:highlight w:val="none"/>
        </w:rPr>
        <w:t xml:space="preserve">法定代表人姓名：                                 </w:t>
      </w:r>
    </w:p>
    <w:p>
      <w:pPr>
        <w:spacing w:line="360" w:lineRule="auto"/>
        <w:rPr>
          <w:color w:val="auto"/>
          <w:sz w:val="24"/>
          <w:highlight w:val="none"/>
        </w:rPr>
      </w:pPr>
      <w:r>
        <w:rPr>
          <w:rFonts w:hint="eastAsia" w:ascii="宋体"/>
          <w:color w:val="auto"/>
          <w:sz w:val="24"/>
          <w:highlight w:val="none"/>
        </w:rPr>
        <w:t>传真：</w:t>
      </w:r>
    </w:p>
    <w:p>
      <w:pPr>
        <w:spacing w:line="360" w:lineRule="auto"/>
        <w:rPr>
          <w:rFonts w:ascii="宋体"/>
          <w:color w:val="auto"/>
          <w:sz w:val="24"/>
          <w:highlight w:val="none"/>
        </w:rPr>
      </w:pPr>
      <w:r>
        <w:rPr>
          <w:rFonts w:hint="eastAsia" w:ascii="宋体"/>
          <w:color w:val="auto"/>
          <w:sz w:val="24"/>
          <w:highlight w:val="none"/>
        </w:rPr>
        <w:t>电话：</w:t>
      </w:r>
    </w:p>
    <w:p>
      <w:pPr>
        <w:spacing w:line="360" w:lineRule="auto"/>
        <w:rPr>
          <w:color w:val="auto"/>
          <w:sz w:val="24"/>
          <w:highlight w:val="none"/>
        </w:rPr>
      </w:pPr>
      <w:r>
        <w:rPr>
          <w:rFonts w:hint="eastAsia" w:ascii="宋体"/>
          <w:color w:val="auto"/>
          <w:sz w:val="24"/>
          <w:highlight w:val="none"/>
        </w:rPr>
        <w:t>详细通讯地址：</w:t>
      </w:r>
    </w:p>
    <w:p>
      <w:pPr>
        <w:spacing w:line="360" w:lineRule="auto"/>
        <w:rPr>
          <w:rFonts w:ascii="宋体"/>
          <w:color w:val="auto"/>
          <w:sz w:val="24"/>
          <w:highlight w:val="none"/>
        </w:rPr>
      </w:pPr>
      <w:r>
        <w:rPr>
          <w:rFonts w:hint="eastAsia" w:ascii="宋体"/>
          <w:color w:val="auto"/>
          <w:sz w:val="24"/>
          <w:highlight w:val="none"/>
        </w:rPr>
        <w:t>邮政编码：</w:t>
      </w:r>
    </w:p>
    <w:p>
      <w:pPr>
        <w:spacing w:line="360" w:lineRule="auto"/>
        <w:rPr>
          <w:b/>
          <w:color w:val="auto"/>
          <w:sz w:val="24"/>
          <w:highlight w:val="none"/>
        </w:rPr>
      </w:pPr>
    </w:p>
    <w:tbl>
      <w:tblPr>
        <w:tblStyle w:val="19"/>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color w:val="auto"/>
                <w:sz w:val="24"/>
                <w:highlight w:val="none"/>
              </w:rPr>
            </w:pPr>
          </w:p>
          <w:p>
            <w:pPr>
              <w:spacing w:line="360" w:lineRule="auto"/>
              <w:ind w:firstLine="361" w:firstLineChars="150"/>
              <w:rPr>
                <w:rFonts w:ascii="宋体"/>
                <w:b/>
                <w:color w:val="auto"/>
                <w:sz w:val="24"/>
                <w:highlight w:val="none"/>
              </w:rPr>
            </w:pPr>
            <w:r>
              <w:rPr>
                <w:rFonts w:hint="eastAsia" w:ascii="宋体"/>
                <w:b/>
                <w:color w:val="auto"/>
                <w:sz w:val="24"/>
                <w:highlight w:val="none"/>
              </w:rPr>
              <w:t>全权代表身份证复印件粘贴处</w:t>
            </w:r>
          </w:p>
        </w:tc>
      </w:tr>
    </w:tbl>
    <w:p>
      <w:pPr>
        <w:spacing w:line="360" w:lineRule="auto"/>
        <w:rPr>
          <w:rFonts w:ascii="宋体"/>
          <w:color w:val="auto"/>
          <w:sz w:val="24"/>
          <w:highlight w:val="none"/>
        </w:rPr>
      </w:pPr>
      <w:r>
        <w:rPr>
          <w:rFonts w:hint="eastAsia" w:ascii="宋体"/>
          <w:color w:val="auto"/>
          <w:sz w:val="24"/>
          <w:highlight w:val="none"/>
        </w:rPr>
        <w:t xml:space="preserve">全权代表姓名：       </w:t>
      </w:r>
    </w:p>
    <w:p>
      <w:pPr>
        <w:spacing w:line="360" w:lineRule="auto"/>
        <w:rPr>
          <w:color w:val="auto"/>
          <w:sz w:val="24"/>
          <w:highlight w:val="none"/>
        </w:rPr>
      </w:pPr>
      <w:r>
        <w:rPr>
          <w:rFonts w:hint="eastAsia" w:ascii="宋体"/>
          <w:color w:val="auto"/>
          <w:sz w:val="24"/>
          <w:highlight w:val="none"/>
        </w:rPr>
        <w:t xml:space="preserve">职务：                           </w:t>
      </w:r>
    </w:p>
    <w:p>
      <w:pPr>
        <w:spacing w:line="360" w:lineRule="auto"/>
        <w:rPr>
          <w:color w:val="auto"/>
          <w:sz w:val="24"/>
          <w:highlight w:val="none"/>
        </w:rPr>
      </w:pPr>
      <w:r>
        <w:rPr>
          <w:rFonts w:hint="eastAsia" w:ascii="宋体"/>
          <w:color w:val="auto"/>
          <w:sz w:val="24"/>
          <w:highlight w:val="none"/>
        </w:rPr>
        <w:t>传真：</w:t>
      </w:r>
    </w:p>
    <w:p>
      <w:pPr>
        <w:spacing w:line="360" w:lineRule="auto"/>
        <w:rPr>
          <w:rFonts w:ascii="宋体"/>
          <w:color w:val="auto"/>
          <w:sz w:val="24"/>
          <w:highlight w:val="none"/>
        </w:rPr>
      </w:pPr>
      <w:r>
        <w:rPr>
          <w:rFonts w:hint="eastAsia" w:ascii="宋体"/>
          <w:color w:val="auto"/>
          <w:sz w:val="24"/>
          <w:highlight w:val="none"/>
        </w:rPr>
        <w:t>电话：</w:t>
      </w:r>
    </w:p>
    <w:p>
      <w:pPr>
        <w:spacing w:line="360" w:lineRule="auto"/>
        <w:rPr>
          <w:color w:val="auto"/>
          <w:sz w:val="24"/>
          <w:highlight w:val="none"/>
        </w:rPr>
      </w:pPr>
      <w:r>
        <w:rPr>
          <w:rFonts w:hint="eastAsia" w:ascii="宋体"/>
          <w:color w:val="auto"/>
          <w:sz w:val="24"/>
          <w:highlight w:val="none"/>
        </w:rPr>
        <w:t>详细通讯地址：</w:t>
      </w:r>
    </w:p>
    <w:p>
      <w:pPr>
        <w:spacing w:line="360" w:lineRule="auto"/>
        <w:rPr>
          <w:rFonts w:ascii="宋体"/>
          <w:color w:val="auto"/>
          <w:sz w:val="24"/>
          <w:highlight w:val="none"/>
        </w:rPr>
      </w:pPr>
      <w:r>
        <w:rPr>
          <w:rFonts w:hint="eastAsia" w:ascii="宋体"/>
          <w:color w:val="auto"/>
          <w:sz w:val="24"/>
          <w:highlight w:val="none"/>
        </w:rPr>
        <w:t>邮政编码：</w:t>
      </w:r>
    </w:p>
    <w:p>
      <w:pPr>
        <w:rPr>
          <w:rFonts w:ascii="宋体" w:hAnsi="宋体"/>
          <w:b/>
          <w:color w:val="auto"/>
          <w:sz w:val="28"/>
          <w:highlight w:val="none"/>
        </w:rPr>
      </w:pPr>
      <w:r>
        <w:rPr>
          <w:rFonts w:hint="eastAsia" w:ascii="宋体" w:hAnsi="宋体"/>
          <w:b/>
          <w:color w:val="auto"/>
          <w:sz w:val="28"/>
          <w:highlight w:val="none"/>
        </w:rPr>
        <w:br w:type="page"/>
      </w:r>
    </w:p>
    <w:p>
      <w:pPr>
        <w:adjustRightInd w:val="0"/>
        <w:snapToGrid w:val="0"/>
        <w:spacing w:line="360" w:lineRule="auto"/>
        <w:ind w:right="480"/>
        <w:rPr>
          <w:rFonts w:ascii="宋体" w:hAnsi="宋体" w:cs="宋体"/>
          <w:b/>
          <w:color w:val="auto"/>
          <w:sz w:val="24"/>
          <w:highlight w:val="none"/>
        </w:rPr>
      </w:pPr>
      <w:bookmarkStart w:id="46" w:name="_Toc351_WPSOffice_Level1"/>
      <w:bookmarkStart w:id="47" w:name="_Toc20519_WPSOffice_Level1"/>
      <w:r>
        <w:rPr>
          <w:rFonts w:hint="eastAsia" w:ascii="宋体" w:hAnsi="宋体" w:cs="宋体"/>
          <w:b/>
          <w:color w:val="auto"/>
          <w:sz w:val="24"/>
          <w:highlight w:val="none"/>
        </w:rPr>
        <w:t>附件4</w:t>
      </w:r>
    </w:p>
    <w:p>
      <w:pPr>
        <w:spacing w:after="312" w:afterLines="100"/>
        <w:jc w:val="center"/>
        <w:rPr>
          <w:rFonts w:hint="eastAsia" w:ascii="宋体" w:hAnsi="宋体" w:eastAsia="宋体" w:cs="仿宋_GB2312"/>
          <w:b/>
          <w:bCs/>
          <w:color w:val="auto"/>
          <w:kern w:val="0"/>
          <w:sz w:val="24"/>
          <w:highlight w:val="none"/>
          <w:lang w:val="zh-CN"/>
        </w:rPr>
      </w:pPr>
      <w:r>
        <w:rPr>
          <w:rFonts w:hint="eastAsia" w:ascii="宋体" w:hAnsi="宋体" w:eastAsia="宋体" w:cs="仿宋_GB2312"/>
          <w:b/>
          <w:bCs/>
          <w:color w:val="auto"/>
          <w:kern w:val="0"/>
          <w:sz w:val="24"/>
          <w:highlight w:val="none"/>
          <w:lang w:val="zh-CN"/>
        </w:rPr>
        <w:t>供应商财务状况和依法缴纳税收及社会保障资金的书面承诺函</w:t>
      </w:r>
    </w:p>
    <w:p>
      <w:pPr>
        <w:spacing w:after="312" w:afterLines="100" w:line="360" w:lineRule="auto"/>
        <w:jc w:val="left"/>
        <w:rPr>
          <w:rFonts w:ascii="宋体" w:hAnsi="宋体" w:cs="仿宋_GB2312"/>
          <w:bCs/>
          <w:color w:val="auto"/>
          <w:kern w:val="0"/>
          <w:sz w:val="24"/>
          <w:highlight w:val="none"/>
          <w:lang w:val="zh-CN"/>
        </w:rPr>
      </w:pPr>
    </w:p>
    <w:p>
      <w:pPr>
        <w:spacing w:after="312" w:afterLines="100" w:line="360" w:lineRule="auto"/>
        <w:jc w:val="left"/>
        <w:rPr>
          <w:rFonts w:ascii="宋体" w:hAnsi="宋体" w:cs="仿宋_GB2312"/>
          <w:bCs/>
          <w:color w:val="auto"/>
          <w:kern w:val="0"/>
          <w:sz w:val="24"/>
          <w:highlight w:val="none"/>
          <w:lang w:val="zh-CN"/>
        </w:rPr>
      </w:pPr>
      <w:r>
        <w:rPr>
          <w:rFonts w:hint="eastAsia" w:ascii="宋体" w:hAnsi="宋体" w:cs="仿宋_GB2312"/>
          <w:bCs/>
          <w:color w:val="auto"/>
          <w:kern w:val="0"/>
          <w:sz w:val="24"/>
          <w:highlight w:val="none"/>
          <w:lang w:val="zh-CN"/>
        </w:rPr>
        <w:t>致：</w:t>
      </w:r>
      <w:r>
        <w:rPr>
          <w:rFonts w:hint="eastAsia" w:ascii="宋体" w:hAnsi="宋体" w:cs="宋体"/>
          <w:color w:val="auto"/>
          <w:sz w:val="24"/>
          <w:highlight w:val="none"/>
          <w:u w:val="single"/>
        </w:rPr>
        <w:t xml:space="preserve">                         </w:t>
      </w:r>
      <w:r>
        <w:rPr>
          <w:rFonts w:hint="eastAsia" w:ascii="宋体" w:hAnsi="宋体" w:cs="仿宋_GB2312"/>
          <w:bCs/>
          <w:color w:val="auto"/>
          <w:kern w:val="0"/>
          <w:sz w:val="24"/>
          <w:highlight w:val="none"/>
          <w:lang w:val="zh-CN"/>
        </w:rPr>
        <w:t>（采购人）</w:t>
      </w:r>
    </w:p>
    <w:p>
      <w:pPr>
        <w:snapToGrid w:val="0"/>
        <w:spacing w:line="48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我公司作为本次采购项目的供应商，参加</w:t>
      </w:r>
      <w:r>
        <w:rPr>
          <w:rFonts w:hint="eastAsia" w:hAnsi="宋体"/>
          <w:color w:val="auto"/>
          <w:sz w:val="24"/>
          <w:highlight w:val="none"/>
          <w:u w:val="single"/>
          <w:lang w:val="en-US" w:eastAsia="zh-CN"/>
        </w:rPr>
        <w:t xml:space="preserve">                           </w:t>
      </w:r>
      <w:r>
        <w:rPr>
          <w:rFonts w:hint="eastAsia" w:ascii="宋体" w:hAnsi="宋体" w:cs="宋体"/>
          <w:color w:val="auto"/>
          <w:sz w:val="24"/>
          <w:highlight w:val="none"/>
        </w:rPr>
        <w:t>采购活动，根据采购文件要求，现郑重承诺：</w:t>
      </w:r>
    </w:p>
    <w:p>
      <w:pPr>
        <w:snapToGrid w:val="0"/>
        <w:spacing w:line="48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我公司符合参与政府采购活动的资格条件，不存在税收缴纳、社会保障等方面的失信记录。</w:t>
      </w:r>
    </w:p>
    <w:p>
      <w:pPr>
        <w:snapToGrid w:val="0"/>
        <w:spacing w:line="48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如本公司对以上条款提供虚假承诺，采购组织机构可取消我方任何资格（投标/中标/签订合同），我方对此无任何异议。</w:t>
      </w:r>
    </w:p>
    <w:p>
      <w:pPr>
        <w:snapToGrid w:val="0"/>
        <w:spacing w:line="480" w:lineRule="auto"/>
        <w:jc w:val="left"/>
        <w:rPr>
          <w:rFonts w:ascii="宋体" w:hAnsi="宋体" w:cs="宋体"/>
          <w:color w:val="auto"/>
          <w:sz w:val="24"/>
          <w:highlight w:val="none"/>
        </w:rPr>
      </w:pPr>
    </w:p>
    <w:p>
      <w:pPr>
        <w:spacing w:line="360" w:lineRule="auto"/>
        <w:ind w:firstLine="424" w:firstLineChars="177"/>
        <w:rPr>
          <w:rFonts w:ascii="宋体" w:hAnsi="宋体"/>
          <w:color w:val="auto"/>
          <w:sz w:val="24"/>
          <w:highlight w:val="none"/>
        </w:rPr>
      </w:pPr>
    </w:p>
    <w:p>
      <w:pPr>
        <w:spacing w:line="360" w:lineRule="auto"/>
        <w:ind w:firstLine="424" w:firstLineChars="177"/>
        <w:rPr>
          <w:rFonts w:ascii="宋体" w:hAnsi="宋体"/>
          <w:color w:val="auto"/>
          <w:sz w:val="24"/>
          <w:highlight w:val="none"/>
        </w:rPr>
      </w:pPr>
    </w:p>
    <w:p>
      <w:pPr>
        <w:spacing w:line="360" w:lineRule="auto"/>
        <w:ind w:firstLine="424" w:firstLineChars="177"/>
        <w:rPr>
          <w:rFonts w:ascii="宋体" w:hAnsi="宋体"/>
          <w:color w:val="auto"/>
          <w:sz w:val="24"/>
          <w:highlight w:val="none"/>
          <w:u w:val="single"/>
        </w:rPr>
      </w:pPr>
      <w:r>
        <w:rPr>
          <w:rFonts w:hint="eastAsia" w:ascii="宋体" w:hAnsi="宋体"/>
          <w:color w:val="auto"/>
          <w:sz w:val="24"/>
          <w:highlight w:val="none"/>
        </w:rPr>
        <w:t>供应商名称（电子印章）：</w:t>
      </w:r>
    </w:p>
    <w:p>
      <w:pPr>
        <w:spacing w:line="360" w:lineRule="auto"/>
        <w:ind w:left="420"/>
        <w:rPr>
          <w:rFonts w:ascii="宋体" w:hAnsi="宋体"/>
          <w:color w:val="auto"/>
          <w:sz w:val="24"/>
          <w:highlight w:val="none"/>
        </w:rPr>
      </w:pPr>
    </w:p>
    <w:p>
      <w:pPr>
        <w:spacing w:line="360" w:lineRule="auto"/>
        <w:ind w:firstLine="424" w:firstLineChars="177"/>
        <w:rPr>
          <w:rFonts w:ascii="宋体" w:hAnsi="宋体"/>
          <w:color w:val="auto"/>
          <w:sz w:val="24"/>
          <w:highlight w:val="none"/>
        </w:rPr>
      </w:pPr>
      <w:r>
        <w:rPr>
          <w:rFonts w:hint="eastAsia" w:ascii="宋体" w:hAnsi="宋体" w:cs="仿宋_GB2312"/>
          <w:color w:val="auto"/>
          <w:kern w:val="0"/>
          <w:sz w:val="24"/>
          <w:highlight w:val="none"/>
          <w:lang w:val="zh-CN"/>
        </w:rPr>
        <w:t>法定代表人或授权委托人签字或电子印章</w:t>
      </w:r>
      <w:r>
        <w:rPr>
          <w:rFonts w:hint="eastAsia" w:ascii="宋体" w:hAnsi="宋体"/>
          <w:color w:val="auto"/>
          <w:sz w:val="24"/>
          <w:highlight w:val="none"/>
        </w:rPr>
        <w:t>：</w:t>
      </w:r>
    </w:p>
    <w:p>
      <w:pPr>
        <w:spacing w:line="360" w:lineRule="auto"/>
        <w:rPr>
          <w:rFonts w:ascii="宋体" w:hAnsi="宋体"/>
          <w:color w:val="auto"/>
          <w:sz w:val="24"/>
          <w:highlight w:val="none"/>
        </w:rPr>
      </w:pPr>
    </w:p>
    <w:p>
      <w:pPr>
        <w:pStyle w:val="32"/>
        <w:shd w:val="clear" w:color="auto" w:fill="FFFFFF"/>
        <w:spacing w:before="0" w:beforeAutospacing="0" w:after="0" w:afterAutospacing="0" w:line="360" w:lineRule="auto"/>
        <w:ind w:firstLine="424" w:firstLineChars="177"/>
        <w:rPr>
          <w:b/>
          <w:bCs/>
          <w:color w:val="auto"/>
          <w:spacing w:val="11"/>
          <w:highlight w:val="none"/>
        </w:rPr>
      </w:pPr>
      <w:r>
        <w:rPr>
          <w:rFonts w:hint="eastAsia"/>
          <w:color w:val="auto"/>
          <w:highlight w:val="none"/>
        </w:rPr>
        <w:t>日        期：</w:t>
      </w:r>
    </w:p>
    <w:p>
      <w:pPr>
        <w:rPr>
          <w:rFonts w:ascii="宋体" w:hAnsi="宋体" w:cs="宋体"/>
          <w:b/>
          <w:color w:val="auto"/>
          <w:sz w:val="24"/>
          <w:highlight w:val="none"/>
        </w:rPr>
      </w:pPr>
    </w:p>
    <w:p>
      <w:pPr>
        <w:rPr>
          <w:rFonts w:ascii="宋体" w:hAnsi="宋体" w:cs="宋体"/>
          <w:b/>
          <w:color w:val="auto"/>
          <w:sz w:val="24"/>
          <w:highlight w:val="none"/>
        </w:rPr>
      </w:pPr>
      <w:r>
        <w:rPr>
          <w:rFonts w:hint="eastAsia" w:ascii="宋体" w:hAnsi="宋体" w:cs="宋体"/>
          <w:b/>
          <w:color w:val="auto"/>
          <w:sz w:val="24"/>
          <w:highlight w:val="none"/>
        </w:rPr>
        <w:br w:type="page"/>
      </w:r>
    </w:p>
    <w:p>
      <w:pPr>
        <w:spacing w:line="360" w:lineRule="auto"/>
        <w:rPr>
          <w:rFonts w:ascii="宋体" w:hAnsi="宋体"/>
          <w:color w:val="auto"/>
          <w:highlight w:val="none"/>
        </w:rPr>
      </w:pPr>
      <w:r>
        <w:rPr>
          <w:rFonts w:hint="eastAsia" w:ascii="宋体" w:hAnsi="宋体"/>
          <w:b/>
          <w:color w:val="auto"/>
          <w:sz w:val="28"/>
          <w:highlight w:val="none"/>
        </w:rPr>
        <w:t>附件5</w:t>
      </w:r>
    </w:p>
    <w:p>
      <w:pPr>
        <w:spacing w:after="312" w:afterLines="100"/>
        <w:jc w:val="center"/>
        <w:rPr>
          <w:rFonts w:ascii="宋体" w:hAnsi="宋体" w:cs="仿宋_GB2312"/>
          <w:b/>
          <w:bCs/>
          <w:color w:val="auto"/>
          <w:kern w:val="0"/>
          <w:sz w:val="24"/>
          <w:highlight w:val="none"/>
          <w:lang w:val="zh-CN"/>
        </w:rPr>
      </w:pPr>
      <w:r>
        <w:rPr>
          <w:rFonts w:hint="eastAsia" w:ascii="宋体" w:hAnsi="宋体" w:cs="仿宋_GB2312"/>
          <w:b/>
          <w:bCs/>
          <w:color w:val="auto"/>
          <w:kern w:val="0"/>
          <w:sz w:val="24"/>
          <w:highlight w:val="none"/>
          <w:lang w:val="zh-CN"/>
        </w:rPr>
        <w:t>具有履行合同所必须的设备和专业技术能力的承诺函</w:t>
      </w:r>
    </w:p>
    <w:p>
      <w:pPr>
        <w:spacing w:after="312" w:afterLines="100" w:line="360" w:lineRule="auto"/>
        <w:jc w:val="left"/>
        <w:rPr>
          <w:rFonts w:ascii="宋体" w:hAnsi="宋体" w:cs="仿宋_GB2312"/>
          <w:bCs/>
          <w:color w:val="auto"/>
          <w:kern w:val="0"/>
          <w:sz w:val="24"/>
          <w:highlight w:val="none"/>
          <w:lang w:val="zh-CN"/>
        </w:rPr>
      </w:pPr>
      <w:r>
        <w:rPr>
          <w:rFonts w:hint="eastAsia" w:ascii="宋体" w:hAnsi="宋体" w:cs="仿宋_GB2312"/>
          <w:bCs/>
          <w:color w:val="auto"/>
          <w:kern w:val="0"/>
          <w:sz w:val="24"/>
          <w:highlight w:val="none"/>
          <w:lang w:val="zh-CN"/>
        </w:rPr>
        <w:t>致：</w:t>
      </w:r>
      <w:r>
        <w:rPr>
          <w:rFonts w:hint="eastAsia" w:ascii="宋体" w:hAnsi="宋体" w:cs="宋体"/>
          <w:color w:val="auto"/>
          <w:sz w:val="24"/>
          <w:highlight w:val="none"/>
          <w:u w:val="single"/>
        </w:rPr>
        <w:t xml:space="preserve">                         </w:t>
      </w:r>
      <w:r>
        <w:rPr>
          <w:rFonts w:hint="eastAsia" w:ascii="宋体" w:hAnsi="宋体" w:cs="仿宋_GB2312"/>
          <w:bCs/>
          <w:color w:val="auto"/>
          <w:kern w:val="0"/>
          <w:sz w:val="24"/>
          <w:highlight w:val="none"/>
          <w:lang w:val="zh-CN"/>
        </w:rPr>
        <w:t>（采购人）</w:t>
      </w:r>
    </w:p>
    <w:p>
      <w:pPr>
        <w:spacing w:line="360" w:lineRule="auto"/>
        <w:ind w:firstLine="424" w:firstLineChars="177"/>
        <w:rPr>
          <w:rFonts w:ascii="宋体" w:hAnsi="宋体"/>
          <w:color w:val="auto"/>
          <w:sz w:val="24"/>
          <w:highlight w:val="none"/>
        </w:rPr>
      </w:pPr>
      <w:r>
        <w:rPr>
          <w:rFonts w:hint="eastAsia" w:ascii="宋体" w:hAnsi="宋体" w:cs="仿宋_GB2312"/>
          <w:bCs/>
          <w:color w:val="auto"/>
          <w:kern w:val="0"/>
          <w:sz w:val="24"/>
          <w:highlight w:val="none"/>
          <w:lang w:val="zh-CN"/>
        </w:rPr>
        <w:t>在贵方组织的</w:t>
      </w:r>
      <w:r>
        <w:rPr>
          <w:rFonts w:hint="eastAsia" w:hAnsi="宋体"/>
          <w:color w:val="auto"/>
          <w:sz w:val="24"/>
          <w:highlight w:val="none"/>
          <w:u w:val="single"/>
          <w:lang w:val="en-US" w:eastAsia="zh-CN"/>
        </w:rPr>
        <w:t xml:space="preserve">                              </w:t>
      </w:r>
      <w:r>
        <w:rPr>
          <w:rFonts w:hint="eastAsia" w:ascii="宋体" w:hAnsi="宋体" w:cs="仿宋_GB2312"/>
          <w:bCs/>
          <w:color w:val="auto"/>
          <w:kern w:val="0"/>
          <w:sz w:val="24"/>
          <w:highlight w:val="none"/>
          <w:lang w:val="zh-CN"/>
        </w:rPr>
        <w:t>公开招标，我方在完全理解本项目采购的技术要求、商务条款及其他内容后，决定参与该项目</w:t>
      </w:r>
      <w:r>
        <w:rPr>
          <w:rFonts w:hint="eastAsia" w:ascii="宋体" w:hAnsi="宋体"/>
          <w:color w:val="auto"/>
          <w:sz w:val="24"/>
          <w:highlight w:val="none"/>
        </w:rPr>
        <w:t>的投标活动。并承诺，如中标，我方将提供足够的设备和专业技术能力保证本合同履行。</w:t>
      </w:r>
    </w:p>
    <w:p>
      <w:pPr>
        <w:spacing w:line="360" w:lineRule="auto"/>
        <w:ind w:firstLine="424" w:firstLineChars="177"/>
        <w:rPr>
          <w:rFonts w:ascii="宋体" w:hAnsi="宋体"/>
          <w:color w:val="auto"/>
          <w:sz w:val="24"/>
          <w:highlight w:val="none"/>
        </w:rPr>
      </w:pPr>
      <w:r>
        <w:rPr>
          <w:rFonts w:hint="eastAsia" w:ascii="宋体" w:hAnsi="宋体"/>
          <w:color w:val="auto"/>
          <w:sz w:val="24"/>
          <w:highlight w:val="none"/>
        </w:rPr>
        <w:t>我方对上述承诺的真实性负责。如有虚假，我方同意按我方合同违约处理，并依法承担相应法律责任。</w:t>
      </w:r>
    </w:p>
    <w:p>
      <w:pPr>
        <w:spacing w:line="360" w:lineRule="auto"/>
        <w:ind w:firstLine="424" w:firstLineChars="177"/>
        <w:rPr>
          <w:rFonts w:ascii="宋体" w:hAnsi="宋体"/>
          <w:color w:val="auto"/>
          <w:sz w:val="24"/>
          <w:highlight w:val="none"/>
        </w:rPr>
      </w:pPr>
    </w:p>
    <w:p>
      <w:pPr>
        <w:spacing w:line="360" w:lineRule="auto"/>
        <w:ind w:firstLine="424" w:firstLineChars="177"/>
        <w:rPr>
          <w:rFonts w:ascii="宋体" w:hAnsi="宋体"/>
          <w:color w:val="auto"/>
          <w:sz w:val="24"/>
          <w:highlight w:val="none"/>
        </w:rPr>
      </w:pPr>
    </w:p>
    <w:p>
      <w:pPr>
        <w:spacing w:line="360" w:lineRule="auto"/>
        <w:ind w:firstLine="424" w:firstLineChars="177"/>
        <w:rPr>
          <w:rFonts w:ascii="宋体" w:hAnsi="宋体"/>
          <w:color w:val="auto"/>
          <w:sz w:val="24"/>
          <w:highlight w:val="none"/>
        </w:rPr>
      </w:pPr>
    </w:p>
    <w:p>
      <w:pPr>
        <w:spacing w:line="360" w:lineRule="auto"/>
        <w:ind w:firstLine="424" w:firstLineChars="177"/>
        <w:rPr>
          <w:rFonts w:ascii="宋体" w:hAnsi="宋体"/>
          <w:color w:val="auto"/>
          <w:sz w:val="24"/>
          <w:highlight w:val="none"/>
        </w:rPr>
      </w:pPr>
    </w:p>
    <w:p>
      <w:pPr>
        <w:spacing w:line="360" w:lineRule="auto"/>
        <w:ind w:firstLine="424" w:firstLineChars="177"/>
        <w:rPr>
          <w:rFonts w:ascii="宋体" w:hAnsi="宋体"/>
          <w:color w:val="auto"/>
          <w:sz w:val="24"/>
          <w:highlight w:val="none"/>
          <w:u w:val="single"/>
        </w:rPr>
      </w:pPr>
      <w:r>
        <w:rPr>
          <w:rFonts w:hint="eastAsia" w:ascii="宋体" w:hAnsi="宋体"/>
          <w:color w:val="auto"/>
          <w:sz w:val="24"/>
          <w:highlight w:val="none"/>
        </w:rPr>
        <w:t>供应商名称（电子印章）：</w:t>
      </w:r>
    </w:p>
    <w:p>
      <w:pPr>
        <w:spacing w:line="360" w:lineRule="auto"/>
        <w:ind w:left="420"/>
        <w:rPr>
          <w:rFonts w:ascii="宋体" w:hAnsi="宋体"/>
          <w:color w:val="auto"/>
          <w:sz w:val="24"/>
          <w:highlight w:val="none"/>
        </w:rPr>
      </w:pPr>
    </w:p>
    <w:p>
      <w:pPr>
        <w:spacing w:line="360" w:lineRule="auto"/>
        <w:ind w:firstLine="424" w:firstLineChars="177"/>
        <w:rPr>
          <w:rFonts w:ascii="宋体" w:hAnsi="宋体"/>
          <w:color w:val="auto"/>
          <w:sz w:val="24"/>
          <w:highlight w:val="none"/>
        </w:rPr>
      </w:pPr>
      <w:r>
        <w:rPr>
          <w:rFonts w:hint="eastAsia" w:ascii="宋体" w:hAnsi="宋体" w:cs="仿宋_GB2312"/>
          <w:color w:val="auto"/>
          <w:kern w:val="0"/>
          <w:sz w:val="24"/>
          <w:highlight w:val="none"/>
          <w:lang w:val="zh-CN"/>
        </w:rPr>
        <w:t>法定代表人或授权委托人签字或电子印章</w:t>
      </w:r>
      <w:r>
        <w:rPr>
          <w:rFonts w:hint="eastAsia" w:ascii="宋体" w:hAnsi="宋体"/>
          <w:color w:val="auto"/>
          <w:sz w:val="24"/>
          <w:highlight w:val="none"/>
        </w:rPr>
        <w:t>：</w:t>
      </w:r>
    </w:p>
    <w:p>
      <w:pPr>
        <w:spacing w:line="360" w:lineRule="auto"/>
        <w:rPr>
          <w:rFonts w:ascii="宋体" w:hAnsi="宋体"/>
          <w:color w:val="auto"/>
          <w:sz w:val="24"/>
          <w:highlight w:val="none"/>
        </w:rPr>
      </w:pPr>
    </w:p>
    <w:p>
      <w:pPr>
        <w:pStyle w:val="32"/>
        <w:shd w:val="clear" w:color="auto" w:fill="FFFFFF"/>
        <w:spacing w:before="0" w:beforeAutospacing="0" w:after="0" w:afterAutospacing="0" w:line="360" w:lineRule="auto"/>
        <w:ind w:firstLine="424" w:firstLineChars="177"/>
        <w:rPr>
          <w:b/>
          <w:bCs/>
          <w:color w:val="auto"/>
          <w:spacing w:val="11"/>
          <w:highlight w:val="none"/>
        </w:rPr>
      </w:pPr>
      <w:r>
        <w:rPr>
          <w:rFonts w:hint="eastAsia"/>
          <w:color w:val="auto"/>
          <w:highlight w:val="none"/>
        </w:rPr>
        <w:t>日        期：：</w:t>
      </w:r>
    </w:p>
    <w:p>
      <w:pPr>
        <w:widowControl/>
        <w:jc w:val="left"/>
        <w:rPr>
          <w:b/>
          <w:bCs/>
          <w:color w:val="auto"/>
          <w:sz w:val="32"/>
          <w:szCs w:val="32"/>
          <w:highlight w:val="none"/>
          <w:lang w:val="zh-CN"/>
        </w:rPr>
      </w:pPr>
    </w:p>
    <w:p>
      <w:pPr>
        <w:pStyle w:val="33"/>
        <w:tabs>
          <w:tab w:val="left" w:pos="1050"/>
        </w:tabs>
        <w:spacing w:line="360" w:lineRule="auto"/>
        <w:rPr>
          <w:rFonts w:ascii="宋体" w:hAnsi="宋体" w:cs="宋体"/>
          <w:b/>
          <w:color w:val="auto"/>
          <w:sz w:val="24"/>
          <w:highlight w:val="none"/>
        </w:rPr>
      </w:pPr>
      <w:r>
        <w:rPr>
          <w:color w:val="auto"/>
          <w:highlight w:val="none"/>
          <w:lang w:val="zh-CN"/>
        </w:rPr>
        <w:br w:type="page"/>
      </w:r>
      <w:r>
        <w:rPr>
          <w:rFonts w:hint="eastAsia" w:ascii="宋体" w:hAnsi="宋体" w:cs="宋体"/>
          <w:b/>
          <w:color w:val="auto"/>
          <w:sz w:val="24"/>
          <w:highlight w:val="none"/>
        </w:rPr>
        <w:t>附件6</w:t>
      </w:r>
    </w:p>
    <w:p>
      <w:pPr>
        <w:pStyle w:val="34"/>
        <w:spacing w:line="360" w:lineRule="auto"/>
        <w:jc w:val="center"/>
        <w:rPr>
          <w:rFonts w:ascii="宋体" w:hAnsi="宋体" w:cs="宋体"/>
          <w:b/>
          <w:color w:val="auto"/>
          <w:sz w:val="24"/>
          <w:highlight w:val="none"/>
          <w:lang w:val="en-GB"/>
        </w:rPr>
      </w:pPr>
      <w:r>
        <w:rPr>
          <w:rFonts w:hint="eastAsia" w:ascii="宋体" w:hAnsi="宋体" w:cs="宋体"/>
          <w:b/>
          <w:color w:val="auto"/>
          <w:sz w:val="24"/>
          <w:highlight w:val="none"/>
          <w:lang w:val="en-GB"/>
        </w:rPr>
        <w:t>中小企业声明函</w:t>
      </w:r>
    </w:p>
    <w:p>
      <w:pPr>
        <w:pStyle w:val="34"/>
        <w:spacing w:line="360" w:lineRule="auto"/>
        <w:jc w:val="center"/>
        <w:rPr>
          <w:rFonts w:ascii="宋体" w:hAnsi="宋体" w:cs="宋体"/>
          <w:b/>
          <w:color w:val="auto"/>
          <w:sz w:val="24"/>
          <w:highlight w:val="none"/>
          <w:lang w:val="en-GB"/>
        </w:rPr>
      </w:pPr>
    </w:p>
    <w:p>
      <w:pPr>
        <w:widowControl/>
        <w:spacing w:line="360" w:lineRule="auto"/>
        <w:ind w:firstLine="480" w:firstLineChars="200"/>
        <w:jc w:val="left"/>
        <w:rPr>
          <w:color w:val="auto"/>
          <w:sz w:val="24"/>
          <w:szCs w:val="24"/>
          <w:highlight w:val="none"/>
        </w:rPr>
      </w:pPr>
      <w:r>
        <w:rPr>
          <w:rFonts w:ascii="仿宋" w:hAnsi="仿宋" w:eastAsia="仿宋" w:cs="仿宋"/>
          <w:color w:val="auto"/>
          <w:kern w:val="0"/>
          <w:sz w:val="24"/>
          <w:szCs w:val="24"/>
          <w:highlight w:val="none"/>
          <w:lang w:bidi="ar"/>
        </w:rPr>
        <w:t>本公司（联合体）郑重声明，根据《政府采购促进中小</w:t>
      </w:r>
      <w:r>
        <w:rPr>
          <w:rFonts w:hint="eastAsia" w:ascii="仿宋" w:hAnsi="仿宋" w:eastAsia="仿宋" w:cs="仿宋"/>
          <w:color w:val="auto"/>
          <w:kern w:val="0"/>
          <w:sz w:val="24"/>
          <w:szCs w:val="24"/>
          <w:highlight w:val="none"/>
          <w:lang w:bidi="ar"/>
        </w:rPr>
        <w:t>企业发展管理办法》（财库</w:t>
      </w:r>
      <w:r>
        <w:rPr>
          <w:rFonts w:hint="eastAsia" w:ascii="宋体" w:hAnsi="宋体" w:eastAsia="宋体" w:cs="宋体"/>
          <w:color w:val="auto"/>
          <w:kern w:val="0"/>
          <w:sz w:val="24"/>
          <w:szCs w:val="24"/>
          <w:highlight w:val="none"/>
          <w:lang w:bidi="ar"/>
        </w:rPr>
        <w:t>﹝</w:t>
      </w:r>
      <w:r>
        <w:rPr>
          <w:rFonts w:hint="eastAsia" w:ascii="仿宋" w:hAnsi="仿宋" w:eastAsia="仿宋" w:cs="仿宋"/>
          <w:color w:val="auto"/>
          <w:kern w:val="0"/>
          <w:sz w:val="24"/>
          <w:szCs w:val="24"/>
          <w:highlight w:val="none"/>
          <w:lang w:bidi="ar"/>
        </w:rPr>
        <w:t>2020</w:t>
      </w:r>
      <w:r>
        <w:rPr>
          <w:rFonts w:hint="eastAsia" w:ascii="宋体" w:hAnsi="宋体" w:eastAsia="宋体" w:cs="宋体"/>
          <w:color w:val="auto"/>
          <w:kern w:val="0"/>
          <w:sz w:val="24"/>
          <w:szCs w:val="24"/>
          <w:highlight w:val="none"/>
          <w:lang w:bidi="ar"/>
        </w:rPr>
        <w:t>﹞</w:t>
      </w:r>
      <w:r>
        <w:rPr>
          <w:rFonts w:hint="eastAsia" w:ascii="仿宋" w:hAnsi="仿宋" w:eastAsia="仿宋" w:cs="仿宋"/>
          <w:color w:val="auto"/>
          <w:kern w:val="0"/>
          <w:sz w:val="24"/>
          <w:szCs w:val="24"/>
          <w:highlight w:val="none"/>
          <w:lang w:bidi="ar"/>
        </w:rPr>
        <w:t>46 号）的规定，本公司（联合体）参加</w:t>
      </w:r>
      <w:r>
        <w:rPr>
          <w:rFonts w:hint="eastAsia" w:ascii="仿宋" w:hAnsi="仿宋" w:eastAsia="仿宋" w:cs="仿宋"/>
          <w:i/>
          <w:color w:val="auto"/>
          <w:kern w:val="0"/>
          <w:sz w:val="24"/>
          <w:szCs w:val="24"/>
          <w:highlight w:val="none"/>
          <w:lang w:bidi="ar"/>
        </w:rPr>
        <w:t>（单位名称）</w:t>
      </w:r>
      <w:r>
        <w:rPr>
          <w:rFonts w:hint="eastAsia" w:ascii="仿宋" w:hAnsi="仿宋" w:eastAsia="仿宋" w:cs="仿宋"/>
          <w:color w:val="auto"/>
          <w:kern w:val="0"/>
          <w:sz w:val="24"/>
          <w:szCs w:val="24"/>
          <w:highlight w:val="none"/>
          <w:lang w:bidi="ar"/>
        </w:rPr>
        <w:t>的</w:t>
      </w:r>
      <w:r>
        <w:rPr>
          <w:rFonts w:hint="eastAsia" w:ascii="仿宋" w:hAnsi="仿宋" w:eastAsia="仿宋" w:cs="仿宋"/>
          <w:i/>
          <w:color w:val="auto"/>
          <w:kern w:val="0"/>
          <w:sz w:val="24"/>
          <w:szCs w:val="24"/>
          <w:highlight w:val="none"/>
          <w:lang w:bidi="ar"/>
        </w:rPr>
        <w:t>（项目名称）</w:t>
      </w:r>
      <w:r>
        <w:rPr>
          <w:rFonts w:hint="eastAsia" w:ascii="仿宋" w:hAnsi="仿宋" w:eastAsia="仿宋" w:cs="仿宋"/>
          <w:color w:val="auto"/>
          <w:kern w:val="0"/>
          <w:sz w:val="24"/>
          <w:szCs w:val="24"/>
          <w:highlight w:val="none"/>
          <w:lang w:bidi="ar"/>
        </w:rPr>
        <w:t xml:space="preserve">采购活动，提供的货物全部由符合政策要求的中小企业制造。相关企业（含联合体中的中小企业、签订分包意向协议的中小企业）的具体情况如下： </w:t>
      </w:r>
    </w:p>
    <w:p>
      <w:pPr>
        <w:widowControl/>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 xml:space="preserve">1. </w:t>
      </w:r>
      <w:r>
        <w:rPr>
          <w:rFonts w:hint="eastAsia" w:ascii="宋体" w:hAnsi="宋体" w:eastAsia="宋体" w:cs="宋体"/>
          <w:i/>
          <w:color w:val="auto"/>
          <w:kern w:val="0"/>
          <w:sz w:val="24"/>
          <w:szCs w:val="24"/>
          <w:highlight w:val="none"/>
          <w:lang w:bidi="ar"/>
        </w:rPr>
        <w:t>（</w:t>
      </w:r>
      <w:r>
        <w:rPr>
          <w:rFonts w:hint="eastAsia" w:ascii="宋体" w:hAnsi="宋体" w:eastAsia="宋体" w:cs="宋体"/>
          <w:i/>
          <w:color w:val="auto"/>
          <w:kern w:val="0"/>
          <w:sz w:val="24"/>
          <w:szCs w:val="24"/>
          <w:highlight w:val="none"/>
          <w:u w:val="single"/>
          <w:lang w:bidi="ar"/>
        </w:rPr>
        <w:t>标的名称</w:t>
      </w:r>
      <w:r>
        <w:rPr>
          <w:rFonts w:hint="eastAsia" w:ascii="宋体" w:hAnsi="宋体" w:eastAsia="宋体" w:cs="宋体"/>
          <w:i/>
          <w:color w:val="auto"/>
          <w:kern w:val="0"/>
          <w:sz w:val="24"/>
          <w:szCs w:val="24"/>
          <w:highlight w:val="none"/>
          <w:lang w:bidi="ar"/>
        </w:rPr>
        <w:t xml:space="preserve">） </w:t>
      </w:r>
      <w:r>
        <w:rPr>
          <w:rFonts w:hint="eastAsia" w:ascii="宋体" w:hAnsi="宋体" w:eastAsia="宋体" w:cs="宋体"/>
          <w:color w:val="auto"/>
          <w:kern w:val="0"/>
          <w:sz w:val="24"/>
          <w:szCs w:val="24"/>
          <w:highlight w:val="none"/>
          <w:lang w:bidi="ar"/>
        </w:rPr>
        <w:t>，属于</w:t>
      </w:r>
      <w:r>
        <w:rPr>
          <w:rFonts w:hint="eastAsia" w:ascii="宋体" w:hAnsi="宋体" w:eastAsia="宋体" w:cs="宋体"/>
          <w:i/>
          <w:color w:val="auto"/>
          <w:kern w:val="0"/>
          <w:sz w:val="24"/>
          <w:szCs w:val="24"/>
          <w:highlight w:val="none"/>
          <w:lang w:bidi="ar"/>
        </w:rPr>
        <w:t>（</w:t>
      </w:r>
      <w:r>
        <w:rPr>
          <w:rFonts w:hint="eastAsia" w:ascii="宋体" w:hAnsi="宋体" w:eastAsia="宋体" w:cs="宋体"/>
          <w:i/>
          <w:color w:val="auto"/>
          <w:kern w:val="0"/>
          <w:sz w:val="24"/>
          <w:szCs w:val="24"/>
          <w:highlight w:val="none"/>
          <w:u w:val="single"/>
          <w:lang w:bidi="ar"/>
        </w:rPr>
        <w:t>采购文件中明确的所属行业</w:t>
      </w:r>
      <w:r>
        <w:rPr>
          <w:rFonts w:hint="eastAsia" w:ascii="宋体" w:hAnsi="宋体" w:eastAsia="宋体" w:cs="宋体"/>
          <w:i/>
          <w:color w:val="auto"/>
          <w:kern w:val="0"/>
          <w:sz w:val="24"/>
          <w:szCs w:val="24"/>
          <w:highlight w:val="none"/>
          <w:lang w:bidi="ar"/>
        </w:rPr>
        <w:t>）行业</w:t>
      </w:r>
      <w:r>
        <w:rPr>
          <w:rFonts w:hint="eastAsia" w:ascii="宋体" w:hAnsi="宋体" w:eastAsia="宋体" w:cs="宋体"/>
          <w:color w:val="auto"/>
          <w:kern w:val="0"/>
          <w:sz w:val="24"/>
          <w:szCs w:val="24"/>
          <w:highlight w:val="none"/>
          <w:lang w:bidi="ar"/>
        </w:rPr>
        <w:t>；制造商为</w:t>
      </w:r>
      <w:r>
        <w:rPr>
          <w:rFonts w:hint="eastAsia" w:ascii="宋体" w:hAnsi="宋体" w:eastAsia="宋体" w:cs="宋体"/>
          <w:i/>
          <w:color w:val="auto"/>
          <w:kern w:val="0"/>
          <w:sz w:val="24"/>
          <w:szCs w:val="24"/>
          <w:highlight w:val="none"/>
          <w:lang w:bidi="ar"/>
        </w:rPr>
        <w:t>（</w:t>
      </w:r>
      <w:r>
        <w:rPr>
          <w:rFonts w:hint="eastAsia" w:ascii="宋体" w:hAnsi="宋体" w:eastAsia="宋体" w:cs="宋体"/>
          <w:i/>
          <w:color w:val="auto"/>
          <w:kern w:val="0"/>
          <w:sz w:val="24"/>
          <w:szCs w:val="24"/>
          <w:highlight w:val="none"/>
          <w:u w:val="single"/>
          <w:lang w:bidi="ar"/>
        </w:rPr>
        <w:t>企业名称</w:t>
      </w:r>
      <w:r>
        <w:rPr>
          <w:rFonts w:hint="eastAsia" w:ascii="宋体" w:hAnsi="宋体" w:eastAsia="宋体" w:cs="宋体"/>
          <w:i/>
          <w:color w:val="auto"/>
          <w:kern w:val="0"/>
          <w:sz w:val="24"/>
          <w:szCs w:val="24"/>
          <w:highlight w:val="none"/>
          <w:lang w:bidi="ar"/>
        </w:rPr>
        <w:t>）</w:t>
      </w:r>
      <w:r>
        <w:rPr>
          <w:rFonts w:hint="eastAsia" w:ascii="宋体" w:hAnsi="宋体" w:eastAsia="宋体" w:cs="宋体"/>
          <w:color w:val="auto"/>
          <w:kern w:val="0"/>
          <w:sz w:val="24"/>
          <w:szCs w:val="24"/>
          <w:highlight w:val="none"/>
          <w:lang w:bidi="ar"/>
        </w:rPr>
        <w:t>，从业人员人，营业收入为</w:t>
      </w:r>
      <w:r>
        <w:rPr>
          <w:rFonts w:hint="eastAsia" w:ascii="宋体" w:hAnsi="宋体" w:eastAsia="宋体" w:cs="宋体"/>
          <w:color w:val="auto"/>
          <w:kern w:val="0"/>
          <w:sz w:val="24"/>
          <w:szCs w:val="24"/>
          <w:highlight w:val="none"/>
          <w:u w:val="single"/>
          <w:lang w:bidi="ar"/>
        </w:rPr>
        <w:t xml:space="preserve">     </w:t>
      </w:r>
      <w:r>
        <w:rPr>
          <w:rFonts w:hint="eastAsia" w:ascii="宋体" w:hAnsi="宋体" w:eastAsia="宋体" w:cs="宋体"/>
          <w:color w:val="auto"/>
          <w:kern w:val="0"/>
          <w:sz w:val="24"/>
          <w:szCs w:val="24"/>
          <w:highlight w:val="none"/>
          <w:lang w:bidi="ar"/>
        </w:rPr>
        <w:t>万元，资产总额为</w:t>
      </w:r>
      <w:r>
        <w:rPr>
          <w:rFonts w:hint="eastAsia" w:ascii="宋体" w:hAnsi="宋体" w:eastAsia="宋体" w:cs="宋体"/>
          <w:color w:val="auto"/>
          <w:kern w:val="0"/>
          <w:sz w:val="24"/>
          <w:szCs w:val="24"/>
          <w:highlight w:val="none"/>
          <w:u w:val="single"/>
          <w:lang w:bidi="ar"/>
        </w:rPr>
        <w:t xml:space="preserve">      </w:t>
      </w:r>
      <w:r>
        <w:rPr>
          <w:rFonts w:hint="eastAsia" w:ascii="宋体" w:hAnsi="宋体" w:eastAsia="宋体" w:cs="宋体"/>
          <w:color w:val="auto"/>
          <w:kern w:val="0"/>
          <w:sz w:val="24"/>
          <w:szCs w:val="24"/>
          <w:highlight w:val="none"/>
          <w:lang w:bidi="ar"/>
        </w:rPr>
        <w:t>万元，属于</w:t>
      </w:r>
      <w:r>
        <w:rPr>
          <w:rFonts w:hint="eastAsia" w:ascii="宋体" w:hAnsi="宋体" w:eastAsia="宋体" w:cs="宋体"/>
          <w:i/>
          <w:color w:val="auto"/>
          <w:kern w:val="0"/>
          <w:sz w:val="24"/>
          <w:szCs w:val="24"/>
          <w:highlight w:val="none"/>
          <w:lang w:bidi="ar"/>
        </w:rPr>
        <w:t>（中型企业、小型企业、微型企业）</w:t>
      </w:r>
      <w:r>
        <w:rPr>
          <w:rFonts w:hint="eastAsia" w:ascii="宋体" w:hAnsi="宋体" w:eastAsia="宋体" w:cs="宋体"/>
          <w:color w:val="auto"/>
          <w:kern w:val="0"/>
          <w:sz w:val="24"/>
          <w:szCs w:val="24"/>
          <w:highlight w:val="none"/>
          <w:lang w:bidi="ar"/>
        </w:rPr>
        <w:t xml:space="preserve">； </w:t>
      </w:r>
    </w:p>
    <w:p>
      <w:pPr>
        <w:widowControl/>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 xml:space="preserve">2. </w:t>
      </w:r>
      <w:r>
        <w:rPr>
          <w:rFonts w:hint="eastAsia" w:ascii="宋体" w:hAnsi="宋体" w:eastAsia="宋体" w:cs="宋体"/>
          <w:i/>
          <w:color w:val="auto"/>
          <w:kern w:val="0"/>
          <w:sz w:val="24"/>
          <w:szCs w:val="24"/>
          <w:highlight w:val="none"/>
          <w:lang w:bidi="ar"/>
        </w:rPr>
        <w:t>（</w:t>
      </w:r>
      <w:r>
        <w:rPr>
          <w:rFonts w:hint="eastAsia" w:ascii="宋体" w:hAnsi="宋体" w:eastAsia="宋体" w:cs="宋体"/>
          <w:i/>
          <w:color w:val="auto"/>
          <w:kern w:val="0"/>
          <w:sz w:val="24"/>
          <w:szCs w:val="24"/>
          <w:highlight w:val="none"/>
          <w:u w:val="single"/>
          <w:lang w:bidi="ar"/>
        </w:rPr>
        <w:t>标的名称</w:t>
      </w:r>
      <w:r>
        <w:rPr>
          <w:rFonts w:hint="eastAsia" w:ascii="宋体" w:hAnsi="宋体" w:eastAsia="宋体" w:cs="宋体"/>
          <w:i/>
          <w:color w:val="auto"/>
          <w:kern w:val="0"/>
          <w:sz w:val="24"/>
          <w:szCs w:val="24"/>
          <w:highlight w:val="none"/>
          <w:lang w:bidi="ar"/>
        </w:rPr>
        <w:t xml:space="preserve">） </w:t>
      </w:r>
      <w:r>
        <w:rPr>
          <w:rFonts w:hint="eastAsia" w:ascii="宋体" w:hAnsi="宋体" w:eastAsia="宋体" w:cs="宋体"/>
          <w:color w:val="auto"/>
          <w:kern w:val="0"/>
          <w:sz w:val="24"/>
          <w:szCs w:val="24"/>
          <w:highlight w:val="none"/>
          <w:lang w:bidi="ar"/>
        </w:rPr>
        <w:t>，属于</w:t>
      </w:r>
      <w:r>
        <w:rPr>
          <w:rFonts w:hint="eastAsia" w:ascii="宋体" w:hAnsi="宋体" w:eastAsia="宋体" w:cs="宋体"/>
          <w:i/>
          <w:color w:val="auto"/>
          <w:kern w:val="0"/>
          <w:sz w:val="24"/>
          <w:szCs w:val="24"/>
          <w:highlight w:val="none"/>
          <w:lang w:bidi="ar"/>
        </w:rPr>
        <w:t>（</w:t>
      </w:r>
      <w:r>
        <w:rPr>
          <w:rFonts w:hint="eastAsia" w:ascii="宋体" w:hAnsi="宋体" w:eastAsia="宋体" w:cs="宋体"/>
          <w:i/>
          <w:color w:val="auto"/>
          <w:kern w:val="0"/>
          <w:sz w:val="24"/>
          <w:szCs w:val="24"/>
          <w:highlight w:val="none"/>
          <w:u w:val="single"/>
          <w:lang w:bidi="ar"/>
        </w:rPr>
        <w:t>采购文件中明确的所属行业</w:t>
      </w:r>
      <w:r>
        <w:rPr>
          <w:rFonts w:hint="eastAsia" w:ascii="宋体" w:hAnsi="宋体" w:eastAsia="宋体" w:cs="宋体"/>
          <w:i/>
          <w:color w:val="auto"/>
          <w:kern w:val="0"/>
          <w:sz w:val="24"/>
          <w:szCs w:val="24"/>
          <w:highlight w:val="none"/>
          <w:lang w:bidi="ar"/>
        </w:rPr>
        <w:t>）行业</w:t>
      </w:r>
      <w:r>
        <w:rPr>
          <w:rFonts w:hint="eastAsia" w:ascii="宋体" w:hAnsi="宋体" w:eastAsia="宋体" w:cs="宋体"/>
          <w:color w:val="auto"/>
          <w:kern w:val="0"/>
          <w:sz w:val="24"/>
          <w:szCs w:val="24"/>
          <w:highlight w:val="none"/>
          <w:lang w:bidi="ar"/>
        </w:rPr>
        <w:t>；制造商为</w:t>
      </w:r>
      <w:r>
        <w:rPr>
          <w:rFonts w:hint="eastAsia" w:ascii="宋体" w:hAnsi="宋体" w:eastAsia="宋体" w:cs="宋体"/>
          <w:i/>
          <w:color w:val="auto"/>
          <w:kern w:val="0"/>
          <w:sz w:val="24"/>
          <w:szCs w:val="24"/>
          <w:highlight w:val="none"/>
          <w:lang w:bidi="ar"/>
        </w:rPr>
        <w:t>（</w:t>
      </w:r>
      <w:r>
        <w:rPr>
          <w:rFonts w:hint="eastAsia" w:ascii="宋体" w:hAnsi="宋体" w:eastAsia="宋体" w:cs="宋体"/>
          <w:i/>
          <w:color w:val="auto"/>
          <w:kern w:val="0"/>
          <w:sz w:val="24"/>
          <w:szCs w:val="24"/>
          <w:highlight w:val="none"/>
          <w:u w:val="single"/>
          <w:lang w:bidi="ar"/>
        </w:rPr>
        <w:t>企业名称</w:t>
      </w:r>
      <w:r>
        <w:rPr>
          <w:rFonts w:hint="eastAsia" w:ascii="宋体" w:hAnsi="宋体" w:eastAsia="宋体" w:cs="宋体"/>
          <w:i/>
          <w:color w:val="auto"/>
          <w:kern w:val="0"/>
          <w:sz w:val="24"/>
          <w:szCs w:val="24"/>
          <w:highlight w:val="none"/>
          <w:lang w:bidi="ar"/>
        </w:rPr>
        <w:t>）</w:t>
      </w:r>
      <w:r>
        <w:rPr>
          <w:rFonts w:hint="eastAsia" w:ascii="宋体" w:hAnsi="宋体" w:eastAsia="宋体" w:cs="宋体"/>
          <w:color w:val="auto"/>
          <w:kern w:val="0"/>
          <w:sz w:val="24"/>
          <w:szCs w:val="24"/>
          <w:highlight w:val="none"/>
          <w:lang w:bidi="ar"/>
        </w:rPr>
        <w:t>，从业人员人，营业收入为</w:t>
      </w:r>
      <w:r>
        <w:rPr>
          <w:rFonts w:hint="eastAsia" w:ascii="宋体" w:hAnsi="宋体" w:eastAsia="宋体" w:cs="宋体"/>
          <w:color w:val="auto"/>
          <w:kern w:val="0"/>
          <w:sz w:val="24"/>
          <w:szCs w:val="24"/>
          <w:highlight w:val="none"/>
          <w:u w:val="single"/>
          <w:lang w:bidi="ar"/>
        </w:rPr>
        <w:t xml:space="preserve">      </w:t>
      </w:r>
      <w:r>
        <w:rPr>
          <w:rFonts w:hint="eastAsia" w:ascii="宋体" w:hAnsi="宋体" w:eastAsia="宋体" w:cs="宋体"/>
          <w:color w:val="auto"/>
          <w:kern w:val="0"/>
          <w:sz w:val="24"/>
          <w:szCs w:val="24"/>
          <w:highlight w:val="none"/>
          <w:lang w:bidi="ar"/>
        </w:rPr>
        <w:t>万元，资产总额为</w:t>
      </w:r>
      <w:r>
        <w:rPr>
          <w:rFonts w:hint="eastAsia" w:ascii="宋体" w:hAnsi="宋体" w:eastAsia="宋体" w:cs="宋体"/>
          <w:color w:val="auto"/>
          <w:kern w:val="0"/>
          <w:sz w:val="24"/>
          <w:szCs w:val="24"/>
          <w:highlight w:val="none"/>
          <w:u w:val="single"/>
          <w:lang w:bidi="ar"/>
        </w:rPr>
        <w:t xml:space="preserve">     </w:t>
      </w:r>
      <w:r>
        <w:rPr>
          <w:rFonts w:hint="eastAsia" w:ascii="宋体" w:hAnsi="宋体" w:eastAsia="宋体" w:cs="宋体"/>
          <w:color w:val="auto"/>
          <w:kern w:val="0"/>
          <w:sz w:val="24"/>
          <w:szCs w:val="24"/>
          <w:highlight w:val="none"/>
          <w:lang w:bidi="ar"/>
        </w:rPr>
        <w:t>万元，属于</w:t>
      </w:r>
      <w:r>
        <w:rPr>
          <w:rFonts w:hint="eastAsia" w:ascii="宋体" w:hAnsi="宋体" w:eastAsia="宋体" w:cs="宋体"/>
          <w:i/>
          <w:color w:val="auto"/>
          <w:kern w:val="0"/>
          <w:sz w:val="24"/>
          <w:szCs w:val="24"/>
          <w:highlight w:val="none"/>
          <w:lang w:bidi="ar"/>
        </w:rPr>
        <w:t>（中型企业、小型企业、微型企业）</w:t>
      </w:r>
      <w:r>
        <w:rPr>
          <w:rFonts w:hint="eastAsia" w:ascii="宋体" w:hAnsi="宋体" w:eastAsia="宋体" w:cs="宋体"/>
          <w:color w:val="auto"/>
          <w:kern w:val="0"/>
          <w:sz w:val="24"/>
          <w:szCs w:val="24"/>
          <w:highlight w:val="none"/>
          <w:lang w:bidi="ar"/>
        </w:rPr>
        <w:t xml:space="preserve">； </w:t>
      </w:r>
    </w:p>
    <w:p>
      <w:pPr>
        <w:widowControl/>
        <w:spacing w:line="360" w:lineRule="auto"/>
        <w:jc w:val="left"/>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w:t>
      </w:r>
    </w:p>
    <w:p>
      <w:pPr>
        <w:widowControl/>
        <w:spacing w:line="360" w:lineRule="auto"/>
        <w:ind w:firstLine="480" w:firstLineChars="200"/>
        <w:jc w:val="left"/>
        <w:rPr>
          <w:rFonts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以上企业，不属于大企业的分支机构，不存在控股股东为大企业的情形，也不存在与大企业的负责人为同一人的情形。</w:t>
      </w:r>
    </w:p>
    <w:p>
      <w:pPr>
        <w:pStyle w:val="34"/>
        <w:spacing w:line="360" w:lineRule="auto"/>
        <w:rPr>
          <w:rFonts w:ascii="宋体" w:hAnsi="宋体" w:cs="宋体"/>
          <w:color w:val="auto"/>
          <w:spacing w:val="6"/>
          <w:sz w:val="24"/>
          <w:highlight w:val="none"/>
        </w:rPr>
      </w:pPr>
      <w:r>
        <w:rPr>
          <w:rFonts w:hint="eastAsia" w:ascii="宋体" w:hAnsi="宋体" w:eastAsia="宋体" w:cs="宋体"/>
          <w:color w:val="auto"/>
          <w:kern w:val="0"/>
          <w:sz w:val="24"/>
          <w:szCs w:val="24"/>
          <w:highlight w:val="none"/>
          <w:lang w:bidi="ar"/>
        </w:rPr>
        <w:t>本企业对上述声明内容的真实性负责。如有虚假，将依法承担相应责任。</w:t>
      </w:r>
    </w:p>
    <w:p>
      <w:pPr>
        <w:pStyle w:val="34"/>
        <w:spacing w:line="360" w:lineRule="auto"/>
        <w:rPr>
          <w:rFonts w:ascii="宋体" w:hAnsi="宋体" w:cs="宋体"/>
          <w:color w:val="auto"/>
          <w:sz w:val="24"/>
          <w:highlight w:val="none"/>
        </w:rPr>
      </w:pPr>
    </w:p>
    <w:p>
      <w:pPr>
        <w:pStyle w:val="34"/>
        <w:spacing w:line="360" w:lineRule="auto"/>
        <w:ind w:firstLine="4800" w:firstLineChars="2000"/>
        <w:rPr>
          <w:rFonts w:ascii="宋体" w:hAnsi="宋体" w:cs="宋体"/>
          <w:color w:val="auto"/>
          <w:sz w:val="24"/>
          <w:highlight w:val="none"/>
        </w:rPr>
      </w:pPr>
      <w:r>
        <w:rPr>
          <w:rFonts w:hint="eastAsia" w:ascii="宋体" w:hAnsi="宋体" w:cs="宋体"/>
          <w:color w:val="auto"/>
          <w:sz w:val="24"/>
          <w:highlight w:val="none"/>
        </w:rPr>
        <w:t>企业名称（盖章）：</w:t>
      </w:r>
    </w:p>
    <w:p>
      <w:pPr>
        <w:pStyle w:val="34"/>
        <w:spacing w:line="360" w:lineRule="auto"/>
        <w:ind w:firstLine="4800" w:firstLineChars="2000"/>
        <w:rPr>
          <w:rFonts w:ascii="宋体" w:hAnsi="宋体" w:cs="宋体"/>
          <w:color w:val="auto"/>
          <w:sz w:val="24"/>
          <w:highlight w:val="none"/>
        </w:rPr>
      </w:pPr>
      <w:r>
        <w:rPr>
          <w:rFonts w:hint="eastAsia" w:ascii="宋体" w:hAnsi="宋体" w:cs="宋体"/>
          <w:color w:val="auto"/>
          <w:sz w:val="24"/>
          <w:highlight w:val="none"/>
        </w:rPr>
        <w:t>日期：××年××月××日</w:t>
      </w:r>
    </w:p>
    <w:p>
      <w:pPr>
        <w:pStyle w:val="8"/>
        <w:rPr>
          <w:rFonts w:ascii="宋体" w:hAnsi="宋体" w:cs="宋体"/>
          <w:color w:val="auto"/>
          <w:sz w:val="24"/>
          <w:szCs w:val="24"/>
          <w:highlight w:val="none"/>
        </w:rPr>
      </w:pPr>
    </w:p>
    <w:p>
      <w:pPr>
        <w:pStyle w:val="8"/>
        <w:rPr>
          <w:rFonts w:ascii="宋体" w:hAnsi="宋体" w:cs="宋体"/>
          <w:color w:val="auto"/>
          <w:sz w:val="24"/>
          <w:szCs w:val="24"/>
          <w:highlight w:val="none"/>
        </w:rPr>
      </w:pPr>
    </w:p>
    <w:p>
      <w:pPr>
        <w:spacing w:line="360" w:lineRule="auto"/>
        <w:rPr>
          <w:rFonts w:ascii="宋体" w:hAnsi="宋体" w:cs="宋体"/>
          <w:color w:val="auto"/>
          <w:sz w:val="24"/>
          <w:highlight w:val="none"/>
        </w:rPr>
      </w:pPr>
      <w:r>
        <w:rPr>
          <w:rFonts w:hint="eastAsia" w:ascii="宋体" w:hAnsi="宋体" w:cs="宋体"/>
          <w:color w:val="auto"/>
          <w:sz w:val="24"/>
          <w:highlight w:val="none"/>
        </w:rPr>
        <mc:AlternateContent>
          <mc:Choice Requires="wps">
            <w:drawing>
              <wp:anchor distT="0" distB="0" distL="0" distR="0" simplePos="0" relativeHeight="251661312"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63" name="直接连接符 3"/>
                <wp:cNvGraphicFramePr/>
                <a:graphic xmlns:a="http://schemas.openxmlformats.org/drawingml/2006/main">
                  <a:graphicData uri="http://schemas.microsoft.com/office/word/2010/wordprocessingShape">
                    <wps:wsp>
                      <wps:cNvCnPr/>
                      <wps:spPr>
                        <a:xfrm>
                          <a:off x="0" y="0"/>
                          <a:ext cx="2984500" cy="0"/>
                        </a:xfrm>
                        <a:prstGeom prst="line">
                          <a:avLst/>
                        </a:prstGeom>
                        <a:ln w="15875" cap="flat" cmpd="sng">
                          <a:solidFill>
                            <a:srgbClr val="000000"/>
                          </a:solidFill>
                          <a:prstDash val="solid"/>
                          <a:miter/>
                        </a:ln>
                      </wps:spPr>
                      <wps:bodyPr/>
                    </wps:wsp>
                  </a:graphicData>
                </a:graphic>
              </wp:anchor>
            </w:drawing>
          </mc:Choice>
          <mc:Fallback>
            <w:pict>
              <v:line id="直接连接符 3" o:spid="_x0000_s1026" o:spt="20" style="position:absolute;left:0pt;margin-left:0.4pt;margin-top:16.5pt;height:0pt;width:235pt;z-index:251661312;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RSqldMAAAAGAQAADwAAAAAAAAABACAAAAAiAAAA&#10;ZHJzL2Rvd25yZXYueG1sUEsBAhQAFAAAAAgAh07iQJGctADTAQAAkAMAAA4AAAAAAAAAAQAgAAAA&#10;IgEAAGRycy9lMm9Eb2MueG1sUEsFBgAAAAAGAAYAWQEAAGcFAAAAAA==&#10;">
                <v:fill on="f" focussize="0,0"/>
                <v:stroke weight="1.25pt" color="#000000" joinstyle="miter"/>
                <v:imagedata o:title=""/>
                <o:lock v:ext="edit" aspectratio="f"/>
              </v:line>
            </w:pict>
          </mc:Fallback>
        </mc:AlternateContent>
      </w:r>
    </w:p>
    <w:p>
      <w:pPr>
        <w:spacing w:line="360" w:lineRule="auto"/>
        <w:rPr>
          <w:rFonts w:ascii="宋体" w:hAnsi="宋体" w:cs="宋体"/>
          <w:color w:val="auto"/>
          <w:sz w:val="24"/>
          <w:highlight w:val="none"/>
        </w:rPr>
      </w:pP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 = 1 \* GB3 </w:instrText>
      </w:r>
      <w:r>
        <w:rPr>
          <w:rFonts w:hint="eastAsia" w:ascii="宋体" w:hAnsi="宋体" w:cs="宋体"/>
          <w:color w:val="auto"/>
          <w:sz w:val="24"/>
          <w:highlight w:val="none"/>
        </w:rPr>
        <w:fldChar w:fldCharType="separate"/>
      </w:r>
      <w:r>
        <w:rPr>
          <w:rFonts w:hint="eastAsia" w:ascii="宋体" w:hAnsi="宋体" w:cs="宋体"/>
          <w:color w:val="auto"/>
          <w:sz w:val="24"/>
          <w:highlight w:val="none"/>
        </w:rPr>
        <w:t>①</w:t>
      </w:r>
      <w:r>
        <w:rPr>
          <w:rFonts w:hint="eastAsia" w:ascii="宋体" w:hAnsi="宋体" w:cs="宋体"/>
          <w:color w:val="auto"/>
          <w:sz w:val="24"/>
          <w:highlight w:val="none"/>
        </w:rPr>
        <w:fldChar w:fldCharType="end"/>
      </w:r>
      <w:r>
        <w:rPr>
          <w:rFonts w:hint="eastAsia" w:ascii="宋体" w:hAnsi="宋体" w:cs="宋体"/>
          <w:color w:val="auto"/>
          <w:sz w:val="24"/>
          <w:highlight w:val="none"/>
        </w:rPr>
        <w:t>从业人员、营业收入、资产总额填报上一年度数据，无上一年度数据的新成立企业可不填报。</w:t>
      </w:r>
    </w:p>
    <w:p>
      <w:pPr>
        <w:rPr>
          <w:rFonts w:ascii="宋体" w:hAnsi="宋体" w:cs="宋体"/>
          <w:b/>
          <w:color w:val="auto"/>
          <w:sz w:val="24"/>
          <w:highlight w:val="none"/>
          <w:lang w:val="en-GB"/>
        </w:rPr>
      </w:pPr>
      <w:r>
        <w:rPr>
          <w:rFonts w:hint="eastAsia" w:ascii="宋体" w:hAnsi="宋体" w:cs="宋体"/>
          <w:b/>
          <w:color w:val="auto"/>
          <w:sz w:val="24"/>
          <w:highlight w:val="none"/>
          <w:lang w:val="en-GB"/>
        </w:rPr>
        <w:br w:type="page"/>
      </w:r>
    </w:p>
    <w:p>
      <w:pPr>
        <w:pStyle w:val="12"/>
        <w:spacing w:line="360" w:lineRule="auto"/>
        <w:jc w:val="center"/>
        <w:outlineLvl w:val="1"/>
        <w:rPr>
          <w:rFonts w:hAnsi="宋体"/>
          <w:b/>
          <w:color w:val="auto"/>
          <w:sz w:val="24"/>
          <w:highlight w:val="none"/>
          <w:lang w:val="en-GB"/>
        </w:rPr>
      </w:pPr>
      <w:r>
        <w:rPr>
          <w:rFonts w:hint="eastAsia" w:hAnsi="宋体"/>
          <w:b/>
          <w:color w:val="auto"/>
          <w:sz w:val="24"/>
          <w:highlight w:val="none"/>
          <w:lang w:val="en-GB"/>
        </w:rPr>
        <w:t>残疾人福利性单位声明函</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单位的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tabs>
          <w:tab w:val="left" w:pos="4860"/>
        </w:tabs>
        <w:spacing w:line="588" w:lineRule="exact"/>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p>
    <w:p>
      <w:pPr>
        <w:tabs>
          <w:tab w:val="left" w:pos="4860"/>
        </w:tabs>
        <w:spacing w:line="588" w:lineRule="exact"/>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单位名称（盖章）：</w:t>
      </w:r>
    </w:p>
    <w:p>
      <w:pPr>
        <w:tabs>
          <w:tab w:val="left" w:pos="4860"/>
        </w:tabs>
        <w:spacing w:line="588" w:lineRule="exact"/>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p>
    <w:p>
      <w:pPr>
        <w:tabs>
          <w:tab w:val="left" w:pos="4860"/>
        </w:tabs>
        <w:spacing w:line="588" w:lineRule="exact"/>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  ：</w:t>
      </w:r>
    </w:p>
    <w:p>
      <w:pPr>
        <w:rPr>
          <w:rFonts w:ascii="宋体" w:hAnsi="宋体" w:cs="宋体"/>
          <w:color w:val="auto"/>
          <w:spacing w:val="40"/>
          <w:sz w:val="24"/>
          <w:highlight w:val="none"/>
        </w:rPr>
      </w:pPr>
      <w:r>
        <w:rPr>
          <w:rFonts w:hint="eastAsia" w:ascii="宋体" w:hAnsi="宋体" w:cs="宋体"/>
          <w:color w:val="auto"/>
          <w:spacing w:val="40"/>
          <w:sz w:val="24"/>
          <w:highlight w:val="none"/>
        </w:rPr>
        <w:br w:type="page"/>
      </w:r>
    </w:p>
    <w:p>
      <w:pPr>
        <w:snapToGrid w:val="0"/>
        <w:spacing w:beforeLines="50" w:after="50" w:line="360" w:lineRule="auto"/>
        <w:rPr>
          <w:rFonts w:ascii="宋体" w:hAnsi="宋体"/>
          <w:color w:val="auto"/>
          <w:sz w:val="52"/>
          <w:szCs w:val="52"/>
          <w:highlight w:val="none"/>
        </w:rPr>
      </w:pPr>
      <w:r>
        <w:rPr>
          <w:rFonts w:hint="eastAsia" w:ascii="宋体" w:hAnsi="宋体"/>
          <w:b/>
          <w:color w:val="auto"/>
          <w:sz w:val="28"/>
          <w:highlight w:val="none"/>
        </w:rPr>
        <w:t>附件</w:t>
      </w:r>
      <w:r>
        <w:rPr>
          <w:rFonts w:hint="eastAsia" w:ascii="宋体" w:hAnsi="宋体"/>
          <w:b/>
          <w:color w:val="auto"/>
          <w:sz w:val="28"/>
          <w:highlight w:val="none"/>
          <w:lang w:val="en-US" w:eastAsia="zh-CN"/>
        </w:rPr>
        <w:t>7</w:t>
      </w:r>
      <w:r>
        <w:rPr>
          <w:rFonts w:hint="eastAsia" w:ascii="宋体" w:hAnsi="宋体"/>
          <w:b/>
          <w:color w:val="auto"/>
          <w:sz w:val="28"/>
          <w:highlight w:val="none"/>
        </w:rPr>
        <w:t>：</w:t>
      </w:r>
      <w:bookmarkEnd w:id="46"/>
      <w:bookmarkEnd w:id="47"/>
    </w:p>
    <w:p>
      <w:pPr>
        <w:jc w:val="center"/>
        <w:rPr>
          <w:color w:val="auto"/>
          <w:sz w:val="52"/>
          <w:szCs w:val="52"/>
          <w:highlight w:val="none"/>
        </w:rPr>
      </w:pPr>
      <w:bookmarkStart w:id="48" w:name="_Toc16825_WPSOffice_Level1"/>
      <w:bookmarkStart w:id="49" w:name="_Toc12331_WPSOffice_Level1"/>
      <w:bookmarkStart w:id="50" w:name="_Toc26389_WPSOffice_Level1"/>
      <w:r>
        <w:rPr>
          <w:rFonts w:hint="eastAsia"/>
          <w:color w:val="auto"/>
          <w:sz w:val="52"/>
          <w:szCs w:val="52"/>
          <w:highlight w:val="none"/>
        </w:rPr>
        <w:t>项目名称</w:t>
      </w:r>
      <w:bookmarkEnd w:id="48"/>
      <w:bookmarkEnd w:id="49"/>
      <w:bookmarkEnd w:id="50"/>
    </w:p>
    <w:p>
      <w:pPr>
        <w:spacing w:beforeLines="100" w:line="360" w:lineRule="auto"/>
        <w:ind w:right="-108"/>
        <w:jc w:val="center"/>
        <w:rPr>
          <w:rFonts w:ascii="宋体" w:hAnsi="宋体"/>
          <w:color w:val="auto"/>
          <w:sz w:val="36"/>
          <w:szCs w:val="36"/>
          <w:highlight w:val="none"/>
        </w:rPr>
      </w:pPr>
      <w:r>
        <w:rPr>
          <w:rFonts w:hint="eastAsia" w:ascii="宋体" w:hAnsi="宋体"/>
          <w:color w:val="auto"/>
          <w:sz w:val="36"/>
          <w:szCs w:val="36"/>
          <w:highlight w:val="none"/>
        </w:rPr>
        <w:t>项目编号：（</w:t>
      </w:r>
      <w:r>
        <w:rPr>
          <w:rFonts w:hint="eastAsia" w:ascii="宋体" w:hAnsi="宋体"/>
          <w:color w:val="auto"/>
          <w:sz w:val="36"/>
          <w:szCs w:val="36"/>
          <w:highlight w:val="none"/>
          <w:lang w:eastAsia="zh-CN"/>
        </w:rPr>
        <w:t>标项</w:t>
      </w:r>
      <w:r>
        <w:rPr>
          <w:rFonts w:hint="eastAsia" w:ascii="宋体" w:hAnsi="宋体"/>
          <w:color w:val="auto"/>
          <w:sz w:val="36"/>
          <w:szCs w:val="36"/>
          <w:highlight w:val="none"/>
        </w:rPr>
        <w:t>）</w:t>
      </w:r>
    </w:p>
    <w:p>
      <w:pPr>
        <w:pStyle w:val="2"/>
        <w:rPr>
          <w:color w:val="auto"/>
          <w:highlight w:val="none"/>
        </w:rPr>
      </w:pPr>
    </w:p>
    <w:p>
      <w:pPr>
        <w:jc w:val="center"/>
        <w:rPr>
          <w:color w:val="auto"/>
          <w:sz w:val="84"/>
          <w:szCs w:val="84"/>
          <w:highlight w:val="none"/>
          <w:lang w:val="zh-CN"/>
        </w:rPr>
      </w:pPr>
      <w:r>
        <w:rPr>
          <w:rFonts w:hint="eastAsia"/>
          <w:color w:val="auto"/>
          <w:sz w:val="84"/>
          <w:szCs w:val="84"/>
          <w:highlight w:val="none"/>
          <w:lang w:val="zh-CN"/>
        </w:rPr>
        <w:t>投</w:t>
      </w:r>
    </w:p>
    <w:p>
      <w:pPr>
        <w:jc w:val="center"/>
        <w:rPr>
          <w:color w:val="auto"/>
          <w:sz w:val="84"/>
          <w:szCs w:val="84"/>
          <w:highlight w:val="none"/>
          <w:lang w:val="zh-CN"/>
        </w:rPr>
      </w:pPr>
      <w:r>
        <w:rPr>
          <w:rFonts w:hint="eastAsia"/>
          <w:color w:val="auto"/>
          <w:sz w:val="84"/>
          <w:szCs w:val="84"/>
          <w:highlight w:val="none"/>
          <w:lang w:val="zh-CN"/>
        </w:rPr>
        <w:t>标</w:t>
      </w:r>
    </w:p>
    <w:p>
      <w:pPr>
        <w:jc w:val="center"/>
        <w:rPr>
          <w:color w:val="auto"/>
          <w:sz w:val="84"/>
          <w:szCs w:val="84"/>
          <w:highlight w:val="none"/>
        </w:rPr>
      </w:pPr>
      <w:r>
        <w:rPr>
          <w:rFonts w:hint="eastAsia"/>
          <w:color w:val="auto"/>
          <w:sz w:val="84"/>
          <w:szCs w:val="84"/>
          <w:highlight w:val="none"/>
          <w:lang w:val="zh-CN"/>
        </w:rPr>
        <w:t>文</w:t>
      </w:r>
    </w:p>
    <w:p>
      <w:pPr>
        <w:jc w:val="center"/>
        <w:rPr>
          <w:color w:val="auto"/>
          <w:sz w:val="84"/>
          <w:szCs w:val="84"/>
          <w:highlight w:val="none"/>
          <w:lang w:val="zh-CN"/>
        </w:rPr>
      </w:pPr>
      <w:r>
        <w:rPr>
          <w:rFonts w:hint="eastAsia"/>
          <w:color w:val="auto"/>
          <w:sz w:val="84"/>
          <w:szCs w:val="84"/>
          <w:highlight w:val="none"/>
          <w:lang w:val="zh-CN"/>
        </w:rPr>
        <w:t>件</w:t>
      </w:r>
    </w:p>
    <w:p>
      <w:pPr>
        <w:spacing w:after="100" w:afterAutospacing="1" w:line="360" w:lineRule="auto"/>
        <w:ind w:right="-108"/>
        <w:jc w:val="center"/>
        <w:rPr>
          <w:rFonts w:ascii="宋体" w:hAnsi="宋体"/>
          <w:b/>
          <w:color w:val="auto"/>
          <w:sz w:val="28"/>
          <w:szCs w:val="28"/>
          <w:highlight w:val="none"/>
        </w:rPr>
      </w:pPr>
      <w:r>
        <w:rPr>
          <w:rFonts w:hint="eastAsia" w:ascii="宋体" w:hAnsi="宋体" w:cs="宋体"/>
          <w:color w:val="auto"/>
          <w:sz w:val="28"/>
          <w:szCs w:val="28"/>
          <w:highlight w:val="none"/>
          <w:lang w:val="zh-CN"/>
        </w:rPr>
        <w:t>（</w:t>
      </w:r>
      <w:r>
        <w:rPr>
          <w:rFonts w:hint="eastAsia" w:ascii="宋体" w:hAnsi="宋体"/>
          <w:bCs/>
          <w:color w:val="auto"/>
          <w:sz w:val="28"/>
          <w:szCs w:val="28"/>
          <w:highlight w:val="none"/>
          <w:lang w:val="zh-CN"/>
        </w:rPr>
        <w:t>商务与技术文件</w:t>
      </w:r>
      <w:r>
        <w:rPr>
          <w:rFonts w:hint="eastAsia" w:ascii="宋体" w:hAnsi="宋体"/>
          <w:b/>
          <w:color w:val="auto"/>
          <w:sz w:val="28"/>
          <w:szCs w:val="28"/>
          <w:highlight w:val="none"/>
        </w:rPr>
        <w:t>）</w:t>
      </w:r>
    </w:p>
    <w:p>
      <w:pPr>
        <w:pStyle w:val="2"/>
        <w:rPr>
          <w:color w:val="auto"/>
          <w:highlight w:val="none"/>
        </w:rPr>
      </w:pPr>
    </w:p>
    <w:p>
      <w:pPr>
        <w:spacing w:line="360" w:lineRule="auto"/>
        <w:ind w:right="532" w:firstLine="720" w:firstLineChars="200"/>
        <w:rPr>
          <w:rFonts w:ascii="宋体" w:hAnsi="宋体"/>
          <w:color w:val="auto"/>
          <w:sz w:val="36"/>
          <w:szCs w:val="36"/>
          <w:highlight w:val="none"/>
        </w:rPr>
      </w:pPr>
      <w:r>
        <w:rPr>
          <w:rFonts w:hint="eastAsia" w:ascii="宋体" w:hAnsi="宋体"/>
          <w:color w:val="auto"/>
          <w:sz w:val="36"/>
          <w:szCs w:val="36"/>
          <w:highlight w:val="none"/>
        </w:rPr>
        <w:t>投标人全称（电子印章）：</w:t>
      </w:r>
    </w:p>
    <w:p>
      <w:pPr>
        <w:spacing w:line="360" w:lineRule="auto"/>
        <w:ind w:right="532" w:firstLine="720" w:firstLineChars="200"/>
        <w:rPr>
          <w:rFonts w:ascii="宋体" w:hAnsi="宋体"/>
          <w:color w:val="auto"/>
          <w:sz w:val="36"/>
          <w:szCs w:val="36"/>
          <w:highlight w:val="none"/>
        </w:rPr>
      </w:pPr>
      <w:r>
        <w:rPr>
          <w:rFonts w:hint="eastAsia" w:ascii="宋体" w:hAnsi="宋体"/>
          <w:color w:val="auto"/>
          <w:sz w:val="36"/>
          <w:szCs w:val="36"/>
          <w:highlight w:val="none"/>
        </w:rPr>
        <w:t>地    址：</w:t>
      </w:r>
    </w:p>
    <w:p>
      <w:pPr>
        <w:spacing w:line="360" w:lineRule="auto"/>
        <w:ind w:right="532" w:firstLine="720" w:firstLineChars="200"/>
        <w:rPr>
          <w:rFonts w:ascii="宋体" w:hAnsi="宋体"/>
          <w:color w:val="auto"/>
          <w:sz w:val="36"/>
          <w:szCs w:val="36"/>
          <w:highlight w:val="none"/>
        </w:rPr>
      </w:pPr>
      <w:r>
        <w:rPr>
          <w:rFonts w:hint="eastAsia" w:ascii="宋体" w:hAnsi="宋体"/>
          <w:color w:val="auto"/>
          <w:sz w:val="36"/>
          <w:szCs w:val="36"/>
          <w:highlight w:val="none"/>
        </w:rPr>
        <w:t>时    间：</w:t>
      </w:r>
    </w:p>
    <w:p>
      <w:pPr>
        <w:rPr>
          <w:rFonts w:ascii="仿宋_GB2312" w:hAnsi="宋体" w:eastAsia="仿宋_GB2312"/>
          <w:b/>
          <w:color w:val="auto"/>
          <w:sz w:val="36"/>
          <w:szCs w:val="36"/>
          <w:highlight w:val="none"/>
        </w:rPr>
      </w:pPr>
      <w:r>
        <w:rPr>
          <w:rFonts w:ascii="仿宋_GB2312" w:hAnsi="宋体" w:eastAsia="仿宋_GB2312"/>
          <w:b/>
          <w:color w:val="auto"/>
          <w:sz w:val="36"/>
          <w:szCs w:val="36"/>
          <w:highlight w:val="none"/>
        </w:rPr>
        <w:br w:type="page"/>
      </w:r>
    </w:p>
    <w:p>
      <w:pPr>
        <w:pStyle w:val="2"/>
        <w:rPr>
          <w:color w:val="auto"/>
          <w:highlight w:val="none"/>
        </w:rPr>
      </w:pPr>
    </w:p>
    <w:p>
      <w:pPr>
        <w:spacing w:line="360" w:lineRule="auto"/>
        <w:jc w:val="center"/>
        <w:rPr>
          <w:color w:val="auto"/>
          <w:sz w:val="28"/>
          <w:szCs w:val="28"/>
          <w:highlight w:val="none"/>
        </w:rPr>
      </w:pPr>
      <w:bookmarkStart w:id="51" w:name="_Toc5889_WPSOffice_Level1"/>
      <w:bookmarkStart w:id="52" w:name="_Toc11308_WPSOffice_Level1"/>
      <w:r>
        <w:rPr>
          <w:rFonts w:hint="eastAsia"/>
          <w:b/>
          <w:bCs/>
          <w:color w:val="auto"/>
          <w:sz w:val="32"/>
          <w:szCs w:val="32"/>
          <w:highlight w:val="none"/>
          <w:lang w:val="zh-CN"/>
        </w:rPr>
        <w:t>商务与技术文件</w:t>
      </w:r>
      <w:r>
        <w:rPr>
          <w:rFonts w:hint="eastAsia"/>
          <w:b/>
          <w:bCs/>
          <w:color w:val="auto"/>
          <w:sz w:val="32"/>
          <w:szCs w:val="32"/>
          <w:highlight w:val="none"/>
        </w:rPr>
        <w:t>目录</w:t>
      </w:r>
      <w:bookmarkEnd w:id="51"/>
      <w:bookmarkEnd w:id="52"/>
    </w:p>
    <w:p>
      <w:pPr>
        <w:spacing w:line="360" w:lineRule="auto"/>
        <w:ind w:firstLine="480" w:firstLineChars="200"/>
        <w:rPr>
          <w:rFonts w:hint="eastAsia"/>
          <w:color w:val="auto"/>
          <w:sz w:val="24"/>
          <w:highlight w:val="none"/>
        </w:rPr>
      </w:pPr>
      <w:r>
        <w:rPr>
          <w:rFonts w:hint="eastAsia"/>
          <w:color w:val="auto"/>
          <w:sz w:val="24"/>
          <w:highlight w:val="none"/>
        </w:rPr>
        <w:t>（1）投标人基本情况表（格式详见附件）；</w:t>
      </w:r>
    </w:p>
    <w:p>
      <w:pPr>
        <w:spacing w:line="360" w:lineRule="auto"/>
        <w:ind w:firstLine="480" w:firstLineChars="200"/>
        <w:rPr>
          <w:rFonts w:hint="eastAsia"/>
          <w:color w:val="auto"/>
          <w:sz w:val="24"/>
          <w:highlight w:val="none"/>
        </w:rPr>
      </w:pPr>
      <w:r>
        <w:rPr>
          <w:rFonts w:hint="eastAsia"/>
          <w:color w:val="auto"/>
          <w:sz w:val="24"/>
          <w:highlight w:val="none"/>
        </w:rPr>
        <w:t>（2）技术方案（根据评分标准分章节自拟）；</w:t>
      </w:r>
    </w:p>
    <w:p>
      <w:pPr>
        <w:spacing w:line="360" w:lineRule="auto"/>
        <w:ind w:firstLine="480" w:firstLineChars="200"/>
        <w:rPr>
          <w:rFonts w:hint="eastAsia"/>
          <w:color w:val="auto"/>
          <w:sz w:val="24"/>
          <w:highlight w:val="none"/>
        </w:rPr>
      </w:pPr>
      <w:r>
        <w:rPr>
          <w:rFonts w:hint="eastAsia"/>
          <w:color w:val="auto"/>
          <w:sz w:val="24"/>
          <w:highlight w:val="none"/>
        </w:rPr>
        <w:t>（3）设备一览表（格式详见附件）；</w:t>
      </w:r>
    </w:p>
    <w:p>
      <w:pPr>
        <w:spacing w:line="360" w:lineRule="auto"/>
        <w:ind w:firstLine="480" w:firstLineChars="200"/>
        <w:rPr>
          <w:rFonts w:hint="eastAsia"/>
          <w:color w:val="auto"/>
          <w:sz w:val="24"/>
          <w:highlight w:val="none"/>
        </w:rPr>
      </w:pPr>
      <w:r>
        <w:rPr>
          <w:rFonts w:hint="eastAsia"/>
          <w:color w:val="auto"/>
          <w:sz w:val="24"/>
          <w:highlight w:val="none"/>
        </w:rPr>
        <w:t>（4）技术需求响应表（格式详见附件）；</w:t>
      </w:r>
    </w:p>
    <w:p>
      <w:pPr>
        <w:spacing w:line="360" w:lineRule="auto"/>
        <w:ind w:firstLine="480" w:firstLineChars="200"/>
        <w:rPr>
          <w:rFonts w:hint="eastAsia"/>
          <w:color w:val="auto"/>
          <w:sz w:val="24"/>
          <w:highlight w:val="none"/>
        </w:rPr>
      </w:pPr>
      <w:r>
        <w:rPr>
          <w:rFonts w:hint="eastAsia"/>
          <w:color w:val="auto"/>
          <w:sz w:val="24"/>
          <w:highlight w:val="none"/>
        </w:rPr>
        <w:t>（5）商务需求响应表（格式详见附件）；</w:t>
      </w:r>
    </w:p>
    <w:p>
      <w:pPr>
        <w:spacing w:line="360" w:lineRule="auto"/>
        <w:ind w:firstLine="480" w:firstLineChars="200"/>
        <w:rPr>
          <w:rFonts w:hint="eastAsia"/>
          <w:color w:val="auto"/>
          <w:sz w:val="24"/>
          <w:highlight w:val="none"/>
        </w:rPr>
      </w:pPr>
      <w:r>
        <w:rPr>
          <w:rFonts w:hint="eastAsia"/>
          <w:color w:val="auto"/>
          <w:sz w:val="24"/>
          <w:highlight w:val="none"/>
        </w:rPr>
        <w:t>（6）证书一览表（与本项目相关的认证证书或文件；格式详见附件）；</w:t>
      </w:r>
    </w:p>
    <w:p>
      <w:pPr>
        <w:spacing w:line="360" w:lineRule="auto"/>
        <w:ind w:firstLine="480" w:firstLineChars="200"/>
        <w:rPr>
          <w:rFonts w:hint="eastAsia"/>
          <w:color w:val="auto"/>
          <w:sz w:val="24"/>
          <w:highlight w:val="none"/>
        </w:rPr>
      </w:pPr>
      <w:r>
        <w:rPr>
          <w:rFonts w:hint="eastAsia"/>
          <w:color w:val="auto"/>
          <w:sz w:val="24"/>
          <w:highlight w:val="none"/>
        </w:rPr>
        <w:t>（7）投标人类似项目实施情况一览表（如有，格式详见附件）；</w:t>
      </w:r>
    </w:p>
    <w:p>
      <w:pPr>
        <w:spacing w:line="360" w:lineRule="auto"/>
        <w:ind w:firstLine="480" w:firstLineChars="200"/>
        <w:rPr>
          <w:rFonts w:hint="eastAsia"/>
          <w:color w:val="auto"/>
          <w:sz w:val="24"/>
          <w:highlight w:val="none"/>
        </w:rPr>
      </w:pPr>
      <w:r>
        <w:rPr>
          <w:rFonts w:hint="eastAsia"/>
          <w:color w:val="auto"/>
          <w:sz w:val="24"/>
          <w:highlight w:val="none"/>
        </w:rPr>
        <w:t>（8）符合招标文件规定的其他证明文件及评分标准中涉及的其他材料(如有)。</w:t>
      </w:r>
    </w:p>
    <w:p>
      <w:pPr>
        <w:pStyle w:val="32"/>
        <w:spacing w:before="0" w:beforeAutospacing="0" w:after="0" w:afterAutospacing="0" w:line="360" w:lineRule="auto"/>
        <w:ind w:firstLine="482" w:firstLineChars="200"/>
        <w:jc w:val="both"/>
        <w:rPr>
          <w:b/>
          <w:color w:val="auto"/>
          <w:highlight w:val="none"/>
        </w:rPr>
      </w:pPr>
    </w:p>
    <w:p>
      <w:pPr>
        <w:pStyle w:val="32"/>
        <w:spacing w:before="0" w:beforeAutospacing="0" w:after="0" w:afterAutospacing="0" w:line="360" w:lineRule="auto"/>
        <w:rPr>
          <w:b/>
          <w:color w:val="auto"/>
          <w:sz w:val="28"/>
          <w:highlight w:val="none"/>
        </w:rPr>
      </w:pPr>
    </w:p>
    <w:p>
      <w:pPr>
        <w:rPr>
          <w:b/>
          <w:color w:val="auto"/>
          <w:sz w:val="28"/>
          <w:highlight w:val="none"/>
        </w:rPr>
      </w:pPr>
      <w:r>
        <w:rPr>
          <w:b/>
          <w:color w:val="auto"/>
          <w:sz w:val="28"/>
          <w:highlight w:val="none"/>
        </w:rPr>
        <w:br w:type="page"/>
      </w:r>
    </w:p>
    <w:p>
      <w:pPr>
        <w:snapToGrid w:val="0"/>
        <w:spacing w:beforeLines="50" w:after="50" w:line="360" w:lineRule="auto"/>
        <w:rPr>
          <w:rFonts w:hint="eastAsia" w:ascii="宋体" w:hAnsi="宋体" w:eastAsia="宋体" w:cs="Times New Roman"/>
          <w:b/>
          <w:color w:val="auto"/>
          <w:sz w:val="28"/>
          <w:highlight w:val="none"/>
          <w:lang w:eastAsia="zh-CN"/>
        </w:rPr>
      </w:pPr>
      <w:r>
        <w:rPr>
          <w:rFonts w:hint="eastAsia" w:ascii="宋体" w:hAnsi="宋体" w:eastAsia="宋体" w:cs="Times New Roman"/>
          <w:b/>
          <w:color w:val="auto"/>
          <w:sz w:val="28"/>
          <w:highlight w:val="none"/>
        </w:rPr>
        <w:t>附件</w:t>
      </w:r>
      <w:r>
        <w:rPr>
          <w:rFonts w:hint="eastAsia" w:ascii="宋体" w:hAnsi="宋体" w:eastAsia="宋体" w:cs="Times New Roman"/>
          <w:b/>
          <w:color w:val="auto"/>
          <w:sz w:val="28"/>
          <w:highlight w:val="none"/>
          <w:lang w:val="en-US" w:eastAsia="zh-CN"/>
        </w:rPr>
        <w:t>8</w:t>
      </w:r>
    </w:p>
    <w:p>
      <w:pPr>
        <w:pStyle w:val="32"/>
        <w:spacing w:before="0" w:beforeAutospacing="0" w:after="0" w:afterAutospacing="0" w:line="360" w:lineRule="auto"/>
        <w:jc w:val="center"/>
        <w:rPr>
          <w:rFonts w:eastAsia="微软雅黑"/>
          <w:color w:val="auto"/>
          <w:sz w:val="36"/>
          <w:szCs w:val="36"/>
          <w:highlight w:val="none"/>
        </w:rPr>
      </w:pPr>
      <w:r>
        <w:rPr>
          <w:rFonts w:hint="eastAsia"/>
          <w:b/>
          <w:color w:val="auto"/>
          <w:sz w:val="32"/>
          <w:szCs w:val="32"/>
          <w:highlight w:val="none"/>
        </w:rPr>
        <w:t xml:space="preserve"> </w:t>
      </w:r>
      <w:r>
        <w:rPr>
          <w:rFonts w:hint="eastAsia"/>
          <w:b w:val="0"/>
          <w:bCs/>
          <w:color w:val="auto"/>
          <w:sz w:val="32"/>
          <w:szCs w:val="32"/>
          <w:highlight w:val="none"/>
        </w:rPr>
        <w:t xml:space="preserve"> </w:t>
      </w:r>
      <w:bookmarkStart w:id="53" w:name="_Toc13307_WPSOffice_Level1"/>
      <w:bookmarkStart w:id="54" w:name="_Toc14261_WPSOffice_Level1"/>
      <w:r>
        <w:rPr>
          <w:rFonts w:hint="eastAsia"/>
          <w:b w:val="0"/>
          <w:bCs/>
          <w:color w:val="auto"/>
          <w:sz w:val="32"/>
          <w:szCs w:val="32"/>
          <w:highlight w:val="none"/>
        </w:rPr>
        <w:t>投标人基本情况表</w:t>
      </w:r>
      <w:bookmarkEnd w:id="53"/>
      <w:bookmarkEnd w:id="54"/>
    </w:p>
    <w:tbl>
      <w:tblPr>
        <w:tblStyle w:val="19"/>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23" w:type="dxa"/>
            <w:vAlign w:val="center"/>
          </w:tcPr>
          <w:p>
            <w:pPr>
              <w:pStyle w:val="32"/>
              <w:spacing w:before="0" w:beforeAutospacing="0" w:after="0" w:afterAutospacing="0"/>
              <w:jc w:val="center"/>
              <w:rPr>
                <w:bCs/>
                <w:color w:val="auto"/>
                <w:highlight w:val="none"/>
              </w:rPr>
            </w:pPr>
            <w:r>
              <w:rPr>
                <w:rFonts w:hint="eastAsia"/>
                <w:bCs/>
                <w:color w:val="auto"/>
                <w:highlight w:val="none"/>
              </w:rPr>
              <w:t>企业名称</w:t>
            </w:r>
          </w:p>
        </w:tc>
        <w:tc>
          <w:tcPr>
            <w:tcW w:w="3979" w:type="dxa"/>
            <w:gridSpan w:val="6"/>
            <w:vAlign w:val="center"/>
          </w:tcPr>
          <w:p>
            <w:pPr>
              <w:pStyle w:val="32"/>
              <w:spacing w:before="0" w:beforeAutospacing="0" w:after="0" w:afterAutospacing="0"/>
              <w:jc w:val="center"/>
              <w:rPr>
                <w:bCs/>
                <w:color w:val="auto"/>
                <w:highlight w:val="none"/>
              </w:rPr>
            </w:pPr>
          </w:p>
        </w:tc>
        <w:tc>
          <w:tcPr>
            <w:tcW w:w="2001" w:type="dxa"/>
            <w:gridSpan w:val="3"/>
            <w:vAlign w:val="center"/>
          </w:tcPr>
          <w:p>
            <w:pPr>
              <w:pStyle w:val="32"/>
              <w:spacing w:before="0" w:beforeAutospacing="0" w:after="0" w:afterAutospacing="0"/>
              <w:jc w:val="center"/>
              <w:rPr>
                <w:bCs/>
                <w:color w:val="auto"/>
                <w:highlight w:val="none"/>
              </w:rPr>
            </w:pPr>
            <w:r>
              <w:rPr>
                <w:rFonts w:hint="eastAsia"/>
                <w:bCs/>
                <w:color w:val="auto"/>
                <w:highlight w:val="none"/>
              </w:rPr>
              <w:t>法人代表</w:t>
            </w:r>
          </w:p>
        </w:tc>
        <w:tc>
          <w:tcPr>
            <w:tcW w:w="2151" w:type="dxa"/>
            <w:gridSpan w:val="2"/>
            <w:vAlign w:val="center"/>
          </w:tcPr>
          <w:p>
            <w:pPr>
              <w:pStyle w:val="32"/>
              <w:spacing w:before="0" w:beforeAutospacing="0" w:after="0" w:afterAutospacing="0"/>
              <w:jc w:val="center"/>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23" w:type="dxa"/>
            <w:vAlign w:val="center"/>
          </w:tcPr>
          <w:p>
            <w:pPr>
              <w:pStyle w:val="32"/>
              <w:spacing w:before="0" w:beforeAutospacing="0" w:after="0" w:afterAutospacing="0"/>
              <w:jc w:val="center"/>
              <w:rPr>
                <w:bCs/>
                <w:color w:val="auto"/>
                <w:highlight w:val="none"/>
              </w:rPr>
            </w:pPr>
            <w:r>
              <w:rPr>
                <w:rFonts w:hint="eastAsia"/>
                <w:bCs/>
                <w:color w:val="auto"/>
                <w:highlight w:val="none"/>
              </w:rPr>
              <w:t>地址</w:t>
            </w:r>
          </w:p>
        </w:tc>
        <w:tc>
          <w:tcPr>
            <w:tcW w:w="3979" w:type="dxa"/>
            <w:gridSpan w:val="6"/>
            <w:tcBorders>
              <w:bottom w:val="single" w:color="auto" w:sz="4" w:space="0"/>
            </w:tcBorders>
            <w:vAlign w:val="center"/>
          </w:tcPr>
          <w:p>
            <w:pPr>
              <w:pStyle w:val="32"/>
              <w:spacing w:before="0" w:beforeAutospacing="0" w:after="0" w:afterAutospacing="0"/>
              <w:jc w:val="center"/>
              <w:rPr>
                <w:bCs/>
                <w:color w:val="auto"/>
                <w:highlight w:val="none"/>
              </w:rPr>
            </w:pPr>
          </w:p>
        </w:tc>
        <w:tc>
          <w:tcPr>
            <w:tcW w:w="2001" w:type="dxa"/>
            <w:gridSpan w:val="3"/>
            <w:vAlign w:val="center"/>
          </w:tcPr>
          <w:p>
            <w:pPr>
              <w:pStyle w:val="32"/>
              <w:spacing w:before="0" w:beforeAutospacing="0" w:after="0" w:afterAutospacing="0"/>
              <w:jc w:val="center"/>
              <w:rPr>
                <w:bCs/>
                <w:color w:val="auto"/>
                <w:highlight w:val="none"/>
              </w:rPr>
            </w:pPr>
            <w:r>
              <w:rPr>
                <w:rFonts w:hint="eastAsia"/>
                <w:bCs/>
                <w:color w:val="auto"/>
                <w:highlight w:val="none"/>
              </w:rPr>
              <w:t>企业性质</w:t>
            </w:r>
          </w:p>
        </w:tc>
        <w:tc>
          <w:tcPr>
            <w:tcW w:w="2151" w:type="dxa"/>
            <w:gridSpan w:val="2"/>
            <w:vAlign w:val="center"/>
          </w:tcPr>
          <w:p>
            <w:pPr>
              <w:pStyle w:val="32"/>
              <w:spacing w:before="0" w:beforeAutospacing="0" w:after="0" w:afterAutospacing="0"/>
              <w:jc w:val="center"/>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823" w:type="dxa"/>
            <w:tcBorders>
              <w:bottom w:val="single" w:color="auto" w:sz="4" w:space="0"/>
            </w:tcBorders>
            <w:vAlign w:val="center"/>
          </w:tcPr>
          <w:p>
            <w:pPr>
              <w:pStyle w:val="32"/>
              <w:spacing w:before="0" w:beforeAutospacing="0" w:after="0" w:afterAutospacing="0"/>
              <w:jc w:val="center"/>
              <w:rPr>
                <w:bCs/>
                <w:color w:val="auto"/>
                <w:highlight w:val="none"/>
              </w:rPr>
            </w:pPr>
            <w:r>
              <w:rPr>
                <w:rFonts w:hint="eastAsia"/>
                <w:bCs/>
                <w:color w:val="auto"/>
                <w:highlight w:val="none"/>
              </w:rPr>
              <w:t>股东姓名</w:t>
            </w:r>
          </w:p>
        </w:tc>
        <w:tc>
          <w:tcPr>
            <w:tcW w:w="701" w:type="dxa"/>
            <w:tcBorders>
              <w:bottom w:val="single" w:color="auto" w:sz="4" w:space="0"/>
            </w:tcBorders>
            <w:vAlign w:val="center"/>
          </w:tcPr>
          <w:p>
            <w:pPr>
              <w:pStyle w:val="32"/>
              <w:spacing w:before="0" w:beforeAutospacing="0" w:after="0" w:afterAutospacing="0"/>
              <w:jc w:val="center"/>
              <w:rPr>
                <w:bCs/>
                <w:color w:val="auto"/>
                <w:highlight w:val="none"/>
              </w:rPr>
            </w:pPr>
          </w:p>
        </w:tc>
        <w:tc>
          <w:tcPr>
            <w:tcW w:w="910" w:type="dxa"/>
            <w:gridSpan w:val="2"/>
            <w:tcBorders>
              <w:bottom w:val="single" w:color="auto" w:sz="4" w:space="0"/>
            </w:tcBorders>
            <w:vAlign w:val="center"/>
          </w:tcPr>
          <w:p>
            <w:pPr>
              <w:pStyle w:val="32"/>
              <w:spacing w:before="0" w:beforeAutospacing="0" w:after="0" w:afterAutospacing="0"/>
              <w:jc w:val="center"/>
              <w:rPr>
                <w:bCs/>
                <w:color w:val="auto"/>
                <w:highlight w:val="none"/>
              </w:rPr>
            </w:pPr>
            <w:r>
              <w:rPr>
                <w:rFonts w:hint="eastAsia"/>
                <w:bCs/>
                <w:color w:val="auto"/>
                <w:highlight w:val="none"/>
              </w:rPr>
              <w:t>股权结构（%）</w:t>
            </w:r>
          </w:p>
        </w:tc>
        <w:tc>
          <w:tcPr>
            <w:tcW w:w="2368" w:type="dxa"/>
            <w:gridSpan w:val="3"/>
            <w:tcBorders>
              <w:bottom w:val="single" w:color="auto" w:sz="4" w:space="0"/>
            </w:tcBorders>
            <w:vAlign w:val="center"/>
          </w:tcPr>
          <w:p>
            <w:pPr>
              <w:pStyle w:val="32"/>
              <w:spacing w:before="0" w:beforeAutospacing="0" w:after="0" w:afterAutospacing="0"/>
              <w:jc w:val="center"/>
              <w:rPr>
                <w:bCs/>
                <w:color w:val="auto"/>
                <w:highlight w:val="none"/>
              </w:rPr>
            </w:pPr>
          </w:p>
        </w:tc>
        <w:tc>
          <w:tcPr>
            <w:tcW w:w="2001" w:type="dxa"/>
            <w:gridSpan w:val="3"/>
            <w:vAlign w:val="center"/>
          </w:tcPr>
          <w:p>
            <w:pPr>
              <w:pStyle w:val="32"/>
              <w:spacing w:before="0" w:beforeAutospacing="0" w:after="0" w:afterAutospacing="0"/>
              <w:jc w:val="center"/>
              <w:rPr>
                <w:bCs/>
                <w:color w:val="auto"/>
                <w:highlight w:val="none"/>
              </w:rPr>
            </w:pPr>
            <w:r>
              <w:rPr>
                <w:rFonts w:hint="eastAsia"/>
                <w:bCs/>
                <w:color w:val="auto"/>
                <w:highlight w:val="none"/>
              </w:rPr>
              <w:t>股东关系</w:t>
            </w:r>
          </w:p>
        </w:tc>
        <w:tc>
          <w:tcPr>
            <w:tcW w:w="2151" w:type="dxa"/>
            <w:gridSpan w:val="2"/>
            <w:vAlign w:val="center"/>
          </w:tcPr>
          <w:p>
            <w:pPr>
              <w:pStyle w:val="32"/>
              <w:spacing w:before="0" w:beforeAutospacing="0" w:after="0" w:afterAutospacing="0"/>
              <w:jc w:val="center"/>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23" w:type="dxa"/>
            <w:vMerge w:val="restart"/>
            <w:vAlign w:val="center"/>
          </w:tcPr>
          <w:p>
            <w:pPr>
              <w:pStyle w:val="32"/>
              <w:spacing w:before="0" w:beforeAutospacing="0" w:after="0" w:afterAutospacing="0"/>
              <w:jc w:val="center"/>
              <w:rPr>
                <w:bCs/>
                <w:color w:val="auto"/>
                <w:highlight w:val="none"/>
              </w:rPr>
            </w:pPr>
            <w:r>
              <w:rPr>
                <w:rFonts w:hint="eastAsia"/>
                <w:bCs/>
                <w:color w:val="auto"/>
                <w:highlight w:val="none"/>
              </w:rPr>
              <w:t>联系人姓名</w:t>
            </w:r>
          </w:p>
        </w:tc>
        <w:tc>
          <w:tcPr>
            <w:tcW w:w="701" w:type="dxa"/>
            <w:vMerge w:val="restart"/>
            <w:tcBorders>
              <w:top w:val="nil"/>
            </w:tcBorders>
            <w:vAlign w:val="center"/>
          </w:tcPr>
          <w:p>
            <w:pPr>
              <w:pStyle w:val="32"/>
              <w:spacing w:before="0" w:beforeAutospacing="0" w:after="0" w:afterAutospacing="0"/>
              <w:jc w:val="center"/>
              <w:rPr>
                <w:bCs/>
                <w:color w:val="auto"/>
                <w:highlight w:val="none"/>
              </w:rPr>
            </w:pPr>
          </w:p>
        </w:tc>
        <w:tc>
          <w:tcPr>
            <w:tcW w:w="910" w:type="dxa"/>
            <w:gridSpan w:val="2"/>
            <w:tcBorders>
              <w:top w:val="nil"/>
              <w:bottom w:val="single" w:color="auto" w:sz="4" w:space="0"/>
            </w:tcBorders>
            <w:vAlign w:val="center"/>
          </w:tcPr>
          <w:p>
            <w:pPr>
              <w:pStyle w:val="32"/>
              <w:spacing w:before="0" w:beforeAutospacing="0" w:after="0" w:afterAutospacing="0"/>
              <w:jc w:val="center"/>
              <w:rPr>
                <w:bCs/>
                <w:color w:val="auto"/>
                <w:highlight w:val="none"/>
              </w:rPr>
            </w:pPr>
            <w:r>
              <w:rPr>
                <w:rFonts w:hint="eastAsia"/>
                <w:bCs/>
                <w:color w:val="auto"/>
                <w:highlight w:val="none"/>
              </w:rPr>
              <w:t>固定电话</w:t>
            </w:r>
          </w:p>
        </w:tc>
        <w:tc>
          <w:tcPr>
            <w:tcW w:w="2368" w:type="dxa"/>
            <w:gridSpan w:val="3"/>
            <w:tcBorders>
              <w:top w:val="nil"/>
              <w:bottom w:val="single" w:color="auto" w:sz="4" w:space="0"/>
            </w:tcBorders>
            <w:vAlign w:val="center"/>
          </w:tcPr>
          <w:p>
            <w:pPr>
              <w:pStyle w:val="32"/>
              <w:spacing w:before="0" w:beforeAutospacing="0" w:after="0" w:afterAutospacing="0"/>
              <w:jc w:val="center"/>
              <w:rPr>
                <w:bCs/>
                <w:color w:val="auto"/>
                <w:highlight w:val="none"/>
              </w:rPr>
            </w:pPr>
          </w:p>
        </w:tc>
        <w:tc>
          <w:tcPr>
            <w:tcW w:w="2001" w:type="dxa"/>
            <w:gridSpan w:val="3"/>
            <w:vMerge w:val="restart"/>
            <w:vAlign w:val="center"/>
          </w:tcPr>
          <w:p>
            <w:pPr>
              <w:pStyle w:val="32"/>
              <w:spacing w:before="0" w:beforeAutospacing="0" w:after="0" w:afterAutospacing="0"/>
              <w:jc w:val="center"/>
              <w:rPr>
                <w:bCs/>
                <w:color w:val="auto"/>
                <w:highlight w:val="none"/>
              </w:rPr>
            </w:pPr>
            <w:r>
              <w:rPr>
                <w:rFonts w:hint="eastAsia"/>
                <w:bCs/>
                <w:color w:val="auto"/>
                <w:highlight w:val="none"/>
              </w:rPr>
              <w:t>传真</w:t>
            </w:r>
          </w:p>
        </w:tc>
        <w:tc>
          <w:tcPr>
            <w:tcW w:w="2151" w:type="dxa"/>
            <w:gridSpan w:val="2"/>
            <w:vMerge w:val="restart"/>
            <w:vAlign w:val="center"/>
          </w:tcPr>
          <w:p>
            <w:pPr>
              <w:pStyle w:val="32"/>
              <w:spacing w:before="0" w:beforeAutospacing="0" w:after="0" w:afterAutospacing="0"/>
              <w:jc w:val="center"/>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823" w:type="dxa"/>
            <w:vMerge w:val="continue"/>
            <w:tcBorders>
              <w:bottom w:val="single" w:color="auto" w:sz="4" w:space="0"/>
            </w:tcBorders>
            <w:vAlign w:val="center"/>
          </w:tcPr>
          <w:p>
            <w:pPr>
              <w:pStyle w:val="32"/>
              <w:spacing w:before="0" w:beforeAutospacing="0" w:after="0" w:afterAutospacing="0"/>
              <w:jc w:val="center"/>
              <w:rPr>
                <w:bCs/>
                <w:color w:val="auto"/>
                <w:highlight w:val="none"/>
              </w:rPr>
            </w:pPr>
          </w:p>
        </w:tc>
        <w:tc>
          <w:tcPr>
            <w:tcW w:w="701" w:type="dxa"/>
            <w:vMerge w:val="continue"/>
            <w:tcBorders>
              <w:bottom w:val="single" w:color="auto" w:sz="4" w:space="0"/>
            </w:tcBorders>
            <w:vAlign w:val="center"/>
          </w:tcPr>
          <w:p>
            <w:pPr>
              <w:pStyle w:val="32"/>
              <w:spacing w:before="0" w:beforeAutospacing="0" w:after="0" w:afterAutospacing="0"/>
              <w:jc w:val="center"/>
              <w:rPr>
                <w:bCs/>
                <w:color w:val="auto"/>
                <w:highlight w:val="none"/>
              </w:rPr>
            </w:pPr>
          </w:p>
        </w:tc>
        <w:tc>
          <w:tcPr>
            <w:tcW w:w="910" w:type="dxa"/>
            <w:gridSpan w:val="2"/>
            <w:tcBorders>
              <w:bottom w:val="single" w:color="auto" w:sz="4" w:space="0"/>
            </w:tcBorders>
            <w:vAlign w:val="center"/>
          </w:tcPr>
          <w:p>
            <w:pPr>
              <w:pStyle w:val="32"/>
              <w:spacing w:before="0" w:beforeAutospacing="0" w:after="0" w:afterAutospacing="0"/>
              <w:jc w:val="center"/>
              <w:rPr>
                <w:bCs/>
                <w:color w:val="auto"/>
                <w:highlight w:val="none"/>
              </w:rPr>
            </w:pPr>
            <w:r>
              <w:rPr>
                <w:rFonts w:hint="eastAsia"/>
                <w:bCs/>
                <w:color w:val="auto"/>
                <w:highlight w:val="none"/>
              </w:rPr>
              <w:t>手机</w:t>
            </w:r>
          </w:p>
        </w:tc>
        <w:tc>
          <w:tcPr>
            <w:tcW w:w="2368" w:type="dxa"/>
            <w:gridSpan w:val="3"/>
            <w:tcBorders>
              <w:bottom w:val="single" w:color="auto" w:sz="4" w:space="0"/>
            </w:tcBorders>
            <w:vAlign w:val="center"/>
          </w:tcPr>
          <w:p>
            <w:pPr>
              <w:pStyle w:val="32"/>
              <w:spacing w:before="0" w:beforeAutospacing="0" w:after="0" w:afterAutospacing="0"/>
              <w:jc w:val="center"/>
              <w:rPr>
                <w:bCs/>
                <w:color w:val="auto"/>
                <w:highlight w:val="none"/>
              </w:rPr>
            </w:pPr>
          </w:p>
        </w:tc>
        <w:tc>
          <w:tcPr>
            <w:tcW w:w="2001" w:type="dxa"/>
            <w:gridSpan w:val="3"/>
            <w:vMerge w:val="continue"/>
            <w:vAlign w:val="center"/>
          </w:tcPr>
          <w:p>
            <w:pPr>
              <w:pStyle w:val="32"/>
              <w:spacing w:before="0" w:beforeAutospacing="0" w:after="0" w:afterAutospacing="0"/>
              <w:jc w:val="center"/>
              <w:rPr>
                <w:bCs/>
                <w:color w:val="auto"/>
                <w:highlight w:val="none"/>
              </w:rPr>
            </w:pPr>
          </w:p>
        </w:tc>
        <w:tc>
          <w:tcPr>
            <w:tcW w:w="2151" w:type="dxa"/>
            <w:gridSpan w:val="2"/>
            <w:vMerge w:val="continue"/>
            <w:vAlign w:val="center"/>
          </w:tcPr>
          <w:p>
            <w:pPr>
              <w:pStyle w:val="32"/>
              <w:spacing w:before="0" w:beforeAutospacing="0" w:after="0" w:afterAutospacing="0"/>
              <w:jc w:val="center"/>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823" w:type="dxa"/>
            <w:vMerge w:val="restart"/>
            <w:vAlign w:val="center"/>
          </w:tcPr>
          <w:p>
            <w:pPr>
              <w:pStyle w:val="32"/>
              <w:spacing w:before="0" w:beforeAutospacing="0" w:after="0" w:afterAutospacing="0"/>
              <w:jc w:val="center"/>
              <w:rPr>
                <w:bCs/>
                <w:color w:val="auto"/>
                <w:highlight w:val="none"/>
              </w:rPr>
            </w:pPr>
            <w:r>
              <w:rPr>
                <w:bCs/>
                <w:color w:val="auto"/>
                <w:highlight w:val="none"/>
              </w:rPr>
              <w:t>1</w:t>
            </w:r>
            <w:r>
              <w:rPr>
                <w:rFonts w:hint="eastAsia"/>
                <w:bCs/>
                <w:color w:val="auto"/>
                <w:highlight w:val="none"/>
              </w:rPr>
              <w:t>.</w:t>
            </w:r>
          </w:p>
          <w:p>
            <w:pPr>
              <w:pStyle w:val="32"/>
              <w:spacing w:before="0" w:beforeAutospacing="0" w:after="0" w:afterAutospacing="0"/>
              <w:jc w:val="center"/>
              <w:rPr>
                <w:bCs/>
                <w:color w:val="auto"/>
                <w:highlight w:val="none"/>
              </w:rPr>
            </w:pPr>
            <w:r>
              <w:rPr>
                <w:rFonts w:hint="eastAsia"/>
                <w:bCs/>
                <w:color w:val="auto"/>
                <w:highlight w:val="none"/>
              </w:rPr>
              <w:t>企</w:t>
            </w:r>
          </w:p>
          <w:p>
            <w:pPr>
              <w:pStyle w:val="32"/>
              <w:spacing w:before="0" w:beforeAutospacing="0" w:after="0" w:afterAutospacing="0"/>
              <w:jc w:val="center"/>
              <w:rPr>
                <w:bCs/>
                <w:color w:val="auto"/>
                <w:highlight w:val="none"/>
              </w:rPr>
            </w:pPr>
            <w:r>
              <w:rPr>
                <w:rFonts w:hint="eastAsia"/>
                <w:bCs/>
                <w:color w:val="auto"/>
                <w:highlight w:val="none"/>
              </w:rPr>
              <w:t>业</w:t>
            </w:r>
          </w:p>
          <w:p>
            <w:pPr>
              <w:pStyle w:val="32"/>
              <w:spacing w:before="0" w:beforeAutospacing="0" w:after="0" w:afterAutospacing="0"/>
              <w:jc w:val="center"/>
              <w:rPr>
                <w:bCs/>
                <w:color w:val="auto"/>
                <w:highlight w:val="none"/>
              </w:rPr>
            </w:pPr>
            <w:r>
              <w:rPr>
                <w:rFonts w:hint="eastAsia"/>
                <w:bCs/>
                <w:color w:val="auto"/>
                <w:highlight w:val="none"/>
              </w:rPr>
              <w:t>概</w:t>
            </w:r>
          </w:p>
          <w:p>
            <w:pPr>
              <w:pStyle w:val="32"/>
              <w:spacing w:before="0" w:beforeAutospacing="0" w:after="0" w:afterAutospacing="0"/>
              <w:jc w:val="center"/>
              <w:rPr>
                <w:bCs/>
                <w:color w:val="auto"/>
                <w:highlight w:val="none"/>
              </w:rPr>
            </w:pPr>
            <w:r>
              <w:rPr>
                <w:rFonts w:hint="eastAsia"/>
                <w:bCs/>
                <w:color w:val="auto"/>
                <w:highlight w:val="none"/>
              </w:rPr>
              <w:t>况</w:t>
            </w:r>
          </w:p>
        </w:tc>
        <w:tc>
          <w:tcPr>
            <w:tcW w:w="701" w:type="dxa"/>
            <w:tcBorders>
              <w:top w:val="nil"/>
            </w:tcBorders>
            <w:vAlign w:val="center"/>
          </w:tcPr>
          <w:p>
            <w:pPr>
              <w:pStyle w:val="32"/>
              <w:spacing w:before="0" w:beforeAutospacing="0" w:after="0" w:afterAutospacing="0"/>
              <w:jc w:val="center"/>
              <w:rPr>
                <w:bCs/>
                <w:color w:val="auto"/>
                <w:highlight w:val="none"/>
              </w:rPr>
            </w:pPr>
            <w:r>
              <w:rPr>
                <w:rFonts w:hint="eastAsia"/>
                <w:bCs/>
                <w:color w:val="auto"/>
                <w:highlight w:val="none"/>
              </w:rPr>
              <w:t>职工人数</w:t>
            </w:r>
          </w:p>
        </w:tc>
        <w:tc>
          <w:tcPr>
            <w:tcW w:w="910" w:type="dxa"/>
            <w:gridSpan w:val="2"/>
            <w:tcBorders>
              <w:top w:val="nil"/>
            </w:tcBorders>
            <w:vAlign w:val="center"/>
          </w:tcPr>
          <w:p>
            <w:pPr>
              <w:pStyle w:val="32"/>
              <w:spacing w:before="0" w:beforeAutospacing="0" w:after="0" w:afterAutospacing="0"/>
              <w:jc w:val="center"/>
              <w:rPr>
                <w:bCs/>
                <w:color w:val="auto"/>
                <w:highlight w:val="none"/>
              </w:rPr>
            </w:pPr>
          </w:p>
        </w:tc>
        <w:tc>
          <w:tcPr>
            <w:tcW w:w="1163" w:type="dxa"/>
            <w:tcBorders>
              <w:top w:val="nil"/>
            </w:tcBorders>
            <w:vAlign w:val="center"/>
          </w:tcPr>
          <w:p>
            <w:pPr>
              <w:pStyle w:val="32"/>
              <w:spacing w:before="0" w:beforeAutospacing="0" w:after="0" w:afterAutospacing="0"/>
              <w:jc w:val="center"/>
              <w:rPr>
                <w:bCs/>
                <w:color w:val="auto"/>
                <w:highlight w:val="none"/>
              </w:rPr>
            </w:pPr>
            <w:r>
              <w:rPr>
                <w:rFonts w:hint="eastAsia"/>
                <w:bCs/>
                <w:color w:val="auto"/>
                <w:highlight w:val="none"/>
              </w:rPr>
              <w:t>具备大专以上学历人数</w:t>
            </w:r>
          </w:p>
        </w:tc>
        <w:tc>
          <w:tcPr>
            <w:tcW w:w="1205" w:type="dxa"/>
            <w:gridSpan w:val="2"/>
            <w:tcBorders>
              <w:top w:val="nil"/>
            </w:tcBorders>
            <w:vAlign w:val="center"/>
          </w:tcPr>
          <w:p>
            <w:pPr>
              <w:widowControl/>
              <w:jc w:val="center"/>
              <w:rPr>
                <w:rFonts w:ascii="宋体" w:hAnsi="宋体" w:cs="宋体"/>
                <w:bCs/>
                <w:color w:val="auto"/>
                <w:kern w:val="0"/>
                <w:sz w:val="24"/>
                <w:highlight w:val="none"/>
              </w:rPr>
            </w:pPr>
          </w:p>
          <w:p>
            <w:pPr>
              <w:widowControl/>
              <w:jc w:val="center"/>
              <w:rPr>
                <w:rFonts w:ascii="宋体" w:hAnsi="宋体" w:cs="宋体"/>
                <w:bCs/>
                <w:color w:val="auto"/>
                <w:kern w:val="0"/>
                <w:sz w:val="24"/>
                <w:highlight w:val="none"/>
              </w:rPr>
            </w:pPr>
          </w:p>
          <w:p>
            <w:pPr>
              <w:pStyle w:val="32"/>
              <w:spacing w:before="0" w:beforeAutospacing="0" w:after="0" w:afterAutospacing="0"/>
              <w:jc w:val="center"/>
              <w:rPr>
                <w:bCs/>
                <w:color w:val="auto"/>
                <w:highlight w:val="none"/>
              </w:rPr>
            </w:pPr>
          </w:p>
        </w:tc>
        <w:tc>
          <w:tcPr>
            <w:tcW w:w="2001" w:type="dxa"/>
            <w:gridSpan w:val="3"/>
            <w:vAlign w:val="center"/>
          </w:tcPr>
          <w:p>
            <w:pPr>
              <w:pStyle w:val="32"/>
              <w:spacing w:before="0" w:beforeAutospacing="0" w:after="0" w:afterAutospacing="0"/>
              <w:jc w:val="center"/>
              <w:rPr>
                <w:bCs/>
                <w:color w:val="auto"/>
                <w:highlight w:val="none"/>
              </w:rPr>
            </w:pPr>
            <w:r>
              <w:rPr>
                <w:rFonts w:hint="eastAsia"/>
                <w:bCs/>
                <w:color w:val="auto"/>
                <w:highlight w:val="none"/>
              </w:rPr>
              <w:t>国家授予技术职称人数</w:t>
            </w:r>
          </w:p>
        </w:tc>
        <w:tc>
          <w:tcPr>
            <w:tcW w:w="2151" w:type="dxa"/>
            <w:gridSpan w:val="2"/>
            <w:vAlign w:val="center"/>
          </w:tcPr>
          <w:p>
            <w:pPr>
              <w:widowControl/>
              <w:jc w:val="center"/>
              <w:rPr>
                <w:rFonts w:ascii="宋体" w:hAnsi="宋体" w:cs="宋体"/>
                <w:bCs/>
                <w:color w:val="auto"/>
                <w:kern w:val="0"/>
                <w:sz w:val="24"/>
                <w:highlight w:val="none"/>
              </w:rPr>
            </w:pPr>
          </w:p>
          <w:p>
            <w:pPr>
              <w:pStyle w:val="32"/>
              <w:spacing w:before="0" w:beforeAutospacing="0" w:after="0" w:afterAutospacing="0"/>
              <w:jc w:val="center"/>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823" w:type="dxa"/>
            <w:vMerge w:val="continue"/>
            <w:vAlign w:val="center"/>
          </w:tcPr>
          <w:p>
            <w:pPr>
              <w:pStyle w:val="32"/>
              <w:spacing w:before="0" w:beforeAutospacing="0" w:after="0" w:afterAutospacing="0"/>
              <w:jc w:val="center"/>
              <w:rPr>
                <w:bCs/>
                <w:color w:val="auto"/>
                <w:highlight w:val="none"/>
              </w:rPr>
            </w:pPr>
          </w:p>
        </w:tc>
        <w:tc>
          <w:tcPr>
            <w:tcW w:w="701" w:type="dxa"/>
            <w:vAlign w:val="center"/>
          </w:tcPr>
          <w:p>
            <w:pPr>
              <w:pStyle w:val="32"/>
              <w:spacing w:before="0" w:beforeAutospacing="0" w:after="0" w:afterAutospacing="0"/>
              <w:jc w:val="center"/>
              <w:rPr>
                <w:bCs/>
                <w:color w:val="auto"/>
                <w:highlight w:val="none"/>
              </w:rPr>
            </w:pPr>
            <w:r>
              <w:rPr>
                <w:rFonts w:hint="eastAsia"/>
                <w:bCs/>
                <w:color w:val="auto"/>
                <w:highlight w:val="none"/>
              </w:rPr>
              <w:t>占地面积</w:t>
            </w:r>
          </w:p>
        </w:tc>
        <w:tc>
          <w:tcPr>
            <w:tcW w:w="910" w:type="dxa"/>
            <w:gridSpan w:val="2"/>
            <w:vAlign w:val="center"/>
          </w:tcPr>
          <w:p>
            <w:pPr>
              <w:pStyle w:val="32"/>
              <w:spacing w:before="0" w:beforeAutospacing="0" w:after="0" w:afterAutospacing="0"/>
              <w:jc w:val="center"/>
              <w:rPr>
                <w:bCs/>
                <w:color w:val="auto"/>
                <w:highlight w:val="none"/>
              </w:rPr>
            </w:pPr>
          </w:p>
        </w:tc>
        <w:tc>
          <w:tcPr>
            <w:tcW w:w="1163" w:type="dxa"/>
            <w:vAlign w:val="center"/>
          </w:tcPr>
          <w:p>
            <w:pPr>
              <w:pStyle w:val="32"/>
              <w:spacing w:before="0" w:beforeAutospacing="0" w:after="0" w:afterAutospacing="0"/>
              <w:jc w:val="center"/>
              <w:rPr>
                <w:bCs/>
                <w:color w:val="auto"/>
                <w:highlight w:val="none"/>
              </w:rPr>
            </w:pPr>
            <w:r>
              <w:rPr>
                <w:rFonts w:hint="eastAsia"/>
                <w:bCs/>
                <w:color w:val="auto"/>
                <w:highlight w:val="none"/>
              </w:rPr>
              <w:t>建筑</w:t>
            </w:r>
          </w:p>
          <w:p>
            <w:pPr>
              <w:pStyle w:val="32"/>
              <w:spacing w:before="0" w:beforeAutospacing="0" w:after="0" w:afterAutospacing="0"/>
              <w:jc w:val="center"/>
              <w:rPr>
                <w:bCs/>
                <w:color w:val="auto"/>
                <w:highlight w:val="none"/>
              </w:rPr>
            </w:pPr>
            <w:r>
              <w:rPr>
                <w:rFonts w:hint="eastAsia"/>
                <w:bCs/>
                <w:color w:val="auto"/>
                <w:highlight w:val="none"/>
              </w:rPr>
              <w:t>面积</w:t>
            </w:r>
          </w:p>
        </w:tc>
        <w:tc>
          <w:tcPr>
            <w:tcW w:w="1205" w:type="dxa"/>
            <w:gridSpan w:val="2"/>
            <w:vAlign w:val="center"/>
          </w:tcPr>
          <w:p>
            <w:pPr>
              <w:pStyle w:val="32"/>
              <w:spacing w:before="0" w:beforeAutospacing="0" w:after="0" w:afterAutospacing="0"/>
              <w:jc w:val="right"/>
              <w:rPr>
                <w:bCs/>
                <w:color w:val="auto"/>
                <w:highlight w:val="none"/>
              </w:rPr>
            </w:pPr>
            <w:r>
              <w:rPr>
                <w:rFonts w:hint="eastAsia"/>
                <w:bCs/>
                <w:color w:val="auto"/>
                <w:highlight w:val="none"/>
              </w:rPr>
              <w:t>平方米</w:t>
            </w:r>
          </w:p>
          <w:p>
            <w:pPr>
              <w:pStyle w:val="32"/>
              <w:spacing w:before="0" w:beforeAutospacing="0" w:after="0" w:afterAutospacing="0"/>
              <w:jc w:val="center"/>
              <w:rPr>
                <w:bCs/>
                <w:color w:val="auto"/>
                <w:highlight w:val="none"/>
              </w:rPr>
            </w:pPr>
            <w:r>
              <w:rPr>
                <w:rFonts w:hint="eastAsia"/>
                <w:bCs/>
                <w:color w:val="auto"/>
                <w:highlight w:val="none"/>
              </w:rPr>
              <w:t>□自有</w:t>
            </w:r>
          </w:p>
          <w:p>
            <w:pPr>
              <w:pStyle w:val="32"/>
              <w:spacing w:before="0" w:beforeAutospacing="0" w:after="0" w:afterAutospacing="0"/>
              <w:jc w:val="center"/>
              <w:rPr>
                <w:bCs/>
                <w:color w:val="auto"/>
                <w:highlight w:val="none"/>
              </w:rPr>
            </w:pPr>
            <w:r>
              <w:rPr>
                <w:rFonts w:hint="eastAsia"/>
                <w:bCs/>
                <w:color w:val="auto"/>
                <w:highlight w:val="none"/>
              </w:rPr>
              <w:t>□租赁</w:t>
            </w:r>
          </w:p>
        </w:tc>
        <w:tc>
          <w:tcPr>
            <w:tcW w:w="2001" w:type="dxa"/>
            <w:gridSpan w:val="3"/>
            <w:vAlign w:val="center"/>
          </w:tcPr>
          <w:p>
            <w:pPr>
              <w:pStyle w:val="32"/>
              <w:spacing w:before="0" w:beforeAutospacing="0" w:after="0" w:afterAutospacing="0"/>
              <w:jc w:val="center"/>
              <w:rPr>
                <w:bCs/>
                <w:color w:val="auto"/>
                <w:highlight w:val="none"/>
              </w:rPr>
            </w:pPr>
            <w:r>
              <w:rPr>
                <w:rFonts w:hint="eastAsia"/>
                <w:bCs/>
                <w:color w:val="auto"/>
                <w:highlight w:val="none"/>
              </w:rPr>
              <w:t>生产经营场所及场所的设施与设备</w:t>
            </w:r>
          </w:p>
        </w:tc>
        <w:tc>
          <w:tcPr>
            <w:tcW w:w="2151" w:type="dxa"/>
            <w:gridSpan w:val="2"/>
            <w:vAlign w:val="center"/>
          </w:tcPr>
          <w:p>
            <w:pPr>
              <w:pStyle w:val="32"/>
              <w:spacing w:before="0" w:beforeAutospacing="0" w:after="0" w:afterAutospacing="0"/>
              <w:jc w:val="center"/>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823" w:type="dxa"/>
            <w:vMerge w:val="continue"/>
            <w:vAlign w:val="center"/>
          </w:tcPr>
          <w:p>
            <w:pPr>
              <w:pStyle w:val="32"/>
              <w:spacing w:before="0" w:beforeAutospacing="0" w:after="0" w:afterAutospacing="0"/>
              <w:jc w:val="center"/>
              <w:rPr>
                <w:bCs/>
                <w:color w:val="auto"/>
                <w:highlight w:val="none"/>
              </w:rPr>
            </w:pPr>
          </w:p>
        </w:tc>
        <w:tc>
          <w:tcPr>
            <w:tcW w:w="701" w:type="dxa"/>
            <w:vAlign w:val="center"/>
          </w:tcPr>
          <w:p>
            <w:pPr>
              <w:pStyle w:val="32"/>
              <w:spacing w:before="0" w:beforeAutospacing="0" w:after="0" w:afterAutospacing="0"/>
              <w:jc w:val="center"/>
              <w:rPr>
                <w:bCs/>
                <w:color w:val="auto"/>
                <w:highlight w:val="none"/>
              </w:rPr>
            </w:pPr>
            <w:r>
              <w:rPr>
                <w:rFonts w:hint="eastAsia"/>
                <w:bCs/>
                <w:color w:val="auto"/>
                <w:highlight w:val="none"/>
              </w:rPr>
              <w:t>注册资金</w:t>
            </w:r>
          </w:p>
        </w:tc>
        <w:tc>
          <w:tcPr>
            <w:tcW w:w="910" w:type="dxa"/>
            <w:gridSpan w:val="2"/>
            <w:vAlign w:val="center"/>
          </w:tcPr>
          <w:p>
            <w:pPr>
              <w:pStyle w:val="32"/>
              <w:spacing w:before="0" w:beforeAutospacing="0" w:after="0" w:afterAutospacing="0"/>
              <w:jc w:val="center"/>
              <w:rPr>
                <w:bCs/>
                <w:color w:val="auto"/>
                <w:highlight w:val="none"/>
              </w:rPr>
            </w:pPr>
          </w:p>
        </w:tc>
        <w:tc>
          <w:tcPr>
            <w:tcW w:w="1163" w:type="dxa"/>
            <w:vAlign w:val="center"/>
          </w:tcPr>
          <w:p>
            <w:pPr>
              <w:pStyle w:val="32"/>
              <w:spacing w:before="0" w:beforeAutospacing="0" w:after="0" w:afterAutospacing="0"/>
              <w:jc w:val="center"/>
              <w:rPr>
                <w:bCs/>
                <w:color w:val="auto"/>
                <w:highlight w:val="none"/>
              </w:rPr>
            </w:pPr>
            <w:r>
              <w:rPr>
                <w:rFonts w:hint="eastAsia"/>
                <w:bCs/>
                <w:color w:val="auto"/>
                <w:highlight w:val="none"/>
              </w:rPr>
              <w:t>注册发证机关</w:t>
            </w:r>
          </w:p>
        </w:tc>
        <w:tc>
          <w:tcPr>
            <w:tcW w:w="3206" w:type="dxa"/>
            <w:gridSpan w:val="5"/>
            <w:vAlign w:val="center"/>
          </w:tcPr>
          <w:p>
            <w:pPr>
              <w:widowControl/>
              <w:jc w:val="center"/>
              <w:rPr>
                <w:rFonts w:ascii="宋体" w:hAnsi="宋体" w:cs="宋体"/>
                <w:bCs/>
                <w:color w:val="auto"/>
                <w:kern w:val="0"/>
                <w:sz w:val="24"/>
                <w:highlight w:val="none"/>
              </w:rPr>
            </w:pPr>
          </w:p>
          <w:p>
            <w:pPr>
              <w:pStyle w:val="32"/>
              <w:spacing w:before="0" w:beforeAutospacing="0" w:after="0" w:afterAutospacing="0"/>
              <w:jc w:val="center"/>
              <w:rPr>
                <w:bCs/>
                <w:color w:val="auto"/>
                <w:highlight w:val="none"/>
              </w:rPr>
            </w:pPr>
          </w:p>
        </w:tc>
        <w:tc>
          <w:tcPr>
            <w:tcW w:w="1218" w:type="dxa"/>
            <w:vAlign w:val="center"/>
          </w:tcPr>
          <w:p>
            <w:pPr>
              <w:pStyle w:val="32"/>
              <w:spacing w:before="0" w:beforeAutospacing="0" w:after="0" w:afterAutospacing="0"/>
              <w:jc w:val="center"/>
              <w:rPr>
                <w:bCs/>
                <w:color w:val="auto"/>
                <w:highlight w:val="none"/>
              </w:rPr>
            </w:pPr>
            <w:r>
              <w:rPr>
                <w:rFonts w:hint="eastAsia"/>
                <w:bCs/>
                <w:color w:val="auto"/>
                <w:highlight w:val="none"/>
              </w:rPr>
              <w:t>公司成立时间</w:t>
            </w:r>
          </w:p>
        </w:tc>
        <w:tc>
          <w:tcPr>
            <w:tcW w:w="933" w:type="dxa"/>
            <w:vAlign w:val="center"/>
          </w:tcPr>
          <w:p>
            <w:pPr>
              <w:pStyle w:val="32"/>
              <w:spacing w:before="0" w:beforeAutospacing="0" w:after="0" w:afterAutospacing="0"/>
              <w:jc w:val="center"/>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823" w:type="dxa"/>
            <w:vMerge w:val="continue"/>
            <w:vAlign w:val="center"/>
          </w:tcPr>
          <w:p>
            <w:pPr>
              <w:pStyle w:val="32"/>
              <w:spacing w:before="0" w:beforeAutospacing="0" w:after="0" w:afterAutospacing="0"/>
              <w:jc w:val="center"/>
              <w:rPr>
                <w:bCs/>
                <w:color w:val="auto"/>
                <w:highlight w:val="none"/>
              </w:rPr>
            </w:pPr>
          </w:p>
        </w:tc>
        <w:tc>
          <w:tcPr>
            <w:tcW w:w="701" w:type="dxa"/>
            <w:vAlign w:val="center"/>
          </w:tcPr>
          <w:p>
            <w:pPr>
              <w:pStyle w:val="32"/>
              <w:spacing w:before="0" w:beforeAutospacing="0" w:after="0" w:afterAutospacing="0"/>
              <w:jc w:val="center"/>
              <w:rPr>
                <w:bCs/>
                <w:color w:val="auto"/>
                <w:highlight w:val="none"/>
              </w:rPr>
            </w:pPr>
            <w:r>
              <w:rPr>
                <w:rFonts w:hint="eastAsia"/>
                <w:bCs/>
                <w:color w:val="auto"/>
                <w:highlight w:val="none"/>
              </w:rPr>
              <w:t>核准经营范围</w:t>
            </w:r>
          </w:p>
        </w:tc>
        <w:tc>
          <w:tcPr>
            <w:tcW w:w="7430" w:type="dxa"/>
            <w:gridSpan w:val="10"/>
            <w:vAlign w:val="center"/>
          </w:tcPr>
          <w:p>
            <w:pPr>
              <w:pStyle w:val="32"/>
              <w:spacing w:before="0" w:beforeAutospacing="0" w:after="0" w:afterAutospacing="0"/>
              <w:jc w:val="center"/>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823" w:type="dxa"/>
            <w:vMerge w:val="continue"/>
            <w:vAlign w:val="center"/>
          </w:tcPr>
          <w:p>
            <w:pPr>
              <w:pStyle w:val="32"/>
              <w:spacing w:before="0" w:beforeAutospacing="0" w:after="0" w:afterAutospacing="0"/>
              <w:jc w:val="center"/>
              <w:rPr>
                <w:bCs/>
                <w:color w:val="auto"/>
                <w:highlight w:val="none"/>
              </w:rPr>
            </w:pPr>
          </w:p>
        </w:tc>
        <w:tc>
          <w:tcPr>
            <w:tcW w:w="8131" w:type="dxa"/>
            <w:gridSpan w:val="11"/>
            <w:vAlign w:val="center"/>
          </w:tcPr>
          <w:p>
            <w:pPr>
              <w:pStyle w:val="32"/>
              <w:spacing w:before="0" w:beforeAutospacing="0" w:after="0" w:afterAutospacing="0"/>
              <w:jc w:val="center"/>
              <w:rPr>
                <w:bCs/>
                <w:color w:val="auto"/>
                <w:highlight w:val="none"/>
              </w:rPr>
            </w:pPr>
            <w:r>
              <w:rPr>
                <w:rFonts w:hint="eastAsia"/>
                <w:bCs/>
                <w:color w:val="auto"/>
                <w:highlight w:val="none"/>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23" w:type="dxa"/>
            <w:vMerge w:val="restart"/>
            <w:vAlign w:val="center"/>
          </w:tcPr>
          <w:p>
            <w:pPr>
              <w:pStyle w:val="32"/>
              <w:spacing w:before="0" w:beforeAutospacing="0" w:after="0" w:afterAutospacing="0"/>
              <w:jc w:val="center"/>
              <w:rPr>
                <w:bCs/>
                <w:color w:val="auto"/>
                <w:highlight w:val="none"/>
              </w:rPr>
            </w:pPr>
            <w:r>
              <w:rPr>
                <w:bCs/>
                <w:color w:val="auto"/>
                <w:highlight w:val="none"/>
              </w:rPr>
              <w:t>2</w:t>
            </w:r>
            <w:r>
              <w:rPr>
                <w:rFonts w:hint="eastAsia"/>
                <w:bCs/>
                <w:color w:val="auto"/>
                <w:highlight w:val="none"/>
              </w:rPr>
              <w:t>．</w:t>
            </w:r>
          </w:p>
          <w:p>
            <w:pPr>
              <w:pStyle w:val="32"/>
              <w:spacing w:before="0" w:beforeAutospacing="0" w:after="0" w:afterAutospacing="0"/>
              <w:jc w:val="center"/>
              <w:rPr>
                <w:bCs/>
                <w:color w:val="auto"/>
                <w:highlight w:val="none"/>
              </w:rPr>
            </w:pPr>
            <w:r>
              <w:rPr>
                <w:rFonts w:hint="eastAsia"/>
                <w:bCs/>
                <w:color w:val="auto"/>
                <w:highlight w:val="none"/>
              </w:rPr>
              <w:t>企业有关资质获证情况</w:t>
            </w:r>
          </w:p>
        </w:tc>
        <w:tc>
          <w:tcPr>
            <w:tcW w:w="1553" w:type="dxa"/>
            <w:gridSpan w:val="2"/>
            <w:vMerge w:val="restart"/>
            <w:vAlign w:val="center"/>
          </w:tcPr>
          <w:p>
            <w:pPr>
              <w:pStyle w:val="32"/>
              <w:spacing w:before="0" w:beforeAutospacing="0" w:after="0" w:afterAutospacing="0"/>
              <w:jc w:val="center"/>
              <w:rPr>
                <w:bCs/>
                <w:color w:val="auto"/>
                <w:highlight w:val="none"/>
              </w:rPr>
            </w:pPr>
            <w:r>
              <w:rPr>
                <w:rFonts w:hint="eastAsia"/>
                <w:bCs/>
                <w:color w:val="auto"/>
                <w:highlight w:val="none"/>
              </w:rPr>
              <w:t>产品生产许可证情况（对需获得生产许可证的产品要填写此栏）</w:t>
            </w:r>
          </w:p>
        </w:tc>
        <w:tc>
          <w:tcPr>
            <w:tcW w:w="1333" w:type="dxa"/>
            <w:gridSpan w:val="3"/>
            <w:vAlign w:val="center"/>
          </w:tcPr>
          <w:p>
            <w:pPr>
              <w:pStyle w:val="32"/>
              <w:spacing w:before="0" w:beforeAutospacing="0" w:after="0" w:afterAutospacing="0"/>
              <w:jc w:val="center"/>
              <w:rPr>
                <w:bCs/>
                <w:color w:val="auto"/>
                <w:highlight w:val="none"/>
              </w:rPr>
            </w:pPr>
            <w:r>
              <w:rPr>
                <w:rFonts w:hint="eastAsia"/>
                <w:bCs/>
                <w:color w:val="auto"/>
                <w:highlight w:val="none"/>
              </w:rPr>
              <w:t>产品名称</w:t>
            </w:r>
          </w:p>
        </w:tc>
        <w:tc>
          <w:tcPr>
            <w:tcW w:w="1418" w:type="dxa"/>
            <w:gridSpan w:val="2"/>
            <w:vAlign w:val="center"/>
          </w:tcPr>
          <w:p>
            <w:pPr>
              <w:pStyle w:val="32"/>
              <w:spacing w:before="0" w:beforeAutospacing="0" w:after="0" w:afterAutospacing="0"/>
              <w:jc w:val="center"/>
              <w:rPr>
                <w:bCs/>
                <w:color w:val="auto"/>
                <w:highlight w:val="none"/>
              </w:rPr>
            </w:pPr>
            <w:r>
              <w:rPr>
                <w:rFonts w:hint="eastAsia"/>
                <w:bCs/>
                <w:color w:val="auto"/>
                <w:highlight w:val="none"/>
              </w:rPr>
              <w:t>发证机关</w:t>
            </w:r>
          </w:p>
        </w:tc>
        <w:tc>
          <w:tcPr>
            <w:tcW w:w="1276" w:type="dxa"/>
            <w:vAlign w:val="center"/>
          </w:tcPr>
          <w:p>
            <w:pPr>
              <w:pStyle w:val="32"/>
              <w:spacing w:before="0" w:beforeAutospacing="0" w:after="0" w:afterAutospacing="0"/>
              <w:jc w:val="center"/>
              <w:rPr>
                <w:bCs/>
                <w:color w:val="auto"/>
                <w:highlight w:val="none"/>
              </w:rPr>
            </w:pPr>
            <w:r>
              <w:rPr>
                <w:rFonts w:hint="eastAsia"/>
                <w:bCs/>
                <w:color w:val="auto"/>
                <w:highlight w:val="none"/>
              </w:rPr>
              <w:t>编号</w:t>
            </w:r>
          </w:p>
        </w:tc>
        <w:tc>
          <w:tcPr>
            <w:tcW w:w="1618" w:type="dxa"/>
            <w:gridSpan w:val="2"/>
            <w:vAlign w:val="center"/>
          </w:tcPr>
          <w:p>
            <w:pPr>
              <w:pStyle w:val="32"/>
              <w:spacing w:before="0" w:beforeAutospacing="0" w:after="0" w:afterAutospacing="0"/>
              <w:jc w:val="center"/>
              <w:rPr>
                <w:bCs/>
                <w:color w:val="auto"/>
                <w:highlight w:val="none"/>
              </w:rPr>
            </w:pPr>
            <w:r>
              <w:rPr>
                <w:rFonts w:hint="eastAsia"/>
                <w:bCs/>
                <w:color w:val="auto"/>
                <w:highlight w:val="none"/>
              </w:rPr>
              <w:t>发证时间</w:t>
            </w:r>
          </w:p>
        </w:tc>
        <w:tc>
          <w:tcPr>
            <w:tcW w:w="933" w:type="dxa"/>
            <w:vAlign w:val="center"/>
          </w:tcPr>
          <w:p>
            <w:pPr>
              <w:pStyle w:val="32"/>
              <w:spacing w:before="0" w:beforeAutospacing="0" w:after="0" w:afterAutospacing="0"/>
              <w:jc w:val="center"/>
              <w:rPr>
                <w:bCs/>
                <w:color w:val="auto"/>
                <w:highlight w:val="none"/>
              </w:rPr>
            </w:pPr>
            <w:r>
              <w:rPr>
                <w:rFonts w:hint="eastAsia"/>
                <w:bCs/>
                <w:color w:val="auto"/>
                <w:highlight w:val="none"/>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vAlign w:val="center"/>
          </w:tcPr>
          <w:p>
            <w:pPr>
              <w:pStyle w:val="32"/>
              <w:spacing w:before="0" w:beforeAutospacing="0" w:after="0" w:afterAutospacing="0"/>
              <w:jc w:val="center"/>
              <w:rPr>
                <w:bCs/>
                <w:color w:val="auto"/>
                <w:highlight w:val="none"/>
              </w:rPr>
            </w:pPr>
          </w:p>
        </w:tc>
        <w:tc>
          <w:tcPr>
            <w:tcW w:w="1553" w:type="dxa"/>
            <w:gridSpan w:val="2"/>
            <w:vMerge w:val="continue"/>
            <w:vAlign w:val="center"/>
          </w:tcPr>
          <w:p>
            <w:pPr>
              <w:pStyle w:val="32"/>
              <w:spacing w:before="0" w:beforeAutospacing="0" w:after="0" w:afterAutospacing="0"/>
              <w:jc w:val="center"/>
              <w:rPr>
                <w:bCs/>
                <w:color w:val="auto"/>
                <w:highlight w:val="none"/>
              </w:rPr>
            </w:pPr>
          </w:p>
        </w:tc>
        <w:tc>
          <w:tcPr>
            <w:tcW w:w="1333" w:type="dxa"/>
            <w:gridSpan w:val="3"/>
            <w:vAlign w:val="center"/>
          </w:tcPr>
          <w:p>
            <w:pPr>
              <w:pStyle w:val="32"/>
              <w:spacing w:before="0" w:beforeAutospacing="0" w:after="0" w:afterAutospacing="0"/>
              <w:jc w:val="center"/>
              <w:rPr>
                <w:bCs/>
                <w:color w:val="auto"/>
                <w:highlight w:val="none"/>
              </w:rPr>
            </w:pPr>
          </w:p>
        </w:tc>
        <w:tc>
          <w:tcPr>
            <w:tcW w:w="1418" w:type="dxa"/>
            <w:gridSpan w:val="2"/>
            <w:vAlign w:val="center"/>
          </w:tcPr>
          <w:p>
            <w:pPr>
              <w:pStyle w:val="32"/>
              <w:spacing w:before="0" w:beforeAutospacing="0" w:after="0" w:afterAutospacing="0"/>
              <w:jc w:val="center"/>
              <w:rPr>
                <w:bCs/>
                <w:color w:val="auto"/>
                <w:highlight w:val="none"/>
              </w:rPr>
            </w:pPr>
          </w:p>
        </w:tc>
        <w:tc>
          <w:tcPr>
            <w:tcW w:w="1276" w:type="dxa"/>
            <w:vAlign w:val="center"/>
          </w:tcPr>
          <w:p>
            <w:pPr>
              <w:pStyle w:val="32"/>
              <w:spacing w:before="0" w:beforeAutospacing="0" w:after="0" w:afterAutospacing="0"/>
              <w:jc w:val="center"/>
              <w:rPr>
                <w:bCs/>
                <w:color w:val="auto"/>
                <w:highlight w:val="none"/>
              </w:rPr>
            </w:pPr>
          </w:p>
        </w:tc>
        <w:tc>
          <w:tcPr>
            <w:tcW w:w="2551" w:type="dxa"/>
            <w:gridSpan w:val="3"/>
            <w:vAlign w:val="center"/>
          </w:tcPr>
          <w:p>
            <w:pPr>
              <w:pStyle w:val="32"/>
              <w:spacing w:before="0" w:beforeAutospacing="0" w:after="0" w:afterAutospacing="0"/>
              <w:jc w:val="center"/>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823" w:type="dxa"/>
            <w:vMerge w:val="continue"/>
            <w:vAlign w:val="center"/>
          </w:tcPr>
          <w:p>
            <w:pPr>
              <w:pStyle w:val="32"/>
              <w:spacing w:before="0" w:beforeAutospacing="0" w:after="0" w:afterAutospacing="0"/>
              <w:jc w:val="center"/>
              <w:rPr>
                <w:bCs/>
                <w:color w:val="auto"/>
                <w:highlight w:val="none"/>
              </w:rPr>
            </w:pPr>
          </w:p>
        </w:tc>
        <w:tc>
          <w:tcPr>
            <w:tcW w:w="1553" w:type="dxa"/>
            <w:gridSpan w:val="2"/>
            <w:vAlign w:val="center"/>
          </w:tcPr>
          <w:p>
            <w:pPr>
              <w:pStyle w:val="32"/>
              <w:spacing w:before="0" w:beforeAutospacing="0" w:after="0" w:afterAutospacing="0"/>
              <w:jc w:val="center"/>
              <w:rPr>
                <w:bCs/>
                <w:color w:val="auto"/>
                <w:highlight w:val="none"/>
              </w:rPr>
            </w:pPr>
            <w:r>
              <w:rPr>
                <w:rFonts w:hint="eastAsia"/>
                <w:bCs/>
                <w:color w:val="auto"/>
                <w:highlight w:val="none"/>
              </w:rPr>
              <w:t>企业通过质量体系、环保体系、计量等认证情况</w:t>
            </w:r>
          </w:p>
        </w:tc>
        <w:tc>
          <w:tcPr>
            <w:tcW w:w="6578" w:type="dxa"/>
            <w:gridSpan w:val="9"/>
            <w:vAlign w:val="center"/>
          </w:tcPr>
          <w:p>
            <w:pPr>
              <w:pStyle w:val="32"/>
              <w:spacing w:before="0" w:beforeAutospacing="0" w:after="0" w:afterAutospacing="0"/>
              <w:jc w:val="center"/>
              <w:rPr>
                <w:bCs/>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3" w:type="dxa"/>
            <w:vMerge w:val="continue"/>
            <w:vAlign w:val="center"/>
          </w:tcPr>
          <w:p>
            <w:pPr>
              <w:pStyle w:val="32"/>
              <w:spacing w:before="0" w:beforeAutospacing="0" w:after="0" w:afterAutospacing="0"/>
              <w:jc w:val="center"/>
              <w:rPr>
                <w:bCs/>
                <w:color w:val="auto"/>
                <w:highlight w:val="none"/>
              </w:rPr>
            </w:pPr>
          </w:p>
        </w:tc>
        <w:tc>
          <w:tcPr>
            <w:tcW w:w="1553" w:type="dxa"/>
            <w:gridSpan w:val="2"/>
            <w:vAlign w:val="center"/>
          </w:tcPr>
          <w:p>
            <w:pPr>
              <w:pStyle w:val="32"/>
              <w:spacing w:before="0" w:beforeAutospacing="0" w:after="0" w:afterAutospacing="0"/>
              <w:jc w:val="center"/>
              <w:rPr>
                <w:bCs/>
                <w:color w:val="auto"/>
                <w:highlight w:val="none"/>
              </w:rPr>
            </w:pPr>
            <w:r>
              <w:rPr>
                <w:rFonts w:hint="eastAsia"/>
                <w:bCs/>
                <w:color w:val="auto"/>
                <w:highlight w:val="none"/>
              </w:rPr>
              <w:t>企业获得专利情况</w:t>
            </w:r>
          </w:p>
        </w:tc>
        <w:tc>
          <w:tcPr>
            <w:tcW w:w="6578" w:type="dxa"/>
            <w:gridSpan w:val="9"/>
            <w:vAlign w:val="center"/>
          </w:tcPr>
          <w:p>
            <w:pPr>
              <w:pStyle w:val="32"/>
              <w:spacing w:before="0" w:beforeAutospacing="0" w:after="0" w:afterAutospacing="0"/>
              <w:jc w:val="center"/>
              <w:rPr>
                <w:bCs/>
                <w:color w:val="auto"/>
                <w:highlight w:val="none"/>
              </w:rPr>
            </w:pPr>
          </w:p>
        </w:tc>
      </w:tr>
    </w:tbl>
    <w:p>
      <w:pPr>
        <w:pStyle w:val="32"/>
        <w:spacing w:before="0" w:beforeAutospacing="0" w:after="0" w:afterAutospacing="0" w:line="360" w:lineRule="auto"/>
        <w:rPr>
          <w:rFonts w:ascii="仿宋_GB2312" w:eastAsia="仿宋_GB2312"/>
          <w:color w:val="auto"/>
          <w:highlight w:val="none"/>
        </w:rPr>
      </w:pPr>
    </w:p>
    <w:p>
      <w:pPr>
        <w:pStyle w:val="32"/>
        <w:spacing w:before="0" w:beforeAutospacing="0" w:after="0" w:afterAutospacing="0" w:line="360" w:lineRule="auto"/>
        <w:rPr>
          <w:b/>
          <w:color w:val="auto"/>
          <w:highlight w:val="none"/>
        </w:rPr>
      </w:pPr>
      <w:r>
        <w:rPr>
          <w:rFonts w:hint="eastAsia"/>
          <w:b/>
          <w:color w:val="auto"/>
          <w:highlight w:val="none"/>
        </w:rPr>
        <w:t>要求：</w:t>
      </w:r>
    </w:p>
    <w:p>
      <w:pPr>
        <w:pStyle w:val="32"/>
        <w:spacing w:before="0" w:beforeAutospacing="0" w:after="0" w:afterAutospacing="0" w:line="360" w:lineRule="auto"/>
        <w:ind w:firstLine="484" w:firstLineChars="202"/>
        <w:rPr>
          <w:color w:val="auto"/>
          <w:highlight w:val="none"/>
        </w:rPr>
      </w:pPr>
      <w:r>
        <w:rPr>
          <w:rFonts w:hint="eastAsia" w:ascii="仿宋_GB2312" w:eastAsia="仿宋_GB2312"/>
          <w:color w:val="auto"/>
          <w:highlight w:val="none"/>
        </w:rPr>
        <w:t>1.</w:t>
      </w:r>
      <w:r>
        <w:rPr>
          <w:rFonts w:hint="eastAsia"/>
          <w:color w:val="auto"/>
          <w:highlight w:val="none"/>
        </w:rPr>
        <w:t>姓名栏必须将所有股东都统计在内，若非股份公司此行（第三行）无需填写；</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ind w:firstLine="424" w:firstLineChars="177"/>
        <w:rPr>
          <w:rFonts w:ascii="宋体" w:hAnsi="宋体"/>
          <w:color w:val="auto"/>
          <w:sz w:val="24"/>
          <w:highlight w:val="none"/>
          <w:u w:val="single"/>
        </w:rPr>
      </w:pPr>
      <w:r>
        <w:rPr>
          <w:rFonts w:hint="eastAsia" w:ascii="宋体" w:hAnsi="宋体"/>
          <w:color w:val="auto"/>
          <w:sz w:val="24"/>
          <w:highlight w:val="none"/>
        </w:rPr>
        <w:t>投标人名称（电子印章）：</w:t>
      </w:r>
    </w:p>
    <w:p>
      <w:pPr>
        <w:spacing w:line="360" w:lineRule="auto"/>
        <w:ind w:left="420"/>
        <w:rPr>
          <w:rFonts w:ascii="宋体" w:hAnsi="宋体"/>
          <w:color w:val="auto"/>
          <w:sz w:val="24"/>
          <w:highlight w:val="none"/>
        </w:rPr>
      </w:pPr>
    </w:p>
    <w:p>
      <w:pPr>
        <w:spacing w:line="360" w:lineRule="auto"/>
        <w:ind w:firstLine="424" w:firstLineChars="177"/>
        <w:rPr>
          <w:rFonts w:ascii="宋体" w:hAnsi="宋体"/>
          <w:color w:val="auto"/>
          <w:sz w:val="24"/>
          <w:highlight w:val="none"/>
        </w:rPr>
      </w:pPr>
      <w:r>
        <w:rPr>
          <w:rFonts w:hint="eastAsia" w:ascii="宋体" w:hAnsi="宋体"/>
          <w:color w:val="auto"/>
          <w:sz w:val="24"/>
          <w:highlight w:val="none"/>
        </w:rPr>
        <w:t>投标人代表签字或电子印章：</w:t>
      </w:r>
    </w:p>
    <w:p>
      <w:pPr>
        <w:spacing w:line="360" w:lineRule="auto"/>
        <w:ind w:firstLine="435"/>
        <w:rPr>
          <w:rFonts w:ascii="宋体" w:hAnsi="宋体"/>
          <w:color w:val="auto"/>
          <w:sz w:val="24"/>
          <w:highlight w:val="none"/>
        </w:rPr>
      </w:pPr>
    </w:p>
    <w:p>
      <w:pPr>
        <w:spacing w:line="360" w:lineRule="auto"/>
        <w:ind w:firstLine="424" w:firstLineChars="177"/>
        <w:rPr>
          <w:rFonts w:ascii="宋体" w:hAnsi="宋体"/>
          <w:color w:val="auto"/>
          <w:sz w:val="24"/>
          <w:highlight w:val="none"/>
          <w:u w:val="single"/>
        </w:rPr>
      </w:pPr>
      <w:r>
        <w:rPr>
          <w:rFonts w:hint="eastAsia" w:ascii="宋体" w:hAnsi="宋体"/>
          <w:color w:val="auto"/>
          <w:sz w:val="24"/>
          <w:highlight w:val="none"/>
        </w:rPr>
        <w:t>职        务：</w:t>
      </w:r>
    </w:p>
    <w:p>
      <w:pPr>
        <w:spacing w:line="360" w:lineRule="auto"/>
        <w:rPr>
          <w:rFonts w:ascii="宋体" w:hAnsi="宋体"/>
          <w:color w:val="auto"/>
          <w:sz w:val="24"/>
          <w:highlight w:val="none"/>
        </w:rPr>
      </w:pPr>
    </w:p>
    <w:p>
      <w:pPr>
        <w:pStyle w:val="32"/>
        <w:spacing w:before="0" w:beforeAutospacing="0" w:after="0" w:afterAutospacing="0" w:line="360" w:lineRule="auto"/>
        <w:ind w:firstLine="424" w:firstLineChars="177"/>
        <w:rPr>
          <w:rFonts w:hint="eastAsia"/>
          <w:color w:val="auto"/>
          <w:highlight w:val="none"/>
        </w:rPr>
        <w:sectPr>
          <w:pgSz w:w="11906" w:h="16838"/>
          <w:pgMar w:top="1440" w:right="1418" w:bottom="1440" w:left="1418" w:header="851" w:footer="851" w:gutter="0"/>
          <w:cols w:space="720" w:num="1"/>
          <w:docGrid w:linePitch="312" w:charSpace="0"/>
        </w:sectPr>
      </w:pPr>
      <w:r>
        <w:rPr>
          <w:rFonts w:hint="eastAsia"/>
          <w:color w:val="auto"/>
          <w:highlight w:val="none"/>
        </w:rPr>
        <w:t>日        期：</w:t>
      </w:r>
    </w:p>
    <w:p>
      <w:pPr>
        <w:snapToGrid w:val="0"/>
        <w:spacing w:beforeLines="50" w:after="50" w:line="360" w:lineRule="auto"/>
        <w:rPr>
          <w:rFonts w:hint="eastAsia" w:ascii="宋体" w:hAnsi="宋体" w:eastAsia="宋体" w:cs="Times New Roman"/>
          <w:b/>
          <w:color w:val="auto"/>
          <w:sz w:val="28"/>
          <w:highlight w:val="none"/>
          <w:lang w:eastAsia="zh-CN"/>
        </w:rPr>
      </w:pPr>
      <w:r>
        <w:rPr>
          <w:rFonts w:hint="eastAsia" w:ascii="宋体" w:hAnsi="宋体" w:eastAsia="宋体" w:cs="Times New Roman"/>
          <w:b/>
          <w:color w:val="auto"/>
          <w:sz w:val="28"/>
          <w:highlight w:val="none"/>
        </w:rPr>
        <w:t>附件</w:t>
      </w:r>
      <w:r>
        <w:rPr>
          <w:rFonts w:hint="eastAsia" w:ascii="宋体" w:hAnsi="宋体" w:eastAsia="宋体" w:cs="Times New Roman"/>
          <w:b/>
          <w:color w:val="auto"/>
          <w:sz w:val="28"/>
          <w:highlight w:val="none"/>
          <w:lang w:val="en-US" w:eastAsia="zh-CN"/>
        </w:rPr>
        <w:t>9</w:t>
      </w:r>
    </w:p>
    <w:p>
      <w:pPr>
        <w:spacing w:line="360" w:lineRule="auto"/>
        <w:ind w:left="480"/>
        <w:jc w:val="center"/>
        <w:rPr>
          <w:rFonts w:hint="eastAsia" w:ascii="宋体" w:hAnsi="宋体"/>
          <w:color w:val="auto"/>
          <w:kern w:val="0"/>
          <w:sz w:val="32"/>
          <w:szCs w:val="32"/>
          <w:highlight w:val="none"/>
        </w:rPr>
      </w:pPr>
      <w:r>
        <w:rPr>
          <w:rFonts w:hint="eastAsia" w:ascii="宋体" w:hAnsi="宋体"/>
          <w:color w:val="auto"/>
          <w:kern w:val="0"/>
          <w:sz w:val="32"/>
          <w:szCs w:val="32"/>
          <w:highlight w:val="none"/>
        </w:rPr>
        <w:t>设备一览表</w:t>
      </w:r>
    </w:p>
    <w:tbl>
      <w:tblPr>
        <w:tblStyle w:val="19"/>
        <w:tblW w:w="4997" w:type="pct"/>
        <w:tblInd w:w="0" w:type="dxa"/>
        <w:tblLayout w:type="autofit"/>
        <w:tblCellMar>
          <w:top w:w="0" w:type="dxa"/>
          <w:left w:w="108" w:type="dxa"/>
          <w:bottom w:w="0" w:type="dxa"/>
          <w:right w:w="108" w:type="dxa"/>
        </w:tblCellMar>
      </w:tblPr>
      <w:tblGrid>
        <w:gridCol w:w="1079"/>
        <w:gridCol w:w="1881"/>
        <w:gridCol w:w="1881"/>
        <w:gridCol w:w="1384"/>
        <w:gridCol w:w="1853"/>
        <w:gridCol w:w="1202"/>
      </w:tblGrid>
      <w:tr>
        <w:tblPrEx>
          <w:tblCellMar>
            <w:top w:w="0" w:type="dxa"/>
            <w:left w:w="108" w:type="dxa"/>
            <w:bottom w:w="0" w:type="dxa"/>
            <w:right w:w="108" w:type="dxa"/>
          </w:tblCellMar>
        </w:tblPrEx>
        <w:trPr>
          <w:trHeight w:val="642" w:hRule="atLeast"/>
        </w:trPr>
        <w:tc>
          <w:tcPr>
            <w:tcW w:w="5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r>
              <w:rPr>
                <w:rFonts w:hint="eastAsia" w:cs="宋体"/>
                <w:color w:val="auto"/>
                <w:kern w:val="0"/>
                <w:sz w:val="22"/>
                <w:szCs w:val="22"/>
                <w:highlight w:val="none"/>
              </w:rPr>
              <w:t>序号</w:t>
            </w:r>
          </w:p>
        </w:tc>
        <w:tc>
          <w:tcPr>
            <w:tcW w:w="1013"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r>
              <w:rPr>
                <w:rFonts w:hint="eastAsia" w:cs="宋体"/>
                <w:color w:val="auto"/>
                <w:kern w:val="0"/>
                <w:sz w:val="22"/>
                <w:szCs w:val="22"/>
                <w:highlight w:val="none"/>
              </w:rPr>
              <w:t>设备名称</w:t>
            </w:r>
          </w:p>
        </w:tc>
        <w:tc>
          <w:tcPr>
            <w:tcW w:w="1013"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r>
              <w:rPr>
                <w:rFonts w:hint="eastAsia" w:cs="宋体"/>
                <w:color w:val="auto"/>
                <w:kern w:val="0"/>
                <w:sz w:val="22"/>
                <w:szCs w:val="22"/>
                <w:highlight w:val="none"/>
              </w:rPr>
              <w:t>规格型号</w:t>
            </w:r>
          </w:p>
        </w:tc>
        <w:tc>
          <w:tcPr>
            <w:tcW w:w="745"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r>
              <w:rPr>
                <w:rFonts w:hint="eastAsia" w:cs="宋体"/>
                <w:color w:val="auto"/>
                <w:kern w:val="0"/>
                <w:sz w:val="22"/>
                <w:szCs w:val="22"/>
                <w:highlight w:val="none"/>
              </w:rPr>
              <w:t>数量</w:t>
            </w:r>
          </w:p>
        </w:tc>
        <w:tc>
          <w:tcPr>
            <w:tcW w:w="998"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r>
              <w:rPr>
                <w:rFonts w:hint="eastAsia" w:cs="宋体"/>
                <w:color w:val="auto"/>
                <w:kern w:val="0"/>
                <w:sz w:val="22"/>
                <w:szCs w:val="22"/>
                <w:highlight w:val="none"/>
              </w:rPr>
              <w:t>设备能力</w:t>
            </w:r>
          </w:p>
        </w:tc>
        <w:tc>
          <w:tcPr>
            <w:tcW w:w="647"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r>
              <w:rPr>
                <w:rFonts w:hint="eastAsia" w:cs="宋体"/>
                <w:color w:val="auto"/>
                <w:kern w:val="0"/>
                <w:sz w:val="22"/>
                <w:szCs w:val="22"/>
                <w:highlight w:val="none"/>
              </w:rPr>
              <w:t>备注</w:t>
            </w:r>
          </w:p>
        </w:tc>
      </w:tr>
      <w:tr>
        <w:tblPrEx>
          <w:tblCellMar>
            <w:top w:w="0" w:type="dxa"/>
            <w:left w:w="108" w:type="dxa"/>
            <w:bottom w:w="0" w:type="dxa"/>
            <w:right w:w="108" w:type="dxa"/>
          </w:tblCellMar>
        </w:tblPrEx>
        <w:trPr>
          <w:trHeight w:val="642" w:hRule="atLeast"/>
        </w:trPr>
        <w:tc>
          <w:tcPr>
            <w:tcW w:w="5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1013"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1013"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745"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998"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647"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r>
      <w:tr>
        <w:tblPrEx>
          <w:tblCellMar>
            <w:top w:w="0" w:type="dxa"/>
            <w:left w:w="108" w:type="dxa"/>
            <w:bottom w:w="0" w:type="dxa"/>
            <w:right w:w="108" w:type="dxa"/>
          </w:tblCellMar>
        </w:tblPrEx>
        <w:trPr>
          <w:trHeight w:val="642" w:hRule="atLeast"/>
        </w:trPr>
        <w:tc>
          <w:tcPr>
            <w:tcW w:w="5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1013"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1013"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745"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998"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647"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r>
      <w:tr>
        <w:tblPrEx>
          <w:tblCellMar>
            <w:top w:w="0" w:type="dxa"/>
            <w:left w:w="108" w:type="dxa"/>
            <w:bottom w:w="0" w:type="dxa"/>
            <w:right w:w="108" w:type="dxa"/>
          </w:tblCellMar>
        </w:tblPrEx>
        <w:trPr>
          <w:trHeight w:val="642" w:hRule="atLeast"/>
        </w:trPr>
        <w:tc>
          <w:tcPr>
            <w:tcW w:w="5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1013"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1013"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745"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998"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647"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r>
      <w:tr>
        <w:tblPrEx>
          <w:tblCellMar>
            <w:top w:w="0" w:type="dxa"/>
            <w:left w:w="108" w:type="dxa"/>
            <w:bottom w:w="0" w:type="dxa"/>
            <w:right w:w="108" w:type="dxa"/>
          </w:tblCellMar>
        </w:tblPrEx>
        <w:trPr>
          <w:trHeight w:val="642" w:hRule="atLeast"/>
        </w:trPr>
        <w:tc>
          <w:tcPr>
            <w:tcW w:w="5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1013"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1013"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745"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998"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647"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r>
      <w:tr>
        <w:tblPrEx>
          <w:tblCellMar>
            <w:top w:w="0" w:type="dxa"/>
            <w:left w:w="108" w:type="dxa"/>
            <w:bottom w:w="0" w:type="dxa"/>
            <w:right w:w="108" w:type="dxa"/>
          </w:tblCellMar>
        </w:tblPrEx>
        <w:trPr>
          <w:trHeight w:val="642" w:hRule="atLeast"/>
        </w:trPr>
        <w:tc>
          <w:tcPr>
            <w:tcW w:w="5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1013"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1013"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745"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998"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647"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r>
      <w:tr>
        <w:tblPrEx>
          <w:tblCellMar>
            <w:top w:w="0" w:type="dxa"/>
            <w:left w:w="108" w:type="dxa"/>
            <w:bottom w:w="0" w:type="dxa"/>
            <w:right w:w="108" w:type="dxa"/>
          </w:tblCellMar>
        </w:tblPrEx>
        <w:trPr>
          <w:trHeight w:val="642" w:hRule="atLeast"/>
        </w:trPr>
        <w:tc>
          <w:tcPr>
            <w:tcW w:w="5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1013"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1013"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745"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998"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647"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r>
      <w:tr>
        <w:tblPrEx>
          <w:tblCellMar>
            <w:top w:w="0" w:type="dxa"/>
            <w:left w:w="108" w:type="dxa"/>
            <w:bottom w:w="0" w:type="dxa"/>
            <w:right w:w="108" w:type="dxa"/>
          </w:tblCellMar>
        </w:tblPrEx>
        <w:trPr>
          <w:trHeight w:val="642" w:hRule="atLeast"/>
        </w:trPr>
        <w:tc>
          <w:tcPr>
            <w:tcW w:w="5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1013"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1013"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745"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998"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647"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r>
      <w:tr>
        <w:tblPrEx>
          <w:tblCellMar>
            <w:top w:w="0" w:type="dxa"/>
            <w:left w:w="108" w:type="dxa"/>
            <w:bottom w:w="0" w:type="dxa"/>
            <w:right w:w="108" w:type="dxa"/>
          </w:tblCellMar>
        </w:tblPrEx>
        <w:trPr>
          <w:trHeight w:val="642" w:hRule="atLeast"/>
        </w:trPr>
        <w:tc>
          <w:tcPr>
            <w:tcW w:w="5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1013"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1013"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745"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998"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647"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r>
      <w:tr>
        <w:tblPrEx>
          <w:tblCellMar>
            <w:top w:w="0" w:type="dxa"/>
            <w:left w:w="108" w:type="dxa"/>
            <w:bottom w:w="0" w:type="dxa"/>
            <w:right w:w="108" w:type="dxa"/>
          </w:tblCellMar>
        </w:tblPrEx>
        <w:trPr>
          <w:trHeight w:val="642" w:hRule="atLeast"/>
        </w:trPr>
        <w:tc>
          <w:tcPr>
            <w:tcW w:w="5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1013"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1013"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745"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998"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647"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r>
      <w:tr>
        <w:tblPrEx>
          <w:tblCellMar>
            <w:top w:w="0" w:type="dxa"/>
            <w:left w:w="108" w:type="dxa"/>
            <w:bottom w:w="0" w:type="dxa"/>
            <w:right w:w="108" w:type="dxa"/>
          </w:tblCellMar>
        </w:tblPrEx>
        <w:trPr>
          <w:trHeight w:val="642" w:hRule="atLeast"/>
        </w:trPr>
        <w:tc>
          <w:tcPr>
            <w:tcW w:w="5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1013"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1013"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745"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998"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647"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r>
      <w:tr>
        <w:trPr>
          <w:trHeight w:val="642" w:hRule="atLeast"/>
        </w:trPr>
        <w:tc>
          <w:tcPr>
            <w:tcW w:w="5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1013"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1013"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745"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998"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647"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r>
      <w:tr>
        <w:tblPrEx>
          <w:tblCellMar>
            <w:top w:w="0" w:type="dxa"/>
            <w:left w:w="108" w:type="dxa"/>
            <w:bottom w:w="0" w:type="dxa"/>
            <w:right w:w="108" w:type="dxa"/>
          </w:tblCellMar>
        </w:tblPrEx>
        <w:trPr>
          <w:trHeight w:val="642" w:hRule="atLeast"/>
        </w:trPr>
        <w:tc>
          <w:tcPr>
            <w:tcW w:w="5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1013"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1013"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745"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998"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647"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r>
      <w:tr>
        <w:tblPrEx>
          <w:tblCellMar>
            <w:top w:w="0" w:type="dxa"/>
            <w:left w:w="108" w:type="dxa"/>
            <w:bottom w:w="0" w:type="dxa"/>
            <w:right w:w="108" w:type="dxa"/>
          </w:tblCellMar>
        </w:tblPrEx>
        <w:trPr>
          <w:trHeight w:val="642" w:hRule="atLeast"/>
        </w:trPr>
        <w:tc>
          <w:tcPr>
            <w:tcW w:w="581"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1013"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1013"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745"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998"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c>
          <w:tcPr>
            <w:tcW w:w="647" w:type="pct"/>
            <w:tcBorders>
              <w:top w:val="single" w:color="000000" w:sz="4" w:space="0"/>
              <w:left w:val="nil"/>
              <w:bottom w:val="single" w:color="000000" w:sz="4" w:space="0"/>
              <w:right w:val="single" w:color="000000" w:sz="4" w:space="0"/>
            </w:tcBorders>
            <w:shd w:val="clear" w:color="auto" w:fill="FFFFFF"/>
            <w:noWrap/>
            <w:vAlign w:val="center"/>
          </w:tcPr>
          <w:p>
            <w:pPr>
              <w:widowControl/>
              <w:shd w:val="clear" w:color="auto" w:fill="auto"/>
              <w:jc w:val="center"/>
              <w:rPr>
                <w:rFonts w:cs="宋体"/>
                <w:color w:val="auto"/>
                <w:kern w:val="0"/>
                <w:sz w:val="22"/>
                <w:szCs w:val="22"/>
                <w:highlight w:val="none"/>
              </w:rPr>
            </w:pPr>
          </w:p>
        </w:tc>
      </w:tr>
    </w:tbl>
    <w:p>
      <w:pPr>
        <w:shd w:val="clear" w:color="auto" w:fill="auto"/>
        <w:spacing w:line="440" w:lineRule="exact"/>
        <w:jc w:val="left"/>
        <w:rPr>
          <w:rFonts w:hint="eastAsia" w:eastAsia="宋体"/>
          <w:b/>
          <w:bCs/>
          <w:color w:val="auto"/>
          <w:sz w:val="24"/>
          <w:highlight w:val="none"/>
          <w:lang w:eastAsia="zh-CN"/>
        </w:rPr>
      </w:pPr>
      <w:r>
        <w:rPr>
          <w:rFonts w:hint="eastAsia"/>
          <w:b/>
          <w:bCs/>
          <w:color w:val="auto"/>
          <w:sz w:val="24"/>
          <w:highlight w:val="none"/>
          <w:lang w:val="en-US" w:eastAsia="zh-CN"/>
        </w:rPr>
        <w:t>注：</w:t>
      </w:r>
      <w:r>
        <w:rPr>
          <w:rFonts w:hint="eastAsia" w:eastAsia="宋体"/>
          <w:b/>
          <w:bCs/>
          <w:color w:val="auto"/>
          <w:sz w:val="24"/>
          <w:highlight w:val="none"/>
          <w:lang w:eastAsia="zh-CN"/>
        </w:rPr>
        <w:t>需提供相关证明资料影印件（发票或设备购买合同等）</w:t>
      </w:r>
    </w:p>
    <w:p>
      <w:pPr>
        <w:shd w:val="clear" w:color="auto" w:fill="auto"/>
        <w:spacing w:line="320" w:lineRule="exact"/>
        <w:ind w:left="420"/>
        <w:rPr>
          <w:rFonts w:hint="eastAsia" w:ascii="宋体" w:hAnsi="宋体"/>
          <w:color w:val="auto"/>
          <w:sz w:val="24"/>
          <w:highlight w:val="none"/>
        </w:rPr>
      </w:pPr>
    </w:p>
    <w:p>
      <w:pPr>
        <w:shd w:val="clear" w:color="auto" w:fill="auto"/>
        <w:spacing w:line="320" w:lineRule="exact"/>
        <w:ind w:left="420"/>
        <w:rPr>
          <w:rFonts w:hint="eastAsia" w:ascii="宋体" w:hAnsi="宋体"/>
          <w:color w:val="auto"/>
          <w:sz w:val="24"/>
          <w:highlight w:val="none"/>
        </w:rPr>
      </w:pPr>
      <w:r>
        <w:rPr>
          <w:rFonts w:hint="eastAsia" w:ascii="宋体" w:hAnsi="宋体"/>
          <w:color w:val="auto"/>
          <w:sz w:val="24"/>
          <w:highlight w:val="none"/>
        </w:rPr>
        <w:t xml:space="preserve">投标人（盖章）：     </w:t>
      </w:r>
    </w:p>
    <w:p>
      <w:pPr>
        <w:shd w:val="clear" w:color="auto" w:fill="auto"/>
        <w:spacing w:line="320" w:lineRule="exact"/>
        <w:ind w:left="420"/>
        <w:rPr>
          <w:rFonts w:hint="eastAsia" w:ascii="宋体" w:hAnsi="宋体"/>
          <w:color w:val="auto"/>
          <w:sz w:val="24"/>
          <w:highlight w:val="none"/>
        </w:rPr>
      </w:pPr>
    </w:p>
    <w:p>
      <w:pPr>
        <w:shd w:val="clear" w:color="auto" w:fill="auto"/>
        <w:spacing w:line="320" w:lineRule="exact"/>
        <w:ind w:left="420"/>
        <w:rPr>
          <w:rFonts w:hint="eastAsia" w:ascii="宋体" w:hAnsi="宋体"/>
          <w:color w:val="auto"/>
          <w:sz w:val="24"/>
          <w:highlight w:val="none"/>
        </w:rPr>
      </w:pPr>
      <w:r>
        <w:rPr>
          <w:rFonts w:hint="eastAsia" w:ascii="宋体" w:hAnsi="宋体"/>
          <w:color w:val="auto"/>
          <w:sz w:val="24"/>
          <w:highlight w:val="none"/>
        </w:rPr>
        <w:t xml:space="preserve">法定代表人（签字或盖章）：                          </w:t>
      </w:r>
    </w:p>
    <w:p>
      <w:pPr>
        <w:shd w:val="clear" w:color="auto" w:fill="auto"/>
        <w:spacing w:line="320" w:lineRule="exact"/>
        <w:ind w:left="420"/>
        <w:rPr>
          <w:rFonts w:hint="eastAsia" w:ascii="宋体" w:hAnsi="宋体"/>
          <w:color w:val="auto"/>
          <w:sz w:val="24"/>
          <w:highlight w:val="none"/>
        </w:rPr>
      </w:pPr>
    </w:p>
    <w:p>
      <w:pPr>
        <w:shd w:val="clear" w:color="auto" w:fill="auto"/>
        <w:spacing w:line="360" w:lineRule="exact"/>
        <w:ind w:firstLine="480" w:firstLineChars="200"/>
        <w:jc w:val="both"/>
        <w:textAlignment w:val="baseline"/>
        <w:rPr>
          <w:color w:val="auto"/>
          <w:sz w:val="24"/>
          <w:highlight w:val="none"/>
        </w:rPr>
      </w:pPr>
      <w:r>
        <w:rPr>
          <w:rFonts w:hint="eastAsia" w:ascii="宋体" w:hAnsi="宋体"/>
          <w:color w:val="auto"/>
          <w:sz w:val="24"/>
          <w:highlight w:val="none"/>
        </w:rPr>
        <w:t>日期：</w:t>
      </w:r>
    </w:p>
    <w:p>
      <w:pPr>
        <w:rPr>
          <w:rFonts w:hint="eastAsia"/>
          <w:color w:val="auto"/>
          <w:highlight w:val="none"/>
        </w:rPr>
        <w:sectPr>
          <w:pgSz w:w="11906" w:h="16838"/>
          <w:pgMar w:top="1440" w:right="1418" w:bottom="1440" w:left="1418" w:header="851" w:footer="851" w:gutter="0"/>
          <w:cols w:space="720" w:num="1"/>
          <w:docGrid w:linePitch="312" w:charSpace="0"/>
        </w:sectPr>
      </w:pPr>
      <w:r>
        <w:rPr>
          <w:rFonts w:hint="eastAsia" w:ascii="宋体" w:hAnsi="宋体" w:cs="宋体"/>
          <w:color w:val="auto"/>
          <w:sz w:val="24"/>
          <w:highlight w:val="none"/>
        </w:rPr>
        <w:br w:type="page"/>
      </w:r>
    </w:p>
    <w:p>
      <w:pPr>
        <w:pStyle w:val="2"/>
        <w:ind w:left="0" w:leftChars="0" w:firstLine="0" w:firstLineChars="0"/>
        <w:rPr>
          <w:color w:val="auto"/>
          <w:highlight w:val="none"/>
        </w:rPr>
      </w:pPr>
    </w:p>
    <w:p>
      <w:pPr>
        <w:snapToGrid w:val="0"/>
        <w:spacing w:before="50" w:after="50" w:line="360" w:lineRule="auto"/>
        <w:rPr>
          <w:rFonts w:hint="default" w:ascii="宋体" w:hAnsi="宋体" w:eastAsia="宋体"/>
          <w:b/>
          <w:color w:val="auto"/>
          <w:sz w:val="28"/>
          <w:highlight w:val="none"/>
          <w:lang w:val="en-US" w:eastAsia="zh-CN"/>
        </w:rPr>
      </w:pPr>
      <w:r>
        <w:rPr>
          <w:rFonts w:hint="eastAsia" w:ascii="宋体" w:hAnsi="宋体"/>
          <w:b/>
          <w:color w:val="auto"/>
          <w:sz w:val="28"/>
          <w:highlight w:val="none"/>
        </w:rPr>
        <w:t>附件</w:t>
      </w:r>
      <w:r>
        <w:rPr>
          <w:rFonts w:hint="eastAsia" w:ascii="宋体" w:hAnsi="宋体"/>
          <w:b/>
          <w:color w:val="auto"/>
          <w:sz w:val="28"/>
          <w:highlight w:val="none"/>
          <w:lang w:val="en-US" w:eastAsia="zh-CN"/>
        </w:rPr>
        <w:t>10</w:t>
      </w:r>
    </w:p>
    <w:p>
      <w:pPr>
        <w:spacing w:line="360" w:lineRule="auto"/>
        <w:ind w:left="480"/>
        <w:jc w:val="center"/>
        <w:rPr>
          <w:rFonts w:ascii="宋体" w:hAnsi="宋体"/>
          <w:b/>
          <w:color w:val="auto"/>
          <w:sz w:val="32"/>
          <w:szCs w:val="32"/>
          <w:highlight w:val="none"/>
        </w:rPr>
      </w:pPr>
      <w:bookmarkStart w:id="55" w:name="_Toc26601_WPSOffice_Level1"/>
      <w:bookmarkStart w:id="56" w:name="_Toc12856_WPSOffice_Level1"/>
      <w:r>
        <w:rPr>
          <w:rFonts w:ascii="宋体" w:hAnsi="宋体"/>
          <w:color w:val="auto"/>
          <w:kern w:val="0"/>
          <w:sz w:val="32"/>
          <w:szCs w:val="32"/>
          <w:highlight w:val="none"/>
        </w:rPr>
        <w:t>技术</w:t>
      </w:r>
      <w:r>
        <w:rPr>
          <w:rFonts w:hint="eastAsia" w:ascii="宋体" w:hAnsi="宋体"/>
          <w:color w:val="auto"/>
          <w:kern w:val="0"/>
          <w:sz w:val="32"/>
          <w:szCs w:val="32"/>
          <w:highlight w:val="none"/>
        </w:rPr>
        <w:t>需求</w:t>
      </w:r>
      <w:r>
        <w:rPr>
          <w:rFonts w:ascii="宋体" w:hAnsi="宋体"/>
          <w:color w:val="auto"/>
          <w:kern w:val="0"/>
          <w:sz w:val="32"/>
          <w:szCs w:val="32"/>
          <w:highlight w:val="none"/>
        </w:rPr>
        <w:t>响应表</w:t>
      </w:r>
      <w:bookmarkEnd w:id="55"/>
      <w:bookmarkEnd w:id="56"/>
    </w:p>
    <w:p>
      <w:pPr>
        <w:spacing w:line="360" w:lineRule="auto"/>
        <w:rPr>
          <w:rFonts w:ascii="宋体" w:hAnsi="宋体"/>
          <w:color w:val="auto"/>
          <w:sz w:val="24"/>
          <w:highlight w:val="none"/>
        </w:rPr>
      </w:pPr>
    </w:p>
    <w:tbl>
      <w:tblPr>
        <w:tblStyle w:val="19"/>
        <w:tblW w:w="8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280"/>
        <w:gridCol w:w="1449"/>
        <w:gridCol w:w="1560"/>
        <w:gridCol w:w="1401"/>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35" w:type="dxa"/>
            <w:vAlign w:val="center"/>
          </w:tcPr>
          <w:p>
            <w:pPr>
              <w:jc w:val="center"/>
              <w:rPr>
                <w:rFonts w:ascii="宋体" w:hAnsi="宋体"/>
                <w:b/>
                <w:color w:val="auto"/>
                <w:sz w:val="24"/>
                <w:highlight w:val="none"/>
              </w:rPr>
            </w:pPr>
            <w:r>
              <w:rPr>
                <w:rFonts w:hint="eastAsia" w:ascii="宋体" w:hAnsi="宋体"/>
                <w:b/>
                <w:color w:val="auto"/>
                <w:sz w:val="24"/>
                <w:highlight w:val="none"/>
              </w:rPr>
              <w:t>序号</w:t>
            </w:r>
          </w:p>
        </w:tc>
        <w:tc>
          <w:tcPr>
            <w:tcW w:w="2280" w:type="dxa"/>
            <w:vAlign w:val="center"/>
          </w:tcPr>
          <w:p>
            <w:pPr>
              <w:jc w:val="center"/>
              <w:rPr>
                <w:rFonts w:ascii="宋体" w:hAnsi="宋体"/>
                <w:b/>
                <w:color w:val="auto"/>
                <w:sz w:val="24"/>
                <w:highlight w:val="none"/>
              </w:rPr>
            </w:pPr>
            <w:r>
              <w:rPr>
                <w:rFonts w:hint="eastAsia" w:ascii="宋体" w:hAnsi="宋体"/>
                <w:b/>
                <w:color w:val="auto"/>
                <w:sz w:val="24"/>
                <w:highlight w:val="none"/>
              </w:rPr>
              <w:t>名称</w:t>
            </w:r>
          </w:p>
        </w:tc>
        <w:tc>
          <w:tcPr>
            <w:tcW w:w="1449" w:type="dxa"/>
            <w:vAlign w:val="center"/>
          </w:tcPr>
          <w:p>
            <w:pPr>
              <w:jc w:val="center"/>
              <w:rPr>
                <w:rFonts w:ascii="宋体" w:hAnsi="宋体"/>
                <w:b/>
                <w:color w:val="auto"/>
                <w:sz w:val="24"/>
                <w:highlight w:val="none"/>
              </w:rPr>
            </w:pPr>
            <w:r>
              <w:rPr>
                <w:rFonts w:hint="eastAsia" w:ascii="宋体" w:hAnsi="宋体"/>
                <w:b/>
                <w:color w:val="auto"/>
                <w:sz w:val="24"/>
                <w:highlight w:val="none"/>
              </w:rPr>
              <w:t>规格型号</w:t>
            </w:r>
          </w:p>
        </w:tc>
        <w:tc>
          <w:tcPr>
            <w:tcW w:w="1560" w:type="dxa"/>
            <w:vAlign w:val="center"/>
          </w:tcPr>
          <w:p>
            <w:pPr>
              <w:jc w:val="center"/>
              <w:rPr>
                <w:rFonts w:ascii="宋体" w:hAnsi="宋体"/>
                <w:b/>
                <w:color w:val="auto"/>
                <w:sz w:val="24"/>
                <w:highlight w:val="none"/>
              </w:rPr>
            </w:pPr>
            <w:r>
              <w:rPr>
                <w:rFonts w:hint="eastAsia" w:ascii="宋体" w:hAnsi="宋体"/>
                <w:b/>
                <w:color w:val="auto"/>
                <w:sz w:val="24"/>
                <w:highlight w:val="none"/>
              </w:rPr>
              <w:t>招标参数</w:t>
            </w:r>
          </w:p>
        </w:tc>
        <w:tc>
          <w:tcPr>
            <w:tcW w:w="1401" w:type="dxa"/>
            <w:vAlign w:val="center"/>
          </w:tcPr>
          <w:p>
            <w:pPr>
              <w:jc w:val="center"/>
              <w:rPr>
                <w:rFonts w:ascii="宋体" w:hAnsi="宋体"/>
                <w:b/>
                <w:color w:val="auto"/>
                <w:sz w:val="24"/>
                <w:highlight w:val="none"/>
              </w:rPr>
            </w:pPr>
            <w:r>
              <w:rPr>
                <w:rFonts w:hint="eastAsia" w:ascii="宋体" w:hAnsi="宋体"/>
                <w:b/>
                <w:color w:val="auto"/>
                <w:sz w:val="24"/>
                <w:highlight w:val="none"/>
              </w:rPr>
              <w:t>投标参数</w:t>
            </w:r>
          </w:p>
        </w:tc>
        <w:tc>
          <w:tcPr>
            <w:tcW w:w="1365" w:type="dxa"/>
            <w:vAlign w:val="center"/>
          </w:tcPr>
          <w:p>
            <w:pPr>
              <w:jc w:val="center"/>
              <w:rPr>
                <w:rFonts w:ascii="宋体" w:hAnsi="宋体"/>
                <w:b/>
                <w:color w:val="auto"/>
                <w:sz w:val="24"/>
                <w:highlight w:val="none"/>
              </w:rPr>
            </w:pPr>
            <w:r>
              <w:rPr>
                <w:rFonts w:hint="eastAsia" w:ascii="宋体" w:hAnsi="宋体"/>
                <w:b/>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vAlign w:val="center"/>
          </w:tcPr>
          <w:p>
            <w:pPr>
              <w:spacing w:line="360" w:lineRule="auto"/>
              <w:rPr>
                <w:rFonts w:ascii="宋体" w:hAnsi="宋体"/>
                <w:color w:val="auto"/>
                <w:sz w:val="24"/>
                <w:highlight w:val="none"/>
              </w:rPr>
            </w:pPr>
          </w:p>
        </w:tc>
        <w:tc>
          <w:tcPr>
            <w:tcW w:w="2280" w:type="dxa"/>
            <w:vAlign w:val="center"/>
          </w:tcPr>
          <w:p>
            <w:pPr>
              <w:spacing w:line="360" w:lineRule="auto"/>
              <w:rPr>
                <w:rFonts w:ascii="宋体" w:hAnsi="宋体"/>
                <w:color w:val="auto"/>
                <w:sz w:val="24"/>
                <w:highlight w:val="none"/>
              </w:rPr>
            </w:pPr>
          </w:p>
        </w:tc>
        <w:tc>
          <w:tcPr>
            <w:tcW w:w="1449" w:type="dxa"/>
            <w:vAlign w:val="center"/>
          </w:tcPr>
          <w:p>
            <w:pPr>
              <w:spacing w:line="360" w:lineRule="auto"/>
              <w:rPr>
                <w:rFonts w:ascii="宋体" w:hAnsi="宋体"/>
                <w:color w:val="auto"/>
                <w:sz w:val="24"/>
                <w:highlight w:val="none"/>
              </w:rPr>
            </w:pPr>
          </w:p>
        </w:tc>
        <w:tc>
          <w:tcPr>
            <w:tcW w:w="1560" w:type="dxa"/>
            <w:vAlign w:val="center"/>
          </w:tcPr>
          <w:p>
            <w:pPr>
              <w:spacing w:line="360" w:lineRule="auto"/>
              <w:rPr>
                <w:rFonts w:ascii="宋体" w:hAnsi="宋体"/>
                <w:color w:val="auto"/>
                <w:sz w:val="24"/>
                <w:highlight w:val="none"/>
              </w:rPr>
            </w:pPr>
          </w:p>
        </w:tc>
        <w:tc>
          <w:tcPr>
            <w:tcW w:w="1401" w:type="dxa"/>
            <w:vAlign w:val="center"/>
          </w:tcPr>
          <w:p>
            <w:pPr>
              <w:spacing w:line="360" w:lineRule="auto"/>
              <w:rPr>
                <w:rFonts w:ascii="宋体" w:hAnsi="宋体"/>
                <w:color w:val="auto"/>
                <w:sz w:val="24"/>
                <w:highlight w:val="none"/>
              </w:rPr>
            </w:pPr>
          </w:p>
        </w:tc>
        <w:tc>
          <w:tcPr>
            <w:tcW w:w="1365" w:type="dxa"/>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vAlign w:val="center"/>
          </w:tcPr>
          <w:p>
            <w:pPr>
              <w:spacing w:line="360" w:lineRule="auto"/>
              <w:rPr>
                <w:rFonts w:ascii="宋体" w:hAnsi="宋体"/>
                <w:color w:val="auto"/>
                <w:sz w:val="24"/>
                <w:highlight w:val="none"/>
              </w:rPr>
            </w:pPr>
          </w:p>
        </w:tc>
        <w:tc>
          <w:tcPr>
            <w:tcW w:w="2280" w:type="dxa"/>
            <w:vAlign w:val="center"/>
          </w:tcPr>
          <w:p>
            <w:pPr>
              <w:spacing w:line="360" w:lineRule="auto"/>
              <w:rPr>
                <w:rFonts w:ascii="宋体" w:hAnsi="宋体"/>
                <w:color w:val="auto"/>
                <w:sz w:val="24"/>
                <w:highlight w:val="none"/>
              </w:rPr>
            </w:pPr>
          </w:p>
        </w:tc>
        <w:tc>
          <w:tcPr>
            <w:tcW w:w="1449" w:type="dxa"/>
            <w:vAlign w:val="center"/>
          </w:tcPr>
          <w:p>
            <w:pPr>
              <w:spacing w:line="360" w:lineRule="auto"/>
              <w:rPr>
                <w:rFonts w:ascii="宋体" w:hAnsi="宋体"/>
                <w:color w:val="auto"/>
                <w:sz w:val="24"/>
                <w:highlight w:val="none"/>
              </w:rPr>
            </w:pPr>
          </w:p>
        </w:tc>
        <w:tc>
          <w:tcPr>
            <w:tcW w:w="1560" w:type="dxa"/>
            <w:vAlign w:val="center"/>
          </w:tcPr>
          <w:p>
            <w:pPr>
              <w:spacing w:line="360" w:lineRule="auto"/>
              <w:rPr>
                <w:rFonts w:ascii="宋体" w:hAnsi="宋体"/>
                <w:color w:val="auto"/>
                <w:sz w:val="24"/>
                <w:highlight w:val="none"/>
              </w:rPr>
            </w:pPr>
          </w:p>
        </w:tc>
        <w:tc>
          <w:tcPr>
            <w:tcW w:w="1401" w:type="dxa"/>
            <w:vAlign w:val="center"/>
          </w:tcPr>
          <w:p>
            <w:pPr>
              <w:spacing w:line="360" w:lineRule="auto"/>
              <w:rPr>
                <w:rFonts w:ascii="宋体" w:hAnsi="宋体"/>
                <w:color w:val="auto"/>
                <w:sz w:val="24"/>
                <w:highlight w:val="none"/>
              </w:rPr>
            </w:pPr>
          </w:p>
        </w:tc>
        <w:tc>
          <w:tcPr>
            <w:tcW w:w="1365" w:type="dxa"/>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vAlign w:val="center"/>
          </w:tcPr>
          <w:p>
            <w:pPr>
              <w:spacing w:line="360" w:lineRule="auto"/>
              <w:rPr>
                <w:rFonts w:ascii="宋体" w:hAnsi="宋体"/>
                <w:color w:val="auto"/>
                <w:sz w:val="24"/>
                <w:highlight w:val="none"/>
              </w:rPr>
            </w:pPr>
          </w:p>
        </w:tc>
        <w:tc>
          <w:tcPr>
            <w:tcW w:w="2280" w:type="dxa"/>
            <w:vAlign w:val="center"/>
          </w:tcPr>
          <w:p>
            <w:pPr>
              <w:spacing w:line="360" w:lineRule="auto"/>
              <w:rPr>
                <w:rFonts w:ascii="宋体" w:hAnsi="宋体"/>
                <w:color w:val="auto"/>
                <w:sz w:val="24"/>
                <w:highlight w:val="none"/>
              </w:rPr>
            </w:pPr>
          </w:p>
        </w:tc>
        <w:tc>
          <w:tcPr>
            <w:tcW w:w="1449" w:type="dxa"/>
            <w:vAlign w:val="center"/>
          </w:tcPr>
          <w:p>
            <w:pPr>
              <w:spacing w:line="360" w:lineRule="auto"/>
              <w:rPr>
                <w:rFonts w:ascii="宋体" w:hAnsi="宋体"/>
                <w:color w:val="auto"/>
                <w:sz w:val="24"/>
                <w:highlight w:val="none"/>
              </w:rPr>
            </w:pPr>
          </w:p>
        </w:tc>
        <w:tc>
          <w:tcPr>
            <w:tcW w:w="1560" w:type="dxa"/>
            <w:vAlign w:val="center"/>
          </w:tcPr>
          <w:p>
            <w:pPr>
              <w:spacing w:line="360" w:lineRule="auto"/>
              <w:rPr>
                <w:rFonts w:ascii="宋体" w:hAnsi="宋体"/>
                <w:color w:val="auto"/>
                <w:sz w:val="24"/>
                <w:highlight w:val="none"/>
              </w:rPr>
            </w:pPr>
          </w:p>
        </w:tc>
        <w:tc>
          <w:tcPr>
            <w:tcW w:w="1401" w:type="dxa"/>
            <w:vAlign w:val="center"/>
          </w:tcPr>
          <w:p>
            <w:pPr>
              <w:spacing w:line="360" w:lineRule="auto"/>
              <w:rPr>
                <w:rFonts w:ascii="宋体" w:hAnsi="宋体"/>
                <w:color w:val="auto"/>
                <w:sz w:val="24"/>
                <w:highlight w:val="none"/>
              </w:rPr>
            </w:pPr>
          </w:p>
        </w:tc>
        <w:tc>
          <w:tcPr>
            <w:tcW w:w="1365" w:type="dxa"/>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vAlign w:val="center"/>
          </w:tcPr>
          <w:p>
            <w:pPr>
              <w:spacing w:line="360" w:lineRule="auto"/>
              <w:rPr>
                <w:rFonts w:ascii="宋体" w:hAnsi="宋体"/>
                <w:color w:val="auto"/>
                <w:sz w:val="24"/>
                <w:highlight w:val="none"/>
              </w:rPr>
            </w:pPr>
          </w:p>
        </w:tc>
        <w:tc>
          <w:tcPr>
            <w:tcW w:w="2280" w:type="dxa"/>
            <w:vAlign w:val="center"/>
          </w:tcPr>
          <w:p>
            <w:pPr>
              <w:spacing w:line="360" w:lineRule="auto"/>
              <w:rPr>
                <w:rFonts w:ascii="宋体" w:hAnsi="宋体"/>
                <w:color w:val="auto"/>
                <w:sz w:val="24"/>
                <w:highlight w:val="none"/>
              </w:rPr>
            </w:pPr>
          </w:p>
        </w:tc>
        <w:tc>
          <w:tcPr>
            <w:tcW w:w="1449" w:type="dxa"/>
            <w:vAlign w:val="center"/>
          </w:tcPr>
          <w:p>
            <w:pPr>
              <w:spacing w:line="360" w:lineRule="auto"/>
              <w:rPr>
                <w:rFonts w:ascii="宋体" w:hAnsi="宋体"/>
                <w:color w:val="auto"/>
                <w:sz w:val="24"/>
                <w:highlight w:val="none"/>
              </w:rPr>
            </w:pPr>
          </w:p>
        </w:tc>
        <w:tc>
          <w:tcPr>
            <w:tcW w:w="1560" w:type="dxa"/>
            <w:vAlign w:val="center"/>
          </w:tcPr>
          <w:p>
            <w:pPr>
              <w:spacing w:line="360" w:lineRule="auto"/>
              <w:rPr>
                <w:rFonts w:ascii="宋体" w:hAnsi="宋体"/>
                <w:color w:val="auto"/>
                <w:sz w:val="24"/>
                <w:highlight w:val="none"/>
              </w:rPr>
            </w:pPr>
          </w:p>
        </w:tc>
        <w:tc>
          <w:tcPr>
            <w:tcW w:w="1401" w:type="dxa"/>
            <w:vAlign w:val="center"/>
          </w:tcPr>
          <w:p>
            <w:pPr>
              <w:spacing w:line="360" w:lineRule="auto"/>
              <w:rPr>
                <w:rFonts w:ascii="宋体" w:hAnsi="宋体"/>
                <w:color w:val="auto"/>
                <w:sz w:val="24"/>
                <w:highlight w:val="none"/>
              </w:rPr>
            </w:pPr>
          </w:p>
        </w:tc>
        <w:tc>
          <w:tcPr>
            <w:tcW w:w="1365" w:type="dxa"/>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35" w:type="dxa"/>
            <w:vAlign w:val="center"/>
          </w:tcPr>
          <w:p>
            <w:pPr>
              <w:spacing w:line="360" w:lineRule="auto"/>
              <w:rPr>
                <w:rFonts w:ascii="宋体" w:hAnsi="宋体"/>
                <w:color w:val="auto"/>
                <w:sz w:val="24"/>
                <w:highlight w:val="none"/>
              </w:rPr>
            </w:pPr>
          </w:p>
        </w:tc>
        <w:tc>
          <w:tcPr>
            <w:tcW w:w="2280" w:type="dxa"/>
            <w:vAlign w:val="center"/>
          </w:tcPr>
          <w:p>
            <w:pPr>
              <w:spacing w:line="360" w:lineRule="auto"/>
              <w:rPr>
                <w:rFonts w:ascii="宋体" w:hAnsi="宋体"/>
                <w:color w:val="auto"/>
                <w:sz w:val="24"/>
                <w:highlight w:val="none"/>
              </w:rPr>
            </w:pPr>
          </w:p>
        </w:tc>
        <w:tc>
          <w:tcPr>
            <w:tcW w:w="1449" w:type="dxa"/>
            <w:vAlign w:val="center"/>
          </w:tcPr>
          <w:p>
            <w:pPr>
              <w:spacing w:line="360" w:lineRule="auto"/>
              <w:rPr>
                <w:rFonts w:ascii="宋体" w:hAnsi="宋体"/>
                <w:color w:val="auto"/>
                <w:sz w:val="24"/>
                <w:highlight w:val="none"/>
              </w:rPr>
            </w:pPr>
          </w:p>
        </w:tc>
        <w:tc>
          <w:tcPr>
            <w:tcW w:w="1560" w:type="dxa"/>
            <w:vAlign w:val="center"/>
          </w:tcPr>
          <w:p>
            <w:pPr>
              <w:spacing w:line="360" w:lineRule="auto"/>
              <w:rPr>
                <w:rFonts w:ascii="宋体" w:hAnsi="宋体"/>
                <w:color w:val="auto"/>
                <w:sz w:val="24"/>
                <w:highlight w:val="none"/>
              </w:rPr>
            </w:pPr>
          </w:p>
        </w:tc>
        <w:tc>
          <w:tcPr>
            <w:tcW w:w="1401" w:type="dxa"/>
            <w:vAlign w:val="center"/>
          </w:tcPr>
          <w:p>
            <w:pPr>
              <w:spacing w:line="360" w:lineRule="auto"/>
              <w:rPr>
                <w:rFonts w:ascii="宋体" w:hAnsi="宋体"/>
                <w:color w:val="auto"/>
                <w:sz w:val="24"/>
                <w:highlight w:val="none"/>
              </w:rPr>
            </w:pPr>
          </w:p>
        </w:tc>
        <w:tc>
          <w:tcPr>
            <w:tcW w:w="1365" w:type="dxa"/>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vAlign w:val="center"/>
          </w:tcPr>
          <w:p>
            <w:pPr>
              <w:spacing w:line="360" w:lineRule="auto"/>
              <w:rPr>
                <w:rFonts w:ascii="宋体" w:hAnsi="宋体"/>
                <w:color w:val="auto"/>
                <w:sz w:val="24"/>
                <w:highlight w:val="none"/>
              </w:rPr>
            </w:pPr>
          </w:p>
        </w:tc>
        <w:tc>
          <w:tcPr>
            <w:tcW w:w="2280" w:type="dxa"/>
            <w:vAlign w:val="center"/>
          </w:tcPr>
          <w:p>
            <w:pPr>
              <w:spacing w:line="360" w:lineRule="auto"/>
              <w:rPr>
                <w:rFonts w:ascii="宋体" w:hAnsi="宋体"/>
                <w:color w:val="auto"/>
                <w:sz w:val="24"/>
                <w:highlight w:val="none"/>
              </w:rPr>
            </w:pPr>
          </w:p>
        </w:tc>
        <w:tc>
          <w:tcPr>
            <w:tcW w:w="1449" w:type="dxa"/>
            <w:vAlign w:val="center"/>
          </w:tcPr>
          <w:p>
            <w:pPr>
              <w:spacing w:line="360" w:lineRule="auto"/>
              <w:rPr>
                <w:rFonts w:ascii="宋体" w:hAnsi="宋体"/>
                <w:color w:val="auto"/>
                <w:sz w:val="24"/>
                <w:highlight w:val="none"/>
              </w:rPr>
            </w:pPr>
          </w:p>
        </w:tc>
        <w:tc>
          <w:tcPr>
            <w:tcW w:w="1560" w:type="dxa"/>
            <w:vAlign w:val="center"/>
          </w:tcPr>
          <w:p>
            <w:pPr>
              <w:spacing w:line="360" w:lineRule="auto"/>
              <w:rPr>
                <w:rFonts w:ascii="宋体" w:hAnsi="宋体"/>
                <w:color w:val="auto"/>
                <w:sz w:val="24"/>
                <w:highlight w:val="none"/>
              </w:rPr>
            </w:pPr>
          </w:p>
        </w:tc>
        <w:tc>
          <w:tcPr>
            <w:tcW w:w="1401" w:type="dxa"/>
            <w:vAlign w:val="center"/>
          </w:tcPr>
          <w:p>
            <w:pPr>
              <w:spacing w:line="360" w:lineRule="auto"/>
              <w:rPr>
                <w:rFonts w:ascii="宋体" w:hAnsi="宋体"/>
                <w:color w:val="auto"/>
                <w:sz w:val="24"/>
                <w:highlight w:val="none"/>
              </w:rPr>
            </w:pPr>
          </w:p>
        </w:tc>
        <w:tc>
          <w:tcPr>
            <w:tcW w:w="1365" w:type="dxa"/>
            <w:vAlign w:val="center"/>
          </w:tcPr>
          <w:p>
            <w:pPr>
              <w:spacing w:line="360" w:lineRule="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vAlign w:val="center"/>
          </w:tcPr>
          <w:p>
            <w:pPr>
              <w:spacing w:line="360" w:lineRule="auto"/>
              <w:rPr>
                <w:rFonts w:ascii="宋体" w:hAnsi="宋体"/>
                <w:color w:val="auto"/>
                <w:sz w:val="24"/>
                <w:highlight w:val="none"/>
              </w:rPr>
            </w:pPr>
          </w:p>
        </w:tc>
        <w:tc>
          <w:tcPr>
            <w:tcW w:w="2280" w:type="dxa"/>
            <w:vAlign w:val="center"/>
          </w:tcPr>
          <w:p>
            <w:pPr>
              <w:spacing w:line="360" w:lineRule="auto"/>
              <w:rPr>
                <w:rFonts w:ascii="宋体" w:hAnsi="宋体"/>
                <w:color w:val="auto"/>
                <w:sz w:val="24"/>
                <w:highlight w:val="none"/>
              </w:rPr>
            </w:pPr>
          </w:p>
        </w:tc>
        <w:tc>
          <w:tcPr>
            <w:tcW w:w="1449" w:type="dxa"/>
            <w:vAlign w:val="center"/>
          </w:tcPr>
          <w:p>
            <w:pPr>
              <w:spacing w:line="360" w:lineRule="auto"/>
              <w:rPr>
                <w:rFonts w:ascii="宋体" w:hAnsi="宋体"/>
                <w:color w:val="auto"/>
                <w:sz w:val="24"/>
                <w:highlight w:val="none"/>
              </w:rPr>
            </w:pPr>
          </w:p>
        </w:tc>
        <w:tc>
          <w:tcPr>
            <w:tcW w:w="1560" w:type="dxa"/>
            <w:vAlign w:val="center"/>
          </w:tcPr>
          <w:p>
            <w:pPr>
              <w:spacing w:line="360" w:lineRule="auto"/>
              <w:rPr>
                <w:rFonts w:ascii="宋体" w:hAnsi="宋体"/>
                <w:color w:val="auto"/>
                <w:sz w:val="24"/>
                <w:highlight w:val="none"/>
              </w:rPr>
            </w:pPr>
          </w:p>
        </w:tc>
        <w:tc>
          <w:tcPr>
            <w:tcW w:w="1401" w:type="dxa"/>
            <w:vAlign w:val="center"/>
          </w:tcPr>
          <w:p>
            <w:pPr>
              <w:spacing w:line="360" w:lineRule="auto"/>
              <w:rPr>
                <w:rFonts w:ascii="宋体" w:hAnsi="宋体"/>
                <w:color w:val="auto"/>
                <w:sz w:val="24"/>
                <w:highlight w:val="none"/>
              </w:rPr>
            </w:pPr>
          </w:p>
        </w:tc>
        <w:tc>
          <w:tcPr>
            <w:tcW w:w="1365" w:type="dxa"/>
            <w:vAlign w:val="center"/>
          </w:tcPr>
          <w:p>
            <w:pPr>
              <w:spacing w:line="360" w:lineRule="auto"/>
              <w:rPr>
                <w:rFonts w:ascii="宋体" w:hAnsi="宋体"/>
                <w:color w:val="auto"/>
                <w:sz w:val="24"/>
                <w:highlight w:val="none"/>
              </w:rPr>
            </w:pPr>
          </w:p>
        </w:tc>
      </w:tr>
    </w:tbl>
    <w:p>
      <w:pPr>
        <w:pStyle w:val="35"/>
        <w:tabs>
          <w:tab w:val="left" w:pos="360"/>
        </w:tabs>
        <w:spacing w:line="360" w:lineRule="auto"/>
        <w:jc w:val="both"/>
        <w:rPr>
          <w:rFonts w:ascii="宋体"/>
          <w:b/>
          <w:color w:val="auto"/>
          <w:szCs w:val="21"/>
          <w:highlight w:val="none"/>
        </w:rPr>
      </w:pPr>
      <w:r>
        <w:rPr>
          <w:rFonts w:hint="eastAsia" w:ascii="宋体"/>
          <w:b/>
          <w:color w:val="auto"/>
          <w:szCs w:val="21"/>
          <w:highlight w:val="none"/>
        </w:rPr>
        <w:t>要求：</w:t>
      </w:r>
    </w:p>
    <w:p>
      <w:pPr>
        <w:pStyle w:val="35"/>
        <w:spacing w:line="360" w:lineRule="auto"/>
        <w:ind w:firstLine="420" w:firstLineChars="200"/>
        <w:jc w:val="both"/>
        <w:rPr>
          <w:rFonts w:ascii="宋体"/>
          <w:color w:val="auto"/>
          <w:szCs w:val="21"/>
          <w:highlight w:val="none"/>
        </w:rPr>
      </w:pPr>
      <w:r>
        <w:rPr>
          <w:rFonts w:hint="eastAsia" w:ascii="宋体"/>
          <w:color w:val="auto"/>
          <w:szCs w:val="21"/>
          <w:highlight w:val="none"/>
        </w:rPr>
        <w:t>1. 本表参照本招标文件第</w:t>
      </w:r>
      <w:r>
        <w:rPr>
          <w:rFonts w:hint="eastAsia" w:ascii="宋体"/>
          <w:color w:val="auto"/>
          <w:szCs w:val="21"/>
          <w:highlight w:val="none"/>
          <w:lang w:eastAsia="zh-CN"/>
        </w:rPr>
        <w:t>三章</w:t>
      </w:r>
      <w:r>
        <w:rPr>
          <w:rFonts w:hint="eastAsia" w:ascii="宋体"/>
          <w:color w:val="auto"/>
          <w:szCs w:val="21"/>
          <w:highlight w:val="none"/>
        </w:rPr>
        <w:t>“招标需求”内“技术需求”填制，投标人应根据投标设备的性能指标、服务指标，对照招标文件要求在“偏离情况”栏注明“正偏离”、“负偏离”或“无偏离”。</w:t>
      </w:r>
    </w:p>
    <w:p>
      <w:pPr>
        <w:pStyle w:val="35"/>
        <w:spacing w:line="360" w:lineRule="auto"/>
        <w:ind w:firstLine="420" w:firstLineChars="200"/>
        <w:jc w:val="both"/>
        <w:rPr>
          <w:rFonts w:ascii="宋体"/>
          <w:color w:val="auto"/>
          <w:szCs w:val="21"/>
          <w:highlight w:val="none"/>
        </w:rPr>
      </w:pPr>
      <w:r>
        <w:rPr>
          <w:rFonts w:hint="eastAsia" w:ascii="宋体"/>
          <w:color w:val="auto"/>
          <w:szCs w:val="21"/>
          <w:highlight w:val="none"/>
          <w:lang w:val="en-US" w:eastAsia="zh-CN"/>
        </w:rPr>
        <w:t>2</w:t>
      </w:r>
      <w:r>
        <w:rPr>
          <w:rFonts w:hint="eastAsia" w:ascii="宋体"/>
          <w:color w:val="auto"/>
          <w:szCs w:val="21"/>
          <w:highlight w:val="none"/>
        </w:rPr>
        <w:t>.对于投标产品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ind w:left="420"/>
        <w:rPr>
          <w:rFonts w:ascii="宋体" w:hAnsi="宋体"/>
          <w:color w:val="auto"/>
          <w:sz w:val="24"/>
          <w:highlight w:val="none"/>
          <w:u w:val="single"/>
        </w:rPr>
      </w:pPr>
      <w:r>
        <w:rPr>
          <w:rFonts w:hint="eastAsia" w:ascii="宋体" w:hAnsi="宋体"/>
          <w:color w:val="auto"/>
          <w:sz w:val="24"/>
          <w:highlight w:val="none"/>
        </w:rPr>
        <w:t>投标人名称（电子印章）：</w:t>
      </w:r>
    </w:p>
    <w:p>
      <w:pPr>
        <w:spacing w:line="360" w:lineRule="auto"/>
        <w:ind w:left="420"/>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投标人代表签字或电子印章：</w:t>
      </w:r>
    </w:p>
    <w:p>
      <w:pPr>
        <w:spacing w:line="360" w:lineRule="auto"/>
        <w:ind w:firstLine="435"/>
        <w:rPr>
          <w:rFonts w:ascii="宋体" w:hAnsi="宋体"/>
          <w:color w:val="auto"/>
          <w:sz w:val="24"/>
          <w:highlight w:val="none"/>
        </w:rPr>
      </w:pPr>
    </w:p>
    <w:p>
      <w:pPr>
        <w:spacing w:line="360" w:lineRule="auto"/>
        <w:ind w:firstLine="435"/>
        <w:rPr>
          <w:rFonts w:ascii="宋体" w:hAnsi="宋体"/>
          <w:color w:val="auto"/>
          <w:sz w:val="24"/>
          <w:highlight w:val="none"/>
          <w:u w:val="single"/>
        </w:rPr>
      </w:pPr>
      <w:r>
        <w:rPr>
          <w:rFonts w:hint="eastAsia" w:ascii="宋体" w:hAnsi="宋体"/>
          <w:color w:val="auto"/>
          <w:sz w:val="24"/>
          <w:highlight w:val="none"/>
        </w:rPr>
        <w:t>职        务：</w:t>
      </w:r>
    </w:p>
    <w:p>
      <w:pPr>
        <w:spacing w:line="360" w:lineRule="auto"/>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日        期：</w:t>
      </w:r>
      <w:r>
        <w:rPr>
          <w:rFonts w:hint="eastAsia" w:ascii="宋体" w:hAnsi="宋体"/>
          <w:color w:val="auto"/>
          <w:sz w:val="24"/>
          <w:highlight w:val="none"/>
        </w:rPr>
        <w:br w:type="page"/>
      </w:r>
    </w:p>
    <w:p>
      <w:pPr>
        <w:pStyle w:val="33"/>
        <w:tabs>
          <w:tab w:val="left" w:pos="1050"/>
        </w:tabs>
        <w:spacing w:line="360" w:lineRule="auto"/>
        <w:rPr>
          <w:rFonts w:hint="eastAsia" w:ascii="仿宋_GB2312" w:hAnsi="宋体" w:eastAsia="宋体"/>
          <w:color w:val="auto"/>
          <w:sz w:val="24"/>
          <w:highlight w:val="none"/>
          <w:lang w:eastAsia="zh-CN"/>
        </w:rPr>
      </w:pPr>
      <w:r>
        <w:rPr>
          <w:rFonts w:hint="eastAsia" w:ascii="宋体" w:hAnsi="宋体"/>
          <w:b/>
          <w:color w:val="auto"/>
          <w:sz w:val="28"/>
          <w:highlight w:val="none"/>
        </w:rPr>
        <w:t>附件1</w:t>
      </w:r>
      <w:r>
        <w:rPr>
          <w:rFonts w:hint="eastAsia" w:ascii="宋体" w:hAnsi="宋体"/>
          <w:b/>
          <w:color w:val="auto"/>
          <w:sz w:val="28"/>
          <w:highlight w:val="none"/>
          <w:lang w:val="en-US" w:eastAsia="zh-CN"/>
        </w:rPr>
        <w:t>1</w:t>
      </w:r>
    </w:p>
    <w:p>
      <w:pPr>
        <w:spacing w:line="360" w:lineRule="auto"/>
        <w:ind w:left="549" w:hanging="549" w:hangingChars="171"/>
        <w:jc w:val="center"/>
        <w:rPr>
          <w:rFonts w:ascii="宋体" w:hAnsi="宋体"/>
          <w:b/>
          <w:color w:val="auto"/>
          <w:sz w:val="32"/>
          <w:szCs w:val="32"/>
          <w:highlight w:val="none"/>
        </w:rPr>
      </w:pPr>
      <w:bookmarkStart w:id="57" w:name="_Toc21582_WPSOffice_Level1"/>
      <w:bookmarkStart w:id="58" w:name="_Toc3068_WPSOffice_Level1"/>
      <w:r>
        <w:rPr>
          <w:rFonts w:hint="eastAsia" w:ascii="宋体" w:hAnsi="宋体"/>
          <w:b/>
          <w:color w:val="auto"/>
          <w:sz w:val="32"/>
          <w:szCs w:val="32"/>
          <w:highlight w:val="none"/>
        </w:rPr>
        <w:t>商务需求响应表</w:t>
      </w:r>
      <w:bookmarkEnd w:id="57"/>
      <w:bookmarkEnd w:id="58"/>
    </w:p>
    <w:p>
      <w:pPr>
        <w:spacing w:line="360" w:lineRule="auto"/>
        <w:ind w:left="481" w:leftChars="229" w:firstLine="813" w:firstLineChars="450"/>
        <w:rPr>
          <w:rFonts w:ascii="宋体" w:hAnsi="宋体"/>
          <w:b/>
          <w:color w:val="auto"/>
          <w:sz w:val="18"/>
          <w:szCs w:val="18"/>
          <w:highlight w:val="none"/>
        </w:rPr>
      </w:pPr>
    </w:p>
    <w:tbl>
      <w:tblPr>
        <w:tblStyle w:val="19"/>
        <w:tblW w:w="82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trPr>
        <w:tc>
          <w:tcPr>
            <w:tcW w:w="735" w:type="dxa"/>
            <w:vAlign w:val="center"/>
          </w:tcPr>
          <w:p>
            <w:pPr>
              <w:rPr>
                <w:rFonts w:ascii="宋体" w:hAnsi="宋体"/>
                <w:b/>
                <w:color w:val="auto"/>
                <w:sz w:val="24"/>
                <w:highlight w:val="none"/>
              </w:rPr>
            </w:pPr>
            <w:r>
              <w:rPr>
                <w:rFonts w:hint="eastAsia" w:ascii="宋体" w:hAnsi="宋体"/>
                <w:b/>
                <w:color w:val="auto"/>
                <w:sz w:val="24"/>
                <w:highlight w:val="none"/>
              </w:rPr>
              <w:t>序号</w:t>
            </w:r>
          </w:p>
        </w:tc>
        <w:tc>
          <w:tcPr>
            <w:tcW w:w="1785" w:type="dxa"/>
            <w:vAlign w:val="center"/>
          </w:tcPr>
          <w:p>
            <w:pPr>
              <w:rPr>
                <w:rFonts w:ascii="宋体" w:hAnsi="宋体"/>
                <w:b/>
                <w:color w:val="auto"/>
                <w:sz w:val="24"/>
                <w:highlight w:val="none"/>
              </w:rPr>
            </w:pPr>
            <w:r>
              <w:rPr>
                <w:rFonts w:hint="eastAsia" w:ascii="宋体" w:hAnsi="宋体"/>
                <w:b/>
                <w:color w:val="auto"/>
                <w:sz w:val="24"/>
                <w:highlight w:val="none"/>
              </w:rPr>
              <w:t xml:space="preserve">   内容</w:t>
            </w:r>
          </w:p>
        </w:tc>
        <w:tc>
          <w:tcPr>
            <w:tcW w:w="1785" w:type="dxa"/>
            <w:vAlign w:val="center"/>
          </w:tcPr>
          <w:p>
            <w:pPr>
              <w:ind w:left="53" w:leftChars="25" w:firstLine="241" w:firstLineChars="100"/>
              <w:rPr>
                <w:rFonts w:ascii="宋体" w:hAnsi="宋体"/>
                <w:b/>
                <w:color w:val="auto"/>
                <w:sz w:val="24"/>
                <w:highlight w:val="none"/>
              </w:rPr>
            </w:pPr>
            <w:r>
              <w:rPr>
                <w:rFonts w:hint="eastAsia" w:ascii="宋体" w:hAnsi="宋体"/>
                <w:b/>
                <w:color w:val="auto"/>
                <w:sz w:val="24"/>
                <w:highlight w:val="none"/>
              </w:rPr>
              <w:t>招标需求</w:t>
            </w:r>
          </w:p>
        </w:tc>
        <w:tc>
          <w:tcPr>
            <w:tcW w:w="1365" w:type="dxa"/>
            <w:vAlign w:val="center"/>
          </w:tcPr>
          <w:p>
            <w:pPr>
              <w:ind w:left="152"/>
              <w:rPr>
                <w:rFonts w:ascii="宋体" w:hAnsi="宋体"/>
                <w:b/>
                <w:color w:val="auto"/>
                <w:sz w:val="24"/>
                <w:highlight w:val="none"/>
              </w:rPr>
            </w:pPr>
            <w:r>
              <w:rPr>
                <w:rFonts w:hint="eastAsia" w:ascii="宋体" w:hAnsi="宋体"/>
                <w:b/>
                <w:color w:val="auto"/>
                <w:sz w:val="24"/>
                <w:highlight w:val="none"/>
              </w:rPr>
              <w:t>是否响应</w:t>
            </w:r>
          </w:p>
        </w:tc>
        <w:tc>
          <w:tcPr>
            <w:tcW w:w="2625" w:type="dxa"/>
            <w:vAlign w:val="center"/>
          </w:tcPr>
          <w:p>
            <w:pPr>
              <w:jc w:val="center"/>
              <w:rPr>
                <w:rFonts w:ascii="宋体" w:hAnsi="宋体"/>
                <w:b/>
                <w:color w:val="auto"/>
                <w:sz w:val="24"/>
                <w:highlight w:val="none"/>
              </w:rPr>
            </w:pPr>
            <w:r>
              <w:rPr>
                <w:rFonts w:hint="eastAsia" w:ascii="宋体" w:hAnsi="宋体"/>
                <w:b/>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vAlign w:val="center"/>
          </w:tcPr>
          <w:p>
            <w:pPr>
              <w:rPr>
                <w:rFonts w:ascii="宋体" w:hAnsi="宋体"/>
                <w:color w:val="auto"/>
                <w:sz w:val="24"/>
                <w:highlight w:val="none"/>
              </w:rPr>
            </w:pPr>
          </w:p>
        </w:tc>
        <w:tc>
          <w:tcPr>
            <w:tcW w:w="1785" w:type="dxa"/>
          </w:tcPr>
          <w:p>
            <w:pPr>
              <w:snapToGrid w:val="0"/>
              <w:rPr>
                <w:rFonts w:ascii="宋体" w:hAnsi="宋体"/>
                <w:color w:val="auto"/>
                <w:sz w:val="24"/>
                <w:highlight w:val="none"/>
              </w:rPr>
            </w:pPr>
            <w:r>
              <w:rPr>
                <w:rFonts w:hint="eastAsia" w:ascii="宋体" w:hAnsi="宋体"/>
                <w:color w:val="auto"/>
                <w:sz w:val="24"/>
                <w:highlight w:val="none"/>
              </w:rPr>
              <w:t>……</w:t>
            </w:r>
          </w:p>
        </w:tc>
        <w:tc>
          <w:tcPr>
            <w:tcW w:w="1785" w:type="dxa"/>
            <w:vAlign w:val="center"/>
          </w:tcPr>
          <w:p>
            <w:pPr>
              <w:rPr>
                <w:rFonts w:ascii="宋体" w:hAnsi="宋体"/>
                <w:color w:val="auto"/>
                <w:sz w:val="24"/>
                <w:highlight w:val="none"/>
              </w:rPr>
            </w:pPr>
          </w:p>
        </w:tc>
        <w:tc>
          <w:tcPr>
            <w:tcW w:w="1365" w:type="dxa"/>
            <w:vAlign w:val="center"/>
          </w:tcPr>
          <w:p>
            <w:pPr>
              <w:rPr>
                <w:rFonts w:ascii="宋体" w:hAnsi="宋体"/>
                <w:color w:val="auto"/>
                <w:sz w:val="24"/>
                <w:highlight w:val="none"/>
              </w:rPr>
            </w:pPr>
          </w:p>
        </w:tc>
        <w:tc>
          <w:tcPr>
            <w:tcW w:w="2625" w:type="dxa"/>
            <w:vAlign w:val="center"/>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vAlign w:val="center"/>
          </w:tcPr>
          <w:p>
            <w:pPr>
              <w:rPr>
                <w:rFonts w:ascii="宋体" w:hAnsi="宋体"/>
                <w:color w:val="auto"/>
                <w:sz w:val="24"/>
                <w:highlight w:val="none"/>
              </w:rPr>
            </w:pPr>
          </w:p>
        </w:tc>
        <w:tc>
          <w:tcPr>
            <w:tcW w:w="1785" w:type="dxa"/>
          </w:tcPr>
          <w:p>
            <w:pPr>
              <w:snapToGrid w:val="0"/>
              <w:rPr>
                <w:rFonts w:ascii="宋体" w:hAnsi="宋体"/>
                <w:color w:val="auto"/>
                <w:sz w:val="24"/>
                <w:highlight w:val="none"/>
              </w:rPr>
            </w:pPr>
          </w:p>
        </w:tc>
        <w:tc>
          <w:tcPr>
            <w:tcW w:w="1785" w:type="dxa"/>
            <w:vAlign w:val="center"/>
          </w:tcPr>
          <w:p>
            <w:pPr>
              <w:rPr>
                <w:rFonts w:ascii="宋体" w:hAnsi="宋体"/>
                <w:color w:val="auto"/>
                <w:sz w:val="24"/>
                <w:highlight w:val="none"/>
              </w:rPr>
            </w:pPr>
          </w:p>
        </w:tc>
        <w:tc>
          <w:tcPr>
            <w:tcW w:w="1365" w:type="dxa"/>
            <w:vAlign w:val="center"/>
          </w:tcPr>
          <w:p>
            <w:pPr>
              <w:rPr>
                <w:rFonts w:ascii="宋体" w:hAnsi="宋体"/>
                <w:color w:val="auto"/>
                <w:sz w:val="24"/>
                <w:highlight w:val="none"/>
              </w:rPr>
            </w:pPr>
          </w:p>
        </w:tc>
        <w:tc>
          <w:tcPr>
            <w:tcW w:w="2625" w:type="dxa"/>
            <w:vAlign w:val="center"/>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olor w:val="auto"/>
                <w:sz w:val="24"/>
                <w:highlight w:val="none"/>
              </w:rPr>
            </w:pPr>
          </w:p>
        </w:tc>
        <w:tc>
          <w:tcPr>
            <w:tcW w:w="1785" w:type="dxa"/>
          </w:tcPr>
          <w:p>
            <w:pPr>
              <w:snapToGrid w:val="0"/>
              <w:rPr>
                <w:rFonts w:ascii="宋体" w:hAnsi="宋体"/>
                <w:color w:val="auto"/>
                <w:sz w:val="24"/>
                <w:highlight w:val="none"/>
              </w:rPr>
            </w:pPr>
          </w:p>
        </w:tc>
        <w:tc>
          <w:tcPr>
            <w:tcW w:w="1785" w:type="dxa"/>
            <w:vAlign w:val="center"/>
          </w:tcPr>
          <w:p>
            <w:pPr>
              <w:rPr>
                <w:rFonts w:ascii="宋体" w:hAnsi="宋体"/>
                <w:color w:val="auto"/>
                <w:sz w:val="24"/>
                <w:highlight w:val="none"/>
              </w:rPr>
            </w:pPr>
          </w:p>
        </w:tc>
        <w:tc>
          <w:tcPr>
            <w:tcW w:w="1365" w:type="dxa"/>
            <w:vAlign w:val="center"/>
          </w:tcPr>
          <w:p>
            <w:pPr>
              <w:rPr>
                <w:rFonts w:ascii="宋体" w:hAnsi="宋体"/>
                <w:color w:val="auto"/>
                <w:sz w:val="24"/>
                <w:highlight w:val="none"/>
              </w:rPr>
            </w:pPr>
          </w:p>
        </w:tc>
        <w:tc>
          <w:tcPr>
            <w:tcW w:w="2625" w:type="dxa"/>
            <w:vAlign w:val="center"/>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olor w:val="auto"/>
                <w:sz w:val="24"/>
                <w:highlight w:val="none"/>
              </w:rPr>
            </w:pPr>
          </w:p>
        </w:tc>
        <w:tc>
          <w:tcPr>
            <w:tcW w:w="1785" w:type="dxa"/>
          </w:tcPr>
          <w:p>
            <w:pPr>
              <w:snapToGrid w:val="0"/>
              <w:rPr>
                <w:rFonts w:ascii="宋体" w:hAnsi="宋体"/>
                <w:color w:val="auto"/>
                <w:sz w:val="24"/>
                <w:highlight w:val="none"/>
              </w:rPr>
            </w:pPr>
          </w:p>
        </w:tc>
        <w:tc>
          <w:tcPr>
            <w:tcW w:w="1785" w:type="dxa"/>
            <w:vAlign w:val="center"/>
          </w:tcPr>
          <w:p>
            <w:pPr>
              <w:rPr>
                <w:rFonts w:ascii="宋体" w:hAnsi="宋体"/>
                <w:color w:val="auto"/>
                <w:sz w:val="24"/>
                <w:highlight w:val="none"/>
              </w:rPr>
            </w:pPr>
          </w:p>
        </w:tc>
        <w:tc>
          <w:tcPr>
            <w:tcW w:w="1365" w:type="dxa"/>
            <w:vAlign w:val="center"/>
          </w:tcPr>
          <w:p>
            <w:pPr>
              <w:rPr>
                <w:rFonts w:ascii="宋体" w:hAnsi="宋体"/>
                <w:color w:val="auto"/>
                <w:sz w:val="24"/>
                <w:highlight w:val="none"/>
              </w:rPr>
            </w:pPr>
          </w:p>
        </w:tc>
        <w:tc>
          <w:tcPr>
            <w:tcW w:w="2625" w:type="dxa"/>
            <w:vAlign w:val="center"/>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olor w:val="auto"/>
                <w:sz w:val="24"/>
                <w:highlight w:val="none"/>
              </w:rPr>
            </w:pPr>
          </w:p>
        </w:tc>
        <w:tc>
          <w:tcPr>
            <w:tcW w:w="1785" w:type="dxa"/>
          </w:tcPr>
          <w:p>
            <w:pPr>
              <w:snapToGrid w:val="0"/>
              <w:rPr>
                <w:rFonts w:ascii="宋体" w:hAnsi="宋体"/>
                <w:color w:val="auto"/>
                <w:sz w:val="24"/>
                <w:highlight w:val="none"/>
              </w:rPr>
            </w:pPr>
          </w:p>
        </w:tc>
        <w:tc>
          <w:tcPr>
            <w:tcW w:w="1785" w:type="dxa"/>
            <w:vAlign w:val="center"/>
          </w:tcPr>
          <w:p>
            <w:pPr>
              <w:rPr>
                <w:rFonts w:ascii="宋体" w:hAnsi="宋体"/>
                <w:color w:val="auto"/>
                <w:sz w:val="24"/>
                <w:highlight w:val="none"/>
              </w:rPr>
            </w:pPr>
          </w:p>
        </w:tc>
        <w:tc>
          <w:tcPr>
            <w:tcW w:w="1365" w:type="dxa"/>
            <w:vAlign w:val="center"/>
          </w:tcPr>
          <w:p>
            <w:pPr>
              <w:rPr>
                <w:rFonts w:ascii="宋体" w:hAnsi="宋体"/>
                <w:color w:val="auto"/>
                <w:sz w:val="24"/>
                <w:highlight w:val="none"/>
              </w:rPr>
            </w:pPr>
          </w:p>
        </w:tc>
        <w:tc>
          <w:tcPr>
            <w:tcW w:w="2625" w:type="dxa"/>
            <w:vAlign w:val="center"/>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vAlign w:val="center"/>
          </w:tcPr>
          <w:p>
            <w:pPr>
              <w:rPr>
                <w:rFonts w:ascii="宋体" w:hAnsi="宋体"/>
                <w:color w:val="auto"/>
                <w:sz w:val="24"/>
                <w:highlight w:val="none"/>
              </w:rPr>
            </w:pPr>
          </w:p>
        </w:tc>
        <w:tc>
          <w:tcPr>
            <w:tcW w:w="1785" w:type="dxa"/>
          </w:tcPr>
          <w:p>
            <w:pPr>
              <w:snapToGrid w:val="0"/>
              <w:rPr>
                <w:rFonts w:ascii="宋体" w:hAnsi="宋体"/>
                <w:color w:val="auto"/>
                <w:sz w:val="24"/>
                <w:highlight w:val="none"/>
              </w:rPr>
            </w:pPr>
          </w:p>
        </w:tc>
        <w:tc>
          <w:tcPr>
            <w:tcW w:w="1785" w:type="dxa"/>
            <w:vAlign w:val="center"/>
          </w:tcPr>
          <w:p>
            <w:pPr>
              <w:rPr>
                <w:rFonts w:ascii="宋体" w:hAnsi="宋体"/>
                <w:color w:val="auto"/>
                <w:sz w:val="24"/>
                <w:highlight w:val="none"/>
              </w:rPr>
            </w:pPr>
          </w:p>
        </w:tc>
        <w:tc>
          <w:tcPr>
            <w:tcW w:w="1365" w:type="dxa"/>
            <w:vAlign w:val="center"/>
          </w:tcPr>
          <w:p>
            <w:pPr>
              <w:rPr>
                <w:rFonts w:ascii="宋体" w:hAnsi="宋体"/>
                <w:color w:val="auto"/>
                <w:sz w:val="24"/>
                <w:highlight w:val="none"/>
              </w:rPr>
            </w:pPr>
          </w:p>
        </w:tc>
        <w:tc>
          <w:tcPr>
            <w:tcW w:w="2625" w:type="dxa"/>
            <w:vAlign w:val="center"/>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trPr>
        <w:tc>
          <w:tcPr>
            <w:tcW w:w="735" w:type="dxa"/>
            <w:vAlign w:val="center"/>
          </w:tcPr>
          <w:p>
            <w:pPr>
              <w:rPr>
                <w:rFonts w:ascii="宋体" w:hAnsi="宋体"/>
                <w:color w:val="auto"/>
                <w:sz w:val="24"/>
                <w:highlight w:val="none"/>
              </w:rPr>
            </w:pPr>
          </w:p>
        </w:tc>
        <w:tc>
          <w:tcPr>
            <w:tcW w:w="1785" w:type="dxa"/>
          </w:tcPr>
          <w:p>
            <w:pPr>
              <w:snapToGrid w:val="0"/>
              <w:rPr>
                <w:rFonts w:ascii="宋体" w:hAnsi="宋体"/>
                <w:color w:val="auto"/>
                <w:sz w:val="24"/>
                <w:highlight w:val="none"/>
              </w:rPr>
            </w:pPr>
          </w:p>
        </w:tc>
        <w:tc>
          <w:tcPr>
            <w:tcW w:w="1785" w:type="dxa"/>
            <w:vAlign w:val="center"/>
          </w:tcPr>
          <w:p>
            <w:pPr>
              <w:rPr>
                <w:rFonts w:ascii="宋体" w:hAnsi="宋体"/>
                <w:color w:val="auto"/>
                <w:sz w:val="24"/>
                <w:highlight w:val="none"/>
              </w:rPr>
            </w:pPr>
          </w:p>
        </w:tc>
        <w:tc>
          <w:tcPr>
            <w:tcW w:w="1365" w:type="dxa"/>
            <w:vAlign w:val="center"/>
          </w:tcPr>
          <w:p>
            <w:pPr>
              <w:rPr>
                <w:rFonts w:ascii="宋体" w:hAnsi="宋体"/>
                <w:color w:val="auto"/>
                <w:sz w:val="24"/>
                <w:highlight w:val="none"/>
              </w:rPr>
            </w:pPr>
          </w:p>
        </w:tc>
        <w:tc>
          <w:tcPr>
            <w:tcW w:w="2625" w:type="dxa"/>
            <w:vAlign w:val="center"/>
          </w:tcPr>
          <w:p>
            <w:pP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5" w:type="dxa"/>
            <w:vAlign w:val="center"/>
          </w:tcPr>
          <w:p>
            <w:pPr>
              <w:rPr>
                <w:rFonts w:ascii="宋体" w:hAnsi="宋体"/>
                <w:color w:val="auto"/>
                <w:sz w:val="24"/>
                <w:highlight w:val="none"/>
              </w:rPr>
            </w:pPr>
          </w:p>
        </w:tc>
        <w:tc>
          <w:tcPr>
            <w:tcW w:w="1785" w:type="dxa"/>
          </w:tcPr>
          <w:p>
            <w:pPr>
              <w:snapToGrid w:val="0"/>
              <w:rPr>
                <w:rFonts w:ascii="宋体" w:hAnsi="宋体"/>
                <w:color w:val="auto"/>
                <w:sz w:val="24"/>
                <w:highlight w:val="none"/>
              </w:rPr>
            </w:pPr>
          </w:p>
        </w:tc>
        <w:tc>
          <w:tcPr>
            <w:tcW w:w="1785" w:type="dxa"/>
            <w:vAlign w:val="center"/>
          </w:tcPr>
          <w:p>
            <w:pPr>
              <w:rPr>
                <w:rFonts w:ascii="宋体" w:hAnsi="宋体"/>
                <w:color w:val="auto"/>
                <w:sz w:val="24"/>
                <w:highlight w:val="none"/>
              </w:rPr>
            </w:pPr>
          </w:p>
        </w:tc>
        <w:tc>
          <w:tcPr>
            <w:tcW w:w="1365" w:type="dxa"/>
            <w:vAlign w:val="center"/>
          </w:tcPr>
          <w:p>
            <w:pPr>
              <w:rPr>
                <w:rFonts w:ascii="宋体" w:hAnsi="宋体"/>
                <w:color w:val="auto"/>
                <w:sz w:val="24"/>
                <w:highlight w:val="none"/>
              </w:rPr>
            </w:pPr>
          </w:p>
        </w:tc>
        <w:tc>
          <w:tcPr>
            <w:tcW w:w="2625" w:type="dxa"/>
            <w:vAlign w:val="center"/>
          </w:tcPr>
          <w:p>
            <w:pPr>
              <w:rPr>
                <w:rFonts w:ascii="宋体" w:hAnsi="宋体"/>
                <w:color w:val="auto"/>
                <w:sz w:val="24"/>
                <w:highlight w:val="none"/>
              </w:rPr>
            </w:pPr>
          </w:p>
        </w:tc>
      </w:tr>
    </w:tbl>
    <w:p>
      <w:pPr>
        <w:spacing w:line="360" w:lineRule="auto"/>
        <w:rPr>
          <w:rFonts w:ascii="宋体" w:hAnsi="宋体"/>
          <w:color w:val="auto"/>
          <w:sz w:val="24"/>
          <w:highlight w:val="none"/>
        </w:rPr>
      </w:pPr>
    </w:p>
    <w:p>
      <w:pPr>
        <w:spacing w:line="360" w:lineRule="auto"/>
        <w:ind w:left="420"/>
        <w:rPr>
          <w:rFonts w:ascii="宋体" w:hAnsi="宋体"/>
          <w:color w:val="auto"/>
          <w:sz w:val="24"/>
          <w:highlight w:val="none"/>
          <w:u w:val="single"/>
        </w:rPr>
      </w:pPr>
      <w:r>
        <w:rPr>
          <w:rFonts w:hint="eastAsia" w:ascii="宋体" w:hAnsi="宋体"/>
          <w:color w:val="auto"/>
          <w:sz w:val="24"/>
          <w:highlight w:val="none"/>
        </w:rPr>
        <w:t>投标人名称（电子印章）：</w:t>
      </w:r>
    </w:p>
    <w:p>
      <w:pPr>
        <w:spacing w:line="360" w:lineRule="auto"/>
        <w:ind w:left="420"/>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投标人代表签字或电子印章：</w:t>
      </w:r>
    </w:p>
    <w:p>
      <w:pPr>
        <w:spacing w:line="360" w:lineRule="auto"/>
        <w:ind w:firstLine="435"/>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职        务：</w:t>
      </w:r>
    </w:p>
    <w:p>
      <w:pPr>
        <w:spacing w:line="360" w:lineRule="auto"/>
        <w:ind w:firstLine="435"/>
        <w:rPr>
          <w:rFonts w:ascii="宋体" w:hAnsi="宋体"/>
          <w:color w:val="auto"/>
          <w:sz w:val="24"/>
          <w:highlight w:val="none"/>
        </w:rPr>
      </w:pPr>
    </w:p>
    <w:p>
      <w:pPr>
        <w:spacing w:line="360" w:lineRule="auto"/>
        <w:ind w:firstLine="435"/>
        <w:rPr>
          <w:rFonts w:ascii="宋体" w:hAnsi="宋体"/>
          <w:color w:val="auto"/>
          <w:sz w:val="24"/>
          <w:highlight w:val="none"/>
          <w:u w:val="single"/>
        </w:rPr>
      </w:pPr>
      <w:r>
        <w:rPr>
          <w:rFonts w:hint="eastAsia" w:ascii="宋体" w:hAnsi="宋体"/>
          <w:color w:val="auto"/>
          <w:sz w:val="24"/>
          <w:highlight w:val="none"/>
        </w:rPr>
        <w:t>日        期：</w:t>
      </w:r>
    </w:p>
    <w:p>
      <w:pPr>
        <w:pStyle w:val="2"/>
        <w:rPr>
          <w:color w:val="auto"/>
          <w:highlight w:val="none"/>
        </w:rPr>
      </w:pPr>
    </w:p>
    <w:p>
      <w:pPr>
        <w:rPr>
          <w:rFonts w:hint="eastAsia" w:ascii="宋体" w:hAnsi="宋体"/>
          <w:b/>
          <w:color w:val="auto"/>
          <w:sz w:val="28"/>
          <w:highlight w:val="none"/>
        </w:rPr>
      </w:pPr>
      <w:r>
        <w:rPr>
          <w:rFonts w:hint="eastAsia" w:ascii="宋体" w:hAnsi="宋体"/>
          <w:b/>
          <w:color w:val="auto"/>
          <w:sz w:val="28"/>
          <w:highlight w:val="none"/>
        </w:rPr>
        <w:br w:type="page"/>
      </w:r>
    </w:p>
    <w:p>
      <w:pPr>
        <w:pStyle w:val="36"/>
        <w:spacing w:line="360" w:lineRule="auto"/>
        <w:jc w:val="left"/>
        <w:rPr>
          <w:rFonts w:hint="eastAsia" w:ascii="宋体" w:hAnsi="宋体" w:eastAsia="宋体"/>
          <w:b/>
          <w:color w:val="auto"/>
          <w:sz w:val="28"/>
          <w:highlight w:val="none"/>
          <w:lang w:eastAsia="zh-CN"/>
        </w:rPr>
      </w:pPr>
      <w:r>
        <w:rPr>
          <w:rFonts w:hint="eastAsia" w:ascii="宋体" w:hAnsi="宋体"/>
          <w:b/>
          <w:color w:val="auto"/>
          <w:sz w:val="28"/>
          <w:highlight w:val="none"/>
        </w:rPr>
        <w:t>附件1</w:t>
      </w:r>
      <w:r>
        <w:rPr>
          <w:rFonts w:hint="eastAsia" w:ascii="宋体" w:hAnsi="宋体"/>
          <w:b/>
          <w:color w:val="auto"/>
          <w:sz w:val="28"/>
          <w:highlight w:val="none"/>
          <w:lang w:val="en-US" w:eastAsia="zh-CN"/>
        </w:rPr>
        <w:t>2</w:t>
      </w:r>
    </w:p>
    <w:p>
      <w:pPr>
        <w:pStyle w:val="33"/>
        <w:spacing w:line="360" w:lineRule="auto"/>
        <w:jc w:val="center"/>
        <w:rPr>
          <w:rFonts w:ascii="宋体" w:hAnsi="宋体"/>
          <w:b/>
          <w:color w:val="auto"/>
          <w:sz w:val="32"/>
          <w:szCs w:val="32"/>
          <w:highlight w:val="none"/>
        </w:rPr>
      </w:pPr>
      <w:bookmarkStart w:id="59" w:name="_Toc17604_WPSOffice_Level1"/>
      <w:bookmarkStart w:id="60" w:name="_Toc11030_WPSOffice_Level1"/>
      <w:r>
        <w:rPr>
          <w:rFonts w:hint="eastAsia" w:ascii="宋体" w:hAnsi="宋体"/>
          <w:b/>
          <w:color w:val="auto"/>
          <w:sz w:val="32"/>
          <w:szCs w:val="32"/>
          <w:highlight w:val="none"/>
        </w:rPr>
        <w:t>证书一览表</w:t>
      </w:r>
      <w:bookmarkEnd w:id="59"/>
      <w:bookmarkEnd w:id="60"/>
    </w:p>
    <w:tbl>
      <w:tblPr>
        <w:tblStyle w:val="19"/>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7" w:type="dxa"/>
            <w:tcBorders>
              <w:top w:val="single" w:color="auto" w:sz="4" w:space="0"/>
              <w:left w:val="single" w:color="auto" w:sz="4" w:space="0"/>
              <w:bottom w:val="single" w:color="auto" w:sz="4" w:space="0"/>
            </w:tcBorders>
            <w:vAlign w:val="center"/>
          </w:tcPr>
          <w:p>
            <w:pPr>
              <w:pStyle w:val="33"/>
              <w:jc w:val="center"/>
              <w:rPr>
                <w:rFonts w:ascii="宋体" w:hAnsi="宋体" w:cs="Arial"/>
                <w:b/>
                <w:bCs/>
                <w:color w:val="auto"/>
                <w:sz w:val="24"/>
                <w:highlight w:val="none"/>
              </w:rPr>
            </w:pPr>
            <w:r>
              <w:rPr>
                <w:rFonts w:hint="eastAsia" w:ascii="宋体" w:hAnsi="宋体" w:cs="Arial"/>
                <w:b/>
                <w:bCs/>
                <w:color w:val="auto"/>
                <w:sz w:val="24"/>
                <w:highlight w:val="none"/>
              </w:rPr>
              <w:t>证书名称</w:t>
            </w:r>
          </w:p>
        </w:tc>
        <w:tc>
          <w:tcPr>
            <w:tcW w:w="2258" w:type="dxa"/>
            <w:tcBorders>
              <w:top w:val="single" w:color="auto" w:sz="4" w:space="0"/>
              <w:bottom w:val="single" w:color="auto" w:sz="4" w:space="0"/>
            </w:tcBorders>
            <w:vAlign w:val="center"/>
          </w:tcPr>
          <w:p>
            <w:pPr>
              <w:pStyle w:val="33"/>
              <w:jc w:val="center"/>
              <w:rPr>
                <w:rFonts w:ascii="宋体" w:hAnsi="宋体" w:cs="Arial"/>
                <w:b/>
                <w:bCs/>
                <w:color w:val="auto"/>
                <w:sz w:val="24"/>
                <w:highlight w:val="none"/>
              </w:rPr>
            </w:pPr>
            <w:r>
              <w:rPr>
                <w:rFonts w:hint="eastAsia" w:ascii="宋体" w:hAnsi="宋体" w:cs="Arial"/>
                <w:b/>
                <w:bCs/>
                <w:color w:val="auto"/>
                <w:sz w:val="24"/>
                <w:highlight w:val="none"/>
              </w:rPr>
              <w:t>发证单位</w:t>
            </w:r>
          </w:p>
        </w:tc>
        <w:tc>
          <w:tcPr>
            <w:tcW w:w="2260" w:type="dxa"/>
            <w:tcBorders>
              <w:top w:val="single" w:color="auto" w:sz="4" w:space="0"/>
              <w:bottom w:val="single" w:color="auto" w:sz="4" w:space="0"/>
            </w:tcBorders>
            <w:vAlign w:val="center"/>
          </w:tcPr>
          <w:p>
            <w:pPr>
              <w:pStyle w:val="33"/>
              <w:jc w:val="center"/>
              <w:rPr>
                <w:rFonts w:ascii="宋体" w:hAnsi="宋体" w:cs="Arial"/>
                <w:b/>
                <w:bCs/>
                <w:color w:val="auto"/>
                <w:sz w:val="24"/>
                <w:highlight w:val="none"/>
              </w:rPr>
            </w:pPr>
            <w:r>
              <w:rPr>
                <w:rFonts w:hint="eastAsia" w:ascii="宋体" w:hAnsi="宋体" w:cs="Arial"/>
                <w:b/>
                <w:bCs/>
                <w:color w:val="auto"/>
                <w:sz w:val="24"/>
                <w:highlight w:val="none"/>
              </w:rPr>
              <w:t>证书等级</w:t>
            </w:r>
          </w:p>
        </w:tc>
        <w:tc>
          <w:tcPr>
            <w:tcW w:w="2047" w:type="dxa"/>
            <w:tcBorders>
              <w:top w:val="single" w:color="auto" w:sz="4" w:space="0"/>
              <w:bottom w:val="single" w:color="auto" w:sz="4" w:space="0"/>
              <w:right w:val="single" w:color="auto" w:sz="4" w:space="0"/>
            </w:tcBorders>
            <w:vAlign w:val="center"/>
          </w:tcPr>
          <w:p>
            <w:pPr>
              <w:pStyle w:val="33"/>
              <w:jc w:val="center"/>
              <w:rPr>
                <w:rFonts w:ascii="宋体" w:hAnsi="宋体" w:cs="Arial"/>
                <w:b/>
                <w:bCs/>
                <w:color w:val="auto"/>
                <w:sz w:val="24"/>
                <w:highlight w:val="none"/>
              </w:rPr>
            </w:pPr>
            <w:r>
              <w:rPr>
                <w:rFonts w:hint="eastAsia" w:ascii="宋体" w:hAnsi="宋体" w:cs="Arial"/>
                <w:b/>
                <w:bCs/>
                <w:color w:val="auto"/>
                <w:sz w:val="24"/>
                <w:highlight w:val="none"/>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7" w:type="dxa"/>
            <w:tcBorders>
              <w:top w:val="single" w:color="auto" w:sz="4" w:space="0"/>
              <w:left w:val="single" w:color="auto" w:sz="4" w:space="0"/>
            </w:tcBorders>
            <w:vAlign w:val="center"/>
          </w:tcPr>
          <w:p>
            <w:pPr>
              <w:pStyle w:val="33"/>
              <w:spacing w:line="360" w:lineRule="auto"/>
              <w:jc w:val="center"/>
              <w:rPr>
                <w:rFonts w:ascii="宋体" w:hAnsi="宋体" w:cs="Arial"/>
                <w:color w:val="auto"/>
                <w:szCs w:val="21"/>
                <w:highlight w:val="none"/>
              </w:rPr>
            </w:pPr>
          </w:p>
        </w:tc>
        <w:tc>
          <w:tcPr>
            <w:tcW w:w="2258" w:type="dxa"/>
            <w:tcBorders>
              <w:top w:val="single" w:color="auto" w:sz="4" w:space="0"/>
            </w:tcBorders>
            <w:vAlign w:val="center"/>
          </w:tcPr>
          <w:p>
            <w:pPr>
              <w:pStyle w:val="33"/>
              <w:spacing w:line="360" w:lineRule="auto"/>
              <w:jc w:val="center"/>
              <w:rPr>
                <w:rFonts w:ascii="宋体" w:hAnsi="宋体" w:cs="Arial"/>
                <w:color w:val="auto"/>
                <w:szCs w:val="21"/>
                <w:highlight w:val="none"/>
              </w:rPr>
            </w:pPr>
          </w:p>
        </w:tc>
        <w:tc>
          <w:tcPr>
            <w:tcW w:w="2260" w:type="dxa"/>
            <w:tcBorders>
              <w:top w:val="single" w:color="auto" w:sz="4" w:space="0"/>
            </w:tcBorders>
            <w:vAlign w:val="center"/>
          </w:tcPr>
          <w:p>
            <w:pPr>
              <w:pStyle w:val="33"/>
              <w:spacing w:line="360" w:lineRule="auto"/>
              <w:jc w:val="center"/>
              <w:rPr>
                <w:rFonts w:ascii="宋体" w:hAnsi="宋体" w:cs="Arial"/>
                <w:color w:val="auto"/>
                <w:szCs w:val="21"/>
                <w:highlight w:val="none"/>
              </w:rPr>
            </w:pPr>
          </w:p>
        </w:tc>
        <w:tc>
          <w:tcPr>
            <w:tcW w:w="2047" w:type="dxa"/>
            <w:tcBorders>
              <w:top w:val="single" w:color="auto" w:sz="4" w:space="0"/>
              <w:right w:val="single" w:color="auto" w:sz="4" w:space="0"/>
            </w:tcBorders>
            <w:vAlign w:val="center"/>
          </w:tcPr>
          <w:p>
            <w:pPr>
              <w:pStyle w:val="33"/>
              <w:spacing w:line="360" w:lineRule="auto"/>
              <w:jc w:val="center"/>
              <w:rPr>
                <w:rFonts w:ascii="宋体" w:hAns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7" w:type="dxa"/>
            <w:tcBorders>
              <w:left w:val="single" w:color="auto" w:sz="4" w:space="0"/>
            </w:tcBorders>
            <w:vAlign w:val="center"/>
          </w:tcPr>
          <w:p>
            <w:pPr>
              <w:pStyle w:val="33"/>
              <w:spacing w:line="360" w:lineRule="auto"/>
              <w:jc w:val="center"/>
              <w:rPr>
                <w:rFonts w:ascii="宋体" w:hAnsi="宋体" w:cs="Arial"/>
                <w:color w:val="auto"/>
                <w:szCs w:val="21"/>
                <w:highlight w:val="none"/>
              </w:rPr>
            </w:pPr>
          </w:p>
        </w:tc>
        <w:tc>
          <w:tcPr>
            <w:tcW w:w="2258" w:type="dxa"/>
            <w:vAlign w:val="center"/>
          </w:tcPr>
          <w:p>
            <w:pPr>
              <w:pStyle w:val="33"/>
              <w:spacing w:line="360" w:lineRule="auto"/>
              <w:jc w:val="center"/>
              <w:rPr>
                <w:rFonts w:ascii="宋体" w:hAnsi="宋体" w:cs="Arial"/>
                <w:color w:val="auto"/>
                <w:szCs w:val="21"/>
                <w:highlight w:val="none"/>
              </w:rPr>
            </w:pPr>
          </w:p>
        </w:tc>
        <w:tc>
          <w:tcPr>
            <w:tcW w:w="2260" w:type="dxa"/>
            <w:vAlign w:val="center"/>
          </w:tcPr>
          <w:p>
            <w:pPr>
              <w:pStyle w:val="33"/>
              <w:spacing w:line="360" w:lineRule="auto"/>
              <w:jc w:val="center"/>
              <w:rPr>
                <w:rFonts w:ascii="宋体" w:hAnsi="宋体" w:cs="Arial"/>
                <w:color w:val="auto"/>
                <w:szCs w:val="21"/>
                <w:highlight w:val="none"/>
              </w:rPr>
            </w:pPr>
          </w:p>
        </w:tc>
        <w:tc>
          <w:tcPr>
            <w:tcW w:w="2047" w:type="dxa"/>
            <w:tcBorders>
              <w:right w:val="single" w:color="auto" w:sz="4" w:space="0"/>
            </w:tcBorders>
            <w:vAlign w:val="center"/>
          </w:tcPr>
          <w:p>
            <w:pPr>
              <w:pStyle w:val="33"/>
              <w:spacing w:line="360" w:lineRule="auto"/>
              <w:jc w:val="center"/>
              <w:rPr>
                <w:rFonts w:ascii="宋体" w:hAns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7" w:type="dxa"/>
            <w:tcBorders>
              <w:left w:val="single" w:color="auto" w:sz="4" w:space="0"/>
            </w:tcBorders>
            <w:vAlign w:val="center"/>
          </w:tcPr>
          <w:p>
            <w:pPr>
              <w:pStyle w:val="33"/>
              <w:spacing w:line="360" w:lineRule="auto"/>
              <w:jc w:val="center"/>
              <w:rPr>
                <w:rFonts w:ascii="宋体" w:hAnsi="宋体" w:cs="Arial"/>
                <w:color w:val="auto"/>
                <w:szCs w:val="21"/>
                <w:highlight w:val="none"/>
              </w:rPr>
            </w:pPr>
          </w:p>
        </w:tc>
        <w:tc>
          <w:tcPr>
            <w:tcW w:w="2258" w:type="dxa"/>
            <w:vAlign w:val="center"/>
          </w:tcPr>
          <w:p>
            <w:pPr>
              <w:pStyle w:val="33"/>
              <w:spacing w:line="360" w:lineRule="auto"/>
              <w:jc w:val="center"/>
              <w:rPr>
                <w:rFonts w:ascii="宋体" w:hAnsi="宋体" w:cs="Arial"/>
                <w:color w:val="auto"/>
                <w:szCs w:val="21"/>
                <w:highlight w:val="none"/>
              </w:rPr>
            </w:pPr>
          </w:p>
        </w:tc>
        <w:tc>
          <w:tcPr>
            <w:tcW w:w="2260" w:type="dxa"/>
            <w:vAlign w:val="center"/>
          </w:tcPr>
          <w:p>
            <w:pPr>
              <w:pStyle w:val="33"/>
              <w:spacing w:line="360" w:lineRule="auto"/>
              <w:jc w:val="center"/>
              <w:rPr>
                <w:rFonts w:ascii="宋体" w:hAnsi="宋体" w:cs="Arial"/>
                <w:color w:val="auto"/>
                <w:szCs w:val="21"/>
                <w:highlight w:val="none"/>
              </w:rPr>
            </w:pPr>
          </w:p>
        </w:tc>
        <w:tc>
          <w:tcPr>
            <w:tcW w:w="2047" w:type="dxa"/>
            <w:tcBorders>
              <w:right w:val="single" w:color="auto" w:sz="4" w:space="0"/>
            </w:tcBorders>
            <w:vAlign w:val="center"/>
          </w:tcPr>
          <w:p>
            <w:pPr>
              <w:pStyle w:val="33"/>
              <w:spacing w:line="360" w:lineRule="auto"/>
              <w:jc w:val="center"/>
              <w:rPr>
                <w:rFonts w:ascii="宋体" w:hAns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7" w:type="dxa"/>
            <w:tcBorders>
              <w:left w:val="single" w:color="auto" w:sz="4" w:space="0"/>
            </w:tcBorders>
            <w:vAlign w:val="center"/>
          </w:tcPr>
          <w:p>
            <w:pPr>
              <w:pStyle w:val="33"/>
              <w:spacing w:line="360" w:lineRule="auto"/>
              <w:jc w:val="center"/>
              <w:rPr>
                <w:rFonts w:ascii="宋体" w:hAnsi="宋体" w:cs="Arial"/>
                <w:color w:val="auto"/>
                <w:szCs w:val="21"/>
                <w:highlight w:val="none"/>
              </w:rPr>
            </w:pPr>
          </w:p>
        </w:tc>
        <w:tc>
          <w:tcPr>
            <w:tcW w:w="2258" w:type="dxa"/>
            <w:vAlign w:val="center"/>
          </w:tcPr>
          <w:p>
            <w:pPr>
              <w:pStyle w:val="33"/>
              <w:spacing w:line="360" w:lineRule="auto"/>
              <w:jc w:val="center"/>
              <w:rPr>
                <w:rFonts w:ascii="宋体" w:hAnsi="宋体" w:cs="Arial"/>
                <w:color w:val="auto"/>
                <w:szCs w:val="21"/>
                <w:highlight w:val="none"/>
              </w:rPr>
            </w:pPr>
          </w:p>
        </w:tc>
        <w:tc>
          <w:tcPr>
            <w:tcW w:w="2260" w:type="dxa"/>
            <w:vAlign w:val="center"/>
          </w:tcPr>
          <w:p>
            <w:pPr>
              <w:pStyle w:val="33"/>
              <w:spacing w:line="360" w:lineRule="auto"/>
              <w:jc w:val="center"/>
              <w:rPr>
                <w:rFonts w:ascii="宋体" w:hAnsi="宋体" w:cs="Arial"/>
                <w:color w:val="auto"/>
                <w:szCs w:val="21"/>
                <w:highlight w:val="none"/>
              </w:rPr>
            </w:pPr>
          </w:p>
        </w:tc>
        <w:tc>
          <w:tcPr>
            <w:tcW w:w="2047" w:type="dxa"/>
            <w:tcBorders>
              <w:right w:val="single" w:color="auto" w:sz="4" w:space="0"/>
            </w:tcBorders>
            <w:vAlign w:val="center"/>
          </w:tcPr>
          <w:p>
            <w:pPr>
              <w:pStyle w:val="33"/>
              <w:spacing w:line="360" w:lineRule="auto"/>
              <w:jc w:val="center"/>
              <w:rPr>
                <w:rFonts w:ascii="宋体" w:hAns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7" w:type="dxa"/>
            <w:tcBorders>
              <w:left w:val="single" w:color="auto" w:sz="4" w:space="0"/>
            </w:tcBorders>
            <w:vAlign w:val="center"/>
          </w:tcPr>
          <w:p>
            <w:pPr>
              <w:pStyle w:val="33"/>
              <w:spacing w:line="360" w:lineRule="auto"/>
              <w:jc w:val="center"/>
              <w:rPr>
                <w:rFonts w:ascii="宋体" w:hAnsi="宋体" w:cs="Arial"/>
                <w:color w:val="auto"/>
                <w:szCs w:val="21"/>
                <w:highlight w:val="none"/>
              </w:rPr>
            </w:pPr>
          </w:p>
        </w:tc>
        <w:tc>
          <w:tcPr>
            <w:tcW w:w="2258" w:type="dxa"/>
            <w:vAlign w:val="center"/>
          </w:tcPr>
          <w:p>
            <w:pPr>
              <w:pStyle w:val="33"/>
              <w:spacing w:line="360" w:lineRule="auto"/>
              <w:jc w:val="center"/>
              <w:rPr>
                <w:rFonts w:ascii="宋体" w:hAnsi="宋体" w:cs="Arial"/>
                <w:color w:val="auto"/>
                <w:szCs w:val="21"/>
                <w:highlight w:val="none"/>
              </w:rPr>
            </w:pPr>
          </w:p>
        </w:tc>
        <w:tc>
          <w:tcPr>
            <w:tcW w:w="2260" w:type="dxa"/>
            <w:vAlign w:val="center"/>
          </w:tcPr>
          <w:p>
            <w:pPr>
              <w:pStyle w:val="33"/>
              <w:spacing w:line="360" w:lineRule="auto"/>
              <w:jc w:val="center"/>
              <w:rPr>
                <w:rFonts w:ascii="宋体" w:hAnsi="宋体" w:cs="Arial"/>
                <w:color w:val="auto"/>
                <w:szCs w:val="21"/>
                <w:highlight w:val="none"/>
              </w:rPr>
            </w:pPr>
          </w:p>
        </w:tc>
        <w:tc>
          <w:tcPr>
            <w:tcW w:w="2047" w:type="dxa"/>
            <w:tcBorders>
              <w:right w:val="single" w:color="auto" w:sz="4" w:space="0"/>
            </w:tcBorders>
            <w:vAlign w:val="center"/>
          </w:tcPr>
          <w:p>
            <w:pPr>
              <w:pStyle w:val="33"/>
              <w:spacing w:line="360" w:lineRule="auto"/>
              <w:jc w:val="center"/>
              <w:rPr>
                <w:rFonts w:ascii="宋体" w:hAns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7" w:type="dxa"/>
            <w:tcBorders>
              <w:left w:val="single" w:color="auto" w:sz="4" w:space="0"/>
            </w:tcBorders>
            <w:vAlign w:val="center"/>
          </w:tcPr>
          <w:p>
            <w:pPr>
              <w:pStyle w:val="33"/>
              <w:spacing w:line="360" w:lineRule="auto"/>
              <w:jc w:val="center"/>
              <w:rPr>
                <w:rFonts w:ascii="宋体" w:hAnsi="宋体" w:cs="Arial"/>
                <w:color w:val="auto"/>
                <w:szCs w:val="21"/>
                <w:highlight w:val="none"/>
              </w:rPr>
            </w:pPr>
          </w:p>
        </w:tc>
        <w:tc>
          <w:tcPr>
            <w:tcW w:w="2258" w:type="dxa"/>
            <w:vAlign w:val="center"/>
          </w:tcPr>
          <w:p>
            <w:pPr>
              <w:pStyle w:val="33"/>
              <w:spacing w:line="360" w:lineRule="auto"/>
              <w:jc w:val="center"/>
              <w:rPr>
                <w:rFonts w:ascii="宋体" w:hAnsi="宋体" w:cs="Arial"/>
                <w:color w:val="auto"/>
                <w:szCs w:val="21"/>
                <w:highlight w:val="none"/>
              </w:rPr>
            </w:pPr>
          </w:p>
        </w:tc>
        <w:tc>
          <w:tcPr>
            <w:tcW w:w="2260" w:type="dxa"/>
            <w:vAlign w:val="center"/>
          </w:tcPr>
          <w:p>
            <w:pPr>
              <w:pStyle w:val="33"/>
              <w:spacing w:line="360" w:lineRule="auto"/>
              <w:jc w:val="center"/>
              <w:rPr>
                <w:rFonts w:ascii="宋体" w:hAnsi="宋体" w:cs="Arial"/>
                <w:color w:val="auto"/>
                <w:szCs w:val="21"/>
                <w:highlight w:val="none"/>
              </w:rPr>
            </w:pPr>
          </w:p>
        </w:tc>
        <w:tc>
          <w:tcPr>
            <w:tcW w:w="2047" w:type="dxa"/>
            <w:tcBorders>
              <w:right w:val="single" w:color="auto" w:sz="4" w:space="0"/>
            </w:tcBorders>
            <w:vAlign w:val="center"/>
          </w:tcPr>
          <w:p>
            <w:pPr>
              <w:pStyle w:val="33"/>
              <w:spacing w:line="360" w:lineRule="auto"/>
              <w:jc w:val="center"/>
              <w:rPr>
                <w:rFonts w:ascii="宋体" w:hAnsi="宋体" w:cs="Arial"/>
                <w:color w:val="auto"/>
                <w:szCs w:val="21"/>
                <w:highlight w:val="none"/>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867" w:type="dxa"/>
            <w:tcBorders>
              <w:left w:val="single" w:color="auto" w:sz="4" w:space="0"/>
              <w:bottom w:val="single" w:color="auto" w:sz="4" w:space="0"/>
            </w:tcBorders>
            <w:vAlign w:val="center"/>
          </w:tcPr>
          <w:p>
            <w:pPr>
              <w:pStyle w:val="33"/>
              <w:spacing w:line="360" w:lineRule="auto"/>
              <w:jc w:val="center"/>
              <w:rPr>
                <w:rFonts w:ascii="宋体" w:hAnsi="宋体" w:cs="Arial"/>
                <w:color w:val="auto"/>
                <w:szCs w:val="21"/>
                <w:highlight w:val="none"/>
              </w:rPr>
            </w:pPr>
          </w:p>
        </w:tc>
        <w:tc>
          <w:tcPr>
            <w:tcW w:w="2258" w:type="dxa"/>
            <w:tcBorders>
              <w:bottom w:val="single" w:color="auto" w:sz="4" w:space="0"/>
            </w:tcBorders>
            <w:vAlign w:val="center"/>
          </w:tcPr>
          <w:p>
            <w:pPr>
              <w:pStyle w:val="33"/>
              <w:spacing w:line="360" w:lineRule="auto"/>
              <w:jc w:val="center"/>
              <w:rPr>
                <w:rFonts w:ascii="宋体" w:hAnsi="宋体" w:cs="Arial"/>
                <w:color w:val="auto"/>
                <w:szCs w:val="21"/>
                <w:highlight w:val="none"/>
              </w:rPr>
            </w:pPr>
          </w:p>
        </w:tc>
        <w:tc>
          <w:tcPr>
            <w:tcW w:w="2260" w:type="dxa"/>
            <w:tcBorders>
              <w:bottom w:val="single" w:color="auto" w:sz="4" w:space="0"/>
            </w:tcBorders>
            <w:vAlign w:val="center"/>
          </w:tcPr>
          <w:p>
            <w:pPr>
              <w:pStyle w:val="33"/>
              <w:spacing w:line="360" w:lineRule="auto"/>
              <w:jc w:val="center"/>
              <w:rPr>
                <w:rFonts w:ascii="宋体" w:hAnsi="宋体" w:cs="Arial"/>
                <w:color w:val="auto"/>
                <w:szCs w:val="21"/>
                <w:highlight w:val="none"/>
              </w:rPr>
            </w:pPr>
          </w:p>
        </w:tc>
        <w:tc>
          <w:tcPr>
            <w:tcW w:w="2047" w:type="dxa"/>
            <w:tcBorders>
              <w:bottom w:val="single" w:color="auto" w:sz="4" w:space="0"/>
              <w:right w:val="single" w:color="auto" w:sz="4" w:space="0"/>
            </w:tcBorders>
            <w:vAlign w:val="center"/>
          </w:tcPr>
          <w:p>
            <w:pPr>
              <w:pStyle w:val="33"/>
              <w:spacing w:line="360" w:lineRule="auto"/>
              <w:jc w:val="center"/>
              <w:rPr>
                <w:rFonts w:ascii="宋体" w:hAnsi="宋体" w:cs="Arial"/>
                <w:color w:val="auto"/>
                <w:szCs w:val="21"/>
                <w:highlight w:val="none"/>
              </w:rPr>
            </w:pPr>
          </w:p>
        </w:tc>
      </w:tr>
    </w:tbl>
    <w:p>
      <w:pPr>
        <w:pStyle w:val="33"/>
        <w:tabs>
          <w:tab w:val="left" w:pos="1050"/>
        </w:tabs>
        <w:spacing w:line="360" w:lineRule="auto"/>
        <w:rPr>
          <w:rFonts w:ascii="仿宋_GB2312" w:hAnsi="宋体" w:eastAsia="仿宋_GB2312"/>
          <w:color w:val="auto"/>
          <w:sz w:val="24"/>
          <w:highlight w:val="none"/>
        </w:rPr>
      </w:pPr>
    </w:p>
    <w:p>
      <w:pPr>
        <w:pStyle w:val="33"/>
        <w:tabs>
          <w:tab w:val="left" w:pos="1050"/>
        </w:tabs>
        <w:spacing w:line="360" w:lineRule="auto"/>
        <w:rPr>
          <w:rFonts w:ascii="宋体" w:hAnsi="宋体"/>
          <w:color w:val="auto"/>
          <w:szCs w:val="21"/>
          <w:highlight w:val="none"/>
        </w:rPr>
      </w:pPr>
      <w:r>
        <w:rPr>
          <w:rFonts w:hint="eastAsia" w:ascii="宋体" w:hAnsi="宋体"/>
          <w:b/>
          <w:color w:val="auto"/>
          <w:szCs w:val="21"/>
          <w:highlight w:val="none"/>
        </w:rPr>
        <w:t>要求：</w:t>
      </w:r>
    </w:p>
    <w:p>
      <w:pPr>
        <w:pStyle w:val="33"/>
        <w:tabs>
          <w:tab w:val="left" w:pos="105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1.填写投标人获得资质、认证或企业信誉证书；</w:t>
      </w:r>
    </w:p>
    <w:p>
      <w:pPr>
        <w:pStyle w:val="33"/>
        <w:tabs>
          <w:tab w:val="left" w:pos="1050"/>
        </w:tabs>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2.附所列证书复印件或其他证明材料。</w:t>
      </w:r>
    </w:p>
    <w:p>
      <w:pPr>
        <w:pStyle w:val="33"/>
        <w:tabs>
          <w:tab w:val="left" w:pos="1050"/>
        </w:tabs>
        <w:spacing w:line="360" w:lineRule="auto"/>
        <w:ind w:firstLine="720" w:firstLineChars="300"/>
        <w:rPr>
          <w:rFonts w:ascii="仿宋_GB2312" w:hAnsi="宋体" w:eastAsia="仿宋_GB2312"/>
          <w:color w:val="auto"/>
          <w:sz w:val="24"/>
          <w:highlight w:val="none"/>
        </w:rPr>
      </w:pPr>
    </w:p>
    <w:p>
      <w:pPr>
        <w:pStyle w:val="33"/>
        <w:tabs>
          <w:tab w:val="left" w:pos="1050"/>
        </w:tabs>
        <w:spacing w:line="360" w:lineRule="auto"/>
        <w:ind w:firstLine="720" w:firstLineChars="300"/>
        <w:rPr>
          <w:rFonts w:ascii="仿宋_GB2312" w:hAnsi="宋体" w:eastAsia="仿宋_GB2312"/>
          <w:color w:val="auto"/>
          <w:sz w:val="24"/>
          <w:highlight w:val="none"/>
        </w:rPr>
      </w:pPr>
    </w:p>
    <w:p>
      <w:pPr>
        <w:pStyle w:val="33"/>
        <w:tabs>
          <w:tab w:val="left" w:pos="1050"/>
        </w:tabs>
        <w:spacing w:line="360" w:lineRule="auto"/>
        <w:ind w:firstLine="720" w:firstLineChars="300"/>
        <w:rPr>
          <w:rFonts w:ascii="仿宋_GB2312" w:hAnsi="宋体" w:eastAsia="仿宋_GB2312"/>
          <w:color w:val="auto"/>
          <w:sz w:val="24"/>
          <w:highlight w:val="none"/>
        </w:rPr>
      </w:pPr>
    </w:p>
    <w:p>
      <w:pPr>
        <w:spacing w:line="360" w:lineRule="auto"/>
        <w:ind w:firstLine="424" w:firstLineChars="177"/>
        <w:rPr>
          <w:rFonts w:ascii="宋体" w:hAnsi="宋体"/>
          <w:color w:val="auto"/>
          <w:sz w:val="24"/>
          <w:highlight w:val="none"/>
          <w:u w:val="single"/>
        </w:rPr>
      </w:pPr>
      <w:r>
        <w:rPr>
          <w:rFonts w:hint="eastAsia" w:ascii="宋体" w:hAnsi="宋体"/>
          <w:color w:val="auto"/>
          <w:sz w:val="24"/>
          <w:highlight w:val="none"/>
        </w:rPr>
        <w:t>投标人名称（电子印章）：</w:t>
      </w:r>
    </w:p>
    <w:p>
      <w:pPr>
        <w:spacing w:line="360" w:lineRule="auto"/>
        <w:ind w:left="420"/>
        <w:rPr>
          <w:rFonts w:ascii="宋体" w:hAnsi="宋体"/>
          <w:color w:val="auto"/>
          <w:sz w:val="24"/>
          <w:highlight w:val="none"/>
        </w:rPr>
      </w:pPr>
    </w:p>
    <w:p>
      <w:pPr>
        <w:spacing w:line="360" w:lineRule="auto"/>
        <w:ind w:firstLine="424" w:firstLineChars="177"/>
        <w:rPr>
          <w:rFonts w:ascii="宋体" w:hAnsi="宋体"/>
          <w:color w:val="auto"/>
          <w:sz w:val="24"/>
          <w:highlight w:val="none"/>
        </w:rPr>
      </w:pPr>
      <w:r>
        <w:rPr>
          <w:rFonts w:hint="eastAsia" w:ascii="宋体" w:hAnsi="宋体"/>
          <w:color w:val="auto"/>
          <w:sz w:val="24"/>
          <w:highlight w:val="none"/>
        </w:rPr>
        <w:t>投标人代表签字或电子印章：</w:t>
      </w:r>
    </w:p>
    <w:p>
      <w:pPr>
        <w:spacing w:line="360" w:lineRule="auto"/>
        <w:ind w:firstLine="435"/>
        <w:rPr>
          <w:rFonts w:ascii="宋体" w:hAnsi="宋体"/>
          <w:color w:val="auto"/>
          <w:sz w:val="24"/>
          <w:highlight w:val="none"/>
        </w:rPr>
      </w:pPr>
    </w:p>
    <w:p>
      <w:pPr>
        <w:spacing w:line="360" w:lineRule="auto"/>
        <w:ind w:firstLine="424" w:firstLineChars="177"/>
        <w:rPr>
          <w:rFonts w:ascii="宋体" w:hAnsi="宋体"/>
          <w:color w:val="auto"/>
          <w:sz w:val="24"/>
          <w:highlight w:val="none"/>
          <w:u w:val="single"/>
        </w:rPr>
      </w:pPr>
      <w:r>
        <w:rPr>
          <w:rFonts w:hint="eastAsia" w:ascii="宋体" w:hAnsi="宋体"/>
          <w:color w:val="auto"/>
          <w:sz w:val="24"/>
          <w:highlight w:val="none"/>
        </w:rPr>
        <w:t>职        务：</w:t>
      </w:r>
    </w:p>
    <w:p>
      <w:pPr>
        <w:spacing w:line="360" w:lineRule="auto"/>
        <w:rPr>
          <w:rFonts w:ascii="宋体" w:hAnsi="宋体"/>
          <w:color w:val="auto"/>
          <w:sz w:val="24"/>
          <w:highlight w:val="none"/>
        </w:rPr>
      </w:pPr>
    </w:p>
    <w:p>
      <w:pPr>
        <w:pStyle w:val="32"/>
        <w:spacing w:before="0" w:beforeAutospacing="0" w:after="0" w:afterAutospacing="0" w:line="360" w:lineRule="auto"/>
        <w:ind w:firstLine="424" w:firstLineChars="177"/>
        <w:rPr>
          <w:b/>
          <w:bCs/>
          <w:color w:val="auto"/>
          <w:highlight w:val="none"/>
        </w:rPr>
      </w:pPr>
      <w:r>
        <w:rPr>
          <w:rFonts w:hint="eastAsia"/>
          <w:color w:val="auto"/>
          <w:highlight w:val="none"/>
        </w:rPr>
        <w:t>日        期：：</w:t>
      </w:r>
    </w:p>
    <w:p>
      <w:pPr>
        <w:spacing w:line="360" w:lineRule="auto"/>
        <w:rPr>
          <w:rFonts w:ascii="宋体" w:hAnsi="宋体"/>
          <w:b/>
          <w:color w:val="auto"/>
          <w:sz w:val="28"/>
          <w:highlight w:val="none"/>
        </w:rPr>
      </w:pPr>
    </w:p>
    <w:p>
      <w:pPr>
        <w:rPr>
          <w:rFonts w:ascii="宋体" w:hAnsi="宋体"/>
          <w:b/>
          <w:color w:val="auto"/>
          <w:sz w:val="28"/>
          <w:highlight w:val="none"/>
        </w:rPr>
      </w:pPr>
      <w:r>
        <w:rPr>
          <w:rFonts w:ascii="宋体" w:hAnsi="宋体"/>
          <w:b/>
          <w:color w:val="auto"/>
          <w:sz w:val="28"/>
          <w:highlight w:val="none"/>
        </w:rPr>
        <w:br w:type="page"/>
      </w:r>
    </w:p>
    <w:p>
      <w:pPr>
        <w:pStyle w:val="2"/>
        <w:rPr>
          <w:color w:val="auto"/>
          <w:highlight w:val="none"/>
        </w:rPr>
      </w:pPr>
    </w:p>
    <w:p>
      <w:pPr>
        <w:spacing w:line="360" w:lineRule="auto"/>
        <w:rPr>
          <w:rFonts w:hint="eastAsia" w:ascii="宋体" w:hAnsi="宋体" w:eastAsia="宋体"/>
          <w:b/>
          <w:color w:val="auto"/>
          <w:sz w:val="28"/>
          <w:highlight w:val="none"/>
          <w:lang w:eastAsia="zh-CN"/>
        </w:rPr>
      </w:pPr>
      <w:r>
        <w:rPr>
          <w:rFonts w:hint="eastAsia" w:ascii="宋体" w:hAnsi="宋体"/>
          <w:b/>
          <w:color w:val="auto"/>
          <w:sz w:val="28"/>
          <w:highlight w:val="none"/>
        </w:rPr>
        <w:t>附件1</w:t>
      </w:r>
      <w:r>
        <w:rPr>
          <w:rFonts w:hint="eastAsia" w:ascii="宋体" w:hAnsi="宋体"/>
          <w:b/>
          <w:color w:val="auto"/>
          <w:sz w:val="28"/>
          <w:highlight w:val="none"/>
          <w:lang w:val="en-US" w:eastAsia="zh-CN"/>
        </w:rPr>
        <w:t>3</w:t>
      </w:r>
    </w:p>
    <w:p>
      <w:pPr>
        <w:pStyle w:val="36"/>
        <w:spacing w:line="360" w:lineRule="auto"/>
        <w:jc w:val="center"/>
        <w:rPr>
          <w:rFonts w:ascii="宋体" w:hAnsi="宋体"/>
          <w:b/>
          <w:color w:val="auto"/>
          <w:sz w:val="32"/>
          <w:szCs w:val="32"/>
          <w:highlight w:val="none"/>
        </w:rPr>
      </w:pPr>
      <w:bookmarkStart w:id="61" w:name="_Toc7134_WPSOffice_Level1"/>
      <w:bookmarkStart w:id="62" w:name="_Toc19231_WPSOffice_Level1"/>
      <w:r>
        <w:rPr>
          <w:rFonts w:hint="eastAsia" w:ascii="宋体" w:hAnsi="宋体"/>
          <w:b/>
          <w:color w:val="auto"/>
          <w:sz w:val="32"/>
          <w:szCs w:val="32"/>
          <w:highlight w:val="none"/>
        </w:rPr>
        <w:t>投标人类似项目实施情况一览表</w:t>
      </w:r>
      <w:bookmarkEnd w:id="61"/>
      <w:bookmarkEnd w:id="62"/>
    </w:p>
    <w:p>
      <w:pPr>
        <w:pStyle w:val="36"/>
        <w:spacing w:line="360" w:lineRule="auto"/>
        <w:jc w:val="center"/>
        <w:rPr>
          <w:rFonts w:ascii="仿宋_GB2312" w:eastAsia="仿宋_GB2312"/>
          <w:b/>
          <w:color w:val="auto"/>
          <w:sz w:val="28"/>
          <w:szCs w:val="28"/>
          <w:highlight w:val="none"/>
        </w:rPr>
      </w:pPr>
    </w:p>
    <w:tbl>
      <w:tblPr>
        <w:tblStyle w:val="19"/>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vAlign w:val="center"/>
          </w:tcPr>
          <w:p>
            <w:pPr>
              <w:pStyle w:val="36"/>
              <w:jc w:val="center"/>
              <w:rPr>
                <w:rFonts w:ascii="宋体" w:hAnsi="宋体" w:cs="Arial"/>
                <w:b/>
                <w:bCs/>
                <w:color w:val="auto"/>
                <w:sz w:val="24"/>
                <w:highlight w:val="none"/>
              </w:rPr>
            </w:pPr>
            <w:r>
              <w:rPr>
                <w:rFonts w:hint="eastAsia" w:ascii="宋体" w:hAnsi="宋体" w:cs="Arial"/>
                <w:b/>
                <w:bCs/>
                <w:color w:val="auto"/>
                <w:sz w:val="24"/>
                <w:highlight w:val="none"/>
              </w:rPr>
              <w:t>序号</w:t>
            </w:r>
          </w:p>
        </w:tc>
        <w:tc>
          <w:tcPr>
            <w:tcW w:w="1293" w:type="dxa"/>
            <w:tcBorders>
              <w:top w:val="single" w:color="auto" w:sz="6" w:space="0"/>
              <w:left w:val="single" w:color="auto" w:sz="6" w:space="0"/>
              <w:bottom w:val="single" w:color="auto" w:sz="6" w:space="0"/>
              <w:right w:val="single" w:color="auto" w:sz="6" w:space="0"/>
            </w:tcBorders>
            <w:vAlign w:val="center"/>
          </w:tcPr>
          <w:p>
            <w:pPr>
              <w:pStyle w:val="36"/>
              <w:jc w:val="center"/>
              <w:rPr>
                <w:rFonts w:ascii="宋体" w:hAnsi="宋体" w:cs="Arial"/>
                <w:b/>
                <w:bCs/>
                <w:color w:val="auto"/>
                <w:sz w:val="24"/>
                <w:highlight w:val="none"/>
              </w:rPr>
            </w:pPr>
            <w:r>
              <w:rPr>
                <w:rFonts w:hint="eastAsia" w:ascii="宋体" w:hAnsi="宋体" w:cs="Arial"/>
                <w:b/>
                <w:bCs/>
                <w:color w:val="auto"/>
                <w:sz w:val="24"/>
                <w:highlight w:val="none"/>
              </w:rPr>
              <w:t>项目名称</w:t>
            </w:r>
          </w:p>
        </w:tc>
        <w:tc>
          <w:tcPr>
            <w:tcW w:w="1575" w:type="dxa"/>
            <w:tcBorders>
              <w:top w:val="single" w:color="auto" w:sz="6" w:space="0"/>
              <w:left w:val="single" w:color="auto" w:sz="6" w:space="0"/>
              <w:bottom w:val="single" w:color="auto" w:sz="6" w:space="0"/>
              <w:right w:val="single" w:color="auto" w:sz="6" w:space="0"/>
            </w:tcBorders>
            <w:vAlign w:val="center"/>
          </w:tcPr>
          <w:p>
            <w:pPr>
              <w:pStyle w:val="36"/>
              <w:jc w:val="center"/>
              <w:rPr>
                <w:rFonts w:ascii="宋体" w:hAnsi="宋体" w:cs="Arial"/>
                <w:b/>
                <w:bCs/>
                <w:color w:val="auto"/>
                <w:sz w:val="24"/>
                <w:highlight w:val="none"/>
              </w:rPr>
            </w:pPr>
            <w:r>
              <w:rPr>
                <w:rFonts w:hint="eastAsia" w:ascii="宋体" w:hAnsi="宋体" w:cs="Arial"/>
                <w:b/>
                <w:bCs/>
                <w:color w:val="auto"/>
                <w:sz w:val="24"/>
                <w:highlight w:val="none"/>
              </w:rPr>
              <w:t>项目地址</w:t>
            </w:r>
          </w:p>
        </w:tc>
        <w:tc>
          <w:tcPr>
            <w:tcW w:w="1260" w:type="dxa"/>
            <w:tcBorders>
              <w:top w:val="single" w:color="auto" w:sz="6" w:space="0"/>
              <w:left w:val="single" w:color="auto" w:sz="6" w:space="0"/>
              <w:bottom w:val="single" w:color="auto" w:sz="6" w:space="0"/>
              <w:right w:val="single" w:color="auto" w:sz="6" w:space="0"/>
            </w:tcBorders>
            <w:vAlign w:val="center"/>
          </w:tcPr>
          <w:p>
            <w:pPr>
              <w:pStyle w:val="36"/>
              <w:jc w:val="center"/>
              <w:rPr>
                <w:rFonts w:ascii="宋体" w:hAnsi="宋体" w:cs="Arial"/>
                <w:b/>
                <w:bCs/>
                <w:color w:val="auto"/>
                <w:sz w:val="24"/>
                <w:highlight w:val="none"/>
              </w:rPr>
            </w:pPr>
            <w:r>
              <w:rPr>
                <w:rFonts w:hint="eastAsia" w:ascii="宋体" w:hAnsi="宋体" w:cs="Arial"/>
                <w:b/>
                <w:bCs/>
                <w:color w:val="auto"/>
                <w:sz w:val="24"/>
                <w:highlight w:val="none"/>
              </w:rPr>
              <w:t>合同总价</w:t>
            </w:r>
          </w:p>
        </w:tc>
        <w:tc>
          <w:tcPr>
            <w:tcW w:w="1452" w:type="dxa"/>
            <w:tcBorders>
              <w:top w:val="single" w:color="auto" w:sz="6" w:space="0"/>
              <w:left w:val="single" w:color="auto" w:sz="6" w:space="0"/>
              <w:bottom w:val="single" w:color="auto" w:sz="6" w:space="0"/>
              <w:right w:val="single" w:color="auto" w:sz="6" w:space="0"/>
            </w:tcBorders>
            <w:vAlign w:val="center"/>
          </w:tcPr>
          <w:p>
            <w:pPr>
              <w:pStyle w:val="36"/>
              <w:jc w:val="center"/>
              <w:rPr>
                <w:rFonts w:ascii="宋体" w:hAnsi="宋体" w:cs="Arial"/>
                <w:b/>
                <w:bCs/>
                <w:color w:val="auto"/>
                <w:sz w:val="24"/>
                <w:highlight w:val="none"/>
              </w:rPr>
            </w:pPr>
            <w:r>
              <w:rPr>
                <w:rFonts w:hint="eastAsia" w:ascii="宋体" w:hAnsi="宋体" w:cs="Arial"/>
                <w:b/>
                <w:bCs/>
                <w:color w:val="auto"/>
                <w:sz w:val="24"/>
                <w:highlight w:val="none"/>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36"/>
              <w:jc w:val="center"/>
              <w:rPr>
                <w:rFonts w:ascii="宋体" w:hAnsi="宋体" w:cs="Arial"/>
                <w:b/>
                <w:bCs/>
                <w:color w:val="auto"/>
                <w:sz w:val="24"/>
                <w:highlight w:val="none"/>
              </w:rPr>
            </w:pPr>
            <w:r>
              <w:rPr>
                <w:rFonts w:hint="eastAsia" w:ascii="宋体" w:hAnsi="宋体" w:cs="Arial"/>
                <w:b/>
                <w:bCs/>
                <w:color w:val="auto"/>
                <w:sz w:val="24"/>
                <w:highlight w:val="none"/>
              </w:rPr>
              <w:t>项目质量</w:t>
            </w:r>
          </w:p>
        </w:tc>
        <w:tc>
          <w:tcPr>
            <w:tcW w:w="2037" w:type="dxa"/>
            <w:tcBorders>
              <w:top w:val="single" w:color="auto" w:sz="6" w:space="0"/>
              <w:left w:val="single" w:color="auto" w:sz="6" w:space="0"/>
              <w:bottom w:val="single" w:color="auto" w:sz="6" w:space="0"/>
              <w:right w:val="single" w:color="auto" w:sz="6" w:space="0"/>
            </w:tcBorders>
            <w:vAlign w:val="center"/>
          </w:tcPr>
          <w:p>
            <w:pPr>
              <w:pStyle w:val="36"/>
              <w:jc w:val="center"/>
              <w:rPr>
                <w:rFonts w:ascii="宋体" w:hAnsi="宋体" w:cs="Arial"/>
                <w:b/>
                <w:bCs/>
                <w:color w:val="auto"/>
                <w:sz w:val="24"/>
                <w:highlight w:val="none"/>
              </w:rPr>
            </w:pPr>
            <w:r>
              <w:rPr>
                <w:rFonts w:hint="eastAsia" w:ascii="宋体" w:hAnsi="宋体" w:cs="Arial"/>
                <w:b/>
                <w:bCs/>
                <w:color w:val="auto"/>
                <w:sz w:val="24"/>
                <w:highlight w:val="none"/>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6"/>
              <w:spacing w:line="360" w:lineRule="auto"/>
              <w:jc w:val="center"/>
              <w:rPr>
                <w:rFonts w:ascii="宋体" w:hAnsi="宋体" w:cs="Arial"/>
                <w:color w:val="auto"/>
                <w:sz w:val="24"/>
                <w:highlight w:val="none"/>
              </w:rPr>
            </w:pPr>
            <w:r>
              <w:rPr>
                <w:rFonts w:hint="eastAsia" w:ascii="宋体" w:hAnsi="宋体" w:cs="Arial"/>
                <w:color w:val="auto"/>
                <w:sz w:val="24"/>
                <w:highlight w:val="none"/>
              </w:rPr>
              <w:t>1</w:t>
            </w:r>
          </w:p>
        </w:tc>
        <w:tc>
          <w:tcPr>
            <w:tcW w:w="129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6"/>
              <w:spacing w:line="360" w:lineRule="auto"/>
              <w:jc w:val="center"/>
              <w:rPr>
                <w:rFonts w:ascii="宋体" w:hAnsi="宋体" w:cs="Arial"/>
                <w:color w:val="auto"/>
                <w:sz w:val="24"/>
                <w:highlight w:val="none"/>
              </w:rPr>
            </w:pPr>
            <w:r>
              <w:rPr>
                <w:rFonts w:hint="eastAsia" w:ascii="宋体" w:hAnsi="宋体" w:cs="Arial"/>
                <w:color w:val="auto"/>
                <w:sz w:val="24"/>
                <w:highlight w:val="none"/>
              </w:rPr>
              <w:t>2</w:t>
            </w:r>
          </w:p>
        </w:tc>
        <w:tc>
          <w:tcPr>
            <w:tcW w:w="129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6"/>
              <w:spacing w:line="360" w:lineRule="auto"/>
              <w:jc w:val="center"/>
              <w:rPr>
                <w:rFonts w:ascii="宋体" w:hAnsi="宋体" w:cs="Arial"/>
                <w:color w:val="auto"/>
                <w:sz w:val="24"/>
                <w:highlight w:val="none"/>
              </w:rPr>
            </w:pPr>
            <w:r>
              <w:rPr>
                <w:rFonts w:hint="eastAsia" w:ascii="宋体" w:hAnsi="宋体" w:cs="Arial"/>
                <w:color w:val="auto"/>
                <w:sz w:val="24"/>
                <w:highlight w:val="none"/>
              </w:rPr>
              <w:t>3</w:t>
            </w:r>
          </w:p>
        </w:tc>
        <w:tc>
          <w:tcPr>
            <w:tcW w:w="129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r>
              <w:rPr>
                <w:rFonts w:hint="eastAsia" w:ascii="宋体" w:hAnsi="宋体" w:cs="Arial"/>
                <w:color w:val="auto"/>
                <w:sz w:val="24"/>
                <w:highlight w:val="none"/>
              </w:rPr>
              <w:t>…</w:t>
            </w:r>
          </w:p>
        </w:tc>
        <w:tc>
          <w:tcPr>
            <w:tcW w:w="129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129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1575"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1452"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1383"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c>
          <w:tcPr>
            <w:tcW w:w="2037" w:type="dxa"/>
            <w:tcBorders>
              <w:top w:val="single" w:color="auto" w:sz="6" w:space="0"/>
              <w:left w:val="single" w:color="auto" w:sz="6" w:space="0"/>
              <w:bottom w:val="single" w:color="auto" w:sz="6" w:space="0"/>
              <w:right w:val="single" w:color="auto" w:sz="6" w:space="0"/>
            </w:tcBorders>
          </w:tcPr>
          <w:p>
            <w:pPr>
              <w:pStyle w:val="36"/>
              <w:spacing w:line="360" w:lineRule="auto"/>
              <w:rPr>
                <w:rFonts w:ascii="宋体" w:hAnsi="宋体" w:cs="Arial"/>
                <w:color w:val="auto"/>
                <w:sz w:val="24"/>
                <w:highlight w:val="none"/>
              </w:rPr>
            </w:pPr>
          </w:p>
        </w:tc>
      </w:tr>
    </w:tbl>
    <w:p>
      <w:pPr>
        <w:autoSpaceDE w:val="0"/>
        <w:autoSpaceDN w:val="0"/>
        <w:adjustRightInd w:val="0"/>
        <w:spacing w:beforeLines="50" w:line="360" w:lineRule="auto"/>
        <w:rPr>
          <w:rFonts w:ascii="宋体" w:hAnsi="宋体" w:cs="Arial"/>
          <w:b/>
          <w:color w:val="auto"/>
          <w:szCs w:val="21"/>
          <w:highlight w:val="none"/>
        </w:rPr>
      </w:pPr>
      <w:r>
        <w:rPr>
          <w:rFonts w:hint="eastAsia" w:ascii="宋体" w:hAnsi="宋体" w:cs="Arial"/>
          <w:b/>
          <w:color w:val="auto"/>
          <w:szCs w:val="21"/>
          <w:highlight w:val="none"/>
        </w:rPr>
        <w:t>要求</w:t>
      </w:r>
      <w:r>
        <w:rPr>
          <w:rFonts w:ascii="宋体" w:hAnsi="宋体" w:cs="Arial"/>
          <w:b/>
          <w:color w:val="auto"/>
          <w:szCs w:val="21"/>
          <w:highlight w:val="none"/>
        </w:rPr>
        <w:t>：</w:t>
      </w:r>
    </w:p>
    <w:p>
      <w:pPr>
        <w:autoSpaceDE w:val="0"/>
        <w:autoSpaceDN w:val="0"/>
        <w:adjustRightInd w:val="0"/>
        <w:spacing w:beforeLines="50" w:line="360" w:lineRule="auto"/>
        <w:ind w:firstLine="424" w:firstLineChars="202"/>
        <w:rPr>
          <w:rFonts w:ascii="宋体" w:hAnsi="宋体" w:cs="Arial"/>
          <w:b/>
          <w:color w:val="auto"/>
          <w:szCs w:val="21"/>
          <w:highlight w:val="none"/>
        </w:rPr>
      </w:pPr>
      <w:r>
        <w:rPr>
          <w:rFonts w:ascii="宋体" w:hAnsi="宋体" w:cs="Arial"/>
          <w:color w:val="auto"/>
          <w:szCs w:val="21"/>
          <w:highlight w:val="none"/>
        </w:rPr>
        <w:t>1</w:t>
      </w:r>
      <w:r>
        <w:rPr>
          <w:rFonts w:hint="eastAsia" w:ascii="宋体" w:hAnsi="宋体" w:cs="Arial"/>
          <w:color w:val="auto"/>
          <w:szCs w:val="21"/>
          <w:highlight w:val="none"/>
        </w:rPr>
        <w:t>.</w:t>
      </w:r>
      <w:r>
        <w:rPr>
          <w:rFonts w:ascii="宋体" w:hAnsi="宋体" w:cs="Arial"/>
          <w:color w:val="auto"/>
          <w:szCs w:val="21"/>
          <w:highlight w:val="none"/>
        </w:rPr>
        <w:t>业绩证明应提供证明材料（合同</w:t>
      </w:r>
      <w:r>
        <w:rPr>
          <w:rFonts w:hint="eastAsia" w:ascii="宋体" w:hAnsi="宋体" w:cs="Arial"/>
          <w:color w:val="auto"/>
          <w:szCs w:val="21"/>
          <w:highlight w:val="none"/>
        </w:rPr>
        <w:t>复印件可只提供首页、含金额页、盖章页并加盖投标人电子印章</w:t>
      </w:r>
      <w:r>
        <w:rPr>
          <w:rFonts w:ascii="宋体" w:hAnsi="宋体" w:cs="Arial"/>
          <w:color w:val="auto"/>
          <w:szCs w:val="21"/>
          <w:highlight w:val="none"/>
        </w:rPr>
        <w:t>）；</w:t>
      </w:r>
    </w:p>
    <w:p>
      <w:pPr>
        <w:spacing w:line="360" w:lineRule="auto"/>
        <w:ind w:firstLine="424" w:firstLineChars="202"/>
        <w:jc w:val="left"/>
        <w:rPr>
          <w:rFonts w:ascii="宋体" w:hAnsi="宋体" w:cs="Arial"/>
          <w:color w:val="auto"/>
          <w:szCs w:val="21"/>
          <w:highlight w:val="none"/>
        </w:rPr>
      </w:pPr>
      <w:r>
        <w:rPr>
          <w:rFonts w:ascii="宋体" w:hAnsi="宋体" w:cs="Arial"/>
          <w:color w:val="auto"/>
          <w:szCs w:val="21"/>
          <w:highlight w:val="none"/>
        </w:rPr>
        <w:t>2</w:t>
      </w:r>
      <w:r>
        <w:rPr>
          <w:rFonts w:hint="eastAsia" w:ascii="宋体" w:hAnsi="宋体" w:cs="Arial"/>
          <w:color w:val="auto"/>
          <w:szCs w:val="21"/>
          <w:highlight w:val="none"/>
        </w:rPr>
        <w:t>.投标人</w:t>
      </w:r>
      <w:r>
        <w:rPr>
          <w:rFonts w:ascii="宋体" w:hAnsi="宋体" w:cs="Arial"/>
          <w:color w:val="auto"/>
          <w:szCs w:val="21"/>
          <w:highlight w:val="none"/>
        </w:rPr>
        <w:t>可按此表格式复制</w:t>
      </w:r>
      <w:r>
        <w:rPr>
          <w:rFonts w:hint="eastAsia" w:ascii="宋体" w:hAnsi="宋体" w:cs="Arial"/>
          <w:color w:val="auto"/>
          <w:szCs w:val="21"/>
          <w:highlight w:val="none"/>
        </w:rPr>
        <w:t>。</w:t>
      </w:r>
    </w:p>
    <w:p>
      <w:pPr>
        <w:spacing w:line="360" w:lineRule="auto"/>
        <w:rPr>
          <w:rFonts w:ascii="宋体" w:hAnsi="宋体"/>
          <w:color w:val="auto"/>
          <w:sz w:val="22"/>
          <w:szCs w:val="22"/>
          <w:highlight w:val="none"/>
        </w:rPr>
      </w:pPr>
    </w:p>
    <w:p>
      <w:pPr>
        <w:spacing w:line="360" w:lineRule="auto"/>
        <w:rPr>
          <w:rFonts w:ascii="宋体" w:hAnsi="宋体"/>
          <w:color w:val="auto"/>
          <w:sz w:val="22"/>
          <w:szCs w:val="22"/>
          <w:highlight w:val="none"/>
        </w:rPr>
      </w:pPr>
    </w:p>
    <w:p>
      <w:pPr>
        <w:spacing w:line="360" w:lineRule="auto"/>
        <w:ind w:left="420"/>
        <w:rPr>
          <w:rFonts w:ascii="宋体" w:hAnsi="宋体"/>
          <w:color w:val="auto"/>
          <w:sz w:val="24"/>
          <w:highlight w:val="none"/>
          <w:u w:val="single"/>
        </w:rPr>
      </w:pPr>
      <w:r>
        <w:rPr>
          <w:rFonts w:hint="eastAsia" w:ascii="宋体" w:hAnsi="宋体"/>
          <w:color w:val="auto"/>
          <w:sz w:val="24"/>
          <w:highlight w:val="none"/>
        </w:rPr>
        <w:t>投标人名称（电子印章）：</w:t>
      </w:r>
    </w:p>
    <w:p>
      <w:pPr>
        <w:spacing w:line="360" w:lineRule="auto"/>
        <w:ind w:left="420"/>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投标人代表签字或电子印章：</w:t>
      </w:r>
    </w:p>
    <w:p>
      <w:pPr>
        <w:spacing w:line="360" w:lineRule="auto"/>
        <w:ind w:firstLine="435"/>
        <w:rPr>
          <w:rFonts w:ascii="宋体" w:hAnsi="宋体"/>
          <w:color w:val="auto"/>
          <w:sz w:val="24"/>
          <w:highlight w:val="none"/>
        </w:rPr>
      </w:pPr>
    </w:p>
    <w:p>
      <w:pPr>
        <w:spacing w:line="360" w:lineRule="auto"/>
        <w:ind w:firstLine="435"/>
        <w:rPr>
          <w:rFonts w:ascii="宋体" w:hAnsi="宋体"/>
          <w:color w:val="auto"/>
          <w:sz w:val="24"/>
          <w:highlight w:val="none"/>
          <w:u w:val="single"/>
        </w:rPr>
      </w:pPr>
      <w:r>
        <w:rPr>
          <w:rFonts w:hint="eastAsia" w:ascii="宋体" w:hAnsi="宋体"/>
          <w:color w:val="auto"/>
          <w:sz w:val="24"/>
          <w:highlight w:val="none"/>
        </w:rPr>
        <w:t>职        务：</w:t>
      </w:r>
    </w:p>
    <w:p>
      <w:pPr>
        <w:spacing w:line="360" w:lineRule="auto"/>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日        期：</w:t>
      </w:r>
    </w:p>
    <w:p>
      <w:pPr>
        <w:rPr>
          <w:rFonts w:ascii="仿宋" w:hAnsi="仿宋" w:eastAsia="仿宋"/>
          <w:snapToGrid w:val="0"/>
          <w:color w:val="auto"/>
          <w:kern w:val="0"/>
          <w:sz w:val="24"/>
          <w:highlight w:val="none"/>
        </w:rPr>
      </w:pPr>
      <w:r>
        <w:rPr>
          <w:rFonts w:ascii="仿宋" w:hAnsi="仿宋" w:eastAsia="仿宋"/>
          <w:snapToGrid w:val="0"/>
          <w:color w:val="auto"/>
          <w:kern w:val="0"/>
          <w:sz w:val="24"/>
          <w:highlight w:val="none"/>
        </w:rPr>
        <w:br w:type="page"/>
      </w:r>
    </w:p>
    <w:p>
      <w:pPr>
        <w:spacing w:line="360" w:lineRule="auto"/>
        <w:ind w:right="-110"/>
        <w:jc w:val="left"/>
        <w:rPr>
          <w:rFonts w:hint="eastAsia" w:ascii="宋体" w:hAnsi="宋体" w:eastAsia="宋体"/>
          <w:color w:val="auto"/>
          <w:sz w:val="52"/>
          <w:szCs w:val="52"/>
          <w:highlight w:val="none"/>
          <w:lang w:eastAsia="zh-CN"/>
        </w:rPr>
      </w:pPr>
      <w:r>
        <w:rPr>
          <w:rFonts w:hint="eastAsia" w:ascii="宋体" w:hAnsi="宋体"/>
          <w:b/>
          <w:color w:val="auto"/>
          <w:sz w:val="28"/>
          <w:highlight w:val="none"/>
        </w:rPr>
        <w:t>附件1</w:t>
      </w:r>
      <w:r>
        <w:rPr>
          <w:rFonts w:hint="eastAsia" w:ascii="宋体" w:hAnsi="宋体"/>
          <w:b/>
          <w:color w:val="auto"/>
          <w:sz w:val="28"/>
          <w:highlight w:val="none"/>
          <w:lang w:val="en-US" w:eastAsia="zh-CN"/>
        </w:rPr>
        <w:t>4</w:t>
      </w:r>
    </w:p>
    <w:p>
      <w:pPr>
        <w:jc w:val="center"/>
        <w:rPr>
          <w:color w:val="auto"/>
          <w:sz w:val="52"/>
          <w:szCs w:val="52"/>
          <w:highlight w:val="none"/>
        </w:rPr>
      </w:pPr>
      <w:bookmarkStart w:id="63" w:name="_Toc30468_WPSOffice_Level1"/>
      <w:bookmarkStart w:id="64" w:name="_Toc21322_WPSOffice_Level1"/>
      <w:bookmarkStart w:id="65" w:name="_Toc4615_WPSOffice_Level1"/>
      <w:r>
        <w:rPr>
          <w:rFonts w:hint="eastAsia"/>
          <w:color w:val="auto"/>
          <w:sz w:val="52"/>
          <w:szCs w:val="52"/>
          <w:highlight w:val="none"/>
        </w:rPr>
        <w:t>项目名称</w:t>
      </w:r>
      <w:bookmarkEnd w:id="63"/>
      <w:bookmarkEnd w:id="64"/>
      <w:bookmarkEnd w:id="65"/>
    </w:p>
    <w:p>
      <w:pPr>
        <w:spacing w:beforeLines="100" w:line="360" w:lineRule="auto"/>
        <w:ind w:right="-108"/>
        <w:jc w:val="center"/>
        <w:rPr>
          <w:rFonts w:ascii="宋体" w:hAnsi="宋体"/>
          <w:color w:val="auto"/>
          <w:sz w:val="36"/>
          <w:szCs w:val="36"/>
          <w:highlight w:val="none"/>
        </w:rPr>
      </w:pPr>
      <w:r>
        <w:rPr>
          <w:rFonts w:hint="eastAsia" w:ascii="宋体" w:hAnsi="宋体"/>
          <w:color w:val="auto"/>
          <w:sz w:val="36"/>
          <w:szCs w:val="36"/>
          <w:highlight w:val="none"/>
        </w:rPr>
        <w:t>项目编号：（</w:t>
      </w:r>
      <w:r>
        <w:rPr>
          <w:rFonts w:hint="eastAsia" w:ascii="宋体" w:hAnsi="宋体"/>
          <w:color w:val="auto"/>
          <w:sz w:val="36"/>
          <w:szCs w:val="36"/>
          <w:highlight w:val="none"/>
          <w:lang w:eastAsia="zh-CN"/>
        </w:rPr>
        <w:t>标项</w:t>
      </w:r>
      <w:r>
        <w:rPr>
          <w:rFonts w:hint="eastAsia" w:ascii="宋体" w:hAnsi="宋体"/>
          <w:color w:val="auto"/>
          <w:sz w:val="36"/>
          <w:szCs w:val="36"/>
          <w:highlight w:val="none"/>
        </w:rPr>
        <w:t>）</w:t>
      </w:r>
    </w:p>
    <w:p>
      <w:pPr>
        <w:pStyle w:val="2"/>
        <w:rPr>
          <w:color w:val="auto"/>
          <w:highlight w:val="none"/>
        </w:rPr>
      </w:pPr>
    </w:p>
    <w:p>
      <w:pPr>
        <w:jc w:val="center"/>
        <w:rPr>
          <w:color w:val="auto"/>
          <w:sz w:val="84"/>
          <w:szCs w:val="84"/>
          <w:highlight w:val="none"/>
        </w:rPr>
      </w:pPr>
      <w:bookmarkStart w:id="66" w:name="_Toc9453_WPSOffice_Level1"/>
      <w:bookmarkStart w:id="67" w:name="_Toc8885_WPSOffice_Level1"/>
      <w:r>
        <w:rPr>
          <w:rFonts w:hint="eastAsia"/>
          <w:color w:val="auto"/>
          <w:sz w:val="84"/>
          <w:szCs w:val="84"/>
          <w:highlight w:val="none"/>
        </w:rPr>
        <w:t>报</w:t>
      </w:r>
      <w:bookmarkEnd w:id="66"/>
      <w:bookmarkEnd w:id="67"/>
    </w:p>
    <w:p>
      <w:pPr>
        <w:jc w:val="center"/>
        <w:rPr>
          <w:color w:val="auto"/>
          <w:sz w:val="84"/>
          <w:szCs w:val="84"/>
          <w:highlight w:val="none"/>
        </w:rPr>
      </w:pPr>
      <w:bookmarkStart w:id="68" w:name="_Toc10910_WPSOffice_Level1"/>
      <w:bookmarkStart w:id="69" w:name="_Toc7485_WPSOffice_Level1"/>
      <w:r>
        <w:rPr>
          <w:rFonts w:hint="eastAsia"/>
          <w:color w:val="auto"/>
          <w:sz w:val="84"/>
          <w:szCs w:val="84"/>
          <w:highlight w:val="none"/>
        </w:rPr>
        <w:t>价</w:t>
      </w:r>
      <w:bookmarkEnd w:id="68"/>
      <w:bookmarkEnd w:id="69"/>
    </w:p>
    <w:p>
      <w:pPr>
        <w:jc w:val="center"/>
        <w:rPr>
          <w:color w:val="auto"/>
          <w:sz w:val="84"/>
          <w:szCs w:val="84"/>
          <w:highlight w:val="none"/>
        </w:rPr>
      </w:pPr>
      <w:bookmarkStart w:id="70" w:name="_Toc3932_WPSOffice_Level1"/>
      <w:bookmarkStart w:id="71" w:name="_Toc14572_WPSOffice_Level1"/>
      <w:r>
        <w:rPr>
          <w:rFonts w:hint="eastAsia"/>
          <w:color w:val="auto"/>
          <w:sz w:val="84"/>
          <w:szCs w:val="84"/>
          <w:highlight w:val="none"/>
        </w:rPr>
        <w:t>文</w:t>
      </w:r>
      <w:bookmarkEnd w:id="70"/>
      <w:bookmarkEnd w:id="71"/>
    </w:p>
    <w:p>
      <w:pPr>
        <w:jc w:val="center"/>
        <w:rPr>
          <w:color w:val="auto"/>
          <w:sz w:val="84"/>
          <w:szCs w:val="84"/>
          <w:highlight w:val="none"/>
        </w:rPr>
      </w:pPr>
      <w:bookmarkStart w:id="72" w:name="_Toc7562_WPSOffice_Level1"/>
      <w:bookmarkStart w:id="73" w:name="_Toc16973_WPSOffice_Level1"/>
      <w:r>
        <w:rPr>
          <w:rFonts w:hint="eastAsia"/>
          <w:color w:val="auto"/>
          <w:sz w:val="84"/>
          <w:szCs w:val="84"/>
          <w:highlight w:val="none"/>
        </w:rPr>
        <w:t>件</w:t>
      </w:r>
      <w:bookmarkEnd w:id="72"/>
      <w:bookmarkEnd w:id="73"/>
    </w:p>
    <w:p>
      <w:pPr>
        <w:spacing w:line="360" w:lineRule="auto"/>
        <w:ind w:right="532"/>
        <w:rPr>
          <w:rFonts w:ascii="宋体" w:hAnsi="宋体"/>
          <w:color w:val="auto"/>
          <w:sz w:val="36"/>
          <w:szCs w:val="36"/>
          <w:highlight w:val="none"/>
        </w:rPr>
      </w:pPr>
    </w:p>
    <w:p>
      <w:pPr>
        <w:spacing w:line="360" w:lineRule="auto"/>
        <w:ind w:right="532"/>
        <w:jc w:val="center"/>
        <w:rPr>
          <w:rFonts w:ascii="宋体" w:hAnsi="宋体"/>
          <w:color w:val="auto"/>
          <w:sz w:val="36"/>
          <w:szCs w:val="36"/>
          <w:highlight w:val="none"/>
        </w:rPr>
      </w:pPr>
    </w:p>
    <w:p>
      <w:pPr>
        <w:spacing w:line="360" w:lineRule="auto"/>
        <w:ind w:right="532" w:firstLine="720" w:firstLineChars="200"/>
        <w:rPr>
          <w:rFonts w:ascii="宋体" w:hAnsi="宋体"/>
          <w:color w:val="auto"/>
          <w:sz w:val="36"/>
          <w:szCs w:val="36"/>
          <w:highlight w:val="none"/>
        </w:rPr>
      </w:pPr>
      <w:bookmarkStart w:id="74" w:name="_Toc26700_WPSOffice_Level1"/>
      <w:bookmarkStart w:id="75" w:name="_Toc4603_WPSOffice_Level1"/>
      <w:r>
        <w:rPr>
          <w:rFonts w:hint="eastAsia" w:ascii="宋体" w:hAnsi="宋体"/>
          <w:color w:val="auto"/>
          <w:sz w:val="36"/>
          <w:szCs w:val="36"/>
          <w:highlight w:val="none"/>
        </w:rPr>
        <w:t>投标人全称（电子印章）：</w:t>
      </w:r>
      <w:bookmarkEnd w:id="74"/>
      <w:bookmarkEnd w:id="75"/>
    </w:p>
    <w:p>
      <w:pPr>
        <w:spacing w:line="360" w:lineRule="auto"/>
        <w:ind w:right="-108" w:firstLine="720" w:firstLineChars="200"/>
        <w:rPr>
          <w:rFonts w:ascii="宋体" w:hAnsi="宋体"/>
          <w:color w:val="auto"/>
          <w:sz w:val="36"/>
          <w:szCs w:val="36"/>
          <w:highlight w:val="none"/>
        </w:rPr>
      </w:pPr>
      <w:bookmarkStart w:id="76" w:name="_Toc32593_WPSOffice_Level1"/>
      <w:bookmarkStart w:id="77" w:name="_Toc1391_WPSOffice_Level1"/>
      <w:r>
        <w:rPr>
          <w:rFonts w:hint="eastAsia" w:ascii="宋体" w:hAnsi="宋体"/>
          <w:color w:val="auto"/>
          <w:sz w:val="36"/>
          <w:szCs w:val="36"/>
          <w:highlight w:val="none"/>
        </w:rPr>
        <w:t>地    址：</w:t>
      </w:r>
      <w:bookmarkEnd w:id="76"/>
      <w:bookmarkEnd w:id="77"/>
    </w:p>
    <w:p>
      <w:pPr>
        <w:spacing w:line="360" w:lineRule="auto"/>
        <w:ind w:right="-108" w:firstLine="720" w:firstLineChars="200"/>
        <w:rPr>
          <w:rFonts w:ascii="宋体" w:hAnsi="宋体"/>
          <w:color w:val="auto"/>
          <w:sz w:val="36"/>
          <w:szCs w:val="36"/>
          <w:highlight w:val="none"/>
        </w:rPr>
      </w:pPr>
      <w:bookmarkStart w:id="78" w:name="_Toc3791_WPSOffice_Level1"/>
      <w:bookmarkStart w:id="79" w:name="_Toc20938_WPSOffice_Level1"/>
      <w:r>
        <w:rPr>
          <w:rFonts w:hint="eastAsia" w:ascii="宋体" w:hAnsi="宋体"/>
          <w:color w:val="auto"/>
          <w:sz w:val="36"/>
          <w:szCs w:val="36"/>
          <w:highlight w:val="none"/>
        </w:rPr>
        <w:t>时    间：</w:t>
      </w:r>
      <w:bookmarkEnd w:id="78"/>
      <w:bookmarkEnd w:id="79"/>
    </w:p>
    <w:p>
      <w:pPr>
        <w:spacing w:line="360" w:lineRule="auto"/>
        <w:ind w:right="-108"/>
        <w:jc w:val="center"/>
        <w:rPr>
          <w:rFonts w:ascii="仿宋_GB2312" w:hAnsi="宋体" w:eastAsia="仿宋_GB2312"/>
          <w:b/>
          <w:color w:val="auto"/>
          <w:sz w:val="36"/>
          <w:szCs w:val="36"/>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8"/>
        <w:rPr>
          <w:rFonts w:ascii="仿宋_GB2312" w:hAnsi="宋体" w:eastAsia="仿宋_GB2312"/>
          <w:b/>
          <w:color w:val="auto"/>
          <w:sz w:val="36"/>
          <w:szCs w:val="36"/>
          <w:highlight w:val="none"/>
        </w:rPr>
      </w:pPr>
    </w:p>
    <w:p>
      <w:pPr>
        <w:pStyle w:val="8"/>
        <w:rPr>
          <w:rFonts w:ascii="仿宋_GB2312" w:hAnsi="宋体" w:eastAsia="仿宋_GB2312"/>
          <w:b/>
          <w:color w:val="auto"/>
          <w:sz w:val="36"/>
          <w:szCs w:val="36"/>
          <w:highlight w:val="none"/>
        </w:rPr>
      </w:pPr>
    </w:p>
    <w:p>
      <w:pPr>
        <w:jc w:val="center"/>
        <w:rPr>
          <w:b/>
          <w:bCs/>
          <w:color w:val="auto"/>
          <w:sz w:val="32"/>
          <w:szCs w:val="32"/>
          <w:highlight w:val="none"/>
        </w:rPr>
      </w:pPr>
      <w:bookmarkStart w:id="80" w:name="_Toc29537_WPSOffice_Level1"/>
      <w:bookmarkStart w:id="81" w:name="_Toc19972_WPSOffice_Level1"/>
      <w:r>
        <w:rPr>
          <w:rFonts w:hint="eastAsia"/>
          <w:b/>
          <w:bCs/>
          <w:color w:val="auto"/>
          <w:sz w:val="32"/>
          <w:szCs w:val="32"/>
          <w:highlight w:val="none"/>
        </w:rPr>
        <w:t>报价文件目录</w:t>
      </w:r>
      <w:bookmarkEnd w:id="80"/>
      <w:bookmarkEnd w:id="81"/>
    </w:p>
    <w:p>
      <w:pPr>
        <w:spacing w:line="360" w:lineRule="auto"/>
        <w:ind w:firstLine="480" w:firstLineChars="200"/>
        <w:rPr>
          <w:color w:val="auto"/>
          <w:sz w:val="24"/>
          <w:highlight w:val="none"/>
        </w:rPr>
      </w:pPr>
    </w:p>
    <w:p>
      <w:pPr>
        <w:spacing w:line="360" w:lineRule="auto"/>
        <w:ind w:firstLine="480" w:firstLineChars="200"/>
        <w:rPr>
          <w:color w:val="auto"/>
          <w:sz w:val="24"/>
          <w:highlight w:val="none"/>
        </w:rPr>
      </w:pPr>
    </w:p>
    <w:p>
      <w:pPr>
        <w:spacing w:line="360" w:lineRule="auto"/>
        <w:ind w:firstLine="480" w:firstLineChars="200"/>
        <w:rPr>
          <w:rFonts w:hint="eastAsia"/>
          <w:color w:val="auto"/>
          <w:sz w:val="24"/>
          <w:highlight w:val="none"/>
        </w:rPr>
      </w:pPr>
      <w:r>
        <w:rPr>
          <w:rFonts w:hint="eastAsia"/>
          <w:color w:val="auto"/>
          <w:sz w:val="24"/>
          <w:highlight w:val="none"/>
        </w:rPr>
        <w:t>（1）开标一览表（格式见附件）；</w:t>
      </w:r>
    </w:p>
    <w:p>
      <w:pPr>
        <w:spacing w:line="360" w:lineRule="auto"/>
        <w:ind w:firstLine="480" w:firstLineChars="200"/>
        <w:rPr>
          <w:color w:val="auto"/>
          <w:sz w:val="24"/>
          <w:highlight w:val="none"/>
        </w:rPr>
      </w:pPr>
      <w:r>
        <w:rPr>
          <w:rFonts w:hint="eastAsia"/>
          <w:color w:val="auto"/>
          <w:sz w:val="24"/>
          <w:highlight w:val="none"/>
        </w:rPr>
        <w:t>（</w:t>
      </w:r>
      <w:r>
        <w:rPr>
          <w:rFonts w:hint="eastAsia"/>
          <w:color w:val="auto"/>
          <w:sz w:val="24"/>
          <w:highlight w:val="none"/>
          <w:lang w:val="en-US" w:eastAsia="zh-CN"/>
        </w:rPr>
        <w:t>2</w:t>
      </w:r>
      <w:r>
        <w:rPr>
          <w:rFonts w:hint="eastAsia"/>
          <w:color w:val="auto"/>
          <w:sz w:val="24"/>
          <w:highlight w:val="none"/>
        </w:rPr>
        <w:t>）针对报价投标人认为其他需要说明的（如有）。</w:t>
      </w:r>
    </w:p>
    <w:p>
      <w:pPr>
        <w:spacing w:line="360" w:lineRule="auto"/>
        <w:ind w:firstLine="480" w:firstLineChars="200"/>
        <w:rPr>
          <w:color w:val="auto"/>
          <w:sz w:val="24"/>
          <w:highlight w:val="none"/>
        </w:rPr>
      </w:pPr>
    </w:p>
    <w:p>
      <w:pPr>
        <w:spacing w:line="360" w:lineRule="auto"/>
        <w:ind w:firstLine="482" w:firstLineChars="200"/>
        <w:rPr>
          <w:rFonts w:ascii="宋体" w:hAnsi="宋体"/>
          <w:b/>
          <w:color w:val="auto"/>
          <w:sz w:val="24"/>
          <w:highlight w:val="none"/>
        </w:rPr>
      </w:pPr>
    </w:p>
    <w:p>
      <w:pPr>
        <w:spacing w:line="360" w:lineRule="auto"/>
        <w:ind w:firstLine="482" w:firstLineChars="200"/>
        <w:rPr>
          <w:rFonts w:ascii="宋体" w:hAnsi="宋体"/>
          <w:b/>
          <w:color w:val="auto"/>
          <w:sz w:val="24"/>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spacing w:line="360" w:lineRule="auto"/>
        <w:ind w:left="480"/>
        <w:rPr>
          <w:rFonts w:ascii="宋体" w:hAnsi="宋体"/>
          <w:b/>
          <w:color w:val="auto"/>
          <w:sz w:val="28"/>
          <w:highlight w:val="none"/>
        </w:rPr>
      </w:pPr>
    </w:p>
    <w:p>
      <w:pPr>
        <w:rPr>
          <w:rFonts w:ascii="宋体" w:hAnsi="宋体"/>
          <w:b/>
          <w:color w:val="auto"/>
          <w:sz w:val="28"/>
          <w:highlight w:val="none"/>
        </w:rPr>
      </w:pPr>
      <w:r>
        <w:rPr>
          <w:rFonts w:ascii="宋体" w:hAnsi="宋体"/>
          <w:b/>
          <w:color w:val="auto"/>
          <w:sz w:val="28"/>
          <w:highlight w:val="none"/>
        </w:rPr>
        <w:br w:type="page"/>
      </w:r>
    </w:p>
    <w:p>
      <w:pPr>
        <w:spacing w:line="360" w:lineRule="auto"/>
        <w:rPr>
          <w:rFonts w:ascii="宋体" w:hAnsi="宋体"/>
          <w:b/>
          <w:color w:val="auto"/>
          <w:sz w:val="28"/>
          <w:highlight w:val="none"/>
        </w:rPr>
      </w:pPr>
      <w:r>
        <w:rPr>
          <w:rFonts w:hint="eastAsia" w:ascii="宋体" w:hAnsi="宋体"/>
          <w:b/>
          <w:color w:val="auto"/>
          <w:sz w:val="28"/>
          <w:highlight w:val="none"/>
        </w:rPr>
        <w:t>附件16</w:t>
      </w:r>
    </w:p>
    <w:p>
      <w:pPr>
        <w:spacing w:line="360" w:lineRule="auto"/>
        <w:ind w:left="-2" w:hanging="2"/>
        <w:jc w:val="center"/>
        <w:rPr>
          <w:rFonts w:ascii="宋体" w:hAnsi="宋体"/>
          <w:b/>
          <w:color w:val="auto"/>
          <w:sz w:val="32"/>
          <w:szCs w:val="32"/>
          <w:highlight w:val="none"/>
        </w:rPr>
      </w:pPr>
      <w:bookmarkStart w:id="82" w:name="_Toc30363_WPSOffice_Level1"/>
      <w:bookmarkStart w:id="83" w:name="_Toc16144_WPSOffice_Level1"/>
      <w:r>
        <w:rPr>
          <w:rFonts w:hint="eastAsia" w:ascii="宋体" w:hAnsi="宋体"/>
          <w:b/>
          <w:color w:val="auto"/>
          <w:sz w:val="32"/>
          <w:szCs w:val="32"/>
          <w:highlight w:val="none"/>
        </w:rPr>
        <w:t xml:space="preserve">开标一览表 </w:t>
      </w:r>
      <w:bookmarkEnd w:id="82"/>
      <w:bookmarkEnd w:id="83"/>
    </w:p>
    <w:p>
      <w:pPr>
        <w:pStyle w:val="37"/>
        <w:spacing w:line="360" w:lineRule="auto"/>
        <w:ind w:right="480" w:firstLine="482" w:firstLineChars="200"/>
        <w:jc w:val="left"/>
        <w:rPr>
          <w:rFonts w:hAnsi="宋体"/>
          <w:color w:val="auto"/>
          <w:sz w:val="24"/>
          <w:highlight w:val="none"/>
        </w:rPr>
      </w:pPr>
      <w:r>
        <w:rPr>
          <w:rFonts w:hAnsi="宋体"/>
          <w:b/>
          <w:color w:val="auto"/>
          <w:sz w:val="24"/>
          <w:highlight w:val="none"/>
        </w:rPr>
        <w:t>项目名称：</w:t>
      </w:r>
      <w:r>
        <w:rPr>
          <w:rFonts w:hint="eastAsia" w:ascii="宋体" w:hAnsi="宋体"/>
          <w:color w:val="auto"/>
          <w:sz w:val="24"/>
          <w:highlight w:val="none"/>
        </w:rPr>
        <w:t xml:space="preserve">                             [货币单位：人民币元]</w:t>
      </w:r>
    </w:p>
    <w:tbl>
      <w:tblPr>
        <w:tblStyle w:val="19"/>
        <w:tblpPr w:leftFromText="181" w:rightFromText="181" w:bottomFromText="170" w:vertAnchor="text" w:tblpXSpec="center" w:tblpY="1"/>
        <w:tblOverlap w:val="never"/>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1349"/>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469" w:hRule="atLeast"/>
          <w:jc w:val="center"/>
        </w:trPr>
        <w:tc>
          <w:tcPr>
            <w:tcW w:w="2694" w:type="dxa"/>
            <w:vMerge w:val="restart"/>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auto"/>
                <w:sz w:val="24"/>
                <w:highlight w:val="none"/>
              </w:rPr>
            </w:pPr>
            <w:r>
              <w:rPr>
                <w:rFonts w:hint="eastAsia" w:ascii="宋体" w:hAnsi="宋体"/>
                <w:color w:val="auto"/>
                <w:sz w:val="24"/>
                <w:highlight w:val="none"/>
              </w:rPr>
              <w:t>投标总报价（结算率）</w:t>
            </w:r>
          </w:p>
          <w:p>
            <w:pPr>
              <w:autoSpaceDE w:val="0"/>
              <w:autoSpaceDN w:val="0"/>
              <w:spacing w:line="450" w:lineRule="exact"/>
              <w:jc w:val="center"/>
              <w:textAlignment w:val="bottom"/>
              <w:rPr>
                <w:rFonts w:ascii="宋体" w:hAnsi="宋体"/>
                <w:color w:val="auto"/>
                <w:sz w:val="24"/>
                <w:highlight w:val="none"/>
              </w:rPr>
            </w:pPr>
            <w:r>
              <w:rPr>
                <w:rFonts w:hint="eastAsia" w:ascii="宋体" w:hAnsi="宋体"/>
                <w:b/>
                <w:bCs/>
                <w:color w:val="auto"/>
                <w:sz w:val="24"/>
                <w:highlight w:val="none"/>
              </w:rPr>
              <w:t>结算率不得高于</w:t>
            </w:r>
            <w:r>
              <w:rPr>
                <w:rFonts w:hint="eastAsia" w:ascii="宋体" w:hAnsi="宋体"/>
                <w:b/>
                <w:bCs/>
                <w:color w:val="auto"/>
                <w:sz w:val="24"/>
                <w:highlight w:val="none"/>
                <w:lang w:val="en-US" w:eastAsia="zh-CN"/>
              </w:rPr>
              <w:t>100</w:t>
            </w:r>
            <w:r>
              <w:rPr>
                <w:rFonts w:hint="eastAsia" w:ascii="宋体" w:hAnsi="宋体"/>
                <w:b/>
                <w:bCs/>
                <w:color w:val="auto"/>
                <w:sz w:val="24"/>
                <w:highlight w:val="none"/>
              </w:rPr>
              <w:t>%</w:t>
            </w:r>
            <w:r>
              <w:rPr>
                <w:rFonts w:hint="eastAsia" w:ascii="宋体" w:hAnsi="宋体"/>
                <w:color w:val="auto"/>
                <w:sz w:val="24"/>
                <w:highlight w:val="none"/>
              </w:rPr>
              <w:t>，否则作无效标处理</w:t>
            </w:r>
          </w:p>
        </w:tc>
        <w:tc>
          <w:tcPr>
            <w:tcW w:w="1349" w:type="dxa"/>
            <w:tcBorders>
              <w:top w:val="single" w:color="auto" w:sz="12"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auto"/>
                <w:sz w:val="24"/>
                <w:highlight w:val="none"/>
              </w:rPr>
            </w:pPr>
            <w:r>
              <w:rPr>
                <w:rFonts w:hint="eastAsia" w:ascii="宋体" w:hAnsi="宋体"/>
                <w:color w:val="auto"/>
                <w:sz w:val="24"/>
                <w:highlight w:val="none"/>
              </w:rPr>
              <w:t>大写</w:t>
            </w:r>
          </w:p>
        </w:tc>
        <w:tc>
          <w:tcPr>
            <w:tcW w:w="4629"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ind w:firstLine="1440" w:firstLineChars="600"/>
              <w:textAlignment w:val="bottom"/>
              <w:rPr>
                <w:rFonts w:ascii="宋体" w:hAnsi="宋体"/>
                <w:color w:val="auto"/>
                <w:sz w:val="24"/>
                <w:highlight w:val="none"/>
              </w:rPr>
            </w:pPr>
            <w:r>
              <w:rPr>
                <w:rFonts w:hint="eastAsia"/>
                <w:color w:val="auto"/>
                <w:sz w:val="24"/>
                <w:highlight w:val="none"/>
              </w:rPr>
              <w:t>佰分之</w:t>
            </w:r>
            <w:r>
              <w:rPr>
                <w:rFonts w:hint="eastAsia"/>
                <w:color w:val="auto"/>
                <w:sz w:val="24"/>
                <w:highlight w:val="none"/>
                <w:u w:val="single"/>
              </w:rPr>
              <w:t xml:space="preserve">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2694" w:type="dxa"/>
            <w:vMerge w:val="continue"/>
            <w:tcBorders>
              <w:top w:val="single" w:color="auto" w:sz="12" w:space="0"/>
              <w:left w:val="single" w:color="auto" w:sz="12" w:space="0"/>
              <w:bottom w:val="single" w:color="auto" w:sz="4" w:space="0"/>
              <w:right w:val="single" w:color="auto" w:sz="4" w:space="0"/>
            </w:tcBorders>
            <w:vAlign w:val="center"/>
          </w:tcPr>
          <w:p>
            <w:pPr>
              <w:rPr>
                <w:rFonts w:ascii="宋体" w:hAnsi="宋体"/>
                <w:color w:val="auto"/>
                <w:sz w:val="24"/>
                <w:highlight w:val="none"/>
              </w:rPr>
            </w:pPr>
          </w:p>
        </w:tc>
        <w:tc>
          <w:tcPr>
            <w:tcW w:w="134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color w:val="auto"/>
                <w:sz w:val="24"/>
                <w:highlight w:val="none"/>
              </w:rPr>
            </w:pPr>
            <w:r>
              <w:rPr>
                <w:rFonts w:hint="eastAsia" w:ascii="宋体" w:hAnsi="宋体"/>
                <w:color w:val="auto"/>
                <w:sz w:val="24"/>
                <w:highlight w:val="none"/>
              </w:rPr>
              <w:t>小写</w:t>
            </w:r>
          </w:p>
        </w:tc>
        <w:tc>
          <w:tcPr>
            <w:tcW w:w="4629" w:type="dxa"/>
            <w:tcBorders>
              <w:top w:val="single" w:color="auto" w:sz="4" w:space="0"/>
              <w:left w:val="single" w:color="auto" w:sz="4" w:space="0"/>
              <w:bottom w:val="single" w:color="auto" w:sz="4" w:space="0"/>
              <w:right w:val="single" w:color="auto" w:sz="12" w:space="0"/>
            </w:tcBorders>
            <w:vAlign w:val="center"/>
          </w:tcPr>
          <w:p>
            <w:pPr>
              <w:autoSpaceDE w:val="0"/>
              <w:autoSpaceDN w:val="0"/>
              <w:spacing w:line="450" w:lineRule="exact"/>
              <w:ind w:firstLine="1680" w:firstLineChars="700"/>
              <w:textAlignment w:val="bottom"/>
              <w:rPr>
                <w:rFonts w:ascii="宋体" w:hAnsi="宋体"/>
                <w:color w:val="auto"/>
                <w:sz w:val="24"/>
                <w:highlight w:val="none"/>
              </w:rPr>
            </w:pPr>
            <w:r>
              <w:rPr>
                <w:rFonts w:hint="eastAsia"/>
                <w:color w:val="auto"/>
                <w:sz w:val="24"/>
                <w:highlight w:val="none"/>
                <w:u w:val="single"/>
              </w:rPr>
              <w:t xml:space="preserve">       </w:t>
            </w:r>
            <w:r>
              <w:rPr>
                <w:rFonts w:hint="eastAsia"/>
                <w:color w:val="auto"/>
                <w:sz w:val="24"/>
                <w:highlight w:val="none"/>
              </w:rPr>
              <w:t>%</w:t>
            </w:r>
          </w:p>
        </w:tc>
      </w:tr>
    </w:tbl>
    <w:p>
      <w:pPr>
        <w:spacing w:line="360" w:lineRule="auto"/>
        <w:rPr>
          <w:rFonts w:ascii="宋体" w:hAnsi="宋体"/>
          <w:color w:val="auto"/>
          <w:sz w:val="24"/>
          <w:highlight w:val="none"/>
        </w:rPr>
      </w:pPr>
      <w:r>
        <w:rPr>
          <w:rFonts w:hint="eastAsia" w:ascii="宋体" w:hAnsi="宋体"/>
          <w:b/>
          <w:color w:val="auto"/>
          <w:szCs w:val="21"/>
          <w:highlight w:val="none"/>
        </w:rPr>
        <w:t>填报要求：</w:t>
      </w:r>
    </w:p>
    <w:p>
      <w:pPr>
        <w:numPr>
          <w:ilvl w:val="0"/>
          <w:numId w:val="18"/>
        </w:numPr>
        <w:spacing w:line="360" w:lineRule="auto"/>
        <w:ind w:firstLine="420" w:firstLineChars="200"/>
        <w:rPr>
          <w:rFonts w:ascii="宋体" w:hAnsi="宋体"/>
          <w:color w:val="auto"/>
          <w:szCs w:val="21"/>
          <w:highlight w:val="none"/>
        </w:rPr>
      </w:pPr>
      <w:r>
        <w:rPr>
          <w:rFonts w:hint="eastAsia" w:ascii="宋体" w:hAnsi="宋体"/>
          <w:color w:val="auto"/>
          <w:kern w:val="0"/>
          <w:szCs w:val="21"/>
          <w:highlight w:val="none"/>
        </w:rPr>
        <w:t>投标报价包含实现本项目的所有功能及安全保障工作所需费用，，包括（但不限于）材料、设备、劳务、人员工资、奖金、各种加班费、食宿与交通、手续审批、安全、管理、质保、保险、利润、税金、</w:t>
      </w:r>
      <w:r>
        <w:rPr>
          <w:rFonts w:hint="eastAsia" w:ascii="宋体" w:hAnsi="宋体"/>
          <w:color w:val="auto"/>
          <w:kern w:val="0"/>
          <w:szCs w:val="21"/>
          <w:highlight w:val="none"/>
          <w:lang w:val="en-US" w:eastAsia="zh-CN"/>
        </w:rPr>
        <w:t>验收费用、招标代理服务费、</w:t>
      </w:r>
      <w:r>
        <w:rPr>
          <w:rFonts w:hint="eastAsia" w:ascii="宋体" w:hAnsi="宋体"/>
          <w:color w:val="auto"/>
          <w:kern w:val="0"/>
          <w:szCs w:val="21"/>
          <w:highlight w:val="none"/>
        </w:rPr>
        <w:t>政策性文件规定及合同包含的所有风险、责任</w:t>
      </w:r>
      <w:r>
        <w:rPr>
          <w:rFonts w:hint="eastAsia" w:ascii="宋体" w:hAnsi="宋体"/>
          <w:color w:val="auto"/>
          <w:kern w:val="0"/>
          <w:szCs w:val="21"/>
          <w:highlight w:val="none"/>
          <w:lang w:eastAsia="zh-CN"/>
        </w:rPr>
        <w:t>、</w:t>
      </w:r>
      <w:r>
        <w:rPr>
          <w:rFonts w:hint="eastAsia" w:ascii="宋体" w:hAnsi="宋体"/>
          <w:color w:val="auto"/>
          <w:kern w:val="0"/>
          <w:szCs w:val="21"/>
          <w:highlight w:val="none"/>
          <w:lang w:val="en-US" w:eastAsia="zh-CN"/>
        </w:rPr>
        <w:t>招标代理服务费</w:t>
      </w:r>
      <w:r>
        <w:rPr>
          <w:rFonts w:hint="eastAsia" w:ascii="宋体" w:hAnsi="宋体"/>
          <w:color w:val="auto"/>
          <w:kern w:val="0"/>
          <w:szCs w:val="21"/>
          <w:highlight w:val="none"/>
        </w:rPr>
        <w:t>等所有费用。</w:t>
      </w:r>
    </w:p>
    <w:p>
      <w:pPr>
        <w:numPr>
          <w:ilvl w:val="0"/>
          <w:numId w:val="18"/>
        </w:numPr>
        <w:spacing w:line="360" w:lineRule="auto"/>
        <w:ind w:firstLine="420" w:firstLineChars="200"/>
        <w:rPr>
          <w:rFonts w:ascii="宋体" w:hAnsi="宋体"/>
          <w:color w:val="auto"/>
          <w:szCs w:val="21"/>
          <w:highlight w:val="none"/>
        </w:rPr>
      </w:pPr>
      <w:r>
        <w:rPr>
          <w:rFonts w:hint="eastAsia" w:ascii="宋体" w:hAnsi="宋体"/>
          <w:color w:val="auto"/>
          <w:kern w:val="0"/>
          <w:szCs w:val="21"/>
          <w:highlight w:val="none"/>
        </w:rPr>
        <w:t>报价一经涂改，应在涂改处加盖单位公章，或者由法定代表人或全权代表签字或盖章，否则其投标作无效标处理。</w:t>
      </w:r>
    </w:p>
    <w:p>
      <w:pPr>
        <w:spacing w:line="360" w:lineRule="auto"/>
        <w:rPr>
          <w:rFonts w:ascii="宋体" w:hAnsi="宋体"/>
          <w:color w:val="auto"/>
          <w:sz w:val="24"/>
          <w:highlight w:val="none"/>
        </w:rPr>
      </w:pPr>
    </w:p>
    <w:p>
      <w:pPr>
        <w:spacing w:line="360" w:lineRule="auto"/>
        <w:ind w:left="420"/>
        <w:rPr>
          <w:rFonts w:ascii="宋体" w:hAnsi="宋体"/>
          <w:color w:val="auto"/>
          <w:sz w:val="24"/>
          <w:highlight w:val="none"/>
          <w:u w:val="single"/>
        </w:rPr>
      </w:pPr>
      <w:r>
        <w:rPr>
          <w:rFonts w:hint="eastAsia" w:ascii="宋体" w:hAnsi="宋体"/>
          <w:color w:val="auto"/>
          <w:sz w:val="24"/>
          <w:highlight w:val="none"/>
        </w:rPr>
        <w:t>投标人名称（电子印章）：</w:t>
      </w:r>
    </w:p>
    <w:p>
      <w:pPr>
        <w:spacing w:line="360" w:lineRule="auto"/>
        <w:ind w:left="420"/>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投标人代表签字或电子印章：</w:t>
      </w:r>
    </w:p>
    <w:p>
      <w:pPr>
        <w:spacing w:line="360" w:lineRule="auto"/>
        <w:ind w:firstLine="435"/>
        <w:rPr>
          <w:rFonts w:ascii="宋体" w:hAnsi="宋体"/>
          <w:color w:val="auto"/>
          <w:sz w:val="24"/>
          <w:highlight w:val="none"/>
        </w:rPr>
      </w:pPr>
    </w:p>
    <w:p>
      <w:pPr>
        <w:spacing w:line="360" w:lineRule="auto"/>
        <w:ind w:firstLine="435"/>
        <w:rPr>
          <w:rFonts w:ascii="宋体" w:hAnsi="宋体"/>
          <w:color w:val="auto"/>
          <w:sz w:val="24"/>
          <w:highlight w:val="none"/>
        </w:rPr>
      </w:pPr>
      <w:r>
        <w:rPr>
          <w:rFonts w:hint="eastAsia" w:ascii="宋体" w:hAnsi="宋体"/>
          <w:color w:val="auto"/>
          <w:sz w:val="24"/>
          <w:highlight w:val="none"/>
        </w:rPr>
        <w:t>职        务：</w:t>
      </w:r>
    </w:p>
    <w:p>
      <w:pPr>
        <w:spacing w:line="360" w:lineRule="auto"/>
        <w:rPr>
          <w:rFonts w:ascii="宋体" w:hAnsi="宋体"/>
          <w:color w:val="auto"/>
          <w:sz w:val="24"/>
          <w:highlight w:val="none"/>
        </w:rPr>
      </w:pPr>
    </w:p>
    <w:p>
      <w:pPr>
        <w:spacing w:line="360" w:lineRule="auto"/>
        <w:ind w:firstLine="435"/>
        <w:rPr>
          <w:rFonts w:ascii="宋体" w:hAnsi="宋体"/>
          <w:b/>
          <w:color w:val="auto"/>
          <w:sz w:val="28"/>
          <w:highlight w:val="none"/>
        </w:rPr>
      </w:pPr>
      <w:r>
        <w:rPr>
          <w:rFonts w:hint="eastAsia" w:ascii="宋体" w:hAnsi="宋体"/>
          <w:color w:val="auto"/>
          <w:sz w:val="24"/>
          <w:highlight w:val="none"/>
        </w:rPr>
        <w:t>日        期：</w:t>
      </w:r>
    </w:p>
    <w:p>
      <w:pPr>
        <w:spacing w:line="360" w:lineRule="auto"/>
        <w:rPr>
          <w:rFonts w:ascii="宋体" w:hAnsi="宋体"/>
          <w:color w:val="auto"/>
          <w:sz w:val="24"/>
          <w:highlight w:val="none"/>
        </w:rPr>
      </w:pPr>
    </w:p>
    <w:p>
      <w:pPr>
        <w:rPr>
          <w:color w:val="auto"/>
        </w:rPr>
      </w:pP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书宋简体">
    <w:altName w:val="宋体"/>
    <w:panose1 w:val="00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4"/>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51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single" w:color="auto" w:sz="4"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ascii="仿宋_GB2312" w:eastAsia="仿宋_GB2312"/>
        <w:sz w:val="24"/>
      </w:rPr>
      <w:t>丽水市政府采购中心</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BCB6C0"/>
    <w:multiLevelType w:val="singleLevel"/>
    <w:tmpl w:val="8ABCB6C0"/>
    <w:lvl w:ilvl="0" w:tentative="0">
      <w:start w:val="2"/>
      <w:numFmt w:val="decimal"/>
      <w:lvlText w:val="%1."/>
      <w:lvlJc w:val="left"/>
      <w:pPr>
        <w:tabs>
          <w:tab w:val="left" w:pos="312"/>
        </w:tabs>
      </w:pPr>
    </w:lvl>
  </w:abstractNum>
  <w:abstractNum w:abstractNumId="1">
    <w:nsid w:val="95CFA382"/>
    <w:multiLevelType w:val="singleLevel"/>
    <w:tmpl w:val="95CFA382"/>
    <w:lvl w:ilvl="0" w:tentative="0">
      <w:start w:val="1"/>
      <w:numFmt w:val="decimal"/>
      <w:suff w:val="nothing"/>
      <w:lvlText w:val="%1、"/>
      <w:lvlJc w:val="left"/>
    </w:lvl>
  </w:abstractNum>
  <w:abstractNum w:abstractNumId="2">
    <w:nsid w:val="9FC77B98"/>
    <w:multiLevelType w:val="singleLevel"/>
    <w:tmpl w:val="9FC77B98"/>
    <w:lvl w:ilvl="0" w:tentative="0">
      <w:start w:val="1"/>
      <w:numFmt w:val="chineseCounting"/>
      <w:suff w:val="nothing"/>
      <w:lvlText w:val="%1、"/>
      <w:lvlJc w:val="left"/>
      <w:rPr>
        <w:rFonts w:hint="eastAsia"/>
      </w:rPr>
    </w:lvl>
  </w:abstractNum>
  <w:abstractNum w:abstractNumId="3">
    <w:nsid w:val="A7051260"/>
    <w:multiLevelType w:val="singleLevel"/>
    <w:tmpl w:val="A7051260"/>
    <w:lvl w:ilvl="0" w:tentative="0">
      <w:start w:val="3"/>
      <w:numFmt w:val="decimal"/>
      <w:suff w:val="nothing"/>
      <w:lvlText w:val="（%1）"/>
      <w:lvlJc w:val="left"/>
    </w:lvl>
  </w:abstractNum>
  <w:abstractNum w:abstractNumId="4">
    <w:nsid w:val="AF3E1766"/>
    <w:multiLevelType w:val="singleLevel"/>
    <w:tmpl w:val="AF3E1766"/>
    <w:lvl w:ilvl="0" w:tentative="0">
      <w:start w:val="1"/>
      <w:numFmt w:val="decimal"/>
      <w:suff w:val="nothing"/>
      <w:lvlText w:val="（%1）"/>
      <w:lvlJc w:val="left"/>
    </w:lvl>
  </w:abstractNum>
  <w:abstractNum w:abstractNumId="5">
    <w:nsid w:val="B3D4544A"/>
    <w:multiLevelType w:val="singleLevel"/>
    <w:tmpl w:val="B3D4544A"/>
    <w:lvl w:ilvl="0" w:tentative="0">
      <w:start w:val="1"/>
      <w:numFmt w:val="decimal"/>
      <w:suff w:val="nothing"/>
      <w:lvlText w:val="%1、"/>
      <w:lvlJc w:val="left"/>
    </w:lvl>
  </w:abstractNum>
  <w:abstractNum w:abstractNumId="6">
    <w:nsid w:val="B49AFF90"/>
    <w:multiLevelType w:val="singleLevel"/>
    <w:tmpl w:val="B49AFF90"/>
    <w:lvl w:ilvl="0" w:tentative="0">
      <w:start w:val="1"/>
      <w:numFmt w:val="decimal"/>
      <w:suff w:val="space"/>
      <w:lvlText w:val="%1."/>
      <w:lvlJc w:val="left"/>
    </w:lvl>
  </w:abstractNum>
  <w:abstractNum w:abstractNumId="7">
    <w:nsid w:val="D3D78852"/>
    <w:multiLevelType w:val="singleLevel"/>
    <w:tmpl w:val="D3D78852"/>
    <w:lvl w:ilvl="0" w:tentative="0">
      <w:start w:val="3"/>
      <w:numFmt w:val="chineseCounting"/>
      <w:suff w:val="nothing"/>
      <w:lvlText w:val="（%1）"/>
      <w:lvlJc w:val="left"/>
      <w:rPr>
        <w:rFonts w:hint="eastAsia"/>
      </w:rPr>
    </w:lvl>
  </w:abstractNum>
  <w:abstractNum w:abstractNumId="8">
    <w:nsid w:val="F36D114A"/>
    <w:multiLevelType w:val="singleLevel"/>
    <w:tmpl w:val="F36D114A"/>
    <w:lvl w:ilvl="0" w:tentative="0">
      <w:start w:val="1"/>
      <w:numFmt w:val="decimal"/>
      <w:suff w:val="nothing"/>
      <w:lvlText w:val="（%1）"/>
      <w:lvlJc w:val="left"/>
    </w:lvl>
  </w:abstractNum>
  <w:abstractNum w:abstractNumId="9">
    <w:nsid w:val="10DB0A64"/>
    <w:multiLevelType w:val="singleLevel"/>
    <w:tmpl w:val="10DB0A64"/>
    <w:lvl w:ilvl="0" w:tentative="0">
      <w:start w:val="14"/>
      <w:numFmt w:val="chineseCounting"/>
      <w:suff w:val="nothing"/>
      <w:lvlText w:val="%1、"/>
      <w:lvlJc w:val="left"/>
      <w:rPr>
        <w:rFonts w:hint="eastAsia"/>
      </w:rPr>
    </w:lvl>
  </w:abstractNum>
  <w:abstractNum w:abstractNumId="10">
    <w:nsid w:val="17CE76C7"/>
    <w:multiLevelType w:val="multilevel"/>
    <w:tmpl w:val="17CE76C7"/>
    <w:lvl w:ilvl="0" w:tentative="0">
      <w:start w:val="1"/>
      <w:numFmt w:val="japaneseCounting"/>
      <w:lvlText w:val="%1、"/>
      <w:lvlJc w:val="left"/>
      <w:pPr>
        <w:ind w:left="761" w:hanging="6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2AD24942"/>
    <w:multiLevelType w:val="singleLevel"/>
    <w:tmpl w:val="2AD24942"/>
    <w:lvl w:ilvl="0" w:tentative="0">
      <w:start w:val="5"/>
      <w:numFmt w:val="decimal"/>
      <w:lvlText w:val="%1."/>
      <w:lvlJc w:val="left"/>
      <w:pPr>
        <w:tabs>
          <w:tab w:val="left" w:pos="312"/>
        </w:tabs>
      </w:pPr>
    </w:lvl>
  </w:abstractNum>
  <w:abstractNum w:abstractNumId="12">
    <w:nsid w:val="2F650465"/>
    <w:multiLevelType w:val="multilevel"/>
    <w:tmpl w:val="2F650465"/>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61E5E94"/>
    <w:multiLevelType w:val="singleLevel"/>
    <w:tmpl w:val="461E5E94"/>
    <w:lvl w:ilvl="0" w:tentative="0">
      <w:start w:val="2"/>
      <w:numFmt w:val="chineseCounting"/>
      <w:suff w:val="space"/>
      <w:lvlText w:val="第%1章"/>
      <w:lvlJc w:val="left"/>
      <w:rPr>
        <w:rFonts w:hint="eastAsia"/>
      </w:rPr>
    </w:lvl>
  </w:abstractNum>
  <w:abstractNum w:abstractNumId="14">
    <w:nsid w:val="4AD8FE00"/>
    <w:multiLevelType w:val="singleLevel"/>
    <w:tmpl w:val="4AD8FE00"/>
    <w:lvl w:ilvl="0" w:tentative="0">
      <w:start w:val="1"/>
      <w:numFmt w:val="decimal"/>
      <w:suff w:val="nothing"/>
      <w:lvlText w:val="（%1）"/>
      <w:lvlJc w:val="left"/>
    </w:lvl>
  </w:abstractNum>
  <w:abstractNum w:abstractNumId="15">
    <w:nsid w:val="636567A2"/>
    <w:multiLevelType w:val="multilevel"/>
    <w:tmpl w:val="636567A2"/>
    <w:lvl w:ilvl="0" w:tentative="0">
      <w:start w:val="1"/>
      <w:numFmt w:val="decimal"/>
      <w:pStyle w:val="4"/>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6">
    <w:nsid w:val="66DDD653"/>
    <w:multiLevelType w:val="singleLevel"/>
    <w:tmpl w:val="66DDD653"/>
    <w:lvl w:ilvl="0" w:tentative="0">
      <w:start w:val="1"/>
      <w:numFmt w:val="chineseCounting"/>
      <w:suff w:val="space"/>
      <w:lvlText w:val="第%1章"/>
      <w:lvlJc w:val="left"/>
      <w:rPr>
        <w:rFonts w:hint="eastAsia"/>
      </w:rPr>
    </w:lvl>
  </w:abstractNum>
  <w:abstractNum w:abstractNumId="17">
    <w:nsid w:val="7A3B6B16"/>
    <w:multiLevelType w:val="multilevel"/>
    <w:tmpl w:val="7A3B6B16"/>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5"/>
  </w:num>
  <w:num w:numId="2">
    <w:abstractNumId w:val="16"/>
  </w:num>
  <w:num w:numId="3">
    <w:abstractNumId w:val="7"/>
  </w:num>
  <w:num w:numId="4">
    <w:abstractNumId w:val="13"/>
  </w:num>
  <w:num w:numId="5">
    <w:abstractNumId w:val="4"/>
  </w:num>
  <w:num w:numId="6">
    <w:abstractNumId w:val="10"/>
  </w:num>
  <w:num w:numId="7">
    <w:abstractNumId w:val="5"/>
  </w:num>
  <w:num w:numId="8">
    <w:abstractNumId w:val="12"/>
  </w:num>
  <w:num w:numId="9">
    <w:abstractNumId w:val="17"/>
  </w:num>
  <w:num w:numId="10">
    <w:abstractNumId w:val="3"/>
  </w:num>
  <w:num w:numId="11">
    <w:abstractNumId w:val="14"/>
  </w:num>
  <w:num w:numId="12">
    <w:abstractNumId w:val="0"/>
  </w:num>
  <w:num w:numId="13">
    <w:abstractNumId w:val="2"/>
  </w:num>
  <w:num w:numId="14">
    <w:abstractNumId w:val="11"/>
  </w:num>
  <w:num w:numId="15">
    <w:abstractNumId w:val="9"/>
  </w:num>
  <w:num w:numId="16">
    <w:abstractNumId w:val="8"/>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xZTUxYTJhNjFjMjU2ZjM0MjZkMjBlZWZlOGJhZmYifQ=="/>
  </w:docVars>
  <w:rsids>
    <w:rsidRoot w:val="16021DC2"/>
    <w:rsid w:val="16021DC2"/>
    <w:rsid w:val="2B015160"/>
    <w:rsid w:val="338C6A4A"/>
    <w:rsid w:val="3D704F30"/>
    <w:rsid w:val="40DC6BB7"/>
    <w:rsid w:val="435F7698"/>
    <w:rsid w:val="55FE7902"/>
    <w:rsid w:val="701C57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5">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6">
    <w:name w:val="heading 3"/>
    <w:basedOn w:val="1"/>
    <w:next w:val="1"/>
    <w:semiHidden/>
    <w:unhideWhenUsed/>
    <w:qFormat/>
    <w:uiPriority w:val="0"/>
    <w:pPr>
      <w:keepNext/>
      <w:keepLines/>
      <w:tabs>
        <w:tab w:val="left" w:pos="8280"/>
      </w:tabs>
      <w:spacing w:before="260" w:after="260" w:line="416" w:lineRule="auto"/>
      <w:outlineLvl w:val="2"/>
    </w:pPr>
    <w:rPr>
      <w:bCs/>
      <w:szCs w:val="32"/>
    </w:rPr>
  </w:style>
  <w:style w:type="paragraph" w:styleId="7">
    <w:name w:val="heading 4"/>
    <w:basedOn w:val="1"/>
    <w:next w:val="1"/>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pPr>
  </w:style>
  <w:style w:type="paragraph" w:styleId="3">
    <w:name w:val="Body Text Indent"/>
    <w:basedOn w:val="1"/>
    <w:next w:val="1"/>
    <w:qFormat/>
    <w:uiPriority w:val="0"/>
    <w:pPr>
      <w:spacing w:after="120"/>
      <w:ind w:left="420" w:leftChars="200"/>
    </w:pPr>
  </w:style>
  <w:style w:type="paragraph" w:styleId="8">
    <w:name w:val="Normal Indent"/>
    <w:basedOn w:val="1"/>
    <w:next w:val="1"/>
    <w:qFormat/>
    <w:uiPriority w:val="0"/>
    <w:pPr>
      <w:ind w:firstLine="420"/>
    </w:pPr>
    <w:rPr>
      <w:szCs w:val="20"/>
    </w:rPr>
  </w:style>
  <w:style w:type="paragraph" w:styleId="9">
    <w:name w:val="annotation text"/>
    <w:basedOn w:val="1"/>
    <w:qFormat/>
    <w:uiPriority w:val="0"/>
    <w:pPr>
      <w:jc w:val="left"/>
    </w:pPr>
  </w:style>
  <w:style w:type="paragraph" w:styleId="10">
    <w:name w:val="Closing"/>
    <w:basedOn w:val="1"/>
    <w:semiHidden/>
    <w:qFormat/>
    <w:uiPriority w:val="0"/>
    <w:pPr>
      <w:ind w:left="4320"/>
    </w:pPr>
    <w:rPr>
      <w:kern w:val="1"/>
    </w:rPr>
  </w:style>
  <w:style w:type="paragraph" w:styleId="11">
    <w:name w:val="Body Text"/>
    <w:basedOn w:val="1"/>
    <w:next w:val="10"/>
    <w:qFormat/>
    <w:uiPriority w:val="0"/>
    <w:pPr>
      <w:spacing w:line="360" w:lineRule="exact"/>
    </w:pPr>
    <w:rPr>
      <w:sz w:val="24"/>
    </w:rPr>
  </w:style>
  <w:style w:type="paragraph" w:styleId="12">
    <w:name w:val="Plain Text"/>
    <w:basedOn w:val="1"/>
    <w:next w:val="13"/>
    <w:qFormat/>
    <w:uiPriority w:val="0"/>
    <w:rPr>
      <w:rFonts w:ascii="宋体" w:hAnsi="Courier New" w:cstheme="minorBidi"/>
    </w:rPr>
  </w:style>
  <w:style w:type="paragraph" w:styleId="13">
    <w:name w:val="Date"/>
    <w:basedOn w:val="1"/>
    <w:next w:val="1"/>
    <w:qFormat/>
    <w:uiPriority w:val="0"/>
    <w:pPr>
      <w:ind w:left="2500" w:leftChars="2500"/>
    </w:pPr>
    <w:rPr>
      <w:rFonts w:eastAsia="楷体_GB2312" w:asciiTheme="minorHAnsi" w:hAnsiTheme="minorHAnsi" w:cstheme="minorBidi"/>
      <w:sz w:val="32"/>
      <w:szCs w:val="22"/>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1"/>
    <w:basedOn w:val="1"/>
    <w:next w:val="1"/>
    <w:qFormat/>
    <w:uiPriority w:val="0"/>
    <w:rPr>
      <w:sz w:val="24"/>
    </w:rPr>
  </w:style>
  <w:style w:type="paragraph" w:styleId="17">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8">
    <w:name w:val="Body Text First Indent"/>
    <w:basedOn w:val="11"/>
    <w:next w:val="16"/>
    <w:qFormat/>
    <w:uiPriority w:val="0"/>
    <w:pPr>
      <w:ind w:firstLine="200" w:firstLineChars="200"/>
    </w:pPr>
  </w:style>
  <w:style w:type="paragraph" w:customStyle="1" w:styleId="21">
    <w:name w:val="无间隔1"/>
    <w:qFormat/>
    <w:uiPriority w:val="99"/>
    <w:pPr>
      <w:adjustRightInd w:val="0"/>
      <w:snapToGrid w:val="0"/>
    </w:pPr>
    <w:rPr>
      <w:rFonts w:ascii="Tahoma" w:hAnsi="Tahoma" w:eastAsia="微软雅黑" w:cstheme="minorBidi"/>
      <w:sz w:val="22"/>
      <w:szCs w:val="22"/>
      <w:lang w:val="en-US" w:eastAsia="zh-CN" w:bidi="ar-SA"/>
    </w:rPr>
  </w:style>
  <w:style w:type="paragraph" w:customStyle="1" w:styleId="22">
    <w:name w:val="WPSOffice手动目录 1"/>
    <w:qFormat/>
    <w:uiPriority w:val="0"/>
    <w:rPr>
      <w:rFonts w:ascii="Times New Roman" w:hAnsi="Times New Roman" w:eastAsia="宋体" w:cs="Times New Roman"/>
      <w:lang w:val="en-US" w:eastAsia="zh-CN" w:bidi="ar-SA"/>
    </w:rPr>
  </w:style>
  <w:style w:type="paragraph" w:customStyle="1" w:styleId="23">
    <w:name w:val="zw"/>
    <w:basedOn w:val="1"/>
    <w:qFormat/>
    <w:uiPriority w:val="0"/>
    <w:pPr>
      <w:widowControl/>
      <w:spacing w:before="30"/>
      <w:ind w:left="100" w:right="100"/>
    </w:pPr>
    <w:rPr>
      <w:rFonts w:ascii="方正书宋简体" w:hAnsi="宋体" w:eastAsia="方正书宋简体"/>
      <w:color w:val="000000"/>
      <w:kern w:val="0"/>
      <w:szCs w:val="21"/>
    </w:rPr>
  </w:style>
  <w:style w:type="paragraph" w:styleId="24">
    <w:name w:val="List Paragraph"/>
    <w:basedOn w:val="1"/>
    <w:qFormat/>
    <w:uiPriority w:val="34"/>
    <w:pPr>
      <w:ind w:firstLine="420" w:firstLineChars="200"/>
    </w:pPr>
    <w:rPr>
      <w:rFonts w:ascii="Calibri" w:hAnsi="Calibri"/>
      <w:szCs w:val="22"/>
    </w:rPr>
  </w:style>
  <w:style w:type="character" w:customStyle="1" w:styleId="25">
    <w:name w:val="font31"/>
    <w:basedOn w:val="20"/>
    <w:qFormat/>
    <w:uiPriority w:val="0"/>
    <w:rPr>
      <w:rFonts w:hint="eastAsia" w:ascii="宋体" w:hAnsi="宋体" w:eastAsia="宋体" w:cs="宋体"/>
      <w:color w:val="000000"/>
      <w:sz w:val="21"/>
      <w:szCs w:val="21"/>
      <w:u w:val="none"/>
      <w:vertAlign w:val="superscript"/>
    </w:rPr>
  </w:style>
  <w:style w:type="character" w:customStyle="1" w:styleId="26">
    <w:name w:val="font01"/>
    <w:basedOn w:val="20"/>
    <w:qFormat/>
    <w:uiPriority w:val="0"/>
    <w:rPr>
      <w:rFonts w:hint="eastAsia" w:ascii="宋体" w:hAnsi="宋体" w:eastAsia="宋体" w:cs="宋体"/>
      <w:color w:val="000000"/>
      <w:sz w:val="20"/>
      <w:szCs w:val="20"/>
      <w:u w:val="none"/>
    </w:rPr>
  </w:style>
  <w:style w:type="character" w:customStyle="1" w:styleId="27">
    <w:name w:val="font21"/>
    <w:basedOn w:val="20"/>
    <w:qFormat/>
    <w:uiPriority w:val="0"/>
    <w:rPr>
      <w:rFonts w:hint="default" w:ascii="Arial" w:hAnsi="Arial" w:cs="Arial"/>
      <w:color w:val="000000"/>
      <w:sz w:val="20"/>
      <w:szCs w:val="20"/>
      <w:u w:val="none"/>
    </w:rPr>
  </w:style>
  <w:style w:type="paragraph" w:customStyle="1" w:styleId="28">
    <w:name w:val="Table Paragraph"/>
    <w:basedOn w:val="1"/>
    <w:qFormat/>
    <w:uiPriority w:val="1"/>
    <w:rPr>
      <w:rFonts w:ascii="宋体" w:hAnsi="宋体" w:cs="宋体"/>
    </w:rPr>
  </w:style>
  <w:style w:type="paragraph" w:customStyle="1" w:styleId="29">
    <w:name w:val="Default"/>
    <w:next w:val="30"/>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0">
    <w:name w:val="目录 71"/>
    <w:next w:val="1"/>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31">
    <w:name w:val="表格文字"/>
    <w:next w:val="11"/>
    <w:qFormat/>
    <w:uiPriority w:val="0"/>
    <w:pPr>
      <w:adjustRightInd w:val="0"/>
      <w:spacing w:line="420" w:lineRule="atLeast"/>
      <w:textAlignment w:val="baseline"/>
    </w:pPr>
    <w:rPr>
      <w:rFonts w:ascii="Times New Roman" w:hAnsi="Times New Roman" w:eastAsia="宋体" w:cs="Times New Roman"/>
      <w:lang w:val="en-US" w:eastAsia="zh-CN" w:bidi="ar-SA"/>
    </w:rPr>
  </w:style>
  <w:style w:type="paragraph" w:customStyle="1" w:styleId="32">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3">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14"/>
    <w:qFormat/>
    <w:uiPriority w:val="0"/>
    <w:rPr>
      <w:rFonts w:ascii="Times New Roman" w:hAnsi="Times New Roman" w:eastAsia="宋体" w:cs="Times New Roman"/>
      <w:sz w:val="21"/>
      <w:szCs w:val="22"/>
      <w:lang w:val="en-US" w:eastAsia="zh-CN" w:bidi="ar-SA"/>
    </w:rPr>
  </w:style>
  <w:style w:type="paragraph" w:customStyle="1" w:styleId="36">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正文_2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39309</Words>
  <Characters>42125</Characters>
  <Lines>0</Lines>
  <Paragraphs>0</Paragraphs>
  <TotalTime>976</TotalTime>
  <ScaleCrop>false</ScaleCrop>
  <LinksUpToDate>false</LinksUpToDate>
  <CharactersWithSpaces>44012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2023-06-14T09:27:00Z</dcterms:created>
  <dc:creator>洗尽铅华</dc:creator>
  <cp:lastModifiedBy>洗尽铅华</cp:lastModifiedBy>
  <dcterms:modified xsi:type="dcterms:W3CDTF">2023-07-21T01:08:53Z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CA26CC0D5EE549C689D9B35309E684B4_13</vt:lpwstr>
  </property>
</Properties>
</file>