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auto"/>
          <w:kern w:val="0"/>
          <w:sz w:val="52"/>
          <w:szCs w:val="52"/>
          <w:highlight w:val="none"/>
        </w:rPr>
      </w:pPr>
      <w:r>
        <w:rPr>
          <w:rFonts w:hint="eastAsia" w:ascii="宋体"/>
          <w:b/>
          <w:color w:val="auto"/>
          <w:kern w:val="0"/>
          <w:sz w:val="52"/>
          <w:szCs w:val="52"/>
          <w:highlight w:val="none"/>
          <w:lang w:eastAsia="zh-CN"/>
        </w:rPr>
        <w:t>台州市</w:t>
      </w:r>
      <w:r>
        <w:rPr>
          <w:rFonts w:hint="eastAsia" w:ascii="宋体"/>
          <w:b/>
          <w:color w:val="auto"/>
          <w:kern w:val="0"/>
          <w:sz w:val="52"/>
          <w:szCs w:val="52"/>
          <w:highlight w:val="none"/>
        </w:rPr>
        <w:t>政府采购招标文件</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hint="eastAsia" w:ascii="宋体" w:eastAsia="宋体"/>
          <w:b/>
          <w:color w:val="auto"/>
          <w:kern w:val="0"/>
          <w:sz w:val="32"/>
          <w:highlight w:val="none"/>
          <w:lang w:eastAsia="zh-CN"/>
        </w:rPr>
      </w:pPr>
      <w:r>
        <w:rPr>
          <w:rFonts w:hint="eastAsia" w:ascii="宋体"/>
          <w:b/>
          <w:color w:val="auto"/>
          <w:kern w:val="0"/>
          <w:sz w:val="32"/>
          <w:highlight w:val="none"/>
          <w:lang w:eastAsia="zh-CN"/>
        </w:rPr>
        <w:t>台财采确临[2022]3127号</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24"/>
          <w:highlight w:val="none"/>
        </w:rPr>
      </w:pPr>
    </w:p>
    <w:p>
      <w:pPr>
        <w:autoSpaceDE w:val="0"/>
        <w:autoSpaceDN w:val="0"/>
        <w:adjustRightInd w:val="0"/>
        <w:spacing w:line="360" w:lineRule="auto"/>
        <w:rPr>
          <w:rFonts w:ascii="宋体"/>
          <w:b/>
          <w:color w:val="auto"/>
          <w:kern w:val="0"/>
          <w:sz w:val="52"/>
          <w:szCs w:val="52"/>
          <w:highlight w:val="none"/>
        </w:rPr>
      </w:pPr>
    </w:p>
    <w:p>
      <w:pPr>
        <w:autoSpaceDE w:val="0"/>
        <w:autoSpaceDN w:val="0"/>
        <w:adjustRightInd w:val="0"/>
        <w:spacing w:line="360" w:lineRule="auto"/>
        <w:ind w:firstLine="1797" w:firstLineChars="642"/>
        <w:jc w:val="left"/>
        <w:rPr>
          <w:rFonts w:ascii="宋体"/>
          <w:color w:val="auto"/>
          <w:kern w:val="0"/>
          <w:sz w:val="28"/>
          <w:highlight w:val="none"/>
        </w:rPr>
      </w:pPr>
    </w:p>
    <w:p>
      <w:pPr>
        <w:autoSpaceDE w:val="0"/>
        <w:autoSpaceDN w:val="0"/>
        <w:adjustRightInd w:val="0"/>
        <w:spacing w:line="360" w:lineRule="auto"/>
        <w:ind w:firstLine="1797" w:firstLineChars="642"/>
        <w:jc w:val="left"/>
        <w:rPr>
          <w:rFonts w:ascii="宋体"/>
          <w:color w:val="auto"/>
          <w:kern w:val="0"/>
          <w:sz w:val="28"/>
          <w:highlight w:val="none"/>
        </w:rPr>
      </w:pPr>
    </w:p>
    <w:p>
      <w:pPr>
        <w:autoSpaceDE w:val="0"/>
        <w:autoSpaceDN w:val="0"/>
        <w:adjustRightInd w:val="0"/>
        <w:spacing w:line="360" w:lineRule="auto"/>
        <w:ind w:left="3355" w:leftChars="931" w:hanging="1400" w:hangingChars="500"/>
        <w:jc w:val="left"/>
        <w:rPr>
          <w:rFonts w:hint="eastAsia" w:ascii="宋体" w:eastAsia="宋体"/>
          <w:color w:val="auto"/>
          <w:kern w:val="0"/>
          <w:sz w:val="28"/>
          <w:highlight w:val="none"/>
          <w:lang w:eastAsia="zh-CN"/>
        </w:rPr>
      </w:pPr>
      <w:r>
        <w:rPr>
          <w:rFonts w:hint="eastAsia" w:ascii="宋体"/>
          <w:color w:val="auto"/>
          <w:kern w:val="0"/>
          <w:sz w:val="28"/>
          <w:highlight w:val="none"/>
        </w:rPr>
        <w:t>采购项目：</w:t>
      </w:r>
      <w:r>
        <w:rPr>
          <w:rFonts w:hint="eastAsia" w:hAnsi="宋体"/>
          <w:b/>
          <w:bCs/>
          <w:color w:val="auto"/>
          <w:sz w:val="28"/>
          <w:highlight w:val="none"/>
          <w:lang w:eastAsia="zh-CN"/>
        </w:rPr>
        <w:t>中心机房精密空调及UPS等设备维保</w:t>
      </w:r>
      <w:r>
        <w:rPr>
          <w:rFonts w:hint="eastAsia" w:hAnsi="宋体"/>
          <w:b/>
          <w:bCs/>
          <w:color w:val="auto"/>
          <w:sz w:val="28"/>
          <w:highlight w:val="none"/>
          <w:lang w:val="zh-CN" w:eastAsia="zh-CN"/>
        </w:rPr>
        <w:t>项目</w:t>
      </w:r>
    </w:p>
    <w:p>
      <w:pPr>
        <w:autoSpaceDE w:val="0"/>
        <w:autoSpaceDN w:val="0"/>
        <w:adjustRightInd w:val="0"/>
        <w:spacing w:line="360" w:lineRule="auto"/>
        <w:ind w:firstLine="2077" w:firstLineChars="742"/>
        <w:jc w:val="left"/>
        <w:rPr>
          <w:rFonts w:hint="eastAsia" w:ascii="宋体" w:eastAsia="宋体"/>
          <w:color w:val="auto"/>
          <w:kern w:val="0"/>
          <w:sz w:val="28"/>
          <w:highlight w:val="none"/>
          <w:lang w:eastAsia="zh-CN"/>
        </w:rPr>
      </w:pPr>
      <w:r>
        <w:rPr>
          <w:rFonts w:hint="eastAsia" w:ascii="宋体"/>
          <w:color w:val="auto"/>
          <w:kern w:val="0"/>
          <w:sz w:val="28"/>
          <w:highlight w:val="none"/>
        </w:rPr>
        <w:t>采 购 人：</w:t>
      </w:r>
      <w:r>
        <w:rPr>
          <w:rFonts w:hint="eastAsia" w:hAnsi="宋体"/>
          <w:b/>
          <w:bCs/>
          <w:color w:val="auto"/>
          <w:sz w:val="28"/>
          <w:highlight w:val="none"/>
          <w:lang w:eastAsia="zh-CN"/>
        </w:rPr>
        <w:t>台州市公安局交通警察局</w:t>
      </w:r>
    </w:p>
    <w:p>
      <w:pPr>
        <w:autoSpaceDE w:val="0"/>
        <w:autoSpaceDN w:val="0"/>
        <w:adjustRightInd w:val="0"/>
        <w:spacing w:line="360" w:lineRule="auto"/>
        <w:rPr>
          <w:rFonts w:ascii="宋体"/>
          <w:color w:val="auto"/>
          <w:kern w:val="0"/>
          <w:sz w:val="28"/>
          <w:highlight w:val="none"/>
        </w:rPr>
      </w:pPr>
    </w:p>
    <w:p>
      <w:pPr>
        <w:autoSpaceDE w:val="0"/>
        <w:autoSpaceDN w:val="0"/>
        <w:adjustRightInd w:val="0"/>
        <w:spacing w:line="360" w:lineRule="auto"/>
        <w:rPr>
          <w:rFonts w:ascii="宋体"/>
          <w:color w:val="auto"/>
          <w:kern w:val="0"/>
          <w:sz w:val="28"/>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32"/>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32"/>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color w:val="auto"/>
          <w:kern w:val="0"/>
          <w:sz w:val="32"/>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color w:val="auto"/>
          <w:kern w:val="0"/>
          <w:sz w:val="32"/>
          <w:highlight w:val="none"/>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rFonts w:hint="eastAsia" w:ascii="宋体" w:hAnsi="宋体" w:eastAsia="宋体" w:cs="宋体"/>
          <w:color w:val="auto"/>
          <w:kern w:val="0"/>
          <w:sz w:val="28"/>
          <w:szCs w:val="28"/>
          <w:highlight w:val="none"/>
          <w:lang w:eastAsia="zh-CN"/>
        </w:rPr>
      </w:pPr>
      <w:r>
        <w:rPr>
          <w:rFonts w:hint="eastAsia" w:ascii="宋体" w:hAnsi="宋体" w:cs="宋体"/>
          <w:color w:val="auto"/>
          <w:kern w:val="0"/>
          <w:sz w:val="28"/>
          <w:szCs w:val="28"/>
          <w:highlight w:val="none"/>
        </w:rPr>
        <w:t>代理机构</w:t>
      </w:r>
      <w:r>
        <w:rPr>
          <w:rFonts w:hint="eastAsia" w:ascii="宋体" w:hAnsi="宋体" w:cs="宋体"/>
          <w:color w:val="auto"/>
          <w:kern w:val="0"/>
          <w:sz w:val="28"/>
          <w:szCs w:val="28"/>
          <w:highlight w:val="none"/>
          <w:lang w:eastAsia="zh-CN"/>
        </w:rPr>
        <w:t>：台州市建设咨询有限公司</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560" w:firstLineChars="200"/>
        <w:jc w:val="center"/>
        <w:rPr>
          <w:color w:val="auto"/>
          <w:highlight w:val="none"/>
        </w:rPr>
      </w:pPr>
      <w:r>
        <w:rPr>
          <w:rFonts w:hint="eastAsia" w:ascii="宋体" w:hAnsi="宋体" w:cs="宋体"/>
          <w:color w:val="auto"/>
          <w:kern w:val="0"/>
          <w:sz w:val="28"/>
          <w:szCs w:val="28"/>
          <w:highlight w:val="none"/>
          <w:lang w:val="en-US" w:eastAsia="zh-CN"/>
        </w:rPr>
        <w:t>2022</w:t>
      </w:r>
      <w:r>
        <w:rPr>
          <w:rFonts w:hint="eastAsia" w:ascii="宋体" w:hAnsi="宋体" w:cs="宋体"/>
          <w:color w:val="auto"/>
          <w:kern w:val="0"/>
          <w:sz w:val="28"/>
          <w:szCs w:val="28"/>
          <w:highlight w:val="none"/>
        </w:rPr>
        <w:t xml:space="preserve">年 </w:t>
      </w:r>
      <w:r>
        <w:rPr>
          <w:rFonts w:hint="eastAsia" w:ascii="宋体" w:hAnsi="宋体" w:cs="宋体"/>
          <w:color w:val="auto"/>
          <w:kern w:val="0"/>
          <w:sz w:val="28"/>
          <w:szCs w:val="28"/>
          <w:highlight w:val="none"/>
          <w:lang w:val="en-US" w:eastAsia="zh-CN"/>
        </w:rPr>
        <w:t>6</w:t>
      </w:r>
      <w:r>
        <w:rPr>
          <w:rFonts w:hint="eastAsia" w:ascii="宋体" w:hAnsi="宋体" w:cs="宋体"/>
          <w:color w:val="auto"/>
          <w:kern w:val="0"/>
          <w:sz w:val="28"/>
          <w:szCs w:val="28"/>
          <w:highlight w:val="none"/>
        </w:rPr>
        <w:t>月</w:t>
      </w:r>
    </w:p>
    <w:p>
      <w:pPr>
        <w:spacing w:line="360" w:lineRule="auto"/>
        <w:rPr>
          <w:color w:val="auto"/>
          <w:highlight w:val="none"/>
        </w:rPr>
      </w:pPr>
    </w:p>
    <w:p>
      <w:pPr>
        <w:pStyle w:val="24"/>
        <w:rPr>
          <w:color w:val="auto"/>
          <w:highlight w:val="none"/>
        </w:rPr>
      </w:pPr>
    </w:p>
    <w:p>
      <w:pPr>
        <w:spacing w:line="360" w:lineRule="auto"/>
        <w:rPr>
          <w:color w:val="auto"/>
          <w:highlight w:val="none"/>
        </w:rPr>
      </w:pPr>
    </w:p>
    <w:p>
      <w:pPr>
        <w:rPr>
          <w:rFonts w:ascii="宋体" w:hAnsi="宋体" w:cs="Arial"/>
          <w:b/>
          <w:bCs/>
          <w:color w:val="auto"/>
          <w:sz w:val="36"/>
          <w:szCs w:val="36"/>
          <w:highlight w:val="none"/>
        </w:rPr>
      </w:pPr>
      <w:r>
        <w:rPr>
          <w:rFonts w:hint="eastAsia" w:ascii="宋体" w:hAnsi="宋体" w:cs="Arial"/>
          <w:b/>
          <w:bCs/>
          <w:color w:val="auto"/>
          <w:sz w:val="36"/>
          <w:szCs w:val="36"/>
          <w:highlight w:val="none"/>
        </w:rPr>
        <w:br w:type="page"/>
      </w:r>
    </w:p>
    <w:sdt>
      <w:sdtPr>
        <w:rPr>
          <w:rFonts w:ascii="宋体" w:hAnsi="宋体"/>
          <w:color w:val="auto"/>
          <w:sz w:val="28"/>
          <w:szCs w:val="28"/>
          <w:highlight w:val="none"/>
        </w:rPr>
        <w:id w:val="147471336"/>
        <w:docPartObj>
          <w:docPartGallery w:val="Table of Contents"/>
          <w:docPartUnique/>
        </w:docPartObj>
      </w:sdtPr>
      <w:sdtEndPr>
        <w:rPr>
          <w:rFonts w:ascii="宋体" w:hAnsi="宋体"/>
          <w:color w:val="auto"/>
          <w:sz w:val="20"/>
          <w:szCs w:val="20"/>
          <w:highlight w:val="none"/>
        </w:rPr>
      </w:sdtEndPr>
      <w:sdtContent>
        <w:p>
          <w:pPr>
            <w:spacing w:line="480" w:lineRule="auto"/>
            <w:jc w:val="center"/>
            <w:rPr>
              <w:rFonts w:ascii="宋体" w:hAnsi="宋体"/>
              <w:color w:val="auto"/>
              <w:sz w:val="28"/>
              <w:szCs w:val="28"/>
              <w:highlight w:val="none"/>
            </w:rPr>
          </w:pPr>
          <w:bookmarkStart w:id="0" w:name="_Toc25017_WPSOffice_Type1"/>
        </w:p>
        <w:p>
          <w:pPr>
            <w:spacing w:line="480" w:lineRule="auto"/>
            <w:jc w:val="center"/>
            <w:rPr>
              <w:color w:val="auto"/>
              <w:sz w:val="28"/>
              <w:szCs w:val="28"/>
              <w:highlight w:val="none"/>
            </w:rPr>
          </w:pPr>
          <w:r>
            <w:rPr>
              <w:rFonts w:ascii="宋体" w:hAnsi="宋体"/>
              <w:b/>
              <w:bCs/>
              <w:color w:val="auto"/>
              <w:sz w:val="36"/>
              <w:szCs w:val="36"/>
              <w:highlight w:val="none"/>
            </w:rPr>
            <w:t>目</w:t>
          </w:r>
          <w:r>
            <w:rPr>
              <w:rFonts w:hint="eastAsia" w:ascii="宋体" w:hAnsi="宋体"/>
              <w:b/>
              <w:bCs/>
              <w:color w:val="auto"/>
              <w:sz w:val="36"/>
              <w:szCs w:val="36"/>
              <w:highlight w:val="none"/>
            </w:rPr>
            <w:t xml:space="preserve">  </w:t>
          </w:r>
          <w:r>
            <w:rPr>
              <w:rFonts w:ascii="宋体" w:hAnsi="宋体"/>
              <w:b/>
              <w:bCs/>
              <w:color w:val="auto"/>
              <w:sz w:val="36"/>
              <w:szCs w:val="36"/>
              <w:highlight w:val="none"/>
            </w:rPr>
            <w:t>录</w:t>
          </w:r>
        </w:p>
        <w:p>
          <w:pPr>
            <w:pStyle w:val="45"/>
            <w:tabs>
              <w:tab w:val="right" w:leader="dot" w:pos="8300"/>
            </w:tabs>
            <w:spacing w:line="480" w:lineRule="auto"/>
            <w:ind w:firstLine="630" w:firstLineChars="300"/>
            <w:rPr>
              <w:color w:val="auto"/>
              <w:sz w:val="32"/>
              <w:szCs w:val="32"/>
              <w:highlight w:val="none"/>
            </w:rPr>
          </w:pPr>
          <w:r>
            <w:rPr>
              <w:color w:val="auto"/>
              <w:sz w:val="21"/>
              <w:szCs w:val="21"/>
              <w:highlight w:val="none"/>
            </w:rPr>
            <w:fldChar w:fldCharType="begin"/>
          </w:r>
          <w:r>
            <w:rPr>
              <w:color w:val="auto"/>
              <w:sz w:val="21"/>
              <w:szCs w:val="21"/>
              <w:highlight w:val="none"/>
            </w:rPr>
            <w:instrText xml:space="preserve"> HYPERLINK \l "_Toc4350_WPSOffice_Level1" </w:instrText>
          </w:r>
          <w:r>
            <w:rPr>
              <w:color w:val="auto"/>
              <w:sz w:val="21"/>
              <w:szCs w:val="21"/>
              <w:highlight w:val="none"/>
            </w:rPr>
            <w:fldChar w:fldCharType="separate"/>
          </w:r>
          <w:r>
            <w:rPr>
              <w:rFonts w:hint="eastAsia" w:asciiTheme="majorEastAsia" w:hAnsiTheme="majorEastAsia" w:eastAsiaTheme="majorEastAsia"/>
              <w:color w:val="auto"/>
              <w:sz w:val="32"/>
              <w:szCs w:val="32"/>
              <w:highlight w:val="none"/>
            </w:rPr>
            <w:t>第一章 投标邀请</w:t>
          </w:r>
          <w:r>
            <w:rPr>
              <w:color w:val="auto"/>
              <w:sz w:val="32"/>
              <w:szCs w:val="32"/>
              <w:highlight w:val="none"/>
            </w:rPr>
            <w:fldChar w:fldCharType="end"/>
          </w:r>
        </w:p>
        <w:p>
          <w:pPr>
            <w:pStyle w:val="45"/>
            <w:tabs>
              <w:tab w:val="right" w:leader="dot" w:pos="8300"/>
            </w:tabs>
            <w:spacing w:line="480" w:lineRule="auto"/>
            <w:ind w:firstLine="630" w:firstLineChars="300"/>
            <w:rPr>
              <w:color w:val="auto"/>
              <w:sz w:val="32"/>
              <w:szCs w:val="32"/>
              <w:highlight w:val="none"/>
            </w:rPr>
          </w:pPr>
          <w:r>
            <w:rPr>
              <w:color w:val="auto"/>
              <w:sz w:val="21"/>
              <w:szCs w:val="21"/>
              <w:highlight w:val="none"/>
            </w:rPr>
            <w:fldChar w:fldCharType="begin"/>
          </w:r>
          <w:r>
            <w:rPr>
              <w:color w:val="auto"/>
              <w:sz w:val="21"/>
              <w:szCs w:val="21"/>
              <w:highlight w:val="none"/>
            </w:rPr>
            <w:instrText xml:space="preserve"> HYPERLINK \l "_Toc25017_WPSOffice_Level1" </w:instrText>
          </w:r>
          <w:r>
            <w:rPr>
              <w:color w:val="auto"/>
              <w:sz w:val="21"/>
              <w:szCs w:val="21"/>
              <w:highlight w:val="none"/>
            </w:rPr>
            <w:fldChar w:fldCharType="separate"/>
          </w:r>
          <w:r>
            <w:rPr>
              <w:rFonts w:hint="eastAsia" w:asciiTheme="minorEastAsia" w:hAnsiTheme="minorEastAsia" w:eastAsiaTheme="minorEastAsia"/>
              <w:color w:val="auto"/>
              <w:sz w:val="32"/>
              <w:szCs w:val="32"/>
              <w:highlight w:val="none"/>
            </w:rPr>
            <w:t>第二章 投标人须知</w:t>
          </w:r>
          <w:r>
            <w:rPr>
              <w:rFonts w:hint="eastAsia"/>
              <w:color w:val="auto"/>
              <w:sz w:val="32"/>
              <w:szCs w:val="32"/>
              <w:highlight w:val="none"/>
            </w:rPr>
            <w:fldChar w:fldCharType="end"/>
          </w:r>
        </w:p>
        <w:p>
          <w:pPr>
            <w:pStyle w:val="45"/>
            <w:tabs>
              <w:tab w:val="right" w:leader="dot" w:pos="8300"/>
            </w:tabs>
            <w:spacing w:line="480" w:lineRule="auto"/>
            <w:ind w:firstLine="630" w:firstLineChars="300"/>
            <w:rPr>
              <w:color w:val="auto"/>
              <w:sz w:val="32"/>
              <w:szCs w:val="32"/>
              <w:highlight w:val="none"/>
            </w:rPr>
          </w:pPr>
          <w:r>
            <w:rPr>
              <w:color w:val="auto"/>
              <w:sz w:val="21"/>
              <w:szCs w:val="21"/>
              <w:highlight w:val="none"/>
            </w:rPr>
            <w:fldChar w:fldCharType="begin"/>
          </w:r>
          <w:r>
            <w:rPr>
              <w:color w:val="auto"/>
              <w:sz w:val="21"/>
              <w:szCs w:val="21"/>
              <w:highlight w:val="none"/>
            </w:rPr>
            <w:instrText xml:space="preserve"> HYPERLINK \l "_Toc13072_WPSOffice_Level1" </w:instrText>
          </w:r>
          <w:r>
            <w:rPr>
              <w:color w:val="auto"/>
              <w:sz w:val="21"/>
              <w:szCs w:val="21"/>
              <w:highlight w:val="none"/>
            </w:rPr>
            <w:fldChar w:fldCharType="separate"/>
          </w:r>
          <w:r>
            <w:rPr>
              <w:rFonts w:hint="eastAsia" w:asciiTheme="minorEastAsia" w:hAnsiTheme="minorEastAsia" w:eastAsiaTheme="minorEastAsia"/>
              <w:color w:val="auto"/>
              <w:sz w:val="32"/>
              <w:szCs w:val="32"/>
              <w:highlight w:val="none"/>
            </w:rPr>
            <w:t>第三章 招标需求</w:t>
          </w:r>
          <w:r>
            <w:rPr>
              <w:rFonts w:hint="eastAsia"/>
              <w:color w:val="auto"/>
              <w:sz w:val="32"/>
              <w:szCs w:val="32"/>
              <w:highlight w:val="none"/>
            </w:rPr>
            <w:fldChar w:fldCharType="end"/>
          </w:r>
        </w:p>
        <w:p>
          <w:pPr>
            <w:pStyle w:val="45"/>
            <w:tabs>
              <w:tab w:val="right" w:leader="dot" w:pos="8300"/>
            </w:tabs>
            <w:spacing w:line="480" w:lineRule="auto"/>
            <w:ind w:firstLine="630" w:firstLineChars="300"/>
            <w:rPr>
              <w:color w:val="auto"/>
              <w:sz w:val="32"/>
              <w:szCs w:val="32"/>
              <w:highlight w:val="none"/>
            </w:rPr>
          </w:pPr>
          <w:r>
            <w:rPr>
              <w:color w:val="auto"/>
              <w:sz w:val="21"/>
              <w:szCs w:val="21"/>
              <w:highlight w:val="none"/>
            </w:rPr>
            <w:fldChar w:fldCharType="begin"/>
          </w:r>
          <w:r>
            <w:rPr>
              <w:color w:val="auto"/>
              <w:sz w:val="21"/>
              <w:szCs w:val="21"/>
              <w:highlight w:val="none"/>
            </w:rPr>
            <w:instrText xml:space="preserve"> HYPERLINK \l "_Toc31173_WPSOffice_Level1" </w:instrText>
          </w:r>
          <w:r>
            <w:rPr>
              <w:color w:val="auto"/>
              <w:sz w:val="21"/>
              <w:szCs w:val="21"/>
              <w:highlight w:val="none"/>
            </w:rPr>
            <w:fldChar w:fldCharType="separate"/>
          </w:r>
          <w:r>
            <w:rPr>
              <w:rFonts w:hint="eastAsia" w:asciiTheme="minorEastAsia" w:hAnsiTheme="minorEastAsia" w:eastAsiaTheme="minorEastAsia"/>
              <w:color w:val="auto"/>
              <w:sz w:val="32"/>
              <w:szCs w:val="32"/>
              <w:highlight w:val="none"/>
            </w:rPr>
            <w:t>第四章 评标</w:t>
          </w:r>
          <w:r>
            <w:rPr>
              <w:color w:val="auto"/>
              <w:sz w:val="32"/>
              <w:szCs w:val="32"/>
              <w:highlight w:val="none"/>
            </w:rPr>
            <w:fldChar w:fldCharType="end"/>
          </w:r>
        </w:p>
        <w:p>
          <w:pPr>
            <w:pStyle w:val="45"/>
            <w:tabs>
              <w:tab w:val="right" w:leader="dot" w:pos="8300"/>
            </w:tabs>
            <w:spacing w:line="480" w:lineRule="auto"/>
            <w:ind w:firstLine="630" w:firstLineChars="300"/>
            <w:rPr>
              <w:color w:val="auto"/>
              <w:sz w:val="32"/>
              <w:szCs w:val="32"/>
              <w:highlight w:val="none"/>
            </w:rPr>
          </w:pPr>
          <w:r>
            <w:rPr>
              <w:color w:val="auto"/>
              <w:sz w:val="21"/>
              <w:szCs w:val="21"/>
              <w:highlight w:val="none"/>
            </w:rPr>
            <w:fldChar w:fldCharType="begin"/>
          </w:r>
          <w:r>
            <w:rPr>
              <w:color w:val="auto"/>
              <w:sz w:val="21"/>
              <w:szCs w:val="21"/>
              <w:highlight w:val="none"/>
            </w:rPr>
            <w:instrText xml:space="preserve"> HYPERLINK \l "_Toc27944_WPSOffice_Level1" </w:instrText>
          </w:r>
          <w:r>
            <w:rPr>
              <w:color w:val="auto"/>
              <w:sz w:val="21"/>
              <w:szCs w:val="21"/>
              <w:highlight w:val="none"/>
            </w:rPr>
            <w:fldChar w:fldCharType="separate"/>
          </w:r>
          <w:r>
            <w:rPr>
              <w:rFonts w:hint="eastAsia" w:asciiTheme="minorEastAsia" w:hAnsiTheme="minorEastAsia" w:eastAsiaTheme="minorEastAsia"/>
              <w:color w:val="auto"/>
              <w:sz w:val="32"/>
              <w:szCs w:val="32"/>
              <w:highlight w:val="none"/>
            </w:rPr>
            <w:t xml:space="preserve">第五章 </w:t>
          </w:r>
          <w:r>
            <w:rPr>
              <w:rFonts w:hint="eastAsia" w:asciiTheme="minorEastAsia" w:hAnsiTheme="minorEastAsia" w:eastAsiaTheme="minorEastAsia"/>
              <w:color w:val="auto"/>
              <w:sz w:val="32"/>
              <w:szCs w:val="32"/>
              <w:highlight w:val="none"/>
              <w:lang w:eastAsia="zh-CN"/>
            </w:rPr>
            <w:t>拟签订的合同文本</w:t>
          </w:r>
          <w:r>
            <w:rPr>
              <w:color w:val="auto"/>
              <w:sz w:val="32"/>
              <w:szCs w:val="32"/>
              <w:highlight w:val="none"/>
            </w:rPr>
            <w:fldChar w:fldCharType="end"/>
          </w:r>
        </w:p>
        <w:p>
          <w:pPr>
            <w:pStyle w:val="45"/>
            <w:tabs>
              <w:tab w:val="right" w:leader="dot" w:pos="8300"/>
            </w:tabs>
            <w:spacing w:line="480" w:lineRule="auto"/>
            <w:ind w:firstLine="630" w:firstLineChars="300"/>
            <w:rPr>
              <w:color w:val="auto"/>
              <w:highlight w:val="none"/>
            </w:rPr>
          </w:pPr>
          <w:r>
            <w:rPr>
              <w:color w:val="auto"/>
              <w:sz w:val="21"/>
              <w:szCs w:val="21"/>
              <w:highlight w:val="none"/>
            </w:rPr>
            <w:fldChar w:fldCharType="begin"/>
          </w:r>
          <w:r>
            <w:rPr>
              <w:color w:val="auto"/>
              <w:sz w:val="21"/>
              <w:szCs w:val="21"/>
              <w:highlight w:val="none"/>
            </w:rPr>
            <w:instrText xml:space="preserve"> HYPERLINK \l "_Toc5481_WPSOffice_Level1" </w:instrText>
          </w:r>
          <w:r>
            <w:rPr>
              <w:color w:val="auto"/>
              <w:sz w:val="21"/>
              <w:szCs w:val="21"/>
              <w:highlight w:val="none"/>
            </w:rPr>
            <w:fldChar w:fldCharType="separate"/>
          </w:r>
          <w:r>
            <w:rPr>
              <w:rFonts w:hint="eastAsia" w:asciiTheme="minorEastAsia" w:hAnsiTheme="minorEastAsia" w:eastAsiaTheme="minorEastAsia"/>
              <w:color w:val="auto"/>
              <w:sz w:val="32"/>
              <w:szCs w:val="32"/>
              <w:highlight w:val="none"/>
            </w:rPr>
            <w:t>第六章 投标文件格式</w:t>
          </w:r>
          <w:r>
            <w:rPr>
              <w:color w:val="auto"/>
              <w:sz w:val="32"/>
              <w:szCs w:val="32"/>
              <w:highlight w:val="none"/>
            </w:rPr>
            <w:fldChar w:fldCharType="end"/>
          </w:r>
        </w:p>
      </w:sdtContent>
    </w:sdt>
    <w:bookmarkEnd w:id="0"/>
    <w:p>
      <w:pPr>
        <w:spacing w:line="480" w:lineRule="auto"/>
        <w:rPr>
          <w:color w:val="auto"/>
          <w:sz w:val="28"/>
          <w:szCs w:val="28"/>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rPr>
          <w:rFonts w:asciiTheme="majorEastAsia" w:hAnsiTheme="majorEastAsia" w:eastAsiaTheme="majorEastAsia"/>
          <w:b/>
          <w:color w:val="auto"/>
          <w:sz w:val="36"/>
          <w:szCs w:val="36"/>
          <w:highlight w:val="none"/>
        </w:rPr>
      </w:pPr>
      <w:r>
        <w:rPr>
          <w:rFonts w:hint="eastAsia" w:asciiTheme="majorEastAsia" w:hAnsiTheme="majorEastAsia" w:eastAsiaTheme="majorEastAsia"/>
          <w:b/>
          <w:color w:val="auto"/>
          <w:kern w:val="0"/>
          <w:sz w:val="36"/>
          <w:szCs w:val="36"/>
          <w:highlight w:val="none"/>
        </w:rPr>
        <w:br w:type="page"/>
      </w:r>
    </w:p>
    <w:p>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color w:val="auto"/>
          <w:sz w:val="36"/>
          <w:szCs w:val="36"/>
          <w:highlight w:val="none"/>
        </w:rPr>
      </w:pPr>
      <w:bookmarkStart w:id="1" w:name="_Toc4350_WPSOffice_Level1"/>
      <w:r>
        <w:rPr>
          <w:rFonts w:hint="eastAsia" w:ascii="宋体" w:hAnsi="宋体" w:cs="宋体"/>
          <w:b/>
          <w:color w:val="auto"/>
          <w:kern w:val="0"/>
          <w:sz w:val="36"/>
          <w:szCs w:val="36"/>
          <w:highlight w:val="none"/>
        </w:rPr>
        <w:t>投标邀请</w:t>
      </w:r>
      <w:bookmarkEnd w:id="1"/>
    </w:p>
    <w:p>
      <w:pPr>
        <w:pStyle w:val="4"/>
        <w:ind w:firstLine="480" w:firstLineChars="200"/>
        <w:rPr>
          <w:rFonts w:cs="宋体"/>
          <w:b w:val="0"/>
          <w:color w:val="auto"/>
          <w:sz w:val="24"/>
          <w:szCs w:val="24"/>
          <w:highlight w:val="none"/>
        </w:rPr>
      </w:pPr>
      <w:bookmarkStart w:id="2" w:name="_Toc35393621"/>
      <w:bookmarkStart w:id="3" w:name="_Toc28359002"/>
      <w:bookmarkStart w:id="4" w:name="_Toc28359079"/>
      <w:bookmarkStart w:id="5" w:name="_Toc35393790"/>
      <w:bookmarkStart w:id="6" w:name="_Hlk24379207"/>
      <w:r>
        <w:rPr>
          <w:rFonts w:hint="eastAsia" w:cs="宋体"/>
          <w:b w:val="0"/>
          <w:color w:val="auto"/>
          <w:sz w:val="24"/>
          <w:szCs w:val="24"/>
          <w:highlight w:val="none"/>
          <w:lang w:eastAsia="zh-CN"/>
        </w:rPr>
        <w:t>台州市建设咨询有限公司</w:t>
      </w:r>
      <w:r>
        <w:rPr>
          <w:rFonts w:hint="eastAsia" w:cs="宋体"/>
          <w:b w:val="0"/>
          <w:color w:val="auto"/>
          <w:sz w:val="24"/>
          <w:szCs w:val="24"/>
          <w:highlight w:val="none"/>
        </w:rPr>
        <w:t>受</w:t>
      </w:r>
      <w:r>
        <w:rPr>
          <w:rFonts w:hint="eastAsia" w:cs="宋体"/>
          <w:b w:val="0"/>
          <w:color w:val="auto"/>
          <w:sz w:val="24"/>
          <w:szCs w:val="24"/>
          <w:highlight w:val="none"/>
          <w:lang w:eastAsia="zh-CN"/>
        </w:rPr>
        <w:t>台州市公安局交通警察局</w:t>
      </w:r>
      <w:r>
        <w:rPr>
          <w:rFonts w:hint="eastAsia" w:cs="宋体"/>
          <w:b w:val="0"/>
          <w:color w:val="auto"/>
          <w:sz w:val="24"/>
          <w:szCs w:val="24"/>
          <w:highlight w:val="none"/>
        </w:rPr>
        <w:t>委托，就</w:t>
      </w:r>
      <w:r>
        <w:rPr>
          <w:rFonts w:hint="eastAsia" w:cs="宋体"/>
          <w:b w:val="0"/>
          <w:color w:val="auto"/>
          <w:sz w:val="24"/>
          <w:szCs w:val="24"/>
          <w:highlight w:val="none"/>
          <w:lang w:eastAsia="zh-CN"/>
        </w:rPr>
        <w:t>中心机房精密空调及UPS等设备维保项目</w:t>
      </w:r>
      <w:r>
        <w:rPr>
          <w:rFonts w:hint="eastAsia" w:cs="宋体"/>
          <w:b w:val="0"/>
          <w:color w:val="auto"/>
          <w:sz w:val="24"/>
          <w:szCs w:val="24"/>
          <w:highlight w:val="none"/>
        </w:rPr>
        <w:t>进行公开招标，欢迎符合资格条件的国内投标人参加投标。</w:t>
      </w:r>
    </w:p>
    <w:p>
      <w:pPr>
        <w:pStyle w:val="4"/>
        <w:ind w:firstLine="482" w:firstLineChars="200"/>
        <w:rPr>
          <w:rFonts w:cs="宋体"/>
          <w:bCs/>
          <w:color w:val="auto"/>
          <w:sz w:val="24"/>
          <w:szCs w:val="24"/>
          <w:highlight w:val="none"/>
        </w:rPr>
      </w:pPr>
      <w:r>
        <w:rPr>
          <w:rFonts w:hint="eastAsia" w:cs="宋体"/>
          <w:bCs/>
          <w:color w:val="auto"/>
          <w:sz w:val="24"/>
          <w:szCs w:val="24"/>
          <w:highlight w:val="none"/>
        </w:rPr>
        <w:t>一、项目基本情况</w:t>
      </w:r>
      <w:bookmarkEnd w:id="2"/>
      <w:bookmarkEnd w:id="3"/>
      <w:bookmarkEnd w:id="4"/>
      <w:bookmarkEnd w:id="5"/>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台财采确临[2022]3127号</w:t>
      </w:r>
    </w:p>
    <w:bookmarkEnd w:id="6"/>
    <w:p>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cs="宋体"/>
          <w:b w:val="0"/>
          <w:color w:val="auto"/>
          <w:sz w:val="24"/>
          <w:szCs w:val="24"/>
          <w:highlight w:val="none"/>
          <w:lang w:eastAsia="zh-CN"/>
        </w:rPr>
        <w:t>中心机房精密空调及UPS等设备维保项目</w:t>
      </w:r>
    </w:p>
    <w:tbl>
      <w:tblPr>
        <w:tblStyle w:val="19"/>
        <w:tblW w:w="970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674"/>
        <w:gridCol w:w="1078"/>
        <w:gridCol w:w="662"/>
        <w:gridCol w:w="600"/>
        <w:gridCol w:w="1200"/>
        <w:gridCol w:w="1125"/>
        <w:gridCol w:w="1104"/>
        <w:gridCol w:w="1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trPr>
        <w:tc>
          <w:tcPr>
            <w:tcW w:w="893" w:type="dxa"/>
            <w:noWrap w:val="0"/>
            <w:vAlign w:val="center"/>
          </w:tcPr>
          <w:p>
            <w:pPr>
              <w:tabs>
                <w:tab w:val="left" w:pos="8280"/>
              </w:tabs>
              <w:autoSpaceDE w:val="0"/>
              <w:autoSpaceDN w:val="0"/>
              <w:adjustRightInd w:val="0"/>
              <w:spacing w:line="360" w:lineRule="auto"/>
              <w:ind w:right="25"/>
              <w:jc w:val="center"/>
              <w:rPr>
                <w:rFonts w:ascii="宋体" w:hAnsi="宋体"/>
                <w:b/>
                <w:color w:val="auto"/>
                <w:sz w:val="24"/>
                <w:szCs w:val="24"/>
                <w:highlight w:val="none"/>
              </w:rPr>
            </w:pPr>
            <w:bookmarkStart w:id="7" w:name="_Toc35393791"/>
            <w:bookmarkStart w:id="8" w:name="_Toc35393622"/>
            <w:bookmarkStart w:id="9" w:name="_Toc28359080"/>
            <w:bookmarkStart w:id="10" w:name="_Toc28359003"/>
            <w:r>
              <w:rPr>
                <w:rFonts w:hint="eastAsia" w:ascii="宋体" w:hAnsi="宋体"/>
                <w:b/>
                <w:color w:val="auto"/>
                <w:sz w:val="24"/>
                <w:szCs w:val="24"/>
                <w:highlight w:val="none"/>
              </w:rPr>
              <w:t>标段号</w:t>
            </w:r>
          </w:p>
        </w:tc>
        <w:tc>
          <w:tcPr>
            <w:tcW w:w="1674" w:type="dxa"/>
            <w:noWrap w:val="0"/>
            <w:vAlign w:val="center"/>
          </w:tcPr>
          <w:p>
            <w:pPr>
              <w:tabs>
                <w:tab w:val="left" w:pos="8280"/>
              </w:tabs>
              <w:autoSpaceDE w:val="0"/>
              <w:autoSpaceDN w:val="0"/>
              <w:adjustRightInd w:val="0"/>
              <w:spacing w:line="360" w:lineRule="auto"/>
              <w:ind w:right="25" w:firstLine="120" w:firstLineChars="50"/>
              <w:jc w:val="center"/>
              <w:rPr>
                <w:rFonts w:ascii="宋体" w:hAnsi="宋体"/>
                <w:b/>
                <w:color w:val="auto"/>
                <w:sz w:val="24"/>
                <w:szCs w:val="24"/>
                <w:highlight w:val="none"/>
              </w:rPr>
            </w:pPr>
            <w:r>
              <w:rPr>
                <w:rFonts w:hint="eastAsia" w:ascii="宋体" w:hAnsi="宋体"/>
                <w:b/>
                <w:color w:val="auto"/>
                <w:sz w:val="24"/>
                <w:szCs w:val="24"/>
                <w:highlight w:val="none"/>
                <w:lang w:eastAsia="zh-CN"/>
              </w:rPr>
              <w:t>项目</w:t>
            </w:r>
            <w:r>
              <w:rPr>
                <w:rFonts w:hint="eastAsia" w:ascii="宋体" w:hAnsi="宋体"/>
                <w:b/>
                <w:color w:val="auto"/>
                <w:sz w:val="24"/>
                <w:szCs w:val="24"/>
                <w:highlight w:val="none"/>
              </w:rPr>
              <w:t>名称</w:t>
            </w:r>
          </w:p>
        </w:tc>
        <w:tc>
          <w:tcPr>
            <w:tcW w:w="1078"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auto"/>
                <w:sz w:val="24"/>
                <w:szCs w:val="24"/>
                <w:highlight w:val="none"/>
              </w:rPr>
            </w:pPr>
            <w:r>
              <w:rPr>
                <w:rFonts w:hint="eastAsia" w:ascii="宋体" w:hAnsi="宋体"/>
                <w:b/>
                <w:color w:val="auto"/>
                <w:sz w:val="24"/>
                <w:szCs w:val="24"/>
                <w:highlight w:val="none"/>
              </w:rPr>
              <w:t>规格</w:t>
            </w:r>
          </w:p>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rPr>
              <w:t>型号</w:t>
            </w:r>
          </w:p>
        </w:tc>
        <w:tc>
          <w:tcPr>
            <w:tcW w:w="662" w:type="dxa"/>
            <w:noWrap w:val="0"/>
            <w:vAlign w:val="center"/>
          </w:tcPr>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rPr>
              <w:t>数量</w:t>
            </w:r>
          </w:p>
        </w:tc>
        <w:tc>
          <w:tcPr>
            <w:tcW w:w="600" w:type="dxa"/>
            <w:noWrap w:val="0"/>
            <w:vAlign w:val="center"/>
          </w:tcPr>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rPr>
              <w:t>单位</w:t>
            </w:r>
          </w:p>
        </w:tc>
        <w:tc>
          <w:tcPr>
            <w:tcW w:w="1200" w:type="dxa"/>
            <w:noWrap w:val="0"/>
            <w:vAlign w:val="center"/>
          </w:tcPr>
          <w:p>
            <w:pPr>
              <w:tabs>
                <w:tab w:val="left" w:pos="8280"/>
              </w:tabs>
              <w:autoSpaceDE w:val="0"/>
              <w:autoSpaceDN w:val="0"/>
              <w:adjustRightInd w:val="0"/>
              <w:spacing w:line="360" w:lineRule="auto"/>
              <w:ind w:right="25"/>
              <w:jc w:val="center"/>
              <w:rPr>
                <w:rFonts w:hint="eastAsia" w:ascii="宋体" w:hAnsi="宋体"/>
                <w:b/>
                <w:color w:val="auto"/>
                <w:sz w:val="24"/>
                <w:szCs w:val="24"/>
                <w:highlight w:val="none"/>
              </w:rPr>
            </w:pPr>
            <w:r>
              <w:rPr>
                <w:rFonts w:hint="eastAsia" w:ascii="宋体" w:hAnsi="宋体"/>
                <w:b/>
                <w:color w:val="auto"/>
                <w:sz w:val="24"/>
                <w:szCs w:val="24"/>
                <w:highlight w:val="none"/>
              </w:rPr>
              <w:t>预算</w:t>
            </w:r>
          </w:p>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rPr>
              <w:t>（万元）</w:t>
            </w:r>
          </w:p>
        </w:tc>
        <w:tc>
          <w:tcPr>
            <w:tcW w:w="1125" w:type="dxa"/>
            <w:noWrap w:val="0"/>
            <w:vAlign w:val="center"/>
          </w:tcPr>
          <w:p>
            <w:pPr>
              <w:tabs>
                <w:tab w:val="left" w:pos="8280"/>
              </w:tabs>
              <w:autoSpaceDE w:val="0"/>
              <w:autoSpaceDN w:val="0"/>
              <w:adjustRightInd w:val="0"/>
              <w:spacing w:line="360" w:lineRule="auto"/>
              <w:ind w:right="25"/>
              <w:jc w:val="center"/>
              <w:rPr>
                <w:rFonts w:hint="eastAsia" w:ascii="宋体" w:hAnsi="宋体" w:eastAsia="宋体"/>
                <w:b/>
                <w:color w:val="auto"/>
                <w:sz w:val="24"/>
                <w:szCs w:val="24"/>
                <w:highlight w:val="none"/>
                <w:lang w:val="en-US" w:eastAsia="zh-CN"/>
              </w:rPr>
            </w:pPr>
            <w:r>
              <w:rPr>
                <w:rFonts w:hint="eastAsia" w:ascii="宋体" w:hAnsi="宋体"/>
                <w:b/>
                <w:color w:val="auto"/>
                <w:sz w:val="24"/>
                <w:szCs w:val="24"/>
                <w:highlight w:val="none"/>
                <w:lang w:val="en-US" w:eastAsia="zh-CN"/>
              </w:rPr>
              <w:t>最高投标限价（万元）</w:t>
            </w:r>
          </w:p>
        </w:tc>
        <w:tc>
          <w:tcPr>
            <w:tcW w:w="1104" w:type="dxa"/>
            <w:noWrap w:val="0"/>
            <w:vAlign w:val="center"/>
          </w:tcPr>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rPr>
              <w:t>服务期</w:t>
            </w:r>
          </w:p>
        </w:tc>
        <w:tc>
          <w:tcPr>
            <w:tcW w:w="1364" w:type="dxa"/>
            <w:noWrap w:val="0"/>
            <w:vAlign w:val="center"/>
          </w:tcPr>
          <w:p>
            <w:pPr>
              <w:tabs>
                <w:tab w:val="left" w:pos="8280"/>
              </w:tabs>
              <w:autoSpaceDE w:val="0"/>
              <w:autoSpaceDN w:val="0"/>
              <w:adjustRightInd w:val="0"/>
              <w:spacing w:line="360" w:lineRule="auto"/>
              <w:ind w:right="25"/>
              <w:jc w:val="center"/>
              <w:rPr>
                <w:rFonts w:ascii="宋体" w:hAnsi="宋体"/>
                <w:b/>
                <w:color w:val="auto"/>
                <w:sz w:val="24"/>
                <w:szCs w:val="24"/>
                <w:highlight w:val="none"/>
              </w:rPr>
            </w:pPr>
            <w:r>
              <w:rPr>
                <w:rFonts w:hint="eastAsia" w:ascii="宋体" w:hAnsi="宋体"/>
                <w:b/>
                <w:color w:val="auto"/>
                <w:sz w:val="24"/>
                <w:szCs w:val="24"/>
                <w:highlight w:val="none"/>
                <w:lang w:eastAsia="zh-CN"/>
              </w:rPr>
              <w:t>项目</w:t>
            </w:r>
            <w:r>
              <w:rPr>
                <w:rFonts w:hint="eastAsia" w:ascii="宋体" w:hAnsi="宋体"/>
                <w:b/>
                <w:color w:val="auto"/>
                <w:sz w:val="24"/>
                <w:szCs w:val="24"/>
                <w:highlight w:val="none"/>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893" w:type="dxa"/>
            <w:noWrap w:val="0"/>
            <w:vAlign w:val="center"/>
          </w:tcPr>
          <w:p>
            <w:pPr>
              <w:jc w:val="center"/>
              <w:rPr>
                <w:rFonts w:ascii="宋体" w:hAnsi="宋体"/>
                <w:color w:val="auto"/>
                <w:sz w:val="24"/>
                <w:szCs w:val="24"/>
                <w:highlight w:val="none"/>
                <w:lang w:val="zh-CN"/>
              </w:rPr>
            </w:pPr>
            <w:r>
              <w:rPr>
                <w:rFonts w:hint="eastAsia" w:ascii="宋体" w:hAnsi="宋体"/>
                <w:color w:val="auto"/>
                <w:sz w:val="24"/>
                <w:szCs w:val="24"/>
                <w:highlight w:val="none"/>
                <w:lang w:val="zh-CN"/>
              </w:rPr>
              <w:t>一</w:t>
            </w:r>
          </w:p>
        </w:tc>
        <w:tc>
          <w:tcPr>
            <w:tcW w:w="1674" w:type="dxa"/>
            <w:noWrap w:val="0"/>
            <w:vAlign w:val="center"/>
          </w:tcPr>
          <w:p>
            <w:pPr>
              <w:jc w:val="center"/>
              <w:rPr>
                <w:rFonts w:ascii="宋体" w:hAnsi="宋体"/>
                <w:color w:val="auto"/>
                <w:sz w:val="24"/>
                <w:szCs w:val="24"/>
                <w:highlight w:val="none"/>
                <w:lang w:val="zh-CN"/>
              </w:rPr>
            </w:pPr>
            <w:r>
              <w:rPr>
                <w:rFonts w:hint="eastAsia" w:ascii="宋体" w:hAnsi="宋体"/>
                <w:color w:val="auto"/>
                <w:sz w:val="24"/>
                <w:szCs w:val="24"/>
                <w:highlight w:val="none"/>
                <w:lang w:val="zh-CN"/>
              </w:rPr>
              <w:t>中心机房精密空调及UPS等设备维保项目</w:t>
            </w:r>
          </w:p>
        </w:tc>
        <w:tc>
          <w:tcPr>
            <w:tcW w:w="1078" w:type="dxa"/>
            <w:noWrap w:val="0"/>
            <w:vAlign w:val="center"/>
          </w:tcPr>
          <w:p>
            <w:pPr>
              <w:jc w:val="center"/>
              <w:rPr>
                <w:rFonts w:ascii="宋体" w:hAnsi="宋体"/>
                <w:color w:val="auto"/>
                <w:sz w:val="24"/>
                <w:szCs w:val="24"/>
                <w:highlight w:val="none"/>
                <w:lang w:val="zh-CN"/>
              </w:rPr>
            </w:pPr>
            <w:r>
              <w:rPr>
                <w:rFonts w:hint="eastAsia" w:ascii="宋体" w:hAnsi="宋体"/>
                <w:color w:val="auto"/>
                <w:sz w:val="24"/>
                <w:szCs w:val="24"/>
                <w:highlight w:val="none"/>
                <w:lang w:val="zh-CN"/>
              </w:rPr>
              <w:t>详见</w:t>
            </w:r>
          </w:p>
          <w:p>
            <w:pPr>
              <w:jc w:val="center"/>
              <w:rPr>
                <w:rFonts w:ascii="宋体" w:hAnsi="宋体"/>
                <w:color w:val="auto"/>
                <w:sz w:val="24"/>
                <w:szCs w:val="24"/>
                <w:highlight w:val="none"/>
                <w:lang w:val="zh-CN"/>
              </w:rPr>
            </w:pPr>
            <w:r>
              <w:rPr>
                <w:rFonts w:hint="eastAsia" w:ascii="宋体" w:hAnsi="宋体"/>
                <w:color w:val="auto"/>
                <w:sz w:val="24"/>
                <w:szCs w:val="24"/>
                <w:highlight w:val="none"/>
                <w:lang w:val="zh-CN"/>
              </w:rPr>
              <w:t>具体技术需求</w:t>
            </w:r>
          </w:p>
        </w:tc>
        <w:tc>
          <w:tcPr>
            <w:tcW w:w="662" w:type="dxa"/>
            <w:noWrap w:val="0"/>
            <w:vAlign w:val="center"/>
          </w:tcPr>
          <w:p>
            <w:pPr>
              <w:jc w:val="center"/>
              <w:rPr>
                <w:rFonts w:ascii="宋体" w:hAnsi="宋体"/>
                <w:color w:val="auto"/>
                <w:sz w:val="24"/>
                <w:szCs w:val="24"/>
                <w:highlight w:val="none"/>
                <w:lang w:val="zh-CN"/>
              </w:rPr>
            </w:pPr>
            <w:r>
              <w:rPr>
                <w:rFonts w:hint="eastAsia" w:ascii="宋体" w:hAnsi="宋体"/>
                <w:color w:val="auto"/>
                <w:sz w:val="24"/>
                <w:szCs w:val="24"/>
                <w:highlight w:val="none"/>
              </w:rPr>
              <w:t>1</w:t>
            </w:r>
          </w:p>
        </w:tc>
        <w:tc>
          <w:tcPr>
            <w:tcW w:w="600" w:type="dxa"/>
            <w:noWrap w:val="0"/>
            <w:vAlign w:val="center"/>
          </w:tcPr>
          <w:p>
            <w:pPr>
              <w:tabs>
                <w:tab w:val="left" w:pos="8280"/>
              </w:tabs>
              <w:autoSpaceDE w:val="0"/>
              <w:autoSpaceDN w:val="0"/>
              <w:adjustRightInd w:val="0"/>
              <w:ind w:right="25"/>
              <w:jc w:val="center"/>
              <w:rPr>
                <w:rFonts w:ascii="宋体" w:hAnsi="宋体"/>
                <w:color w:val="auto"/>
                <w:sz w:val="24"/>
                <w:szCs w:val="24"/>
                <w:highlight w:val="none"/>
                <w:lang w:val="zh-CN"/>
              </w:rPr>
            </w:pPr>
            <w:r>
              <w:rPr>
                <w:rFonts w:hint="eastAsia" w:ascii="宋体" w:hAnsi="宋体"/>
                <w:color w:val="auto"/>
                <w:sz w:val="24"/>
                <w:szCs w:val="24"/>
                <w:highlight w:val="none"/>
                <w:lang w:val="zh-CN"/>
              </w:rPr>
              <w:t>项</w:t>
            </w:r>
          </w:p>
        </w:tc>
        <w:tc>
          <w:tcPr>
            <w:tcW w:w="1200" w:type="dxa"/>
            <w:noWrap w:val="0"/>
            <w:vAlign w:val="center"/>
          </w:tcPr>
          <w:p>
            <w:pPr>
              <w:tabs>
                <w:tab w:val="left" w:pos="8280"/>
              </w:tabs>
              <w:autoSpaceDE w:val="0"/>
              <w:autoSpaceDN w:val="0"/>
              <w:adjustRightInd w:val="0"/>
              <w:ind w:right="25"/>
              <w:jc w:val="center"/>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83.4</w:t>
            </w:r>
          </w:p>
        </w:tc>
        <w:tc>
          <w:tcPr>
            <w:tcW w:w="1125" w:type="dxa"/>
            <w:noWrap w:val="0"/>
            <w:vAlign w:val="center"/>
          </w:tcPr>
          <w:p>
            <w:pPr>
              <w:tabs>
                <w:tab w:val="left" w:pos="8280"/>
              </w:tabs>
              <w:autoSpaceDE w:val="0"/>
              <w:autoSpaceDN w:val="0"/>
              <w:adjustRightInd w:val="0"/>
              <w:ind w:right="25"/>
              <w:jc w:val="center"/>
              <w:rPr>
                <w:rFonts w:hint="default" w:ascii="宋体" w:hAnsi="宋体"/>
                <w:color w:val="auto"/>
                <w:sz w:val="24"/>
                <w:szCs w:val="24"/>
                <w:highlight w:val="none"/>
                <w:lang w:val="en-US" w:eastAsia="zh-CN"/>
              </w:rPr>
            </w:pPr>
            <w:r>
              <w:rPr>
                <w:rFonts w:hint="eastAsia" w:ascii="宋体" w:hAnsi="宋体"/>
                <w:color w:val="auto"/>
                <w:sz w:val="24"/>
                <w:szCs w:val="24"/>
                <w:highlight w:val="none"/>
                <w:lang w:val="en-US" w:eastAsia="zh-CN"/>
              </w:rPr>
              <w:t>79.4079</w:t>
            </w:r>
          </w:p>
        </w:tc>
        <w:tc>
          <w:tcPr>
            <w:tcW w:w="1104" w:type="dxa"/>
            <w:noWrap w:val="0"/>
            <w:vAlign w:val="center"/>
          </w:tcPr>
          <w:p>
            <w:pPr>
              <w:tabs>
                <w:tab w:val="left" w:pos="8280"/>
              </w:tabs>
              <w:autoSpaceDE w:val="0"/>
              <w:autoSpaceDN w:val="0"/>
              <w:adjustRightInd w:val="0"/>
              <w:ind w:right="25"/>
              <w:jc w:val="center"/>
              <w:rPr>
                <w:rFonts w:hint="eastAsia" w:ascii="宋体" w:hAnsi="宋体" w:eastAsia="宋体"/>
                <w:color w:val="auto"/>
                <w:sz w:val="24"/>
                <w:szCs w:val="24"/>
                <w:highlight w:val="none"/>
                <w:lang w:eastAsia="zh-CN"/>
              </w:rPr>
            </w:pPr>
            <w:r>
              <w:rPr>
                <w:rFonts w:hint="eastAsia" w:ascii="宋体" w:hAnsi="宋体"/>
                <w:color w:val="auto"/>
                <w:sz w:val="24"/>
                <w:szCs w:val="24"/>
                <w:highlight w:val="none"/>
                <w:lang w:val="en-US" w:eastAsia="zh-CN"/>
              </w:rPr>
              <w:t>3</w:t>
            </w:r>
            <w:r>
              <w:rPr>
                <w:rFonts w:hint="eastAsia" w:ascii="宋体" w:hAnsi="宋体"/>
                <w:color w:val="auto"/>
                <w:sz w:val="24"/>
                <w:szCs w:val="24"/>
                <w:highlight w:val="none"/>
                <w:lang w:eastAsia="zh-CN"/>
              </w:rPr>
              <w:t>年</w:t>
            </w:r>
          </w:p>
        </w:tc>
        <w:tc>
          <w:tcPr>
            <w:tcW w:w="1364" w:type="dxa"/>
            <w:noWrap w:val="0"/>
            <w:vAlign w:val="center"/>
          </w:tcPr>
          <w:p>
            <w:pPr>
              <w:tabs>
                <w:tab w:val="left" w:pos="8280"/>
              </w:tabs>
              <w:autoSpaceDE w:val="0"/>
              <w:autoSpaceDN w:val="0"/>
              <w:adjustRightInd w:val="0"/>
              <w:ind w:right="25"/>
              <w:jc w:val="center"/>
              <w:rPr>
                <w:rFonts w:ascii="宋体" w:hAnsi="宋体"/>
                <w:color w:val="auto"/>
                <w:sz w:val="24"/>
                <w:szCs w:val="24"/>
                <w:highlight w:val="none"/>
              </w:rPr>
            </w:pPr>
            <w:r>
              <w:rPr>
                <w:rFonts w:hint="eastAsia" w:ascii="宋体" w:hAnsi="宋体"/>
                <w:color w:val="auto"/>
                <w:sz w:val="24"/>
                <w:szCs w:val="24"/>
                <w:highlight w:val="none"/>
              </w:rPr>
              <w:t>台州市公安局交通警察局</w:t>
            </w:r>
          </w:p>
        </w:tc>
      </w:tr>
    </w:tbl>
    <w:p>
      <w:pPr>
        <w:pStyle w:val="4"/>
        <w:ind w:right="0" w:firstLine="482" w:firstLineChars="200"/>
        <w:rPr>
          <w:rFonts w:hint="eastAsia" w:cs="宋体"/>
          <w:bCs/>
          <w:color w:val="auto"/>
          <w:sz w:val="24"/>
          <w:szCs w:val="24"/>
          <w:highlight w:val="none"/>
        </w:rPr>
      </w:pPr>
      <w:r>
        <w:rPr>
          <w:rFonts w:hint="eastAsia" w:cs="宋体"/>
          <w:bCs/>
          <w:color w:val="auto"/>
          <w:sz w:val="24"/>
          <w:szCs w:val="24"/>
          <w:highlight w:val="none"/>
          <w:lang w:val="en-US" w:eastAsia="zh-CN"/>
        </w:rPr>
        <w:t>合同一年一签，期满后服务质量优秀，服务对象满意度高的，经采购人同意后，维保期可按年度续签延续，累计时间最长不超过3年。</w:t>
      </w:r>
      <w:r>
        <w:rPr>
          <w:rFonts w:hint="eastAsia" w:asciiTheme="minorEastAsia" w:hAnsiTheme="minorEastAsia" w:eastAsiaTheme="minorEastAsia" w:cstheme="minorEastAsia"/>
          <w:color w:val="auto"/>
          <w:kern w:val="2"/>
          <w:sz w:val="24"/>
          <w:szCs w:val="24"/>
          <w:highlight w:val="none"/>
          <w:lang w:val="en-US" w:eastAsia="zh-CN" w:bidi="ar-SA"/>
        </w:rPr>
        <w:t xml:space="preserve"> </w:t>
      </w:r>
    </w:p>
    <w:p>
      <w:pPr>
        <w:pStyle w:val="4"/>
        <w:ind w:right="0" w:firstLine="482" w:firstLineChars="200"/>
        <w:rPr>
          <w:rFonts w:cs="宋体"/>
          <w:bCs/>
          <w:color w:val="auto"/>
          <w:sz w:val="24"/>
          <w:szCs w:val="24"/>
          <w:highlight w:val="none"/>
        </w:rPr>
      </w:pPr>
      <w:r>
        <w:rPr>
          <w:rFonts w:hint="eastAsia" w:cs="宋体"/>
          <w:bCs/>
          <w:color w:val="auto"/>
          <w:sz w:val="24"/>
          <w:szCs w:val="24"/>
          <w:highlight w:val="none"/>
        </w:rPr>
        <w:t>二、投标人的资格要求</w:t>
      </w:r>
      <w:bookmarkEnd w:id="7"/>
      <w:bookmarkEnd w:id="8"/>
      <w:bookmarkEnd w:id="9"/>
      <w:bookmarkEnd w:id="10"/>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（一）满足《中华人民共和国政府采购法》第二十二条规定</w:t>
      </w:r>
    </w:p>
    <w:p>
      <w:pPr>
        <w:spacing w:line="360" w:lineRule="auto"/>
        <w:ind w:firstLine="480" w:firstLineChars="200"/>
        <w:rPr>
          <w:rFonts w:hint="eastAsia" w:ascii="宋体" w:hAnsi="宋体" w:eastAsia="宋体" w:cs="宋体"/>
          <w:color w:val="auto"/>
          <w:sz w:val="24"/>
          <w:highlight w:val="none"/>
          <w:lang w:eastAsia="zh-CN"/>
        </w:rPr>
      </w:pPr>
      <w:bookmarkStart w:id="11" w:name="_Toc35393623"/>
      <w:bookmarkStart w:id="12" w:name="_Toc28359004"/>
      <w:bookmarkStart w:id="13" w:name="_Toc35393792"/>
      <w:bookmarkStart w:id="14" w:name="_Toc28359081"/>
      <w:r>
        <w:rPr>
          <w:rFonts w:hint="eastAsia" w:ascii="宋体" w:hAnsi="宋体" w:cs="宋体"/>
          <w:color w:val="auto"/>
          <w:sz w:val="24"/>
          <w:highlight w:val="none"/>
        </w:rPr>
        <w:t>（二）本项目的特定资格要求：</w:t>
      </w:r>
      <w:r>
        <w:rPr>
          <w:rFonts w:hint="eastAsia" w:ascii="宋体" w:hAnsi="宋体" w:cs="宋体"/>
          <w:color w:val="auto"/>
          <w:sz w:val="24"/>
          <w:highlight w:val="none"/>
          <w:lang w:eastAsia="zh-CN"/>
        </w:rPr>
        <w:t>无</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（三）本项目</w:t>
      </w:r>
      <w:r>
        <w:rPr>
          <w:rFonts w:hint="eastAsia" w:ascii="宋体" w:hAnsi="宋体" w:cs="宋体"/>
          <w:b/>
          <w:bCs/>
          <w:color w:val="auto"/>
          <w:sz w:val="24"/>
          <w:highlight w:val="none"/>
        </w:rPr>
        <w:t>不接受</w:t>
      </w:r>
      <w:r>
        <w:rPr>
          <w:rFonts w:hint="eastAsia" w:ascii="宋体" w:hAnsi="宋体" w:cs="宋体"/>
          <w:color w:val="auto"/>
          <w:sz w:val="24"/>
          <w:highlight w:val="none"/>
        </w:rPr>
        <w:t>联合体投标</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eastAsia="zh-CN"/>
        </w:rPr>
        <w:t>四</w:t>
      </w:r>
      <w:r>
        <w:rPr>
          <w:rFonts w:hint="eastAsia" w:ascii="宋体" w:hAnsi="宋体" w:cs="宋体"/>
          <w:color w:val="auto"/>
          <w:sz w:val="24"/>
          <w:highlight w:val="none"/>
        </w:rPr>
        <w:t>）</w:t>
      </w:r>
      <w:r>
        <w:rPr>
          <w:rFonts w:hint="eastAsia" w:ascii="宋体" w:hAnsi="宋体" w:cs="宋体"/>
          <w:b/>
          <w:bCs/>
          <w:color w:val="auto"/>
          <w:sz w:val="24"/>
          <w:highlight w:val="none"/>
        </w:rPr>
        <w:t>本项目</w:t>
      </w:r>
      <w:r>
        <w:rPr>
          <w:rFonts w:hint="eastAsia" w:ascii="宋体" w:hAnsi="宋体" w:cs="宋体"/>
          <w:b/>
          <w:bCs/>
          <w:color w:val="auto"/>
          <w:sz w:val="24"/>
          <w:highlight w:val="none"/>
          <w:lang w:eastAsia="zh-CN"/>
        </w:rPr>
        <w:t>非</w:t>
      </w:r>
      <w:r>
        <w:rPr>
          <w:rFonts w:hint="eastAsia" w:ascii="宋体" w:hAnsi="宋体" w:cs="宋体"/>
          <w:b/>
          <w:bCs/>
          <w:color w:val="auto"/>
          <w:sz w:val="24"/>
          <w:highlight w:val="none"/>
          <w:lang w:val="en-US" w:eastAsia="zh-CN"/>
        </w:rPr>
        <w:t>针对中小企业采购</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eastAsia="zh-CN"/>
        </w:rPr>
        <w:t>五</w:t>
      </w:r>
      <w:r>
        <w:rPr>
          <w:rFonts w:hint="eastAsia" w:ascii="宋体" w:hAnsi="宋体" w:cs="宋体"/>
          <w:color w:val="auto"/>
          <w:sz w:val="24"/>
          <w:highlight w:val="none"/>
        </w:rPr>
        <w:t>）信用记录：未被列入“信用中国”失信被执行人或重大税收违法案件当事人名单；未处于“中国政府采购网”</w:t>
      </w:r>
      <w:r>
        <w:rPr>
          <w:color w:val="auto"/>
          <w:highlight w:val="none"/>
        </w:rPr>
        <w:fldChar w:fldCharType="begin"/>
      </w:r>
      <w:r>
        <w:rPr>
          <w:color w:val="auto"/>
          <w:highlight w:val="none"/>
        </w:rPr>
        <w:instrText xml:space="preserve"> HYPERLINK "http://www.ccgp.gov.cn）政府采购严重违法失信行为信息记录中的禁止参加政府采购活动期间。" </w:instrText>
      </w:r>
      <w:r>
        <w:rPr>
          <w:color w:val="auto"/>
          <w:highlight w:val="none"/>
        </w:rPr>
        <w:fldChar w:fldCharType="separate"/>
      </w:r>
      <w:r>
        <w:rPr>
          <w:rFonts w:hint="eastAsia" w:ascii="宋体" w:hAnsi="宋体" w:cs="宋体"/>
          <w:color w:val="auto"/>
          <w:sz w:val="24"/>
          <w:highlight w:val="none"/>
        </w:rPr>
        <w:t>政府采购严重违法失信行为信息记录中的禁止参加政府采购活动期间。</w:t>
      </w:r>
      <w:r>
        <w:rPr>
          <w:rFonts w:hint="eastAsia" w:ascii="宋体" w:hAnsi="宋体" w:cs="宋体"/>
          <w:color w:val="auto"/>
          <w:sz w:val="24"/>
          <w:highlight w:val="none"/>
        </w:rPr>
        <w:fldChar w:fldCharType="end"/>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eastAsia="zh-CN"/>
        </w:rPr>
        <w:t>六</w:t>
      </w:r>
      <w:r>
        <w:rPr>
          <w:rFonts w:hint="eastAsia" w:ascii="宋体" w:hAnsi="宋体" w:cs="宋体"/>
          <w:color w:val="auto"/>
          <w:sz w:val="24"/>
          <w:highlight w:val="none"/>
        </w:rPr>
        <w:t>）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投标的，联合体各方均须满足该条款。）</w:t>
      </w:r>
    </w:p>
    <w:p>
      <w:pPr>
        <w:pStyle w:val="4"/>
        <w:ind w:right="0" w:firstLine="482" w:firstLineChars="200"/>
        <w:rPr>
          <w:rFonts w:cs="宋体"/>
          <w:bCs/>
          <w:color w:val="auto"/>
          <w:sz w:val="24"/>
          <w:szCs w:val="24"/>
          <w:highlight w:val="none"/>
        </w:rPr>
      </w:pPr>
      <w:r>
        <w:rPr>
          <w:rFonts w:hint="eastAsia" w:cs="宋体"/>
          <w:bCs/>
          <w:color w:val="auto"/>
          <w:sz w:val="24"/>
          <w:szCs w:val="24"/>
          <w:highlight w:val="none"/>
        </w:rPr>
        <w:t>三、获取招标文件</w:t>
      </w:r>
      <w:bookmarkEnd w:id="11"/>
      <w:bookmarkEnd w:id="12"/>
      <w:bookmarkEnd w:id="13"/>
      <w:bookmarkEnd w:id="14"/>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（一）时间：</w:t>
      </w:r>
      <w:r>
        <w:rPr>
          <w:rFonts w:hint="eastAsia" w:ascii="宋体" w:hAnsi="宋体" w:cs="宋体"/>
          <w:color w:val="auto"/>
          <w:sz w:val="24"/>
          <w:highlight w:val="none"/>
          <w:u w:val="single"/>
          <w:lang w:val="en-US" w:eastAsia="zh-CN"/>
        </w:rPr>
        <w:t>2022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6</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20</w:t>
      </w:r>
      <w:r>
        <w:rPr>
          <w:rFonts w:hint="eastAsia" w:ascii="宋体" w:hAnsi="宋体" w:cs="宋体"/>
          <w:color w:val="auto"/>
          <w:sz w:val="24"/>
          <w:highlight w:val="none"/>
          <w:u w:val="single"/>
        </w:rPr>
        <w:t>日</w:t>
      </w:r>
      <w:r>
        <w:rPr>
          <w:rFonts w:hint="eastAsia" w:ascii="宋体" w:hAnsi="宋体" w:cs="宋体"/>
          <w:color w:val="auto"/>
          <w:sz w:val="24"/>
          <w:highlight w:val="none"/>
        </w:rPr>
        <w:t>至</w:t>
      </w:r>
      <w:r>
        <w:rPr>
          <w:rFonts w:hint="eastAsia" w:ascii="宋体" w:hAnsi="宋体" w:cs="宋体"/>
          <w:color w:val="auto"/>
          <w:sz w:val="24"/>
          <w:highlight w:val="none"/>
          <w:u w:val="single"/>
          <w:lang w:val="en-US" w:eastAsia="zh-CN"/>
        </w:rPr>
        <w:t>2022</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11</w:t>
      </w:r>
      <w:r>
        <w:rPr>
          <w:rFonts w:hint="eastAsia" w:ascii="宋体" w:hAnsi="宋体" w:cs="宋体"/>
          <w:color w:val="auto"/>
          <w:sz w:val="24"/>
          <w:highlight w:val="none"/>
          <w:u w:val="single"/>
        </w:rPr>
        <w:t>日</w:t>
      </w:r>
    </w:p>
    <w:p>
      <w:pPr>
        <w:pStyle w:val="24"/>
        <w:spacing w:line="360" w:lineRule="auto"/>
        <w:ind w:firstLine="480" w:firstLineChars="200"/>
        <w:jc w:val="both"/>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（二）方式：浙江政府采购网</w:t>
      </w:r>
      <w:r>
        <w:rPr>
          <w:rFonts w:hint="eastAsia" w:ascii="宋体" w:hAnsi="宋体" w:eastAsia="宋体" w:cs="宋体"/>
          <w:color w:val="auto"/>
          <w:kern w:val="2"/>
          <w:sz w:val="24"/>
          <w:szCs w:val="24"/>
          <w:highlight w:val="none"/>
        </w:rPr>
        <w:t>（https://zfcg.czt.zj.gov.cn）</w:t>
      </w:r>
      <w:r>
        <w:rPr>
          <w:rFonts w:hint="eastAsia" w:ascii="宋体" w:hAnsi="宋体" w:eastAsia="宋体" w:cs="宋体"/>
          <w:color w:val="auto"/>
          <w:sz w:val="24"/>
          <w:szCs w:val="24"/>
          <w:highlight w:val="none"/>
        </w:rPr>
        <w:t>免费下载</w:t>
      </w:r>
    </w:p>
    <w:p>
      <w:pPr>
        <w:pStyle w:val="4"/>
        <w:ind w:right="0" w:firstLine="482" w:firstLineChars="200"/>
        <w:rPr>
          <w:rFonts w:cs="宋体"/>
          <w:bCs/>
          <w:color w:val="auto"/>
          <w:sz w:val="24"/>
          <w:szCs w:val="24"/>
          <w:highlight w:val="none"/>
        </w:rPr>
      </w:pPr>
      <w:bookmarkStart w:id="15" w:name="_Toc35393793"/>
      <w:bookmarkStart w:id="16" w:name="_Toc28359005"/>
      <w:bookmarkStart w:id="17" w:name="_Toc35393624"/>
      <w:bookmarkStart w:id="18" w:name="_Toc28359082"/>
      <w:r>
        <w:rPr>
          <w:rFonts w:hint="eastAsia" w:cs="宋体"/>
          <w:bCs/>
          <w:color w:val="auto"/>
          <w:sz w:val="24"/>
          <w:szCs w:val="24"/>
          <w:highlight w:val="none"/>
        </w:rPr>
        <w:t>四、提交投标文件</w:t>
      </w:r>
      <w:bookmarkEnd w:id="15"/>
      <w:bookmarkEnd w:id="16"/>
      <w:bookmarkEnd w:id="17"/>
      <w:bookmarkEnd w:id="18"/>
    </w:p>
    <w:p>
      <w:pPr>
        <w:spacing w:line="360" w:lineRule="auto"/>
        <w:ind w:firstLine="480" w:firstLineChars="200"/>
        <w:rPr>
          <w:rFonts w:ascii="宋体" w:hAnsi="宋体" w:cs="宋体"/>
          <w:iCs/>
          <w:color w:val="auto"/>
          <w:sz w:val="24"/>
          <w:highlight w:val="none"/>
          <w:u w:val="single"/>
        </w:rPr>
      </w:pPr>
      <w:bookmarkStart w:id="19" w:name="_Toc28359084"/>
      <w:bookmarkStart w:id="20" w:name="_Toc28359007"/>
      <w:bookmarkStart w:id="21" w:name="_Toc35393625"/>
      <w:bookmarkStart w:id="22" w:name="_Toc35393794"/>
      <w:r>
        <w:rPr>
          <w:rFonts w:hint="eastAsia" w:ascii="宋体" w:hAnsi="宋体" w:cs="宋体"/>
          <w:color w:val="auto"/>
          <w:sz w:val="24"/>
          <w:highlight w:val="none"/>
        </w:rPr>
        <w:t>（一）截止时间（开标时间）：</w:t>
      </w:r>
      <w:r>
        <w:rPr>
          <w:rFonts w:hint="eastAsia" w:ascii="宋体" w:hAnsi="宋体" w:cs="宋体"/>
          <w:bCs/>
          <w:color w:val="auto"/>
          <w:sz w:val="24"/>
          <w:highlight w:val="none"/>
          <w:u w:val="single"/>
          <w:lang w:val="en-US" w:eastAsia="zh-CN"/>
        </w:rPr>
        <w:t>2022</w:t>
      </w:r>
      <w:r>
        <w:rPr>
          <w:rFonts w:hint="eastAsia" w:ascii="宋体" w:hAnsi="宋体" w:cs="宋体"/>
          <w:bCs/>
          <w:color w:val="auto"/>
          <w:sz w:val="24"/>
          <w:highlight w:val="none"/>
          <w:u w:val="single"/>
        </w:rPr>
        <w:t>年</w:t>
      </w:r>
      <w:r>
        <w:rPr>
          <w:rFonts w:hint="eastAsia" w:ascii="宋体" w:hAnsi="宋体" w:cs="宋体"/>
          <w:color w:val="auto"/>
          <w:sz w:val="24"/>
          <w:highlight w:val="none"/>
          <w:u w:val="single"/>
          <w:lang w:val="en-US" w:eastAsia="zh-CN"/>
        </w:rPr>
        <w:t>7</w:t>
      </w:r>
      <w:r>
        <w:rPr>
          <w:rFonts w:hint="eastAsia" w:ascii="宋体" w:hAnsi="宋体" w:cs="宋体"/>
          <w:bCs/>
          <w:color w:val="auto"/>
          <w:sz w:val="24"/>
          <w:highlight w:val="none"/>
          <w:u w:val="single"/>
        </w:rPr>
        <w:t>月</w:t>
      </w:r>
      <w:r>
        <w:rPr>
          <w:rFonts w:hint="eastAsia" w:ascii="宋体" w:hAnsi="宋体" w:cs="宋体"/>
          <w:color w:val="auto"/>
          <w:sz w:val="24"/>
          <w:highlight w:val="none"/>
          <w:u w:val="single"/>
          <w:lang w:val="en-US" w:eastAsia="zh-CN"/>
        </w:rPr>
        <w:t>11</w:t>
      </w:r>
      <w:r>
        <w:rPr>
          <w:rFonts w:hint="eastAsia" w:ascii="宋体" w:hAnsi="宋体" w:cs="宋体"/>
          <w:bCs/>
          <w:color w:val="auto"/>
          <w:sz w:val="24"/>
          <w:highlight w:val="none"/>
          <w:u w:val="single"/>
        </w:rPr>
        <w:t>日</w:t>
      </w:r>
      <w:r>
        <w:rPr>
          <w:rFonts w:hint="eastAsia" w:ascii="宋体" w:hAnsi="宋体" w:cs="宋体"/>
          <w:bCs/>
          <w:color w:val="auto"/>
          <w:sz w:val="24"/>
          <w:highlight w:val="none"/>
          <w:u w:val="single"/>
          <w:lang w:val="en-US" w:eastAsia="zh-CN"/>
        </w:rPr>
        <w:t>09</w:t>
      </w:r>
      <w:r>
        <w:rPr>
          <w:rFonts w:hint="eastAsia" w:ascii="宋体" w:hAnsi="宋体" w:cs="宋体"/>
          <w:bCs/>
          <w:color w:val="auto"/>
          <w:sz w:val="24"/>
          <w:highlight w:val="none"/>
          <w:u w:val="single"/>
          <w:lang w:eastAsia="zh-CN"/>
        </w:rPr>
        <w:t>时</w:t>
      </w:r>
      <w:r>
        <w:rPr>
          <w:rFonts w:hint="eastAsia" w:ascii="宋体" w:hAnsi="宋体" w:cs="宋体"/>
          <w:bCs/>
          <w:color w:val="auto"/>
          <w:sz w:val="24"/>
          <w:highlight w:val="none"/>
          <w:u w:val="single"/>
          <w:lang w:val="en-US" w:eastAsia="zh-CN"/>
        </w:rPr>
        <w:t>00分</w:t>
      </w:r>
      <w:r>
        <w:rPr>
          <w:rFonts w:hint="eastAsia" w:ascii="宋体" w:hAnsi="宋体" w:cs="宋体"/>
          <w:bCs/>
          <w:color w:val="auto"/>
          <w:sz w:val="24"/>
          <w:highlight w:val="none"/>
        </w:rPr>
        <w:t>（北京时间）</w:t>
      </w:r>
    </w:p>
    <w:p>
      <w:pPr>
        <w:pStyle w:val="7"/>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（二）投标网址：浙江政府采购云平台（http://www.zcygov.cn）</w:t>
      </w:r>
    </w:p>
    <w:bookmarkEnd w:id="19"/>
    <w:bookmarkEnd w:id="20"/>
    <w:bookmarkEnd w:id="21"/>
    <w:bookmarkEnd w:id="22"/>
    <w:p>
      <w:pPr>
        <w:pStyle w:val="18"/>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五、发布公告</w:t>
      </w:r>
    </w:p>
    <w:p>
      <w:pPr>
        <w:pStyle w:val="18"/>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（一）公告网址：</w:t>
      </w:r>
      <w:r>
        <w:rPr>
          <w:rFonts w:hint="eastAsia" w:ascii="宋体" w:hAnsi="宋体" w:cs="宋体"/>
          <w:color w:val="auto"/>
          <w:kern w:val="0"/>
          <w:sz w:val="24"/>
          <w:highlight w:val="none"/>
        </w:rPr>
        <w:t>浙江政府采购网（</w:t>
      </w:r>
      <w:r>
        <w:rPr>
          <w:rFonts w:hint="eastAsia" w:ascii="宋体" w:hAnsi="宋体" w:cs="宋体"/>
          <w:color w:val="auto"/>
          <w:sz w:val="24"/>
          <w:highlight w:val="none"/>
        </w:rPr>
        <w:t>https://zfcg.czt.zj.gov.cn</w:t>
      </w:r>
      <w:r>
        <w:rPr>
          <w:rFonts w:hint="eastAsia" w:ascii="宋体" w:hAnsi="宋体" w:cs="宋体"/>
          <w:color w:val="auto"/>
          <w:kern w:val="0"/>
          <w:sz w:val="24"/>
          <w:highlight w:val="none"/>
        </w:rPr>
        <w:t>），台州市公共资源交易网（https://tzztb.zjtz.gov.cn）。</w:t>
      </w:r>
    </w:p>
    <w:p>
      <w:pPr>
        <w:pStyle w:val="18"/>
        <w:spacing w:after="0" w:line="360" w:lineRule="auto"/>
        <w:ind w:left="0" w:leftChars="0" w:firstLine="480" w:firstLineChars="200"/>
        <w:rPr>
          <w:rFonts w:ascii="宋体" w:hAnsi="宋体" w:cs="宋体"/>
          <w:color w:val="auto"/>
          <w:kern w:val="0"/>
          <w:sz w:val="24"/>
          <w:highlight w:val="none"/>
        </w:rPr>
      </w:pPr>
      <w:r>
        <w:rPr>
          <w:rFonts w:hint="eastAsia" w:ascii="宋体" w:hAnsi="宋体" w:cs="宋体"/>
          <w:color w:val="auto"/>
          <w:sz w:val="24"/>
          <w:highlight w:val="none"/>
        </w:rPr>
        <w:t>（二）公告期限：</w:t>
      </w:r>
      <w:r>
        <w:rPr>
          <w:rFonts w:hint="eastAsia" w:ascii="宋体" w:hAnsi="宋体" w:cs="宋体"/>
          <w:color w:val="auto"/>
          <w:kern w:val="0"/>
          <w:sz w:val="24"/>
          <w:highlight w:val="none"/>
        </w:rPr>
        <w:t>本公告期限自发布之日起五个工作日。</w:t>
      </w:r>
    </w:p>
    <w:p>
      <w:pPr>
        <w:pStyle w:val="4"/>
        <w:ind w:right="0" w:firstLine="482" w:firstLineChars="200"/>
        <w:rPr>
          <w:rFonts w:cs="宋体"/>
          <w:bCs/>
          <w:color w:val="auto"/>
          <w:sz w:val="24"/>
          <w:szCs w:val="24"/>
          <w:highlight w:val="none"/>
        </w:rPr>
      </w:pPr>
      <w:bookmarkStart w:id="23" w:name="_Toc35393795"/>
      <w:bookmarkStart w:id="24" w:name="_Toc35393626"/>
      <w:r>
        <w:rPr>
          <w:rFonts w:hint="eastAsia" w:cs="宋体"/>
          <w:bCs/>
          <w:color w:val="auto"/>
          <w:sz w:val="24"/>
          <w:szCs w:val="24"/>
          <w:highlight w:val="none"/>
        </w:rPr>
        <w:t>六、</w:t>
      </w:r>
      <w:bookmarkEnd w:id="23"/>
      <w:bookmarkEnd w:id="24"/>
      <w:r>
        <w:rPr>
          <w:rFonts w:hint="eastAsia" w:cs="宋体"/>
          <w:bCs/>
          <w:color w:val="auto"/>
          <w:sz w:val="24"/>
          <w:szCs w:val="24"/>
          <w:highlight w:val="none"/>
        </w:rPr>
        <w:t>注册报名</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投标人需登录浙江省政府采购网（https://zfcg.czt.zj.gov.cn/）进行注册后报名。</w:t>
      </w:r>
    </w:p>
    <w:p>
      <w:pPr>
        <w:pStyle w:val="4"/>
        <w:ind w:right="0" w:firstLine="482" w:firstLineChars="200"/>
        <w:rPr>
          <w:rFonts w:cs="宋体"/>
          <w:bCs/>
          <w:color w:val="auto"/>
          <w:sz w:val="24"/>
          <w:szCs w:val="24"/>
          <w:highlight w:val="none"/>
        </w:rPr>
      </w:pPr>
      <w:bookmarkStart w:id="25" w:name="_Toc28359008"/>
      <w:bookmarkStart w:id="26" w:name="_Toc35393627"/>
      <w:bookmarkStart w:id="27" w:name="_Toc35393796"/>
      <w:bookmarkStart w:id="28" w:name="_Toc28359085"/>
      <w:r>
        <w:rPr>
          <w:rFonts w:hint="eastAsia" w:cs="宋体"/>
          <w:bCs/>
          <w:color w:val="auto"/>
          <w:sz w:val="24"/>
          <w:szCs w:val="24"/>
          <w:highlight w:val="none"/>
        </w:rPr>
        <w:t>七、</w:t>
      </w:r>
      <w:bookmarkEnd w:id="25"/>
      <w:bookmarkEnd w:id="26"/>
      <w:bookmarkEnd w:id="27"/>
      <w:bookmarkEnd w:id="28"/>
      <w:r>
        <w:rPr>
          <w:rFonts w:hint="eastAsia" w:cs="宋体"/>
          <w:bCs/>
          <w:color w:val="auto"/>
          <w:sz w:val="24"/>
          <w:szCs w:val="24"/>
          <w:highlight w:val="none"/>
        </w:rPr>
        <w:t>联系方式</w:t>
      </w:r>
    </w:p>
    <w:p>
      <w:pPr>
        <w:snapToGrid w:val="0"/>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（一）采购人（受理招标文件相关质疑及答复）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u w:val="single"/>
        </w:rPr>
        <w:t>　</w:t>
      </w:r>
      <w:r>
        <w:rPr>
          <w:rFonts w:hint="eastAsia" w:ascii="宋体" w:hAnsi="宋体" w:cs="宋体"/>
          <w:color w:val="auto"/>
          <w:sz w:val="24"/>
          <w:highlight w:val="none"/>
          <w:u w:val="single"/>
          <w:lang w:eastAsia="zh-CN"/>
        </w:rPr>
        <w:t>台州市公安局交通警察局</w:t>
      </w:r>
      <w:r>
        <w:rPr>
          <w:rFonts w:hint="eastAsia" w:ascii="宋体" w:hAnsi="宋体" w:cs="宋体"/>
          <w:color w:val="auto"/>
          <w:sz w:val="24"/>
          <w:highlight w:val="none"/>
          <w:u w:val="single"/>
        </w:rPr>
        <w:t>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single"/>
        </w:rPr>
        <w:t>　　</w:t>
      </w:r>
      <w:r>
        <w:rPr>
          <w:rFonts w:hint="eastAsia" w:ascii="宋体" w:hAnsi="宋体" w:cs="宋体"/>
          <w:color w:val="auto"/>
          <w:sz w:val="24"/>
          <w:highlight w:val="none"/>
          <w:u w:val="single"/>
          <w:lang w:eastAsia="zh-CN"/>
        </w:rPr>
        <w:t>王警官</w:t>
      </w:r>
      <w:r>
        <w:rPr>
          <w:rFonts w:hint="eastAsia" w:ascii="宋体" w:hAnsi="宋体" w:cs="宋体"/>
          <w:color w:val="auto"/>
          <w:sz w:val="24"/>
          <w:highlight w:val="none"/>
          <w:u w:val="single"/>
        </w:rPr>
        <w:t>　</w:t>
      </w:r>
      <w:bookmarkStart w:id="29" w:name="_Toc28359086"/>
      <w:bookmarkStart w:id="30" w:name="_Toc28359009"/>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eastAsia="zh-CN"/>
        </w:rPr>
        <w:t>0576-88504229</w:t>
      </w:r>
      <w:r>
        <w:rPr>
          <w:rFonts w:hint="eastAsia" w:ascii="宋体" w:hAnsi="宋体" w:eastAsia="宋体" w:cs="宋体"/>
          <w:color w:val="auto"/>
          <w:sz w:val="24"/>
          <w:highlight w:val="none"/>
          <w:u w:val="single"/>
          <w:lang w:eastAsia="zh-CN"/>
        </w:rPr>
        <w:t>　</w:t>
      </w:r>
      <w:r>
        <w:rPr>
          <w:rFonts w:hint="eastAsia" w:ascii="宋体" w:hAnsi="宋体" w:cs="宋体"/>
          <w:color w:val="auto"/>
          <w:sz w:val="24"/>
          <w:highlight w:val="none"/>
          <w:u w:val="single"/>
        </w:rPr>
        <w:t>　    　</w:t>
      </w:r>
    </w:p>
    <w:bookmarkEnd w:id="29"/>
    <w:bookmarkEnd w:id="30"/>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（二）采购组织机构</w:t>
      </w:r>
    </w:p>
    <w:p>
      <w:pPr>
        <w:spacing w:line="360" w:lineRule="auto"/>
        <w:ind w:firstLine="480" w:firstLineChars="200"/>
        <w:rPr>
          <w:rFonts w:ascii="宋体" w:hAnsi="宋体" w:cs="宋体"/>
          <w:color w:val="auto"/>
          <w:sz w:val="24"/>
          <w:highlight w:val="none"/>
          <w:u w:val="single"/>
        </w:rPr>
      </w:pPr>
      <w:bookmarkStart w:id="31" w:name="_Toc28359087"/>
      <w:bookmarkStart w:id="32" w:name="_Toc28359010"/>
      <w:r>
        <w:rPr>
          <w:rFonts w:hint="eastAsia" w:ascii="宋体" w:hAnsi="宋体" w:cs="宋体"/>
          <w:color w:val="auto"/>
          <w:sz w:val="24"/>
          <w:highlight w:val="none"/>
        </w:rPr>
        <w:t>名 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台州市建设咨询有限公司</w:t>
      </w:r>
      <w:r>
        <w:rPr>
          <w:rFonts w:hint="eastAsia" w:ascii="宋体" w:hAnsi="宋体" w:cs="宋体"/>
          <w:color w:val="auto"/>
          <w:sz w:val="24"/>
          <w:highlight w:val="none"/>
          <w:u w:val="single"/>
        </w:rPr>
        <w:t xml:space="preserve">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项目联系人：</w:t>
      </w:r>
      <w:r>
        <w:rPr>
          <w:rFonts w:hint="eastAsia" w:ascii="宋体" w:hAnsi="宋体" w:cs="宋体"/>
          <w:color w:val="auto"/>
          <w:sz w:val="24"/>
          <w:highlight w:val="none"/>
          <w:u w:val="single"/>
          <w:lang w:eastAsia="zh-CN"/>
        </w:rPr>
        <w:t>陈先生</w:t>
      </w:r>
      <w:r>
        <w:rPr>
          <w:rFonts w:hint="eastAsia" w:ascii="宋体" w:hAnsi="宋体" w:cs="宋体"/>
          <w:color w:val="auto"/>
          <w:sz w:val="24"/>
          <w:highlight w:val="none"/>
          <w:u w:val="single"/>
        </w:rPr>
        <w:t>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lang w:eastAsia="zh-CN"/>
        </w:rPr>
        <w:t>0576-88519890</w:t>
      </w:r>
      <w:r>
        <w:rPr>
          <w:rFonts w:hint="eastAsia" w:ascii="宋体" w:hAnsi="宋体" w:cs="宋体"/>
          <w:color w:val="auto"/>
          <w:sz w:val="24"/>
          <w:highlight w:val="none"/>
          <w:u w:val="single"/>
        </w:rPr>
        <w:t xml:space="preserve">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受理联系人：</w:t>
      </w:r>
      <w:r>
        <w:rPr>
          <w:rFonts w:hint="eastAsia" w:ascii="宋体" w:hAnsi="宋体" w:cs="宋体"/>
          <w:color w:val="auto"/>
          <w:sz w:val="24"/>
          <w:highlight w:val="none"/>
          <w:u w:val="single"/>
          <w:lang w:eastAsia="zh-CN"/>
        </w:rPr>
        <w:t>徐</w:t>
      </w:r>
      <w:r>
        <w:rPr>
          <w:rFonts w:hint="eastAsia" w:ascii="宋体" w:hAnsi="宋体" w:cs="宋体"/>
          <w:color w:val="auto"/>
          <w:sz w:val="24"/>
          <w:highlight w:val="none"/>
          <w:u w:val="single"/>
        </w:rPr>
        <w:t>先生（受理注册、中标结果相关质疑及答复）</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0576-</w:t>
      </w:r>
      <w:r>
        <w:rPr>
          <w:rFonts w:hint="eastAsia" w:ascii="宋体" w:hAnsi="宋体" w:cs="宋体"/>
          <w:color w:val="auto"/>
          <w:sz w:val="24"/>
          <w:highlight w:val="none"/>
          <w:u w:val="single"/>
          <w:lang w:val="en-US" w:eastAsia="zh-CN"/>
        </w:rPr>
        <w:t>88519890</w:t>
      </w:r>
      <w:r>
        <w:rPr>
          <w:rFonts w:hint="eastAsia" w:ascii="宋体" w:hAnsi="宋体" w:cs="宋体"/>
          <w:color w:val="auto"/>
          <w:sz w:val="24"/>
          <w:highlight w:val="none"/>
          <w:u w:val="single"/>
        </w:rPr>
        <w:t xml:space="preserve">      </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（三）同级政府采购监管机构</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名 称：</w:t>
      </w:r>
      <w:r>
        <w:rPr>
          <w:rFonts w:hint="eastAsia" w:ascii="宋体" w:hAnsi="宋体" w:cs="宋体"/>
          <w:color w:val="auto"/>
          <w:sz w:val="24"/>
          <w:highlight w:val="none"/>
          <w:u w:val="single"/>
        </w:rPr>
        <w:t xml:space="preserve">台州市财政局政府采购监管处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台州市经济开发区纬一路66号天元大厦</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eastAsia="宋体" w:cs="宋体"/>
          <w:color w:val="auto"/>
          <w:sz w:val="24"/>
          <w:highlight w:val="none"/>
          <w:u w:val="single"/>
          <w:lang w:eastAsia="zh-CN"/>
        </w:rPr>
        <w:t>陈工、李工</w:t>
      </w:r>
      <w:r>
        <w:rPr>
          <w:rFonts w:hint="eastAsia" w:ascii="宋体" w:hAnsi="宋体" w:eastAsia="宋体" w:cs="宋体"/>
          <w:color w:val="auto"/>
          <w:sz w:val="24"/>
          <w:highlight w:val="none"/>
          <w:u w:val="single"/>
        </w:rPr>
        <w:t>　</w:t>
      </w:r>
      <w:r>
        <w:rPr>
          <w:rFonts w:hint="eastAsia" w:ascii="宋体" w:hAnsi="宋体" w:cs="宋体"/>
          <w:color w:val="auto"/>
          <w:sz w:val="24"/>
          <w:highlight w:val="none"/>
          <w:u w:val="single"/>
        </w:rPr>
        <w:t xml:space="preserve"> 　　</w:t>
      </w:r>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联系电话：</w:t>
      </w:r>
      <w:r>
        <w:rPr>
          <w:rFonts w:hint="eastAsia" w:ascii="宋体" w:hAnsi="宋体" w:eastAsia="宋体" w:cs="宋体"/>
          <w:color w:val="auto"/>
          <w:sz w:val="24"/>
          <w:highlight w:val="none"/>
          <w:u w:val="single"/>
          <w:lang w:eastAsia="zh-CN"/>
        </w:rPr>
        <w:t>0576-88206705、0576-88206731</w:t>
      </w:r>
      <w:r>
        <w:rPr>
          <w:rFonts w:hint="eastAsia" w:ascii="宋体" w:hAnsi="宋体" w:cs="宋体"/>
          <w:color w:val="auto"/>
          <w:sz w:val="24"/>
          <w:highlight w:val="none"/>
          <w:u w:val="single"/>
        </w:rPr>
        <w:t>　</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（四）政采云平台</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single"/>
        </w:rPr>
        <w:t xml:space="preserve">4008817190   </w:t>
      </w: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firstLine="200"/>
        <w:jc w:val="right"/>
        <w:rPr>
          <w:rFonts w:ascii="宋体" w:hAnsi="宋体" w:cs="宋体"/>
          <w:color w:val="auto"/>
          <w:sz w:val="24"/>
          <w:highlight w:val="none"/>
        </w:rPr>
      </w:pPr>
      <w:r>
        <w:rPr>
          <w:rFonts w:hint="eastAsia" w:ascii="宋体" w:hAnsi="宋体" w:cs="宋体"/>
          <w:color w:val="auto"/>
          <w:sz w:val="24"/>
          <w:highlight w:val="none"/>
          <w:shd w:val="clear" w:color="auto" w:fill="FFFFFF"/>
          <w:lang w:eastAsia="zh-CN"/>
        </w:rPr>
        <w:t>台州市建设咨询有限公司</w:t>
      </w:r>
      <w:r>
        <w:rPr>
          <w:rFonts w:hint="eastAsia" w:ascii="宋体" w:hAnsi="宋体" w:cs="宋体"/>
          <w:color w:val="auto"/>
          <w:kern w:val="0"/>
          <w:sz w:val="24"/>
          <w:highlight w:val="none"/>
        </w:rPr>
        <w:t xml:space="preserve">  </w:t>
      </w:r>
    </w:p>
    <w:p>
      <w:pPr>
        <w:widowControl/>
        <w:spacing w:line="360" w:lineRule="auto"/>
        <w:ind w:firstLine="2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2022</w:t>
      </w:r>
      <w:r>
        <w:rPr>
          <w:rFonts w:hint="eastAsia" w:ascii="宋体" w:hAnsi="宋体" w:cs="宋体"/>
          <w:color w:val="auto"/>
          <w:kern w:val="0"/>
          <w:sz w:val="24"/>
          <w:highlight w:val="none"/>
        </w:rPr>
        <w:t>年</w:t>
      </w:r>
      <w:r>
        <w:rPr>
          <w:rFonts w:hint="eastAsia" w:ascii="宋体" w:hAnsi="宋体" w:cs="宋体"/>
          <w:color w:val="auto"/>
          <w:sz w:val="24"/>
          <w:highlight w:val="none"/>
          <w:lang w:val="en-US" w:eastAsia="zh-CN"/>
        </w:rPr>
        <w:t>6</w:t>
      </w:r>
      <w:r>
        <w:rPr>
          <w:rFonts w:hint="eastAsia" w:ascii="宋体" w:hAnsi="宋体" w:cs="宋体"/>
          <w:color w:val="auto"/>
          <w:kern w:val="0"/>
          <w:sz w:val="24"/>
          <w:highlight w:val="none"/>
        </w:rPr>
        <w:t>月</w:t>
      </w:r>
    </w:p>
    <w:bookmarkEnd w:id="31"/>
    <w:bookmarkEnd w:id="32"/>
    <w:p>
      <w:pPr>
        <w:numPr>
          <w:ilvl w:val="0"/>
          <w:numId w:val="4"/>
        </w:numPr>
        <w:spacing w:line="360" w:lineRule="auto"/>
        <w:jc w:val="center"/>
        <w:rPr>
          <w:rFonts w:asciiTheme="minorEastAsia" w:hAnsiTheme="minorEastAsia" w:eastAsiaTheme="minorEastAsia"/>
          <w:b/>
          <w:color w:val="auto"/>
          <w:sz w:val="36"/>
          <w:szCs w:val="36"/>
          <w:highlight w:val="none"/>
        </w:rPr>
      </w:pPr>
      <w:bookmarkStart w:id="33" w:name="_Toc25017_WPSOffice_Level1"/>
      <w:r>
        <w:rPr>
          <w:rFonts w:hint="eastAsia" w:asciiTheme="minorEastAsia" w:hAnsiTheme="minorEastAsia" w:eastAsiaTheme="minorEastAsia"/>
          <w:b/>
          <w:color w:val="auto"/>
          <w:sz w:val="36"/>
          <w:szCs w:val="36"/>
          <w:highlight w:val="none"/>
        </w:rPr>
        <w:t>投标人须知</w:t>
      </w:r>
      <w:bookmarkEnd w:id="33"/>
    </w:p>
    <w:p>
      <w:pPr>
        <w:spacing w:line="24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一、前附表</w:t>
      </w:r>
    </w:p>
    <w:tbl>
      <w:tblPr>
        <w:tblStyle w:val="19"/>
        <w:tblpPr w:leftFromText="180" w:rightFromText="180" w:vertAnchor="text" w:horzAnchor="page" w:tblpX="1461" w:tblpY="447"/>
        <w:tblOverlap w:val="never"/>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szCs w:val="24"/>
                <w:highlight w:val="none"/>
              </w:rPr>
              <w:t>序号</w:t>
            </w:r>
          </w:p>
        </w:tc>
        <w:tc>
          <w:tcPr>
            <w:tcW w:w="17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szCs w:val="24"/>
                <w:highlight w:val="none"/>
              </w:rPr>
              <w:t>事项</w:t>
            </w:r>
          </w:p>
        </w:tc>
        <w:tc>
          <w:tcPr>
            <w:tcW w:w="650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ascii="宋体" w:hAnsi="宋体" w:cs="宋体"/>
                <w:color w:val="auto"/>
                <w:szCs w:val="21"/>
                <w:highlight w:val="none"/>
              </w:rPr>
            </w:pPr>
            <w:r>
              <w:rPr>
                <w:rFonts w:hint="eastAsia" w:ascii="仿宋_GB2312" w:hAnsi="仿宋" w:eastAsia="仿宋_GB2312" w:cs="仿宋_GB2312"/>
                <w:b/>
                <w:color w:val="auto"/>
                <w:sz w:val="24"/>
                <w:szCs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是否允许联合体</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eastAsia="宋体" w:cs="宋体"/>
                <w:color w:val="auto"/>
                <w:kern w:val="2"/>
                <w:sz w:val="21"/>
                <w:szCs w:val="21"/>
                <w:highlight w:val="none"/>
                <w:lang w:val="en-US" w:eastAsia="zh-CN" w:bidi="ar-SA"/>
              </w:rPr>
            </w:pPr>
            <w:r>
              <w:rPr>
                <w:rFonts w:hint="eastAsia" w:ascii="黑体" w:hAnsi="黑体" w:eastAsia="黑体" w:cs="黑体"/>
                <w:color w:val="auto"/>
                <w:szCs w:val="21"/>
                <w:highlight w:val="none"/>
                <w:shd w:val="clear" w:color="auto" w:fill="FFFFFF"/>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是否允许分包</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eastAsia="宋体" w:cs="宋体"/>
                <w:color w:val="auto"/>
                <w:kern w:val="2"/>
                <w:sz w:val="21"/>
                <w:szCs w:val="21"/>
                <w:highlight w:val="none"/>
                <w:lang w:val="en-US" w:eastAsia="zh-CN" w:bidi="ar-SA"/>
              </w:rPr>
            </w:pPr>
            <w:r>
              <w:rPr>
                <w:rFonts w:hint="eastAsia" w:ascii="黑体" w:hAnsi="黑体" w:eastAsia="黑体" w:cs="黑体"/>
                <w:color w:val="auto"/>
                <w:szCs w:val="21"/>
                <w:highlight w:val="none"/>
                <w:shd w:val="clear" w:color="auto" w:fill="FFFFFF"/>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1"/>
                <w:highlight w:val="none"/>
              </w:rPr>
            </w:pPr>
            <w:r>
              <w:rPr>
                <w:rFonts w:hint="eastAsia" w:ascii="宋体" w:hAnsi="宋体" w:cs="宋体"/>
                <w:color w:val="auto"/>
                <w:kern w:val="0"/>
                <w:szCs w:val="21"/>
                <w:highlight w:val="none"/>
              </w:rPr>
              <w:t>答疑会或</w:t>
            </w:r>
          </w:p>
          <w:p>
            <w:pPr>
              <w:rPr>
                <w:rFonts w:ascii="宋体" w:hAnsi="宋体" w:cs="宋体"/>
                <w:color w:val="auto"/>
                <w:kern w:val="0"/>
                <w:szCs w:val="21"/>
                <w:highlight w:val="none"/>
              </w:rPr>
            </w:pPr>
            <w:r>
              <w:rPr>
                <w:rFonts w:hint="eastAsia" w:ascii="宋体" w:hAnsi="宋体" w:cs="宋体"/>
                <w:color w:val="auto"/>
                <w:szCs w:val="21"/>
                <w:highlight w:val="none"/>
              </w:rPr>
              <w:t>现场踏勘</w:t>
            </w:r>
          </w:p>
        </w:tc>
        <w:tc>
          <w:tcPr>
            <w:tcW w:w="650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color w:val="auto"/>
                <w:kern w:val="0"/>
                <w:szCs w:val="21"/>
                <w:highlight w:val="none"/>
                <w:lang w:eastAsia="zh-CN"/>
              </w:rPr>
            </w:pPr>
            <w:r>
              <w:rPr>
                <w:rFonts w:hint="eastAsia" w:ascii="宋体" w:hAnsi="宋体" w:cs="宋体"/>
                <w:color w:val="auto"/>
                <w:szCs w:val="21"/>
                <w:highlight w:val="none"/>
                <w:lang w:eastAsia="zh-CN"/>
              </w:rPr>
              <w:t>如投标人认为有必要可自行前往现场</w:t>
            </w:r>
            <w:r>
              <w:rPr>
                <w:rFonts w:hint="eastAsia" w:ascii="宋体" w:hAnsi="宋体" w:cs="宋体"/>
                <w:color w:val="auto"/>
                <w:szCs w:val="21"/>
                <w:highlight w:val="none"/>
              </w:rPr>
              <w:t>踏勘</w:t>
            </w:r>
            <w:r>
              <w:rPr>
                <w:rFonts w:hint="eastAsia" w:ascii="宋体" w:hAnsi="宋体" w:cs="宋体"/>
                <w:color w:val="auto"/>
                <w:szCs w:val="21"/>
                <w:highlight w:val="none"/>
                <w:lang w:eastAsia="zh-CN"/>
              </w:rPr>
              <w:t>，</w:t>
            </w:r>
            <w:r>
              <w:rPr>
                <w:rFonts w:hint="eastAsia" w:ascii="宋体" w:hAnsi="宋体" w:cs="宋体"/>
                <w:color w:val="auto"/>
                <w:szCs w:val="21"/>
                <w:highlight w:val="none"/>
              </w:rPr>
              <w:t>踏勘</w:t>
            </w:r>
            <w:r>
              <w:rPr>
                <w:rFonts w:hint="eastAsia" w:ascii="宋体" w:hAnsi="宋体" w:cs="宋体"/>
                <w:color w:val="auto"/>
                <w:szCs w:val="21"/>
                <w:highlight w:val="none"/>
                <w:lang w:eastAsia="zh-CN"/>
              </w:rPr>
              <w:t>产生的一切费用由投标人自理。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1760"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kern w:val="0"/>
                <w:szCs w:val="21"/>
                <w:highlight w:val="none"/>
              </w:rPr>
            </w:pPr>
            <w:r>
              <w:rPr>
                <w:rFonts w:hint="eastAsia" w:ascii="宋体" w:hAnsi="宋体" w:cs="宋体"/>
                <w:color w:val="auto"/>
                <w:szCs w:val="21"/>
                <w:highlight w:val="none"/>
              </w:rPr>
              <w:t>投标文件的制作和投标</w:t>
            </w:r>
          </w:p>
        </w:tc>
        <w:tc>
          <w:tcPr>
            <w:tcW w:w="6501" w:type="dxa"/>
            <w:tcBorders>
              <w:top w:val="single" w:color="auto" w:sz="4" w:space="0"/>
              <w:left w:val="single" w:color="auto" w:sz="4" w:space="0"/>
              <w:bottom w:val="single" w:color="auto" w:sz="4" w:space="0"/>
              <w:right w:val="single" w:color="auto" w:sz="4" w:space="0"/>
            </w:tcBorders>
            <w:vAlign w:val="center"/>
          </w:tcPr>
          <w:p>
            <w:pPr>
              <w:ind w:firstLine="420" w:firstLineChars="200"/>
              <w:rPr>
                <w:color w:val="auto"/>
                <w:highlight w:val="none"/>
              </w:rPr>
            </w:pPr>
            <w:r>
              <w:rPr>
                <w:rFonts w:hint="eastAsia"/>
                <w:color w:val="auto"/>
                <w:highlight w:val="none"/>
              </w:rPr>
              <w:t>请投标人在投标前仔细阅读“政府采购项目电子交易操作指南”。</w:t>
            </w:r>
          </w:p>
          <w:p>
            <w:pPr>
              <w:ind w:firstLine="420" w:firstLineChars="200"/>
              <w:rPr>
                <w:color w:val="auto"/>
                <w:highlight w:val="none"/>
              </w:rPr>
            </w:pPr>
            <w:r>
              <w:rPr>
                <w:rFonts w:hint="eastAsia"/>
                <w:color w:val="auto"/>
                <w:highlight w:val="none"/>
              </w:rPr>
              <w:t>1.投标文件的制作：投标人按照本项目招标文件和政采云平台的要求,通过“政采云电子交易客户端”编制、加密并递交投标文件（下载网址：</w:t>
            </w:r>
            <w:r>
              <w:rPr>
                <w:color w:val="auto"/>
                <w:highlight w:val="none"/>
              </w:rPr>
              <w:fldChar w:fldCharType="begin"/>
            </w:r>
            <w:r>
              <w:rPr>
                <w:color w:val="auto"/>
                <w:highlight w:val="none"/>
              </w:rPr>
              <w:instrText xml:space="preserve"> HYPERLINK "http://www.zjzfcg.gov.cn/bidClientTemplate/2019-09-24/12975.html）。" </w:instrText>
            </w:r>
            <w:r>
              <w:rPr>
                <w:color w:val="auto"/>
                <w:highlight w:val="none"/>
              </w:rPr>
              <w:fldChar w:fldCharType="separate"/>
            </w:r>
            <w:r>
              <w:rPr>
                <w:rFonts w:hint="eastAsia"/>
                <w:color w:val="auto"/>
                <w:highlight w:val="none"/>
              </w:rPr>
              <w:t>https://zfcg.czt.zj.gov.cn/download/index.html）。</w:t>
            </w:r>
            <w:r>
              <w:rPr>
                <w:rFonts w:hint="eastAsia"/>
                <w:color w:val="auto"/>
                <w:highlight w:val="none"/>
              </w:rPr>
              <w:fldChar w:fldCharType="end"/>
            </w:r>
          </w:p>
          <w:p>
            <w:pPr>
              <w:ind w:firstLine="420" w:firstLineChars="200"/>
              <w:rPr>
                <w:color w:val="auto"/>
                <w:highlight w:val="none"/>
              </w:rPr>
            </w:pPr>
            <w:r>
              <w:rPr>
                <w:rFonts w:hint="eastAsia"/>
                <w:color w:val="auto"/>
                <w:highlight w:val="none"/>
              </w:rPr>
              <w:t>2.投标：投标人应当在投标截止时间前（开标当天北京时间</w:t>
            </w:r>
            <w:r>
              <w:rPr>
                <w:rFonts w:hint="eastAsia"/>
                <w:color w:val="auto"/>
                <w:highlight w:val="none"/>
                <w:lang w:val="en-US" w:eastAsia="zh-CN"/>
              </w:rPr>
              <w:t>09</w:t>
            </w:r>
            <w:r>
              <w:rPr>
                <w:rFonts w:hint="eastAsia"/>
                <w:color w:val="auto"/>
                <w:highlight w:val="none"/>
              </w:rPr>
              <w:t>:</w:t>
            </w:r>
            <w:r>
              <w:rPr>
                <w:rFonts w:hint="eastAsia"/>
                <w:color w:val="auto"/>
                <w:highlight w:val="none"/>
                <w:lang w:val="en-US" w:eastAsia="zh-CN"/>
              </w:rPr>
              <w:t>00</w:t>
            </w:r>
            <w:r>
              <w:rPr>
                <w:rFonts w:hint="eastAsia"/>
                <w:color w:val="auto"/>
                <w:highlight w:val="none"/>
              </w:rPr>
              <w:t>）完成投标文件的传输递交，逾期上传的投标文件恕不接受。补充或者修改投标文件的，应当先行撤回原文件，补充、修改后重新传输递交。投标截止时间前未完成上传的，视为撤回投标文件。</w:t>
            </w:r>
          </w:p>
          <w:p>
            <w:pPr>
              <w:ind w:firstLine="420" w:firstLineChars="200"/>
              <w:rPr>
                <w:rFonts w:ascii="宋体" w:hAnsi="宋体" w:cs="宋体"/>
                <w:color w:val="auto"/>
                <w:kern w:val="0"/>
                <w:szCs w:val="21"/>
                <w:highlight w:val="none"/>
              </w:rPr>
            </w:pPr>
            <w:r>
              <w:rPr>
                <w:rFonts w:hint="eastAsia"/>
                <w:color w:val="auto"/>
                <w:highlight w:val="none"/>
              </w:rPr>
              <w:t>3.投标文件解密：投标人应在开标当天北京时间</w:t>
            </w:r>
            <w:r>
              <w:rPr>
                <w:rFonts w:hint="eastAsia"/>
                <w:color w:val="auto"/>
                <w:highlight w:val="none"/>
                <w:lang w:val="en-US" w:eastAsia="zh-CN"/>
              </w:rPr>
              <w:t>09</w:t>
            </w:r>
            <w:r>
              <w:rPr>
                <w:rFonts w:hint="eastAsia"/>
                <w:color w:val="auto"/>
                <w:highlight w:val="none"/>
              </w:rPr>
              <w:t>:</w:t>
            </w:r>
            <w:r>
              <w:rPr>
                <w:rFonts w:hint="eastAsia"/>
                <w:color w:val="auto"/>
                <w:highlight w:val="none"/>
                <w:lang w:val="en-US" w:eastAsia="zh-CN"/>
              </w:rPr>
              <w:t>00</w:t>
            </w:r>
            <w:r>
              <w:rPr>
                <w:rFonts w:hint="eastAsia"/>
                <w:color w:val="auto"/>
                <w:highlight w:val="none"/>
              </w:rPr>
              <w:t>至</w:t>
            </w:r>
            <w:bookmarkStart w:id="85" w:name="_GoBack"/>
            <w:r>
              <w:rPr>
                <w:rFonts w:hint="eastAsia"/>
                <w:color w:val="auto"/>
                <w:highlight w:val="none"/>
                <w:lang w:val="en-US" w:eastAsia="zh-CN"/>
              </w:rPr>
              <w:t>09</w:t>
            </w:r>
            <w:r>
              <w:rPr>
                <w:rFonts w:hint="eastAsia"/>
                <w:color w:val="auto"/>
                <w:highlight w:val="none"/>
              </w:rPr>
              <w:t>:</w:t>
            </w:r>
            <w:r>
              <w:rPr>
                <w:rFonts w:hint="eastAsia"/>
                <w:color w:val="auto"/>
                <w:highlight w:val="none"/>
                <w:lang w:val="en-US" w:eastAsia="zh-CN"/>
              </w:rPr>
              <w:t>30</w:t>
            </w:r>
            <w:bookmarkEnd w:id="85"/>
            <w:r>
              <w:rPr>
                <w:rFonts w:hint="eastAsia"/>
                <w:color w:val="auto"/>
                <w:highlight w:val="none"/>
              </w:rPr>
              <w:t>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p>
        </w:tc>
        <w:tc>
          <w:tcPr>
            <w:tcW w:w="1760" w:type="dxa"/>
            <w:tcBorders>
              <w:top w:val="single" w:color="auto" w:sz="4" w:space="0"/>
              <w:left w:val="single" w:color="auto" w:sz="4" w:space="0"/>
              <w:bottom w:val="single" w:color="auto" w:sz="4" w:space="0"/>
              <w:right w:val="single" w:color="auto" w:sz="4" w:space="0"/>
            </w:tcBorders>
            <w:vAlign w:val="center"/>
          </w:tcPr>
          <w:p>
            <w:pPr>
              <w:pStyle w:val="18"/>
              <w:spacing w:after="0"/>
              <w:ind w:left="0" w:leftChars="0" w:firstLine="0"/>
              <w:rPr>
                <w:rFonts w:ascii="宋体" w:hAnsi="宋体" w:cs="宋体"/>
                <w:color w:val="auto"/>
                <w:kern w:val="0"/>
                <w:szCs w:val="21"/>
                <w:highlight w:val="none"/>
              </w:rPr>
            </w:pPr>
            <w:r>
              <w:rPr>
                <w:rFonts w:hint="eastAsia" w:ascii="宋体" w:hAnsi="宋体" w:cs="宋体"/>
                <w:color w:val="auto"/>
                <w:szCs w:val="21"/>
                <w:highlight w:val="none"/>
              </w:rPr>
              <w:t>备份投标文件的递交</w:t>
            </w:r>
          </w:p>
        </w:tc>
        <w:tc>
          <w:tcPr>
            <w:tcW w:w="6501" w:type="dxa"/>
            <w:tcBorders>
              <w:top w:val="single" w:color="auto" w:sz="4" w:space="0"/>
              <w:left w:val="single" w:color="auto" w:sz="4" w:space="0"/>
              <w:bottom w:val="single" w:color="auto" w:sz="4" w:space="0"/>
              <w:right w:val="single" w:color="auto" w:sz="4" w:space="0"/>
            </w:tcBorders>
            <w:vAlign w:val="center"/>
          </w:tcPr>
          <w:p>
            <w:pPr>
              <w:pStyle w:val="18"/>
              <w:spacing w:after="0"/>
              <w:ind w:left="0" w:leftChars="0" w:firstLineChars="200"/>
              <w:rPr>
                <w:rFonts w:ascii="宋体" w:hAnsi="宋体" w:cs="宋体"/>
                <w:color w:val="auto"/>
                <w:szCs w:val="21"/>
                <w:highlight w:val="none"/>
              </w:rPr>
            </w:pPr>
            <w:r>
              <w:rPr>
                <w:rFonts w:hint="eastAsia" w:ascii="宋体" w:hAnsi="宋体" w:cs="宋体"/>
                <w:color w:val="auto"/>
                <w:szCs w:val="21"/>
                <w:highlight w:val="none"/>
              </w:rPr>
              <w:t>备份投标文件是通过政采云电子交易客户端制作投标文件产生的备份文件，请投标人自行妥善保管。</w:t>
            </w:r>
          </w:p>
          <w:p>
            <w:pPr>
              <w:pStyle w:val="18"/>
              <w:spacing w:after="0"/>
              <w:ind w:left="0" w:leftChars="0" w:firstLineChars="200"/>
              <w:rPr>
                <w:rFonts w:ascii="宋体" w:hAnsi="宋体" w:cs="宋体"/>
                <w:color w:val="auto"/>
                <w:szCs w:val="21"/>
                <w:highlight w:val="none"/>
              </w:rPr>
            </w:pPr>
            <w:r>
              <w:rPr>
                <w:rFonts w:hint="eastAsia" w:ascii="宋体" w:hAnsi="宋体" w:cs="宋体"/>
                <w:color w:val="auto"/>
                <w:szCs w:val="21"/>
                <w:highlight w:val="none"/>
              </w:rPr>
              <w:t>1.使用前提：投标人自行在线解密操作失败无法按时寻求技术人员帮助解密，或者投标人寻求技术人员帮助仍无法按时完成解密。</w:t>
            </w:r>
          </w:p>
          <w:p>
            <w:pPr>
              <w:pStyle w:val="18"/>
              <w:spacing w:after="0"/>
              <w:ind w:left="0" w:leftChars="0" w:firstLineChars="200"/>
              <w:rPr>
                <w:rFonts w:ascii="宋体" w:hAnsi="宋体" w:cs="宋体"/>
                <w:color w:val="auto"/>
                <w:szCs w:val="21"/>
                <w:highlight w:val="none"/>
              </w:rPr>
            </w:pPr>
            <w:r>
              <w:rPr>
                <w:rFonts w:hint="eastAsia" w:ascii="宋体" w:hAnsi="宋体" w:cs="宋体"/>
                <w:color w:val="auto"/>
                <w:szCs w:val="21"/>
                <w:highlight w:val="none"/>
              </w:rPr>
              <w:t>2.递交截止时间：开标当天</w:t>
            </w:r>
            <w:r>
              <w:rPr>
                <w:rFonts w:hint="eastAsia" w:ascii="宋体" w:hAnsi="宋体" w:cs="宋体"/>
                <w:color w:val="auto"/>
                <w:szCs w:val="21"/>
                <w:highlight w:val="none"/>
                <w:u w:val="single"/>
                <w:lang w:val="en-US" w:eastAsia="zh-CN"/>
              </w:rPr>
              <w:t>09</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00</w:t>
            </w:r>
            <w:r>
              <w:rPr>
                <w:rFonts w:hint="eastAsia" w:ascii="宋体" w:hAnsi="宋体" w:cs="宋体"/>
                <w:color w:val="auto"/>
                <w:szCs w:val="21"/>
                <w:highlight w:val="none"/>
              </w:rPr>
              <w:t>（北京时间）</w:t>
            </w:r>
          </w:p>
          <w:p>
            <w:pPr>
              <w:pStyle w:val="18"/>
              <w:spacing w:after="0"/>
              <w:ind w:left="0" w:leftChars="0" w:firstLineChars="20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3.投递邮箱：</w:t>
            </w:r>
            <w:r>
              <w:rPr>
                <w:rFonts w:hint="eastAsia" w:ascii="宋体" w:hAnsi="宋体" w:cs="宋体"/>
                <w:color w:val="auto"/>
                <w:szCs w:val="21"/>
                <w:highlight w:val="none"/>
                <w:lang w:val="en-US" w:eastAsia="zh-CN"/>
              </w:rPr>
              <w:t>开标当天公布邮箱</w:t>
            </w:r>
          </w:p>
          <w:p>
            <w:pPr>
              <w:pStyle w:val="18"/>
              <w:spacing w:after="0"/>
              <w:ind w:left="0" w:leftChars="0" w:firstLine="420" w:firstLineChars="200"/>
              <w:rPr>
                <w:rFonts w:ascii="宋体" w:hAnsi="宋体" w:cs="宋体"/>
                <w:color w:val="auto"/>
                <w:kern w:val="0"/>
                <w:szCs w:val="21"/>
                <w:highlight w:val="none"/>
              </w:rPr>
            </w:pPr>
            <w:r>
              <w:rPr>
                <w:rFonts w:hint="eastAsia" w:ascii="宋体" w:hAnsi="宋体" w:cs="宋体"/>
                <w:color w:val="auto"/>
                <w:szCs w:val="21"/>
                <w:highlight w:val="none"/>
              </w:rPr>
              <w:t>4.未按上述要求递交备份投标文件或所提供的备份投标文件不符合要求的视同放弃投标，</w:t>
            </w:r>
            <w:r>
              <w:rPr>
                <w:rFonts w:hint="eastAsia" w:ascii="微软雅黑" w:hAnsi="微软雅黑" w:eastAsia="微软雅黑" w:cs="微软雅黑"/>
                <w:color w:val="auto"/>
                <w:szCs w:val="21"/>
                <w:highlight w:val="none"/>
                <w:shd w:val="clear" w:color="auto" w:fill="FFFFFF"/>
              </w:rPr>
              <w:t>仅提交备份投标文件的，投标无效。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投标与开标注意事项</w:t>
            </w:r>
          </w:p>
        </w:tc>
        <w:tc>
          <w:tcPr>
            <w:tcW w:w="6501" w:type="dxa"/>
            <w:tcBorders>
              <w:top w:val="single" w:color="auto" w:sz="4" w:space="0"/>
              <w:left w:val="single" w:color="auto" w:sz="4" w:space="0"/>
              <w:bottom w:val="single" w:color="auto" w:sz="4" w:space="0"/>
              <w:right w:val="single" w:color="auto" w:sz="4" w:space="0"/>
            </w:tcBorders>
            <w:vAlign w:val="center"/>
          </w:tcPr>
          <w:p>
            <w:pPr>
              <w:pStyle w:val="11"/>
              <w:keepNext w:val="0"/>
              <w:keepLines w:val="0"/>
              <w:pageBreakBefore w:val="0"/>
              <w:kinsoku/>
              <w:wordWrap/>
              <w:overflowPunct/>
              <w:topLinePunct w:val="0"/>
              <w:bidi w:val="0"/>
              <w:adjustRightInd/>
              <w:snapToGrid/>
              <w:spacing w:line="300" w:lineRule="auto"/>
              <w:ind w:left="0" w:leftChars="0" w:firstLine="420" w:firstLineChars="200"/>
              <w:jc w:val="lef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1.本项目实行电子采购，采用电子响应文件。若供应商参与本项目，自行承担</w:t>
            </w:r>
            <w:r>
              <w:rPr>
                <w:rFonts w:hint="eastAsia" w:hAnsi="宋体" w:cs="宋体"/>
                <w:bCs/>
                <w:color w:val="auto"/>
                <w:sz w:val="21"/>
                <w:szCs w:val="21"/>
                <w:highlight w:val="none"/>
                <w:lang w:eastAsia="zh-CN"/>
              </w:rPr>
              <w:t>投标</w:t>
            </w:r>
            <w:r>
              <w:rPr>
                <w:rFonts w:hint="eastAsia" w:ascii="宋体" w:hAnsi="宋体" w:eastAsia="宋体" w:cs="宋体"/>
                <w:bCs/>
                <w:color w:val="auto"/>
                <w:sz w:val="21"/>
                <w:szCs w:val="21"/>
                <w:highlight w:val="none"/>
              </w:rPr>
              <w:t>活动一切费用。</w:t>
            </w:r>
          </w:p>
          <w:p>
            <w:pPr>
              <w:pStyle w:val="11"/>
              <w:adjustRightInd w:val="0"/>
              <w:snapToGrid w:val="0"/>
              <w:ind w:firstLine="420" w:firstLineChars="200"/>
              <w:rPr>
                <w:rFonts w:ascii="宋体" w:hAnsi="宋体" w:cs="宋体"/>
                <w:color w:val="auto"/>
                <w:szCs w:val="21"/>
                <w:highlight w:val="none"/>
              </w:rPr>
            </w:pPr>
            <w:r>
              <w:rPr>
                <w:rFonts w:hint="eastAsia" w:ascii="宋体" w:hAnsi="宋体" w:eastAsia="宋体" w:cs="宋体"/>
                <w:bCs/>
                <w:color w:val="auto"/>
                <w:sz w:val="21"/>
                <w:szCs w:val="21"/>
                <w:highlight w:val="none"/>
              </w:rPr>
              <w:t>2.</w:t>
            </w:r>
            <w:r>
              <w:rPr>
                <w:rFonts w:hint="eastAsia" w:hAnsi="宋体" w:cs="宋体"/>
                <w:bCs/>
                <w:color w:val="auto"/>
                <w:sz w:val="21"/>
                <w:szCs w:val="21"/>
                <w:highlight w:val="none"/>
                <w:lang w:eastAsia="zh-CN"/>
              </w:rPr>
              <w:t>投标</w:t>
            </w:r>
            <w:r>
              <w:rPr>
                <w:rFonts w:hint="eastAsia" w:ascii="宋体" w:hAnsi="宋体" w:eastAsia="宋体" w:cs="宋体"/>
                <w:bCs/>
                <w:color w:val="auto"/>
                <w:sz w:val="21"/>
                <w:szCs w:val="21"/>
                <w:highlight w:val="none"/>
              </w:rPr>
              <w:t>前准备：各供应商在</w:t>
            </w:r>
            <w:r>
              <w:rPr>
                <w:rFonts w:hint="eastAsia" w:hAnsi="宋体" w:cs="宋体"/>
                <w:bCs/>
                <w:color w:val="auto"/>
                <w:sz w:val="21"/>
                <w:szCs w:val="21"/>
                <w:highlight w:val="none"/>
                <w:lang w:eastAsia="zh-CN"/>
              </w:rPr>
              <w:t>投标</w:t>
            </w:r>
            <w:r>
              <w:rPr>
                <w:rFonts w:hint="eastAsia" w:ascii="宋体" w:hAnsi="宋体" w:eastAsia="宋体" w:cs="宋体"/>
                <w:bCs/>
                <w:color w:val="auto"/>
                <w:sz w:val="21"/>
                <w:szCs w:val="21"/>
                <w:highlight w:val="none"/>
              </w:rPr>
              <w:t>前确保成为浙江省政府采购网正式注册供应商，并完成CA数字证书办理（办理流程详见本</w:t>
            </w:r>
            <w:r>
              <w:rPr>
                <w:rFonts w:hint="eastAsia" w:hAnsi="宋体" w:cs="宋体"/>
                <w:bCs/>
                <w:color w:val="auto"/>
                <w:sz w:val="21"/>
                <w:szCs w:val="21"/>
                <w:highlight w:val="none"/>
                <w:lang w:eastAsia="zh-CN"/>
              </w:rPr>
              <w:t>招标公告</w:t>
            </w:r>
            <w:r>
              <w:rPr>
                <w:rFonts w:hint="eastAsia" w:ascii="宋体" w:hAnsi="宋体" w:eastAsia="宋体" w:cs="宋体"/>
                <w:bCs/>
                <w:color w:val="auto"/>
                <w:sz w:val="21"/>
                <w:szCs w:val="21"/>
                <w:highlight w:val="none"/>
              </w:rPr>
              <w:t>附件：“政采云CA签章申领操作流程”）。因未注册入库、未办理CA数字证书等原因造成无法递交响应文件或递交失败等后果由供应商自行承担。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信用信息查询渠道</w:t>
            </w:r>
          </w:p>
        </w:tc>
        <w:tc>
          <w:tcPr>
            <w:tcW w:w="6501" w:type="dxa"/>
            <w:tcBorders>
              <w:top w:val="single" w:color="auto" w:sz="4" w:space="0"/>
              <w:left w:val="single" w:color="auto" w:sz="4" w:space="0"/>
              <w:bottom w:val="single" w:color="auto" w:sz="4" w:space="0"/>
              <w:right w:val="single" w:color="auto" w:sz="4" w:space="0"/>
            </w:tcBorders>
            <w:vAlign w:val="center"/>
          </w:tcPr>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信用中国（网址：</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cs="Arial" w:asciiTheme="minorEastAsia" w:hAnsiTheme="minorEastAsia" w:eastAsiaTheme="minorEastAsia"/>
                <w:color w:val="auto"/>
                <w:szCs w:val="21"/>
                <w:highlight w:val="none"/>
              </w:rPr>
              <w:t>http://www.creditchina.gov.cn</w:t>
            </w:r>
            <w:r>
              <w:rPr>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w:t>
            </w:r>
          </w:p>
          <w:p>
            <w:pPr>
              <w:snapToGrid w:val="0"/>
              <w:rPr>
                <w:rFonts w:ascii="宋体" w:hAnsi="宋体" w:cs="宋体"/>
                <w:color w:val="auto"/>
                <w:szCs w:val="21"/>
                <w:highlight w:val="none"/>
              </w:rPr>
            </w:pPr>
            <w:r>
              <w:rPr>
                <w:rFonts w:hint="eastAsia" w:cs="Arial" w:asciiTheme="minorEastAsia" w:hAnsiTheme="minorEastAsia" w:eastAsiaTheme="minorEastAsia"/>
                <w:color w:val="auto"/>
                <w:szCs w:val="21"/>
                <w:highlight w:val="none"/>
              </w:rPr>
              <w:t>中国政府采购网（网址：</w:t>
            </w:r>
            <w:r>
              <w:rPr>
                <w:rFonts w:cs="Arial" w:asciiTheme="minorEastAsia" w:hAnsiTheme="minorEastAsia" w:eastAsiaTheme="minorEastAsia"/>
                <w:color w:val="auto"/>
                <w:szCs w:val="21"/>
                <w:highlight w:val="none"/>
              </w:rPr>
              <w:t>http://www.ccgp.gov.cn</w:t>
            </w:r>
            <w:r>
              <w:rPr>
                <w:rFonts w:hint="eastAsia" w:cs="Arial" w:asciiTheme="minorEastAsia" w:hAnsiTheme="minorEastAsia"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8</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hint="eastAsia" w:ascii="宋体" w:hAnsi="宋体" w:cs="宋体"/>
                <w:color w:val="auto"/>
                <w:szCs w:val="21"/>
                <w:highlight w:val="none"/>
              </w:rPr>
            </w:pPr>
            <w:r>
              <w:rPr>
                <w:rFonts w:hint="eastAsia"/>
                <w:color w:val="auto"/>
                <w:highlight w:val="none"/>
              </w:rPr>
              <w:t>中小企业预留份额情况</w:t>
            </w:r>
          </w:p>
        </w:tc>
        <w:tc>
          <w:tcPr>
            <w:tcW w:w="650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黑体" w:hAnsi="黑体" w:eastAsia="黑体" w:cs="黑体"/>
                <w:color w:val="auto"/>
                <w:szCs w:val="21"/>
                <w:highlight w:val="none"/>
                <w:shd w:val="clear" w:color="auto" w:fill="FFFFFF"/>
              </w:rPr>
            </w:pPr>
            <w:r>
              <w:rPr>
                <w:rFonts w:hint="eastAsia" w:cs="Arial" w:asciiTheme="minorEastAsia" w:hAnsiTheme="minorEastAsia" w:eastAsiaTheme="minorEastAsia"/>
                <w:color w:val="auto"/>
                <w:szCs w:val="21"/>
                <w:highlight w:val="none"/>
              </w:rPr>
              <w:t>根据《政府采购促进中小企业发展管理办法》财库〔2020〕46号文件的规定，本项</w:t>
            </w:r>
            <w:r>
              <w:rPr>
                <w:rFonts w:hint="eastAsia" w:cs="Arial" w:asciiTheme="minorEastAsia" w:hAnsiTheme="minorEastAsia" w:eastAsiaTheme="minorEastAsia"/>
                <w:color w:val="auto"/>
                <w:szCs w:val="21"/>
                <w:highlight w:val="none"/>
                <w:lang w:eastAsia="zh-CN"/>
              </w:rPr>
              <w:t>目</w:t>
            </w:r>
            <w:r>
              <w:rPr>
                <w:rFonts w:hint="eastAsia" w:cs="Arial" w:asciiTheme="minorEastAsia" w:hAnsiTheme="minorEastAsia" w:eastAsiaTheme="minorEastAsia"/>
                <w:color w:val="auto"/>
                <w:szCs w:val="21"/>
                <w:highlight w:val="none"/>
              </w:rPr>
              <w:t>属于</w:t>
            </w:r>
            <w:r>
              <w:rPr>
                <w:rFonts w:hint="eastAsia" w:cs="Arial" w:asciiTheme="minorEastAsia" w:hAnsiTheme="minorEastAsia" w:eastAsiaTheme="minorEastAsia"/>
                <w:color w:val="auto"/>
                <w:szCs w:val="21"/>
                <w:highlight w:val="none"/>
                <w:lang w:eastAsia="zh-CN"/>
              </w:rPr>
              <w:t>非</w:t>
            </w:r>
            <w:r>
              <w:rPr>
                <w:rFonts w:hint="eastAsia" w:cs="Arial" w:asciiTheme="minorEastAsia" w:hAnsiTheme="minorEastAsia" w:eastAsiaTheme="minorEastAsia"/>
                <w:color w:val="auto"/>
                <w:szCs w:val="21"/>
                <w:highlight w:val="none"/>
              </w:rPr>
              <w:t>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9</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中小企业优惠措施</w:t>
            </w:r>
          </w:p>
        </w:tc>
        <w:tc>
          <w:tcPr>
            <w:tcW w:w="6501" w:type="dxa"/>
            <w:tcBorders>
              <w:top w:val="single" w:color="auto" w:sz="4" w:space="0"/>
              <w:left w:val="single" w:color="auto" w:sz="4" w:space="0"/>
              <w:bottom w:val="single" w:color="auto" w:sz="4" w:space="0"/>
              <w:right w:val="single" w:color="auto" w:sz="4" w:space="0"/>
            </w:tcBorders>
            <w:vAlign w:val="center"/>
          </w:tcPr>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1.项目属性（</w:t>
            </w:r>
            <w:r>
              <w:rPr>
                <w:rFonts w:hint="eastAsia" w:cs="Arial" w:asciiTheme="minorEastAsia" w:hAnsiTheme="minorEastAsia" w:eastAsiaTheme="minorEastAsia"/>
                <w:color w:val="auto"/>
                <w:szCs w:val="21"/>
                <w:highlight w:val="none"/>
                <w:lang w:eastAsia="zh-CN"/>
              </w:rPr>
              <w:t>服务类</w:t>
            </w:r>
            <w:r>
              <w:rPr>
                <w:rFonts w:hint="eastAsia" w:cs="Arial" w:asciiTheme="minorEastAsia" w:hAnsiTheme="minorEastAsia" w:eastAsiaTheme="minorEastAsia"/>
                <w:color w:val="auto"/>
                <w:szCs w:val="21"/>
                <w:highlight w:val="none"/>
              </w:rPr>
              <w:t>）</w:t>
            </w:r>
          </w:p>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2.中小企业划分标准所属行业（具体根据《中小企业划型标准规定》执行）</w:t>
            </w:r>
          </w:p>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采购标的：</w:t>
            </w:r>
            <w:r>
              <w:rPr>
                <w:rFonts w:hint="eastAsia" w:cs="Arial" w:asciiTheme="minorEastAsia" w:hAnsiTheme="minorEastAsia" w:eastAsiaTheme="minorEastAsia"/>
                <w:color w:val="auto"/>
                <w:szCs w:val="21"/>
                <w:highlight w:val="none"/>
                <w:u w:val="single"/>
                <w:lang w:eastAsia="zh-CN"/>
              </w:rPr>
              <w:t>中心机房精密空调及UPS等设备维保</w:t>
            </w:r>
            <w:r>
              <w:rPr>
                <w:rFonts w:hint="eastAsia" w:cs="Arial" w:asciiTheme="minorEastAsia" w:hAnsiTheme="minorEastAsia" w:eastAsiaTheme="minorEastAsia"/>
                <w:color w:val="auto"/>
                <w:szCs w:val="21"/>
                <w:highlight w:val="none"/>
              </w:rPr>
              <w:t>，所属行业：</w:t>
            </w:r>
            <w:r>
              <w:rPr>
                <w:rFonts w:hint="eastAsia" w:cs="Arial" w:asciiTheme="minorEastAsia" w:hAnsiTheme="minorEastAsia" w:eastAsiaTheme="minorEastAsia"/>
                <w:color w:val="auto"/>
                <w:szCs w:val="21"/>
                <w:highlight w:val="none"/>
                <w:u w:val="single"/>
                <w:lang w:eastAsia="zh-CN"/>
              </w:rPr>
              <w:t>软件和信息技术服务业</w:t>
            </w:r>
            <w:r>
              <w:rPr>
                <w:rFonts w:hint="eastAsia" w:cs="Arial" w:asciiTheme="minorEastAsia" w:hAnsiTheme="minorEastAsia" w:eastAsiaTheme="minorEastAsia"/>
                <w:color w:val="auto"/>
                <w:szCs w:val="21"/>
                <w:highlight w:val="none"/>
              </w:rPr>
              <w:t>。</w:t>
            </w:r>
          </w:p>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3.根据财库〔</w:t>
            </w:r>
            <w:r>
              <w:rPr>
                <w:rFonts w:hint="eastAsia" w:cs="Arial" w:asciiTheme="minorEastAsia" w:hAnsiTheme="minorEastAsia" w:eastAsiaTheme="minorEastAsia"/>
                <w:color w:val="auto"/>
                <w:szCs w:val="21"/>
                <w:highlight w:val="none"/>
                <w:lang w:val="en-US" w:eastAsia="zh-CN"/>
              </w:rPr>
              <w:t>2017</w:t>
            </w:r>
            <w:r>
              <w:rPr>
                <w:rFonts w:hint="eastAsia" w:cs="Arial" w:asciiTheme="minorEastAsia" w:hAnsiTheme="minorEastAsia" w:eastAsiaTheme="minorEastAsia"/>
                <w:color w:val="auto"/>
                <w:szCs w:val="21"/>
                <w:highlight w:val="none"/>
              </w:rPr>
              <w:t>〕141号的相关规定，在政府采购活动中，残疾人福利性单位视同小型、微型企业，享受评审中价格扣除政策。属于享受政府采购支持政策的残疾人福利性单位，应满足财库〔</w:t>
            </w:r>
            <w:r>
              <w:rPr>
                <w:rFonts w:hint="eastAsia" w:cs="Arial" w:asciiTheme="minorEastAsia" w:hAnsiTheme="minorEastAsia" w:eastAsiaTheme="minorEastAsia"/>
                <w:color w:val="auto"/>
                <w:szCs w:val="21"/>
                <w:highlight w:val="none"/>
                <w:lang w:val="en-US" w:eastAsia="zh-CN"/>
              </w:rPr>
              <w:t>2017</w:t>
            </w:r>
            <w:r>
              <w:rPr>
                <w:rFonts w:hint="eastAsia" w:cs="Arial" w:asciiTheme="minorEastAsia" w:hAnsiTheme="minorEastAsia" w:eastAsiaTheme="minorEastAsia"/>
                <w:color w:val="auto"/>
                <w:szCs w:val="21"/>
                <w:highlight w:val="none"/>
              </w:rPr>
              <w:t>〕141号文件第一条的规定，并在投标文件中提供残疾人福利性单位声明函（见附件）。</w:t>
            </w:r>
          </w:p>
          <w:p>
            <w:pPr>
              <w:snapToGrid w:val="0"/>
              <w:rPr>
                <w:rFonts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4.根据财库〔</w:t>
            </w:r>
            <w:r>
              <w:rPr>
                <w:rFonts w:hint="eastAsia" w:cs="Arial" w:asciiTheme="minorEastAsia" w:hAnsiTheme="minorEastAsia" w:eastAsiaTheme="minorEastAsia"/>
                <w:color w:val="auto"/>
                <w:szCs w:val="21"/>
                <w:highlight w:val="none"/>
                <w:lang w:val="en-US" w:eastAsia="zh-CN"/>
              </w:rPr>
              <w:t>2014</w:t>
            </w:r>
            <w:r>
              <w:rPr>
                <w:rFonts w:hint="eastAsia" w:cs="Arial" w:asciiTheme="minorEastAsia" w:hAnsiTheme="minorEastAsia" w:eastAsiaTheme="minorEastAsia"/>
                <w:color w:val="auto"/>
                <w:szCs w:val="21"/>
                <w:highlight w:val="none"/>
              </w:rPr>
              <w:t>〕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snapToGrid w:val="0"/>
              <w:rPr>
                <w:rFonts w:ascii="宋体" w:hAnsi="宋体" w:cs="宋体"/>
                <w:color w:val="auto"/>
                <w:szCs w:val="21"/>
                <w:highlight w:val="none"/>
              </w:rPr>
            </w:pPr>
            <w:r>
              <w:rPr>
                <w:rFonts w:hint="eastAsia" w:ascii="宋体" w:hAnsi="宋体" w:eastAsia="宋体" w:cs="宋体"/>
                <w:color w:val="auto"/>
                <w:szCs w:val="21"/>
                <w:highlight w:val="none"/>
              </w:rPr>
              <w:t>(注：未提供以上材料的，均不给予价格扣除）</w:t>
            </w:r>
            <w:r>
              <w:rPr>
                <w:rFonts w:hint="eastAsia" w:cs="Arial" w:asciiTheme="minorEastAsia" w:hAnsiTheme="minorEastAsia" w:eastAsiaTheme="minorEastAsia"/>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kern w:val="0"/>
                <w:szCs w:val="21"/>
                <w:highlight w:val="none"/>
              </w:rPr>
            </w:pPr>
            <w:r>
              <w:rPr>
                <w:rFonts w:hint="eastAsia" w:ascii="宋体" w:hAnsi="宋体" w:cs="宋体"/>
                <w:color w:val="auto"/>
                <w:sz w:val="21"/>
                <w:szCs w:val="21"/>
                <w:highlight w:val="none"/>
              </w:rPr>
              <w:t>采购代理机构代理费用的收取方式</w:t>
            </w:r>
          </w:p>
        </w:tc>
        <w:tc>
          <w:tcPr>
            <w:tcW w:w="6501" w:type="dxa"/>
            <w:tcBorders>
              <w:top w:val="single" w:color="auto" w:sz="4" w:space="0"/>
              <w:left w:val="single" w:color="auto" w:sz="4" w:space="0"/>
              <w:bottom w:val="single" w:color="auto" w:sz="4" w:space="0"/>
              <w:right w:val="single" w:color="auto" w:sz="4" w:space="0"/>
            </w:tcBorders>
            <w:vAlign w:val="center"/>
          </w:tcPr>
          <w:p>
            <w:pPr>
              <w:snapToGrid w:val="0"/>
              <w:rPr>
                <w:rFonts w:hint="eastAsia" w:ascii="宋体" w:hAnsi="宋体" w:eastAsia="宋体" w:cs="宋体"/>
                <w:color w:val="auto"/>
                <w:szCs w:val="21"/>
                <w:highlight w:val="none"/>
                <w:lang w:eastAsia="zh-CN"/>
              </w:rPr>
            </w:pPr>
            <w:r>
              <w:rPr>
                <w:color w:val="auto"/>
                <w:highlight w:val="none"/>
              </w:rPr>
              <w:t xml:space="preserve"> </w:t>
            </w:r>
            <w:r>
              <w:rPr>
                <w:rFonts w:hint="eastAsia" w:cs="Arial" w:asciiTheme="minorEastAsia" w:hAnsiTheme="minorEastAsia" w:eastAsiaTheme="minorEastAsia"/>
                <w:color w:val="auto"/>
                <w:szCs w:val="21"/>
                <w:highlight w:val="none"/>
              </w:rPr>
              <w:t>本项目招标代理服务费本项目招标代理服务费以中标价为基数，按计价格〔2002〕1980号文件、发改办价格〔200</w:t>
            </w:r>
            <w:r>
              <w:rPr>
                <w:rFonts w:hint="eastAsia" w:cs="Arial" w:asciiTheme="minorEastAsia" w:hAnsiTheme="minorEastAsia" w:eastAsiaTheme="minorEastAsia"/>
                <w:color w:val="auto"/>
                <w:szCs w:val="21"/>
                <w:highlight w:val="none"/>
                <w:lang w:val="en-US" w:eastAsia="zh-CN"/>
              </w:rPr>
              <w:t>3</w:t>
            </w:r>
            <w:r>
              <w:rPr>
                <w:rFonts w:hint="eastAsia" w:cs="Arial" w:asciiTheme="minorEastAsia" w:hAnsiTheme="minorEastAsia" w:eastAsiaTheme="minorEastAsia"/>
                <w:color w:val="auto"/>
                <w:szCs w:val="21"/>
                <w:highlight w:val="none"/>
              </w:rPr>
              <w:t>〕857号、发改价格〔20</w:t>
            </w:r>
            <w:r>
              <w:rPr>
                <w:rFonts w:hint="eastAsia" w:cs="Arial" w:asciiTheme="minorEastAsia" w:hAnsiTheme="minorEastAsia" w:eastAsiaTheme="minorEastAsia"/>
                <w:color w:val="auto"/>
                <w:szCs w:val="21"/>
                <w:highlight w:val="none"/>
                <w:lang w:val="en-US" w:eastAsia="zh-CN"/>
              </w:rPr>
              <w:t>11</w:t>
            </w:r>
            <w:r>
              <w:rPr>
                <w:rFonts w:hint="eastAsia" w:cs="Arial" w:asciiTheme="minorEastAsia" w:hAnsiTheme="minorEastAsia" w:eastAsiaTheme="minorEastAsia"/>
                <w:color w:val="auto"/>
                <w:szCs w:val="21"/>
                <w:highlight w:val="none"/>
              </w:rPr>
              <w:t>〕534号收费标准的75%计取，</w:t>
            </w:r>
            <w:r>
              <w:rPr>
                <w:rFonts w:hint="eastAsia" w:cs="Arial" w:asciiTheme="minorEastAsia" w:hAnsiTheme="minorEastAsia" w:eastAsiaTheme="minorEastAsia"/>
                <w:color w:val="auto"/>
                <w:szCs w:val="21"/>
                <w:highlight w:val="none"/>
                <w:lang w:eastAsia="zh-CN"/>
              </w:rPr>
              <w:t>不足</w:t>
            </w:r>
            <w:r>
              <w:rPr>
                <w:rFonts w:hint="eastAsia" w:cs="Arial" w:asciiTheme="minorEastAsia" w:hAnsiTheme="minorEastAsia" w:eastAsiaTheme="minorEastAsia"/>
                <w:color w:val="auto"/>
                <w:szCs w:val="21"/>
                <w:highlight w:val="none"/>
                <w:lang w:val="en-US" w:eastAsia="zh-CN"/>
              </w:rPr>
              <w:t>6000元按6000元计。</w:t>
            </w:r>
            <w:r>
              <w:rPr>
                <w:rFonts w:hint="eastAsia" w:cs="Arial" w:asciiTheme="minorEastAsia" w:hAnsiTheme="minorEastAsia" w:eastAsiaTheme="minorEastAsia"/>
                <w:color w:val="auto"/>
                <w:szCs w:val="21"/>
                <w:highlight w:val="none"/>
              </w:rPr>
              <w:t>由中标人</w:t>
            </w:r>
            <w:r>
              <w:rPr>
                <w:rFonts w:hint="eastAsia" w:cs="Arial" w:asciiTheme="minorEastAsia" w:hAnsiTheme="minorEastAsia" w:eastAsiaTheme="minorEastAsia"/>
                <w:color w:val="auto"/>
                <w:szCs w:val="21"/>
                <w:highlight w:val="none"/>
                <w:lang w:eastAsia="zh-CN"/>
              </w:rPr>
              <w:t>在领取中标通知书时一次性支付</w:t>
            </w:r>
            <w:r>
              <w:rPr>
                <w:rFonts w:hint="eastAsia" w:cs="Arial" w:asciiTheme="minorEastAsia" w:hAnsiTheme="minorEastAsia" w:eastAsiaTheme="minorEastAsia"/>
                <w:color w:val="auto"/>
                <w:szCs w:val="21"/>
                <w:highlight w:val="none"/>
              </w:rPr>
              <w:t>，投标人应当在投标报价中综合考虑。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11</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lang w:val="zh-CN"/>
              </w:rPr>
              <w:t>实质性条款</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kern w:val="0"/>
                <w:szCs w:val="21"/>
                <w:highlight w:val="none"/>
                <w:lang w:val="zh-CN"/>
              </w:rPr>
              <w:t>带“</w:t>
            </w:r>
            <w:r>
              <w:rPr>
                <w:rFonts w:hint="eastAsia" w:ascii="宋体" w:hAnsi="宋体" w:cs="宋体"/>
                <w:bCs/>
                <w:color w:val="auto"/>
                <w:szCs w:val="21"/>
                <w:highlight w:val="none"/>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12</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asciiTheme="minorEastAsia" w:hAnsiTheme="minorEastAsia" w:eastAsiaTheme="minorEastAsia"/>
                <w:color w:val="auto"/>
                <w:highlight w:val="none"/>
              </w:rPr>
              <w:t>主要性能参数</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hint="default" w:cs="宋体"/>
                <w:color w:val="auto"/>
                <w:sz w:val="21"/>
                <w:szCs w:val="21"/>
                <w:highlight w:val="none"/>
              </w:rPr>
            </w:pPr>
            <w:r>
              <w:rPr>
                <w:rFonts w:hint="eastAsia" w:ascii="宋体" w:hAnsi="宋体" w:cs="宋体"/>
                <w:color w:val="auto"/>
                <w:szCs w:val="21"/>
                <w:highlight w:val="none"/>
              </w:rPr>
              <w:t>带“★”的条款是</w:t>
            </w:r>
            <w:r>
              <w:rPr>
                <w:rFonts w:asciiTheme="minorEastAsia" w:hAnsiTheme="minorEastAsia" w:eastAsiaTheme="minorEastAsia"/>
                <w:color w:val="auto"/>
                <w:highlight w:val="none"/>
              </w:rPr>
              <w:t>主要性能参数</w:t>
            </w:r>
            <w:r>
              <w:rPr>
                <w:rFonts w:hint="eastAsia" w:asciiTheme="minorEastAsia" w:hAnsiTheme="minorEastAsia" w:eastAsiaTheme="minorEastAsia"/>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13</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书面形式</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包括电子邮件、信函、传真。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957"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14</w:t>
            </w:r>
          </w:p>
        </w:tc>
        <w:tc>
          <w:tcPr>
            <w:tcW w:w="176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解释权</w:t>
            </w:r>
          </w:p>
        </w:tc>
        <w:tc>
          <w:tcPr>
            <w:tcW w:w="6501"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rPr>
                <w:rFonts w:ascii="宋体" w:hAnsi="宋体" w:cs="宋体"/>
                <w:color w:val="auto"/>
                <w:szCs w:val="21"/>
                <w:highlight w:val="none"/>
              </w:rPr>
            </w:pPr>
            <w:r>
              <w:rPr>
                <w:rFonts w:hint="eastAsia" w:ascii="宋体" w:hAnsi="宋体" w:cs="宋体"/>
                <w:color w:val="auto"/>
                <w:szCs w:val="21"/>
                <w:highlight w:val="none"/>
              </w:rPr>
              <w:t>本招标文件解释权属于采购人和采购组织机构</w:t>
            </w:r>
          </w:p>
        </w:tc>
      </w:tr>
    </w:tbl>
    <w:p>
      <w:pPr>
        <w:pStyle w:val="11"/>
        <w:snapToGrid w:val="0"/>
        <w:spacing w:line="360" w:lineRule="auto"/>
        <w:ind w:firstLine="482" w:firstLineChars="200"/>
        <w:rPr>
          <w:rFonts w:hint="eastAsia" w:asciiTheme="minorEastAsia" w:hAnsiTheme="minorEastAsia" w:eastAsiaTheme="minorEastAsia"/>
          <w:b/>
          <w:color w:val="auto"/>
          <w:sz w:val="24"/>
          <w:highlight w:val="none"/>
        </w:rPr>
      </w:pPr>
    </w:p>
    <w:p>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二、说 明</w:t>
      </w:r>
    </w:p>
    <w:p>
      <w:pPr>
        <w:pStyle w:val="12"/>
        <w:numPr>
          <w:ilvl w:val="0"/>
          <w:numId w:val="5"/>
        </w:numPr>
        <w:spacing w:line="360" w:lineRule="auto"/>
        <w:ind w:left="0" w:leftChars="0" w:firstLine="482" w:firstLineChars="200"/>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总则</w:t>
      </w:r>
    </w:p>
    <w:p>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auto"/>
          <w:sz w:val="24"/>
          <w:highlight w:val="none"/>
        </w:rPr>
        <w:t>浙江省</w:t>
      </w:r>
      <w:r>
        <w:rPr>
          <w:rFonts w:asciiTheme="minorEastAsia" w:hAnsiTheme="minorEastAsia" w:eastAsiaTheme="minorEastAsia"/>
          <w:color w:val="auto"/>
          <w:sz w:val="24"/>
          <w:highlight w:val="none"/>
        </w:rPr>
        <w:t>有关法律、法规、规章编制。</w:t>
      </w:r>
    </w:p>
    <w:p>
      <w:pPr>
        <w:snapToGrid w:val="0"/>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投标</w:t>
      </w:r>
      <w:r>
        <w:rPr>
          <w:rFonts w:hint="eastAsia" w:asciiTheme="minorEastAsia" w:hAnsiTheme="minorEastAsia" w:eastAsiaTheme="minorEastAsia"/>
          <w:color w:val="auto"/>
          <w:sz w:val="24"/>
          <w:highlight w:val="none"/>
        </w:rPr>
        <w:t>人</w:t>
      </w:r>
      <w:r>
        <w:rPr>
          <w:rFonts w:asciiTheme="minorEastAsia" w:hAnsiTheme="minorEastAsia" w:eastAsiaTheme="minorEastAsia"/>
          <w:color w:val="auto"/>
          <w:sz w:val="24"/>
          <w:highlight w:val="none"/>
        </w:rPr>
        <w:t>应仔细阅读本项目招标公告及招标文件的所有内容（包括变更、补充、澄清以及修改等，且均为招标文件的组成部分），按照招标文件要求以及格式编制投标文件，并保证其真实性，否则</w:t>
      </w:r>
      <w:r>
        <w:rPr>
          <w:rFonts w:hint="eastAsia"/>
          <w:color w:val="auto"/>
          <w:sz w:val="24"/>
          <w:highlight w:val="none"/>
        </w:rPr>
        <w:t>由此引起的一切后果应由</w:t>
      </w:r>
      <w:r>
        <w:rPr>
          <w:rFonts w:asciiTheme="minorEastAsia" w:hAnsiTheme="minorEastAsia" w:eastAsiaTheme="minorEastAsia"/>
          <w:color w:val="auto"/>
          <w:sz w:val="24"/>
          <w:highlight w:val="none"/>
        </w:rPr>
        <w:t>投标</w:t>
      </w:r>
      <w:r>
        <w:rPr>
          <w:rFonts w:hint="eastAsia" w:asciiTheme="minorEastAsia" w:hAnsiTheme="minorEastAsia" w:eastAsiaTheme="minorEastAsia"/>
          <w:color w:val="auto"/>
          <w:sz w:val="24"/>
          <w:highlight w:val="none"/>
        </w:rPr>
        <w:t>人</w:t>
      </w:r>
      <w:r>
        <w:rPr>
          <w:rFonts w:hint="eastAsia"/>
          <w:color w:val="auto"/>
          <w:sz w:val="24"/>
          <w:highlight w:val="none"/>
        </w:rPr>
        <w:t>承担。</w:t>
      </w:r>
    </w:p>
    <w:p>
      <w:pPr>
        <w:numPr>
          <w:ilvl w:val="0"/>
          <w:numId w:val="5"/>
        </w:numPr>
        <w:snapToGrid w:val="0"/>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适用范围</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本招标文件适用于</w:t>
      </w:r>
      <w:r>
        <w:rPr>
          <w:rFonts w:hint="eastAsia" w:asciiTheme="minorEastAsia" w:hAnsiTheme="minorEastAsia" w:eastAsiaTheme="minorEastAsia"/>
          <w:bCs/>
          <w:color w:val="auto"/>
          <w:sz w:val="24"/>
          <w:highlight w:val="none"/>
        </w:rPr>
        <w:t>本次</w:t>
      </w:r>
      <w:r>
        <w:rPr>
          <w:rFonts w:hint="eastAsia" w:asciiTheme="minorEastAsia" w:hAnsiTheme="minorEastAsia" w:eastAsiaTheme="minorEastAsia"/>
          <w:color w:val="auto"/>
          <w:sz w:val="24"/>
          <w:highlight w:val="none"/>
        </w:rPr>
        <w:t>项目的招标、投标、评标、定标、验收、合同履约、付款等行为（法律、法规另有规定的，从其规定）。</w:t>
      </w:r>
    </w:p>
    <w:p>
      <w:pPr>
        <w:pStyle w:val="9"/>
        <w:spacing w:line="360" w:lineRule="auto"/>
        <w:ind w:firstLine="480" w:firstLineChars="200"/>
        <w:rPr>
          <w:color w:val="auto"/>
          <w:highlight w:val="none"/>
        </w:rPr>
      </w:pPr>
      <w:r>
        <w:rPr>
          <w:color w:val="auto"/>
          <w:highlight w:val="none"/>
        </w:rPr>
        <w:t>本招标文件仅适用于本次招标公告中所涉及的项目和内容。</w:t>
      </w:r>
    </w:p>
    <w:p>
      <w:pPr>
        <w:snapToGrid w:val="0"/>
        <w:spacing w:beforeLines="50"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（三）当事人</w:t>
      </w:r>
    </w:p>
    <w:p>
      <w:pPr>
        <w:pStyle w:val="5"/>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color w:val="auto"/>
          <w:sz w:val="24"/>
          <w:szCs w:val="24"/>
          <w:highlight w:val="none"/>
        </w:rPr>
      </w:pPr>
      <w:r>
        <w:rPr>
          <w:rFonts w:hint="eastAsia" w:asciiTheme="minorEastAsia" w:hAnsiTheme="minorEastAsia" w:eastAsiaTheme="minorEastAsia"/>
          <w:color w:val="auto"/>
          <w:sz w:val="24"/>
          <w:szCs w:val="24"/>
          <w:highlight w:val="none"/>
        </w:rPr>
        <w:t>1.</w:t>
      </w:r>
      <w:r>
        <w:rPr>
          <w:rFonts w:hint="eastAsia"/>
          <w:bCs w:val="0"/>
          <w:color w:val="auto"/>
          <w:sz w:val="24"/>
          <w:szCs w:val="24"/>
          <w:highlight w:val="none"/>
          <w:lang w:val="zh-CN"/>
        </w:rPr>
        <w:t>采购组织机构：</w:t>
      </w:r>
      <w:r>
        <w:rPr>
          <w:rFonts w:hint="eastAsia" w:asciiTheme="minorEastAsia" w:hAnsiTheme="minorEastAsia" w:eastAsiaTheme="minorEastAsia"/>
          <w:color w:val="auto"/>
          <w:sz w:val="24"/>
          <w:szCs w:val="24"/>
          <w:highlight w:val="none"/>
        </w:rPr>
        <w:t>是</w:t>
      </w:r>
      <w:r>
        <w:rPr>
          <w:rFonts w:hint="eastAsia"/>
          <w:bCs w:val="0"/>
          <w:color w:val="auto"/>
          <w:sz w:val="24"/>
          <w:szCs w:val="24"/>
          <w:highlight w:val="none"/>
          <w:lang w:val="zh-CN"/>
        </w:rPr>
        <w:t>指采购人委托组织招标的集中采购机构</w:t>
      </w:r>
      <w:r>
        <w:rPr>
          <w:rFonts w:hint="eastAsia" w:cs="Arial"/>
          <w:bCs w:val="0"/>
          <w:color w:val="auto"/>
          <w:sz w:val="24"/>
          <w:szCs w:val="24"/>
          <w:highlight w:val="none"/>
        </w:rPr>
        <w:t>或</w:t>
      </w:r>
      <w:r>
        <w:rPr>
          <w:rFonts w:hint="eastAsia"/>
          <w:bCs w:val="0"/>
          <w:color w:val="auto"/>
          <w:sz w:val="24"/>
          <w:szCs w:val="24"/>
          <w:highlight w:val="none"/>
          <w:lang w:val="zh-CN"/>
        </w:rPr>
        <w:t>采购代理机构。</w:t>
      </w:r>
    </w:p>
    <w:p>
      <w:pPr>
        <w:snapToGrid w:val="0"/>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2.采购人：是指依法进行政府采购的国家机关、事业单位和团体组织。</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投标人</w:t>
      </w:r>
      <w:r>
        <w:rPr>
          <w:rFonts w:hint="eastAsia" w:asciiTheme="minorEastAsia" w:hAnsiTheme="minorEastAsia" w:eastAsiaTheme="minorEastAsia"/>
          <w:color w:val="auto"/>
          <w:sz w:val="24"/>
          <w:highlight w:val="none"/>
        </w:rPr>
        <w:t>：是</w:t>
      </w:r>
      <w:r>
        <w:rPr>
          <w:rFonts w:asciiTheme="minorEastAsia" w:hAnsiTheme="minorEastAsia" w:eastAsiaTheme="minorEastAsia"/>
          <w:color w:val="auto"/>
          <w:sz w:val="24"/>
          <w:highlight w:val="none"/>
        </w:rPr>
        <w:t>指</w:t>
      </w:r>
      <w:r>
        <w:rPr>
          <w:rFonts w:hint="eastAsia" w:asciiTheme="minorEastAsia" w:hAnsiTheme="minorEastAsia" w:eastAsiaTheme="minorEastAsia"/>
          <w:color w:val="auto"/>
          <w:sz w:val="24"/>
          <w:highlight w:val="none"/>
        </w:rPr>
        <w:t>响应招标、参加投标竞争的法人、其他组织或者自然人</w:t>
      </w:r>
      <w:r>
        <w:rPr>
          <w:rFonts w:asciiTheme="minorEastAsia" w:hAnsiTheme="minorEastAsia" w:eastAsiaTheme="minorEastAsia"/>
          <w:color w:val="auto"/>
          <w:sz w:val="24"/>
          <w:highlight w:val="none"/>
        </w:rPr>
        <w:t>。</w:t>
      </w:r>
    </w:p>
    <w:p>
      <w:pPr>
        <w:snapToGrid w:val="0"/>
        <w:spacing w:line="360" w:lineRule="auto"/>
        <w:ind w:firstLine="480" w:firstLineChars="200"/>
        <w:rPr>
          <w:rFonts w:hint="eastAsia" w:ascii="宋体" w:hAnsi="宋体"/>
          <w:color w:val="auto"/>
          <w:sz w:val="24"/>
          <w:highlight w:val="none"/>
          <w:lang w:val="zh-CN"/>
        </w:rPr>
      </w:pPr>
      <w:r>
        <w:rPr>
          <w:rFonts w:hint="eastAsia" w:ascii="宋体" w:hAnsi="宋体"/>
          <w:color w:val="auto"/>
          <w:sz w:val="24"/>
          <w:highlight w:val="none"/>
        </w:rPr>
        <w:t>4.</w:t>
      </w:r>
      <w:r>
        <w:rPr>
          <w:rFonts w:hint="eastAsia" w:ascii="宋体" w:hAnsi="宋体"/>
          <w:color w:val="auto"/>
          <w:sz w:val="24"/>
          <w:highlight w:val="none"/>
          <w:lang w:val="zh-CN"/>
        </w:rPr>
        <w:t>中标</w:t>
      </w:r>
      <w:r>
        <w:rPr>
          <w:rFonts w:hint="eastAsia" w:ascii="宋体" w:hAnsi="宋体"/>
          <w:color w:val="auto"/>
          <w:sz w:val="24"/>
          <w:highlight w:val="none"/>
        </w:rPr>
        <w:t>人</w:t>
      </w:r>
      <w:r>
        <w:rPr>
          <w:rFonts w:hint="eastAsia" w:ascii="宋体" w:hAnsi="宋体"/>
          <w:color w:val="auto"/>
          <w:sz w:val="24"/>
          <w:highlight w:val="none"/>
          <w:lang w:val="zh-CN"/>
        </w:rPr>
        <w:t>：是指经评</w:t>
      </w:r>
      <w:r>
        <w:rPr>
          <w:rFonts w:hint="eastAsia" w:ascii="宋体" w:hAnsi="宋体"/>
          <w:color w:val="auto"/>
          <w:sz w:val="24"/>
          <w:highlight w:val="none"/>
        </w:rPr>
        <w:t>标</w:t>
      </w:r>
      <w:r>
        <w:rPr>
          <w:rFonts w:hint="eastAsia" w:ascii="宋体" w:hAnsi="宋体"/>
          <w:color w:val="auto"/>
          <w:sz w:val="24"/>
          <w:highlight w:val="none"/>
          <w:lang w:val="zh-CN"/>
        </w:rPr>
        <w:t>委员会评审确定的对招标文件</w:t>
      </w:r>
      <w:r>
        <w:rPr>
          <w:rFonts w:hint="eastAsia" w:ascii="宋体" w:hAnsi="宋体"/>
          <w:color w:val="auto"/>
          <w:sz w:val="24"/>
          <w:highlight w:val="none"/>
        </w:rPr>
        <w:t>作</w:t>
      </w:r>
      <w:r>
        <w:rPr>
          <w:rFonts w:hint="eastAsia" w:ascii="宋体" w:hAnsi="宋体"/>
          <w:color w:val="auto"/>
          <w:sz w:val="24"/>
          <w:highlight w:val="none"/>
          <w:lang w:val="zh-CN"/>
        </w:rPr>
        <w:t>出实质性响应，经采购人按照规定在评</w:t>
      </w:r>
      <w:r>
        <w:rPr>
          <w:rFonts w:hint="eastAsia" w:ascii="宋体" w:hAnsi="宋体"/>
          <w:color w:val="auto"/>
          <w:sz w:val="24"/>
          <w:highlight w:val="none"/>
        </w:rPr>
        <w:t>标</w:t>
      </w:r>
      <w:r>
        <w:rPr>
          <w:rFonts w:hint="eastAsia" w:ascii="宋体" w:hAnsi="宋体"/>
          <w:color w:val="auto"/>
          <w:sz w:val="24"/>
          <w:highlight w:val="none"/>
          <w:lang w:val="zh-CN"/>
        </w:rPr>
        <w:t>委员会推荐的中标候选人中确定的或受采购人委托直接确认的，与采购人签订合同资格的投标</w:t>
      </w:r>
      <w:r>
        <w:rPr>
          <w:rFonts w:hint="eastAsia" w:ascii="宋体" w:hAnsi="宋体"/>
          <w:color w:val="auto"/>
          <w:sz w:val="24"/>
          <w:highlight w:val="none"/>
        </w:rPr>
        <w:t>人</w:t>
      </w:r>
      <w:r>
        <w:rPr>
          <w:rFonts w:hint="eastAsia" w:ascii="宋体" w:hAnsi="宋体"/>
          <w:color w:val="auto"/>
          <w:sz w:val="24"/>
          <w:highlight w:val="none"/>
          <w:lang w:val="zh-CN"/>
        </w:rPr>
        <w:t>。</w:t>
      </w:r>
    </w:p>
    <w:p>
      <w:pPr>
        <w:snapToGrid w:val="0"/>
        <w:spacing w:line="360" w:lineRule="auto"/>
        <w:ind w:firstLine="480" w:firstLineChars="200"/>
        <w:rPr>
          <w:rFonts w:hint="eastAsia"/>
          <w:color w:val="auto"/>
          <w:sz w:val="24"/>
          <w:highlight w:val="none"/>
        </w:rPr>
      </w:pPr>
      <w:r>
        <w:rPr>
          <w:rFonts w:hint="eastAsia" w:ascii="宋体" w:hAnsi="宋体"/>
          <w:color w:val="auto"/>
          <w:sz w:val="24"/>
          <w:highlight w:val="none"/>
        </w:rPr>
        <w:t>5</w:t>
      </w:r>
      <w:r>
        <w:rPr>
          <w:rFonts w:hint="eastAsia" w:ascii="宋体" w:hAnsi="宋体"/>
          <w:color w:val="auto"/>
          <w:sz w:val="24"/>
          <w:highlight w:val="none"/>
          <w:lang w:val="zh-CN"/>
        </w:rPr>
        <w:t>.</w:t>
      </w:r>
      <w:r>
        <w:rPr>
          <w:rFonts w:hint="eastAsia" w:ascii="宋体" w:hAnsi="宋体"/>
          <w:color w:val="auto"/>
          <w:sz w:val="24"/>
          <w:highlight w:val="none"/>
        </w:rPr>
        <w:t>联合体：</w:t>
      </w:r>
      <w:r>
        <w:rPr>
          <w:rFonts w:hint="eastAsia"/>
          <w:color w:val="auto"/>
          <w:sz w:val="24"/>
          <w:highlight w:val="none"/>
        </w:rPr>
        <w:t>两个或两个以上法人或者其他组织可以组成一个联合体，以一个投标人的身份共同投标。</w:t>
      </w:r>
    </w:p>
    <w:p>
      <w:pPr>
        <w:snapToGrid w:val="0"/>
        <w:spacing w:line="360" w:lineRule="auto"/>
        <w:ind w:firstLine="482" w:firstLineChars="200"/>
        <w:rPr>
          <w:b/>
          <w:bCs/>
          <w:color w:val="auto"/>
          <w:sz w:val="24"/>
          <w:highlight w:val="none"/>
        </w:rPr>
      </w:pPr>
      <w:r>
        <w:rPr>
          <w:rFonts w:hint="eastAsia"/>
          <w:b/>
          <w:bCs/>
          <w:color w:val="auto"/>
          <w:sz w:val="24"/>
          <w:highlight w:val="none"/>
        </w:rPr>
        <w:t>（四）</w:t>
      </w:r>
      <w:r>
        <w:rPr>
          <w:b/>
          <w:bCs/>
          <w:color w:val="auto"/>
          <w:sz w:val="24"/>
          <w:highlight w:val="none"/>
        </w:rPr>
        <w:t>以联合体形式投标的，应符合以下规定：</w:t>
      </w:r>
    </w:p>
    <w:p>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1.联</w:t>
      </w:r>
      <w:r>
        <w:rPr>
          <w:color w:val="auto"/>
          <w:sz w:val="24"/>
          <w:highlight w:val="none"/>
        </w:rPr>
        <w:t>合体各方应签订联合体协议书，明确联合体牵头人和各方权利义务，并作为投标文件组成分部分</w:t>
      </w:r>
      <w:r>
        <w:rPr>
          <w:rFonts w:hint="eastAsia"/>
          <w:color w:val="auto"/>
          <w:sz w:val="24"/>
          <w:highlight w:val="none"/>
        </w:rPr>
        <w:t>；</w:t>
      </w:r>
    </w:p>
    <w:p>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2.联</w:t>
      </w:r>
      <w:r>
        <w:rPr>
          <w:color w:val="auto"/>
          <w:sz w:val="24"/>
          <w:highlight w:val="none"/>
        </w:rPr>
        <w:t>合体各方均应当具备</w:t>
      </w:r>
      <w:r>
        <w:rPr>
          <w:rFonts w:hint="eastAsia" w:ascii="宋体" w:hAnsi="宋体"/>
          <w:color w:val="auto"/>
          <w:sz w:val="24"/>
          <w:highlight w:val="none"/>
          <w:lang w:val="zh-CN"/>
        </w:rPr>
        <w:t>《中华人民共和国政府采购法》</w:t>
      </w:r>
      <w:r>
        <w:rPr>
          <w:color w:val="auto"/>
          <w:sz w:val="24"/>
          <w:highlight w:val="none"/>
        </w:rPr>
        <w:t>第二十二条规定的条件，并在投标文件中提供联合体各方的相关证明材料</w:t>
      </w:r>
      <w:r>
        <w:rPr>
          <w:rFonts w:hint="eastAsia"/>
          <w:color w:val="auto"/>
          <w:sz w:val="24"/>
          <w:highlight w:val="none"/>
        </w:rPr>
        <w:t>；</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3.联合体成员存在不良信用记录的，视同联合体存在不良信用记录；</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4.联合体各方中至少应当有一方符合采购人规定的资格要求。由同一资质条件的投标人组成的联合体，应当按照资质等级较低的投标人确定联合体资质等级；</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5.联合体各方不得再以自己名义单独在同一</w:t>
      </w:r>
      <w:r>
        <w:rPr>
          <w:rFonts w:hint="eastAsia" w:asciiTheme="minorEastAsia" w:hAnsiTheme="minorEastAsia" w:eastAsiaTheme="minorEastAsia"/>
          <w:color w:val="auto"/>
          <w:sz w:val="24"/>
          <w:highlight w:val="none"/>
          <w:lang w:eastAsia="zh-CN"/>
        </w:rPr>
        <w:t>合同项</w:t>
      </w:r>
      <w:r>
        <w:rPr>
          <w:rFonts w:hint="eastAsia" w:asciiTheme="minorEastAsia" w:hAnsiTheme="minorEastAsia" w:eastAsiaTheme="minorEastAsia"/>
          <w:color w:val="auto"/>
          <w:sz w:val="24"/>
          <w:highlight w:val="none"/>
        </w:rPr>
        <w:t>中投标，也不得组成新的联合体参加同一项目投标；</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6.联合体各方应当共同与采购人签订采购合同，就合同约定的事项对采购人承担连带责任；</w:t>
      </w:r>
    </w:p>
    <w:p>
      <w:pPr>
        <w:snapToGrid w:val="0"/>
        <w:spacing w:line="360" w:lineRule="auto"/>
        <w:ind w:firstLine="480" w:firstLineChars="200"/>
        <w:rPr>
          <w:rFonts w:hint="eastAsia"/>
          <w:color w:val="auto"/>
          <w:sz w:val="24"/>
          <w:highlight w:val="none"/>
        </w:rPr>
      </w:pPr>
      <w:r>
        <w:rPr>
          <w:rFonts w:hint="eastAsia" w:asciiTheme="minorEastAsia" w:hAnsiTheme="minorEastAsia" w:eastAsiaTheme="minorEastAsia"/>
          <w:color w:val="auto"/>
          <w:sz w:val="24"/>
          <w:highlight w:val="none"/>
        </w:rPr>
        <w:t>7.投标</w:t>
      </w:r>
      <w:r>
        <w:rPr>
          <w:color w:val="auto"/>
          <w:sz w:val="24"/>
          <w:highlight w:val="none"/>
        </w:rPr>
        <w:t>时，应以联合体协议中确定的主体方名义投标，对联合体各方均具有约束力。</w:t>
      </w:r>
    </w:p>
    <w:p>
      <w:pPr>
        <w:snapToGrid w:val="0"/>
        <w:spacing w:line="360" w:lineRule="auto"/>
        <w:ind w:firstLine="482" w:firstLineChars="200"/>
        <w:rPr>
          <w:b/>
          <w:bCs/>
          <w:color w:val="auto"/>
          <w:sz w:val="24"/>
          <w:highlight w:val="none"/>
        </w:rPr>
      </w:pPr>
      <w:r>
        <w:rPr>
          <w:rFonts w:hint="eastAsia"/>
          <w:b/>
          <w:bCs/>
          <w:color w:val="auto"/>
          <w:sz w:val="24"/>
          <w:highlight w:val="none"/>
        </w:rPr>
        <w:t>（五）</w:t>
      </w:r>
      <w:r>
        <w:rPr>
          <w:b/>
          <w:bCs/>
          <w:color w:val="auto"/>
          <w:sz w:val="24"/>
          <w:highlight w:val="none"/>
        </w:rPr>
        <w:t>语言文字以及度量衡单位</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cs="Times New Roman" w:asciiTheme="minorEastAsia" w:hAnsiTheme="minorEastAsia" w:eastAsiaTheme="minorEastAsia"/>
          <w:color w:val="auto"/>
          <w:sz w:val="24"/>
          <w:highlight w:val="none"/>
        </w:rPr>
        <w:t>.投标文件以及投标人与采购代理机构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2.所有计量均采用中国法定的计量单位。</w:t>
      </w:r>
    </w:p>
    <w:p>
      <w:pPr>
        <w:snapToGrid w:val="0"/>
        <w:spacing w:line="360" w:lineRule="auto"/>
        <w:ind w:firstLine="480" w:firstLineChars="200"/>
        <w:rPr>
          <w:rFonts w:hint="eastAsia"/>
          <w:color w:val="auto"/>
          <w:sz w:val="24"/>
          <w:highlight w:val="none"/>
        </w:rPr>
      </w:pPr>
      <w:r>
        <w:rPr>
          <w:rFonts w:hint="eastAsia" w:asciiTheme="minorEastAsia" w:hAnsiTheme="minorEastAsia" w:eastAsiaTheme="minorEastAsia"/>
          <w:color w:val="auto"/>
          <w:sz w:val="24"/>
          <w:highlight w:val="none"/>
        </w:rPr>
        <w:t>3.所有</w:t>
      </w:r>
      <w:r>
        <w:rPr>
          <w:color w:val="auto"/>
          <w:sz w:val="24"/>
          <w:highlight w:val="none"/>
        </w:rPr>
        <w:t>报价一律使用人民币，货币单位：元。</w:t>
      </w:r>
    </w:p>
    <w:p>
      <w:pPr>
        <w:snapToGrid w:val="0"/>
        <w:spacing w:line="360" w:lineRule="auto"/>
        <w:ind w:firstLine="482" w:firstLineChars="200"/>
        <w:rPr>
          <w:b/>
          <w:bCs/>
          <w:color w:val="auto"/>
          <w:sz w:val="24"/>
          <w:highlight w:val="none"/>
        </w:rPr>
      </w:pPr>
      <w:r>
        <w:rPr>
          <w:rFonts w:hint="eastAsia"/>
          <w:b/>
          <w:bCs/>
          <w:color w:val="auto"/>
          <w:sz w:val="24"/>
          <w:highlight w:val="none"/>
        </w:rPr>
        <w:t>（六）</w:t>
      </w:r>
      <w:r>
        <w:rPr>
          <w:b/>
          <w:bCs/>
          <w:color w:val="auto"/>
          <w:sz w:val="24"/>
          <w:highlight w:val="none"/>
        </w:rPr>
        <w:t>现场踏勘</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1.招标文件规定组织踏勘现场的，采购人按招标文件规定的时间、地点组织投标人踏勘项目现场。</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2.投标人自行承担踏勘现场发生的责任、风险和自身费用。</w:t>
      </w:r>
    </w:p>
    <w:p>
      <w:pPr>
        <w:snapToGrid w:val="0"/>
        <w:spacing w:line="360" w:lineRule="auto"/>
        <w:ind w:firstLine="480" w:firstLineChars="200"/>
        <w:rPr>
          <w:color w:val="auto"/>
          <w:sz w:val="24"/>
          <w:highlight w:val="none"/>
        </w:rPr>
      </w:pPr>
      <w:r>
        <w:rPr>
          <w:rFonts w:hint="eastAsia" w:asciiTheme="minorEastAsia" w:hAnsiTheme="minorEastAsia" w:eastAsiaTheme="minorEastAsia"/>
          <w:color w:val="auto"/>
          <w:sz w:val="24"/>
          <w:highlight w:val="none"/>
        </w:rPr>
        <w:t>3.采购人</w:t>
      </w:r>
      <w:r>
        <w:rPr>
          <w:color w:val="auto"/>
          <w:sz w:val="24"/>
          <w:highlight w:val="none"/>
        </w:rPr>
        <w:t>在踏勘现场中介绍的资料和数据等，不构成对招标文件的修改或不作为投标人编制投标文件的依据。</w:t>
      </w:r>
    </w:p>
    <w:p>
      <w:pPr>
        <w:pStyle w:val="11"/>
        <w:snapToGrid w:val="0"/>
        <w:spacing w:line="360" w:lineRule="auto"/>
        <w:ind w:left="2" w:leftChars="1" w:firstLine="482" w:firstLineChars="200"/>
        <w:rPr>
          <w:rFonts w:hAnsi="宋体"/>
          <w:b/>
          <w:color w:val="auto"/>
          <w:sz w:val="24"/>
          <w:highlight w:val="none"/>
        </w:rPr>
      </w:pPr>
      <w:r>
        <w:rPr>
          <w:rFonts w:hint="eastAsia" w:hAnsi="宋体"/>
          <w:b/>
          <w:color w:val="auto"/>
          <w:sz w:val="24"/>
          <w:highlight w:val="none"/>
        </w:rPr>
        <w:t>（七）特别说明</w:t>
      </w:r>
    </w:p>
    <w:p>
      <w:pPr>
        <w:pStyle w:val="11"/>
        <w:snapToGrid w:val="0"/>
        <w:spacing w:line="360" w:lineRule="auto"/>
        <w:ind w:left="2" w:leftChars="1"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投标人投标所使用的资格、信誉、荣誉、业绩与企业认证必须为本法人所拥有</w:t>
      </w:r>
      <w:r>
        <w:rPr>
          <w:rFonts w:hint="eastAsia" w:asciiTheme="minorEastAsia" w:hAnsiTheme="minorEastAsia" w:eastAsiaTheme="minorEastAsia"/>
          <w:color w:val="auto"/>
          <w:sz w:val="24"/>
          <w:highlight w:val="none"/>
        </w:rPr>
        <w:t>且所提供的资料都是真实有效的</w:t>
      </w:r>
      <w:r>
        <w:rPr>
          <w:rFonts w:asciiTheme="minorEastAsia" w:hAnsiTheme="minorEastAsia" w:eastAsiaTheme="minorEastAsia"/>
          <w:color w:val="auto"/>
          <w:sz w:val="24"/>
          <w:highlight w:val="none"/>
        </w:rPr>
        <w:t>。投标人投标所使用的采购项目实施人员必须为本法人员工。</w:t>
      </w:r>
    </w:p>
    <w:p>
      <w:pPr>
        <w:pStyle w:val="25"/>
        <w:snapToGrid w:val="0"/>
        <w:spacing w:line="360" w:lineRule="auto"/>
        <w:ind w:firstLine="480"/>
        <w:rPr>
          <w:rFonts w:asciiTheme="minorEastAsia" w:hAnsiTheme="minorEastAsia" w:eastAsiaTheme="minorEastAsia" w:cstheme="minorBidi"/>
          <w:color w:val="auto"/>
          <w:sz w:val="24"/>
          <w:szCs w:val="24"/>
          <w:highlight w:val="none"/>
        </w:rPr>
      </w:pPr>
      <w:r>
        <w:rPr>
          <w:rFonts w:hint="eastAsia" w:asciiTheme="minorEastAsia" w:hAnsiTheme="minorEastAsia" w:eastAsiaTheme="minorEastAsia" w:cstheme="minorBidi"/>
          <w:color w:val="auto"/>
          <w:sz w:val="24"/>
          <w:szCs w:val="24"/>
          <w:highlight w:val="none"/>
        </w:rPr>
        <w:t>2.投标人所投产品除招标文件中明确规定要求“提供官网截图或相应检测报告的证明材料”以外，所有技术参数描述均以投标文件为准。投标人对所投产品技术参数的真实性承担法律责任。项目招标结束后且在质疑期限内，如有投标人认为中标人所投产品、投标文件技术参数与招标需求存在重大偏离、错误，甚至造假的情况，应提供具体有效的证明材料。</w:t>
      </w:r>
    </w:p>
    <w:p>
      <w:pPr>
        <w:pStyle w:val="25"/>
        <w:snapToGrid w:val="0"/>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.本招标文件中关于电子招投标内容、流程如与政采云系统中最新的内容、操作不一致的，以政采云系统中的要求为准。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三、招标文件</w:t>
      </w:r>
    </w:p>
    <w:p>
      <w:pPr>
        <w:pStyle w:val="25"/>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（一）招标文件由招标文件总目录所列内容组成。</w:t>
      </w:r>
    </w:p>
    <w:p>
      <w:pPr>
        <w:pStyle w:val="25"/>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（二）投标人在规定的时间内未对招标文件提出疑问、质疑或要求澄清的，将视其为无异议。</w:t>
      </w:r>
    </w:p>
    <w:p>
      <w:pPr>
        <w:pStyle w:val="25"/>
        <w:snapToGrid w:val="0"/>
        <w:spacing w:line="360" w:lineRule="auto"/>
        <w:ind w:firstLine="480"/>
        <w:rPr>
          <w:rFonts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（三）对招标文件中描述有歧义或前后不一致的地方，评标委员会有权进行评判，但对同一条款的评判应适用于每个投标人。</w:t>
      </w:r>
    </w:p>
    <w:p>
      <w:pPr>
        <w:pStyle w:val="25"/>
        <w:snapToGrid w:val="0"/>
        <w:spacing w:line="360" w:lineRule="auto"/>
        <w:ind w:firstLine="480"/>
        <w:rPr>
          <w:rFonts w:hint="eastAsia" w:asciiTheme="minorEastAsia" w:hAnsiTheme="minorEastAsia" w:eastAsiaTheme="minorEastAsia" w:cstheme="minorBidi"/>
          <w:color w:val="auto"/>
          <w:sz w:val="24"/>
          <w:highlight w:val="none"/>
        </w:rPr>
      </w:pPr>
      <w:r>
        <w:rPr>
          <w:rFonts w:hint="eastAsia" w:asciiTheme="minorEastAsia" w:hAnsiTheme="minorEastAsia" w:eastAsiaTheme="minorEastAsia" w:cstheme="minorBidi"/>
          <w:color w:val="auto"/>
          <w:sz w:val="24"/>
          <w:highlight w:val="none"/>
        </w:rPr>
        <w:t>（四）采购组织机构对招标文件进行必要的澄清更正的，澄清或者修改的内容可能影响投标文件编制的，于投标截止时间的15</w:t>
      </w:r>
      <w:r>
        <w:rPr>
          <w:rFonts w:hint="eastAsia" w:asciiTheme="minorEastAsia" w:hAnsiTheme="minorEastAsia" w:eastAsiaTheme="minorEastAsia" w:cstheme="minorBidi"/>
          <w:color w:val="auto"/>
          <w:sz w:val="24"/>
          <w:highlight w:val="none"/>
          <w:lang w:eastAsia="zh-CN"/>
        </w:rPr>
        <w:t>日</w:t>
      </w:r>
      <w:r>
        <w:rPr>
          <w:rFonts w:hint="eastAsia" w:asciiTheme="minorEastAsia" w:hAnsiTheme="minorEastAsia" w:eastAsiaTheme="minorEastAsia" w:cstheme="minorBidi"/>
          <w:color w:val="auto"/>
          <w:sz w:val="24"/>
          <w:highlight w:val="none"/>
        </w:rPr>
        <w:t>前在浙江省政府采购网上以更正公告的形式通知各潜在的投标人；不足15日的，采购组织机构应当顺延提交投标文件的截止时间。</w:t>
      </w:r>
    </w:p>
    <w:p>
      <w:pPr>
        <w:tabs>
          <w:tab w:val="left" w:pos="1418"/>
        </w:tabs>
        <w:autoSpaceDE w:val="0"/>
        <w:autoSpaceDN w:val="0"/>
        <w:adjustRightIn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四、投标文件</w:t>
      </w:r>
    </w:p>
    <w:p>
      <w:pPr>
        <w:pStyle w:val="7"/>
        <w:spacing w:line="360" w:lineRule="auto"/>
        <w:ind w:firstLine="482" w:firstLineChars="200"/>
        <w:rPr>
          <w:rFonts w:asciiTheme="minorEastAsia" w:hAnsiTheme="minorEastAsia"/>
          <w:b/>
          <w:color w:val="auto"/>
          <w:kern w:val="0"/>
          <w:sz w:val="24"/>
          <w:highlight w:val="none"/>
        </w:rPr>
      </w:pPr>
      <w:r>
        <w:rPr>
          <w:rFonts w:hint="eastAsia" w:asciiTheme="minorEastAsia" w:hAnsiTheme="minorEastAsia" w:eastAsiaTheme="minorEastAsia"/>
          <w:b/>
          <w:color w:val="auto"/>
          <w:kern w:val="0"/>
          <w:sz w:val="24"/>
          <w:highlight w:val="none"/>
        </w:rPr>
        <w:t>（一）投标文件的编制</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 xml:space="preserve"> 投标人接到招标文件后，按照采购组织机构的要求提供：资格证明文件、商务与技术文件和报价</w:t>
      </w:r>
      <w:r>
        <w:rPr>
          <w:rFonts w:hint="eastAsia" w:asciiTheme="minorEastAsia" w:hAnsiTheme="minorEastAsia" w:eastAsiaTheme="minorEastAsia"/>
          <w:color w:val="auto"/>
          <w:kern w:val="0"/>
          <w:sz w:val="24"/>
          <w:highlight w:val="none"/>
          <w:lang w:val="zh-CN"/>
        </w:rPr>
        <w:t>文件。【特别提示：如在投标时有要求提供资料原件的，将原件扫描放入投标文件。】本招标文件中若有多标项的，若参与多标项投标的，则按每个标项分别独立编制投标文件。</w:t>
      </w:r>
    </w:p>
    <w:p>
      <w:pPr>
        <w:snapToGrid w:val="0"/>
        <w:spacing w:line="360" w:lineRule="auto"/>
        <w:ind w:firstLine="482" w:firstLineChars="200"/>
        <w:rPr>
          <w:rFonts w:asciiTheme="minorEastAsia" w:hAnsiTheme="minorEastAsia" w:eastAsiaTheme="minorEastAsia"/>
          <w:color w:val="auto"/>
          <w:kern w:val="0"/>
          <w:sz w:val="24"/>
          <w:highlight w:val="none"/>
        </w:rPr>
      </w:pPr>
      <w:r>
        <w:rPr>
          <w:rFonts w:hint="eastAsia" w:ascii="宋体" w:hAnsi="宋体" w:cs="宋体"/>
          <w:b/>
          <w:color w:val="auto"/>
          <w:sz w:val="24"/>
          <w:highlight w:val="none"/>
        </w:rPr>
        <w:t>▲</w:t>
      </w:r>
      <w:r>
        <w:rPr>
          <w:rFonts w:hint="eastAsia" w:asciiTheme="minorEastAsia" w:hAnsiTheme="minorEastAsia" w:eastAsiaTheme="minorEastAsia"/>
          <w:b/>
          <w:color w:val="auto"/>
          <w:sz w:val="24"/>
          <w:highlight w:val="none"/>
        </w:rPr>
        <w:t>1、资格证明</w:t>
      </w:r>
      <w:r>
        <w:rPr>
          <w:rFonts w:asciiTheme="minorEastAsia" w:hAnsiTheme="minorEastAsia" w:eastAsiaTheme="minorEastAsia"/>
          <w:b/>
          <w:color w:val="auto"/>
          <w:sz w:val="24"/>
          <w:highlight w:val="none"/>
        </w:rPr>
        <w:t>文件</w:t>
      </w:r>
      <w:r>
        <w:rPr>
          <w:rFonts w:hint="eastAsia" w:ascii="宋体" w:hAnsi="宋体"/>
          <w:b/>
          <w:color w:val="auto"/>
          <w:sz w:val="24"/>
          <w:highlight w:val="none"/>
        </w:rPr>
        <w:t>的组成：</w:t>
      </w:r>
    </w:p>
    <w:p>
      <w:pPr>
        <w:snapToGrid w:val="0"/>
        <w:spacing w:line="360" w:lineRule="auto"/>
        <w:ind w:firstLine="480" w:firstLineChars="200"/>
        <w:rPr>
          <w:rFonts w:hint="eastAsia" w:ascii="宋体" w:hAnsi="宋体" w:eastAsia="宋体" w:cs="Times New Roman"/>
          <w:bCs/>
          <w:color w:val="auto"/>
          <w:sz w:val="24"/>
          <w:highlight w:val="none"/>
          <w:lang w:eastAsia="zh-CN"/>
        </w:rPr>
      </w:pP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lang w:val="en-US" w:eastAsia="zh-CN"/>
        </w:rPr>
        <w:t>1</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投标声明书（</w:t>
      </w:r>
      <w:r>
        <w:rPr>
          <w:rFonts w:hint="eastAsia" w:ascii="宋体" w:hAnsi="宋体" w:cs="Times New Roman"/>
          <w:bCs/>
          <w:color w:val="auto"/>
          <w:sz w:val="24"/>
          <w:highlight w:val="none"/>
          <w:lang w:eastAsia="zh-CN"/>
        </w:rPr>
        <w:t>附件</w:t>
      </w:r>
      <w:r>
        <w:rPr>
          <w:rFonts w:hint="eastAsia" w:ascii="宋体" w:hAnsi="宋体" w:cs="Times New Roman"/>
          <w:bCs/>
          <w:color w:val="auto"/>
          <w:sz w:val="24"/>
          <w:highlight w:val="none"/>
          <w:lang w:val="en-US" w:eastAsia="zh-CN"/>
        </w:rPr>
        <w:t>1</w:t>
      </w:r>
      <w:r>
        <w:rPr>
          <w:rFonts w:hint="eastAsia" w:ascii="宋体" w:hAnsi="宋体" w:cs="Times New Roman"/>
          <w:bCs/>
          <w:color w:val="auto"/>
          <w:sz w:val="24"/>
          <w:highlight w:val="none"/>
        </w:rPr>
        <w:t>）</w:t>
      </w:r>
      <w:r>
        <w:rPr>
          <w:rFonts w:hint="eastAsia" w:ascii="宋体" w:hAnsi="宋体" w:cs="Times New Roman"/>
          <w:bCs/>
          <w:color w:val="auto"/>
          <w:sz w:val="24"/>
          <w:highlight w:val="none"/>
          <w:lang w:eastAsia="zh-CN"/>
        </w:rPr>
        <w:t>；</w:t>
      </w:r>
    </w:p>
    <w:p>
      <w:pPr>
        <w:snapToGrid w:val="0"/>
        <w:spacing w:line="360" w:lineRule="auto"/>
        <w:ind w:firstLine="480" w:firstLineChars="200"/>
        <w:rPr>
          <w:rFonts w:hint="eastAsia" w:ascii="宋体" w:hAnsi="宋体" w:eastAsia="宋体" w:cs="Times New Roman"/>
          <w:bCs/>
          <w:color w:val="auto"/>
          <w:sz w:val="24"/>
          <w:highlight w:val="none"/>
          <w:lang w:eastAsia="zh-CN"/>
        </w:rPr>
      </w:pP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lang w:val="en-US" w:eastAsia="zh-CN"/>
        </w:rPr>
        <w:t>2</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授权委托书（法定代表人办理投标事宜的，则无需提交)（</w:t>
      </w:r>
      <w:r>
        <w:rPr>
          <w:rFonts w:hint="eastAsia" w:ascii="宋体" w:hAnsi="宋体" w:cs="Times New Roman"/>
          <w:bCs/>
          <w:color w:val="auto"/>
          <w:sz w:val="24"/>
          <w:highlight w:val="none"/>
          <w:lang w:eastAsia="zh-CN"/>
        </w:rPr>
        <w:t>附件</w:t>
      </w:r>
      <w:r>
        <w:rPr>
          <w:rFonts w:hint="eastAsia" w:ascii="宋体" w:hAnsi="宋体" w:cs="Times New Roman"/>
          <w:bCs/>
          <w:color w:val="auto"/>
          <w:sz w:val="24"/>
          <w:highlight w:val="none"/>
          <w:lang w:val="en-US" w:eastAsia="zh-CN"/>
        </w:rPr>
        <w:t>3</w:t>
      </w:r>
      <w:r>
        <w:rPr>
          <w:rFonts w:hint="eastAsia" w:ascii="宋体" w:hAnsi="宋体" w:cs="Times New Roman"/>
          <w:bCs/>
          <w:color w:val="auto"/>
          <w:sz w:val="24"/>
          <w:highlight w:val="none"/>
        </w:rPr>
        <w:t>）</w:t>
      </w:r>
      <w:r>
        <w:rPr>
          <w:rFonts w:hint="eastAsia" w:ascii="宋体" w:hAnsi="宋体" w:cs="Times New Roman"/>
          <w:bCs/>
          <w:color w:val="auto"/>
          <w:sz w:val="24"/>
          <w:highlight w:val="none"/>
          <w:lang w:eastAsia="zh-CN"/>
        </w:rPr>
        <w:t>；</w:t>
      </w:r>
    </w:p>
    <w:p>
      <w:pPr>
        <w:snapToGrid w:val="0"/>
        <w:spacing w:line="360" w:lineRule="auto"/>
        <w:ind w:firstLine="480" w:firstLineChars="200"/>
        <w:rPr>
          <w:rFonts w:hint="eastAsia" w:ascii="宋体" w:hAnsi="宋体" w:eastAsia="宋体" w:cs="Times New Roman"/>
          <w:bCs/>
          <w:color w:val="auto"/>
          <w:sz w:val="24"/>
          <w:highlight w:val="none"/>
          <w:lang w:eastAsia="zh-CN"/>
        </w:rPr>
      </w:pP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lang w:val="en-US" w:eastAsia="zh-CN"/>
        </w:rPr>
        <w:t>3</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法人或者其他组织的营业执照等证明文件，自然人的身份证明</w:t>
      </w:r>
      <w:r>
        <w:rPr>
          <w:rFonts w:hint="eastAsia" w:ascii="宋体" w:hAnsi="宋体" w:cs="Times New Roman"/>
          <w:bCs/>
          <w:color w:val="auto"/>
          <w:sz w:val="24"/>
          <w:highlight w:val="none"/>
          <w:lang w:eastAsia="zh-CN"/>
        </w:rPr>
        <w:t>；</w:t>
      </w:r>
    </w:p>
    <w:p>
      <w:pPr>
        <w:snapToGrid w:val="0"/>
        <w:spacing w:line="360" w:lineRule="auto"/>
        <w:ind w:firstLine="480" w:firstLineChars="200"/>
        <w:rPr>
          <w:rFonts w:hint="eastAsia" w:ascii="宋体" w:hAnsi="宋体" w:cs="Times New Roman"/>
          <w:bCs/>
          <w:color w:val="auto"/>
          <w:sz w:val="24"/>
          <w:highlight w:val="none"/>
          <w:lang w:eastAsia="zh-CN"/>
        </w:rPr>
      </w:pP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lang w:val="en-US" w:eastAsia="zh-CN"/>
        </w:rPr>
        <w:t>4</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符合参与政府采购活动的资格条件并且没有税收缴纳、社会保障等方面的失信记录的承诺函</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承诺函</w:t>
      </w:r>
      <w:r>
        <w:rPr>
          <w:rFonts w:hint="eastAsia" w:ascii="宋体" w:hAnsi="宋体" w:cs="Times New Roman"/>
          <w:bCs/>
          <w:color w:val="auto"/>
          <w:sz w:val="24"/>
          <w:highlight w:val="none"/>
          <w:lang w:eastAsia="zh-CN"/>
        </w:rPr>
        <w:t>格式自拟）；</w:t>
      </w:r>
    </w:p>
    <w:p>
      <w:pPr>
        <w:snapToGrid w:val="0"/>
        <w:spacing w:line="360" w:lineRule="auto"/>
        <w:ind w:firstLine="480" w:firstLineChars="200"/>
        <w:rPr>
          <w:rFonts w:hint="eastAsia" w:ascii="宋体" w:hAnsi="宋体" w:cs="Times New Roman"/>
          <w:bCs/>
          <w:color w:val="auto"/>
          <w:sz w:val="24"/>
          <w:highlight w:val="none"/>
          <w:lang w:eastAsia="zh-CN"/>
        </w:rPr>
      </w:pP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lang w:val="en-US" w:eastAsia="zh-CN"/>
        </w:rPr>
        <w:t>5</w:t>
      </w:r>
      <w:r>
        <w:rPr>
          <w:rFonts w:hint="eastAsia" w:ascii="宋体" w:hAnsi="宋体" w:cs="Times New Roman"/>
          <w:bCs/>
          <w:color w:val="auto"/>
          <w:sz w:val="24"/>
          <w:highlight w:val="none"/>
          <w:lang w:eastAsia="zh-CN"/>
        </w:rPr>
        <w:t>）</w:t>
      </w:r>
      <w:r>
        <w:rPr>
          <w:rFonts w:hint="eastAsia" w:ascii="宋体" w:hAnsi="宋体" w:cs="Times New Roman"/>
          <w:bCs/>
          <w:color w:val="auto"/>
          <w:sz w:val="24"/>
          <w:highlight w:val="none"/>
        </w:rPr>
        <w:t>具备履行合同所必需的设备和专业技术能力的证明材料</w:t>
      </w:r>
      <w:r>
        <w:rPr>
          <w:rFonts w:hint="eastAsia" w:ascii="宋体" w:hAnsi="宋体" w:cs="Times New Roman"/>
          <w:bCs/>
          <w:color w:val="auto"/>
          <w:sz w:val="24"/>
          <w:highlight w:val="none"/>
          <w:lang w:eastAsia="zh-CN"/>
        </w:rPr>
        <w:t>。</w:t>
      </w:r>
    </w:p>
    <w:p>
      <w:pPr>
        <w:numPr>
          <w:ilvl w:val="0"/>
          <w:numId w:val="6"/>
        </w:numPr>
        <w:snapToGrid w:val="0"/>
        <w:spacing w:line="360" w:lineRule="auto"/>
        <w:ind w:firstLine="482" w:firstLineChars="200"/>
        <w:rPr>
          <w:rFonts w:hint="eastAsia" w:ascii="宋体" w:hAnsi="宋体"/>
          <w:b/>
          <w:color w:val="auto"/>
          <w:sz w:val="24"/>
          <w:highlight w:val="none"/>
        </w:rPr>
      </w:pPr>
      <w:r>
        <w:rPr>
          <w:rFonts w:hint="eastAsia" w:ascii="宋体" w:hAnsi="宋体"/>
          <w:b/>
          <w:color w:val="auto"/>
          <w:sz w:val="24"/>
          <w:highlight w:val="none"/>
        </w:rPr>
        <w:t>商务与技术文件的组成：</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（1）投标人情况介绍（附件</w:t>
      </w:r>
      <w:r>
        <w:rPr>
          <w:rFonts w:hint="eastAsia" w:ascii="宋体" w:hAnsi="宋体"/>
          <w:bCs/>
          <w:color w:val="auto"/>
          <w:sz w:val="24"/>
          <w:highlight w:val="none"/>
          <w:lang w:val="en-US" w:eastAsia="zh-CN"/>
        </w:rPr>
        <w:t>5</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（2）技术方案（</w:t>
      </w:r>
      <w:r>
        <w:rPr>
          <w:rFonts w:hint="eastAsia" w:ascii="宋体" w:hAnsi="宋体"/>
          <w:bCs/>
          <w:color w:val="auto"/>
          <w:sz w:val="24"/>
          <w:highlight w:val="none"/>
          <w:lang w:eastAsia="zh-CN"/>
        </w:rPr>
        <w:t>根据评分标准分章节自拟</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（3）项目负责人资格情况表（附件</w:t>
      </w:r>
      <w:r>
        <w:rPr>
          <w:rFonts w:hint="eastAsia" w:ascii="宋体" w:hAnsi="宋体"/>
          <w:bCs/>
          <w:color w:val="auto"/>
          <w:sz w:val="24"/>
          <w:highlight w:val="none"/>
          <w:lang w:val="en-US" w:eastAsia="zh-CN"/>
        </w:rPr>
        <w:t>6</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（4）项目实施人员一览表（附件</w:t>
      </w:r>
      <w:r>
        <w:rPr>
          <w:rFonts w:hint="eastAsia" w:ascii="宋体" w:hAnsi="宋体"/>
          <w:bCs/>
          <w:color w:val="auto"/>
          <w:sz w:val="24"/>
          <w:highlight w:val="none"/>
          <w:lang w:val="en-US" w:eastAsia="zh-CN"/>
        </w:rPr>
        <w:t>7</w:t>
      </w:r>
      <w:r>
        <w:rPr>
          <w:rFonts w:hint="eastAsia" w:ascii="宋体" w:hAnsi="宋体"/>
          <w:bCs/>
          <w:color w:val="auto"/>
          <w:sz w:val="24"/>
          <w:highlight w:val="none"/>
        </w:rPr>
        <w:t>）；</w:t>
      </w:r>
    </w:p>
    <w:p>
      <w:pPr>
        <w:snapToGrid w:val="0"/>
        <w:spacing w:line="360" w:lineRule="auto"/>
        <w:ind w:firstLine="480" w:firstLineChars="200"/>
        <w:rPr>
          <w:rFonts w:ascii="Calibri" w:hAnsi="Calibri" w:cs="Calibri"/>
          <w:color w:val="auto"/>
          <w:sz w:val="24"/>
          <w:highlight w:val="none"/>
        </w:rPr>
      </w:pPr>
      <w:r>
        <w:rPr>
          <w:rFonts w:hint="eastAsia" w:ascii="宋体" w:hAnsi="宋体"/>
          <w:bCs/>
          <w:color w:val="auto"/>
          <w:sz w:val="24"/>
          <w:highlight w:val="none"/>
        </w:rPr>
        <w:t>（5）</w:t>
      </w:r>
      <w:r>
        <w:rPr>
          <w:rFonts w:hint="eastAsia" w:ascii="Calibri" w:hAnsi="Calibri" w:cs="Calibri"/>
          <w:color w:val="auto"/>
          <w:sz w:val="24"/>
          <w:highlight w:val="none"/>
        </w:rPr>
        <w:t>服务条款响应表（附件</w:t>
      </w:r>
      <w:r>
        <w:rPr>
          <w:rFonts w:hint="eastAsia" w:ascii="Calibri" w:hAnsi="Calibri" w:cs="Calibri"/>
          <w:color w:val="auto"/>
          <w:sz w:val="24"/>
          <w:highlight w:val="none"/>
          <w:lang w:val="en-US" w:eastAsia="zh-CN"/>
        </w:rPr>
        <w:t>8</w:t>
      </w:r>
      <w:r>
        <w:rPr>
          <w:rFonts w:hint="eastAsia" w:ascii="Calibri" w:hAnsi="Calibri" w:cs="Calibri"/>
          <w:color w:val="auto"/>
          <w:sz w:val="24"/>
          <w:highlight w:val="none"/>
        </w:rPr>
        <w:t>）；</w:t>
      </w:r>
    </w:p>
    <w:p>
      <w:pPr>
        <w:pStyle w:val="7"/>
        <w:widowControl/>
        <w:numPr>
          <w:ilvl w:val="255"/>
          <w:numId w:val="0"/>
        </w:numPr>
        <w:adjustRightInd w:val="0"/>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（6）证书一览表（与本项目相关的认证证书或文件；附件</w:t>
      </w:r>
      <w:r>
        <w:rPr>
          <w:rFonts w:hint="eastAsia" w:ascii="宋体" w:hAnsi="宋体"/>
          <w:bCs/>
          <w:color w:val="auto"/>
          <w:sz w:val="24"/>
          <w:highlight w:val="none"/>
          <w:lang w:val="en-US" w:eastAsia="zh-CN"/>
        </w:rPr>
        <w:t>9</w:t>
      </w:r>
      <w:r>
        <w:rPr>
          <w:rFonts w:hint="eastAsia" w:ascii="宋体" w:hAnsi="宋体"/>
          <w:bCs/>
          <w:color w:val="auto"/>
          <w:sz w:val="24"/>
          <w:highlight w:val="none"/>
        </w:rPr>
        <w:t>）；</w:t>
      </w:r>
    </w:p>
    <w:p>
      <w:pPr>
        <w:pStyle w:val="7"/>
        <w:widowControl/>
        <w:numPr>
          <w:ilvl w:val="255"/>
          <w:numId w:val="0"/>
        </w:num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（7）投标人类似项目实施情况一览表（如有，附件1</w:t>
      </w:r>
      <w:r>
        <w:rPr>
          <w:rFonts w:hint="eastAsia" w:ascii="宋体" w:hAnsi="宋体"/>
          <w:bCs/>
          <w:color w:val="auto"/>
          <w:sz w:val="24"/>
          <w:highlight w:val="none"/>
          <w:lang w:val="en-US" w:eastAsia="zh-CN"/>
        </w:rPr>
        <w:t>0</w:t>
      </w:r>
      <w:r>
        <w:rPr>
          <w:rFonts w:hint="eastAsia" w:ascii="宋体" w:hAnsi="宋体"/>
          <w:bCs/>
          <w:color w:val="auto"/>
          <w:sz w:val="24"/>
          <w:highlight w:val="none"/>
        </w:rPr>
        <w:t>）；</w:t>
      </w:r>
    </w:p>
    <w:p>
      <w:pPr>
        <w:pStyle w:val="7"/>
        <w:spacing w:line="360" w:lineRule="auto"/>
        <w:ind w:firstLine="480" w:firstLineChars="200"/>
        <w:rPr>
          <w:rFonts w:hint="default" w:eastAsia="宋体"/>
          <w:color w:val="auto"/>
          <w:sz w:val="28"/>
          <w:szCs w:val="28"/>
          <w:highlight w:val="none"/>
          <w:lang w:val="en-US" w:eastAsia="zh-CN"/>
        </w:rPr>
      </w:pPr>
      <w:r>
        <w:rPr>
          <w:rFonts w:hint="eastAsia" w:ascii="宋体" w:hAnsi="宋体"/>
          <w:bCs/>
          <w:color w:val="auto"/>
          <w:sz w:val="24"/>
          <w:highlight w:val="none"/>
        </w:rPr>
        <w:t>（8）符合招标文件规定的其他证明文件及评分标准中涉及的其他材料</w:t>
      </w:r>
      <w:r>
        <w:rPr>
          <w:rFonts w:hint="eastAsia" w:ascii="宋体" w:hAnsi="宋体"/>
          <w:bCs/>
          <w:color w:val="auto"/>
          <w:sz w:val="24"/>
          <w:highlight w:val="none"/>
          <w:lang w:val="en-US" w:eastAsia="zh-CN"/>
        </w:rPr>
        <w:t>(如有)。</w:t>
      </w:r>
    </w:p>
    <w:p>
      <w:pPr>
        <w:autoSpaceDE w:val="0"/>
        <w:autoSpaceDN w:val="0"/>
        <w:adjustRightInd w:val="0"/>
        <w:spacing w:line="360" w:lineRule="auto"/>
        <w:ind w:left="426" w:firstLine="65" w:firstLineChars="27"/>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3、报价</w:t>
      </w:r>
      <w:r>
        <w:rPr>
          <w:rFonts w:hint="eastAsia" w:asciiTheme="minorEastAsia" w:hAnsiTheme="minorEastAsia" w:eastAsiaTheme="minorEastAsia"/>
          <w:b/>
          <w:color w:val="auto"/>
          <w:kern w:val="0"/>
          <w:sz w:val="24"/>
          <w:highlight w:val="none"/>
          <w:lang w:eastAsia="zh-CN"/>
        </w:rPr>
        <w:t>内容</w:t>
      </w:r>
      <w:r>
        <w:rPr>
          <w:rFonts w:hint="eastAsia" w:asciiTheme="minorEastAsia" w:hAnsiTheme="minorEastAsia" w:eastAsiaTheme="minorEastAsia"/>
          <w:b/>
          <w:color w:val="auto"/>
          <w:kern w:val="0"/>
          <w:sz w:val="24"/>
          <w:highlight w:val="none"/>
        </w:rPr>
        <w:t>的组成</w:t>
      </w:r>
    </w:p>
    <w:p>
      <w:pPr>
        <w:autoSpaceDE w:val="0"/>
        <w:autoSpaceDN w:val="0"/>
        <w:adjustRightIn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（1）开标一览表（附件1</w:t>
      </w:r>
      <w:r>
        <w:rPr>
          <w:rFonts w:hint="eastAsia" w:ascii="宋体" w:hAnsi="宋体"/>
          <w:color w:val="auto"/>
          <w:kern w:val="0"/>
          <w:sz w:val="24"/>
          <w:highlight w:val="none"/>
          <w:lang w:val="en-US" w:eastAsia="zh-CN"/>
        </w:rPr>
        <w:t>1</w:t>
      </w:r>
      <w:r>
        <w:rPr>
          <w:rFonts w:hint="eastAsia" w:ascii="宋体" w:hAnsi="宋体"/>
          <w:color w:val="auto"/>
          <w:kern w:val="0"/>
          <w:sz w:val="24"/>
          <w:highlight w:val="none"/>
        </w:rPr>
        <w:t>）；</w:t>
      </w:r>
    </w:p>
    <w:p>
      <w:pPr>
        <w:autoSpaceDE w:val="0"/>
        <w:autoSpaceDN w:val="0"/>
        <w:adjustRightInd w:val="0"/>
        <w:spacing w:line="360" w:lineRule="auto"/>
        <w:ind w:firstLine="480" w:firstLineChars="200"/>
        <w:rPr>
          <w:rFonts w:hint="eastAsia" w:ascii="宋体" w:hAnsi="宋体"/>
          <w:color w:val="auto"/>
          <w:kern w:val="0"/>
          <w:sz w:val="24"/>
          <w:highlight w:val="none"/>
          <w:lang w:eastAsia="zh-CN"/>
        </w:rPr>
      </w:pP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2</w:t>
      </w:r>
      <w:r>
        <w:rPr>
          <w:rFonts w:hint="eastAsia" w:ascii="宋体" w:hAnsi="宋体"/>
          <w:color w:val="auto"/>
          <w:kern w:val="0"/>
          <w:sz w:val="24"/>
          <w:highlight w:val="none"/>
        </w:rPr>
        <w:t>）报价明细表</w:t>
      </w:r>
      <w:r>
        <w:rPr>
          <w:rFonts w:hint="eastAsia" w:ascii="宋体" w:hAnsi="宋体"/>
          <w:color w:val="auto"/>
          <w:kern w:val="0"/>
          <w:sz w:val="24"/>
          <w:highlight w:val="none"/>
          <w:lang w:eastAsia="zh-CN"/>
        </w:rPr>
        <w:t>（附件</w:t>
      </w:r>
      <w:r>
        <w:rPr>
          <w:rFonts w:hint="eastAsia" w:ascii="宋体" w:hAnsi="宋体"/>
          <w:color w:val="auto"/>
          <w:kern w:val="0"/>
          <w:sz w:val="24"/>
          <w:highlight w:val="none"/>
          <w:lang w:val="en-US" w:eastAsia="zh-CN"/>
        </w:rPr>
        <w:t>13</w:t>
      </w:r>
      <w:r>
        <w:rPr>
          <w:rFonts w:hint="eastAsia" w:ascii="宋体" w:hAnsi="宋体"/>
          <w:color w:val="auto"/>
          <w:kern w:val="0"/>
          <w:sz w:val="24"/>
          <w:highlight w:val="none"/>
          <w:lang w:eastAsia="zh-CN"/>
        </w:rPr>
        <w:t>）；</w:t>
      </w:r>
    </w:p>
    <w:p>
      <w:pPr>
        <w:autoSpaceDE w:val="0"/>
        <w:autoSpaceDN w:val="0"/>
        <w:adjustRightIn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lang w:eastAsia="zh-CN"/>
        </w:rPr>
        <w:t>（</w:t>
      </w:r>
      <w:r>
        <w:rPr>
          <w:rFonts w:hint="eastAsia" w:ascii="宋体" w:hAnsi="宋体"/>
          <w:color w:val="auto"/>
          <w:kern w:val="0"/>
          <w:sz w:val="24"/>
          <w:highlight w:val="none"/>
          <w:lang w:val="en-US" w:eastAsia="zh-CN"/>
        </w:rPr>
        <w:t>3</w:t>
      </w:r>
      <w:r>
        <w:rPr>
          <w:rFonts w:hint="eastAsia" w:ascii="宋体" w:hAnsi="宋体"/>
          <w:color w:val="auto"/>
          <w:kern w:val="0"/>
          <w:sz w:val="24"/>
          <w:highlight w:val="none"/>
          <w:lang w:eastAsia="zh-CN"/>
        </w:rPr>
        <w:t>）</w:t>
      </w:r>
      <w:r>
        <w:rPr>
          <w:rFonts w:hint="eastAsia" w:ascii="宋体" w:hAnsi="宋体"/>
          <w:color w:val="auto"/>
          <w:kern w:val="0"/>
          <w:sz w:val="24"/>
          <w:highlight w:val="none"/>
        </w:rPr>
        <w:t>针对报价投标人认为其他需要说明的</w:t>
      </w:r>
      <w:r>
        <w:rPr>
          <w:rFonts w:hint="eastAsia" w:ascii="宋体" w:hAnsi="宋体"/>
          <w:color w:val="auto"/>
          <w:kern w:val="0"/>
          <w:sz w:val="24"/>
          <w:highlight w:val="none"/>
          <w:lang w:eastAsia="zh-CN"/>
        </w:rPr>
        <w:t>（</w:t>
      </w:r>
      <w:r>
        <w:rPr>
          <w:rFonts w:hint="eastAsia" w:ascii="宋体" w:hAnsi="宋体" w:eastAsia="宋体" w:cs="Times New Roman"/>
          <w:bCs/>
          <w:color w:val="auto"/>
          <w:kern w:val="2"/>
          <w:sz w:val="24"/>
          <w:szCs w:val="20"/>
          <w:highlight w:val="none"/>
          <w:lang w:val="en-US" w:eastAsia="zh-CN" w:bidi="ar-SA"/>
        </w:rPr>
        <w:t>如中小企业声明函（附件12）、残疾人福利性单位</w:t>
      </w:r>
      <w:r>
        <w:rPr>
          <w:rFonts w:hint="eastAsia" w:ascii="宋体" w:hAnsi="宋体" w:eastAsia="宋体"/>
          <w:color w:val="auto"/>
          <w:kern w:val="0"/>
          <w:sz w:val="24"/>
          <w:highlight w:val="none"/>
        </w:rPr>
        <w:t>声明函</w:t>
      </w:r>
      <w:r>
        <w:rPr>
          <w:rFonts w:hint="eastAsia" w:ascii="宋体" w:hAnsi="宋体" w:eastAsia="宋体"/>
          <w:color w:val="auto"/>
          <w:kern w:val="0"/>
          <w:sz w:val="24"/>
          <w:highlight w:val="none"/>
          <w:lang w:eastAsia="zh-CN"/>
        </w:rPr>
        <w:t>等</w:t>
      </w:r>
      <w:r>
        <w:rPr>
          <w:rFonts w:hint="eastAsia" w:ascii="宋体" w:hAnsi="宋体"/>
          <w:color w:val="auto"/>
          <w:kern w:val="0"/>
          <w:sz w:val="24"/>
          <w:highlight w:val="none"/>
          <w:lang w:eastAsia="zh-CN"/>
        </w:rPr>
        <w:t>）</w:t>
      </w:r>
      <w:r>
        <w:rPr>
          <w:rFonts w:hint="eastAsia" w:ascii="宋体" w:hAnsi="宋体"/>
          <w:color w:val="auto"/>
          <w:kern w:val="0"/>
          <w:sz w:val="24"/>
          <w:highlight w:val="none"/>
        </w:rPr>
        <w:t>。</w:t>
      </w:r>
    </w:p>
    <w:p>
      <w:pPr>
        <w:pStyle w:val="7"/>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（二）投标报价</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投标人应按照招标需求内容、责任范围以及合同条款进行报价。并按“开标一览表”和“报价明细表”规定的格式报出总价和分项价格。投标总价中不得包含招标文件要求以外的内容，否则，在评标时不予核减。</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2.投标报价包括本项目采购需求和投入使用的所有费用，包括但不限于</w:t>
      </w:r>
      <w:r>
        <w:rPr>
          <w:rFonts w:hint="eastAsia" w:asciiTheme="minorEastAsia" w:hAnsiTheme="minorEastAsia" w:eastAsiaTheme="minorEastAsia"/>
          <w:bCs/>
          <w:color w:val="auto"/>
          <w:kern w:val="0"/>
          <w:sz w:val="24"/>
          <w:highlight w:val="none"/>
          <w:lang w:val="en-US" w:eastAsia="zh-CN"/>
        </w:rPr>
        <w:t>服务费、运维费、验收费、税金、招标代理服务费等有关的一切费用和价款，在本合同履行期间乙方除甲方违约责任外不得再以任何理由向甲方计取任何其他费用</w:t>
      </w:r>
      <w:r>
        <w:rPr>
          <w:rFonts w:hint="eastAsia" w:asciiTheme="minorEastAsia" w:hAnsiTheme="minorEastAsia" w:eastAsiaTheme="minorEastAsia"/>
          <w:bCs/>
          <w:color w:val="auto"/>
          <w:kern w:val="0"/>
          <w:sz w:val="24"/>
          <w:highlight w:val="none"/>
          <w:lang w:eastAsia="zh-CN"/>
        </w:rPr>
        <w:t>。</w:t>
      </w:r>
      <w:r>
        <w:rPr>
          <w:rFonts w:hint="eastAsia" w:asciiTheme="minorEastAsia" w:hAnsiTheme="minorEastAsia" w:eastAsiaTheme="minorEastAsia"/>
          <w:bCs/>
          <w:color w:val="auto"/>
          <w:kern w:val="0"/>
          <w:sz w:val="24"/>
          <w:highlight w:val="none"/>
        </w:rPr>
        <w:t>。</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3.投标报价不得</w:t>
      </w:r>
      <w:r>
        <w:rPr>
          <w:rFonts w:hint="eastAsia" w:asciiTheme="minorEastAsia" w:hAnsiTheme="minorEastAsia" w:eastAsiaTheme="minorEastAsia"/>
          <w:bCs/>
          <w:color w:val="auto"/>
          <w:kern w:val="0"/>
          <w:sz w:val="24"/>
          <w:highlight w:val="none"/>
          <w:lang w:val="en-US" w:eastAsia="zh-CN"/>
        </w:rPr>
        <w:t>为</w:t>
      </w:r>
      <w:r>
        <w:rPr>
          <w:rFonts w:hint="eastAsia" w:asciiTheme="minorEastAsia" w:hAnsiTheme="minorEastAsia" w:eastAsiaTheme="minorEastAsia"/>
          <w:bCs/>
          <w:color w:val="auto"/>
          <w:kern w:val="0"/>
          <w:sz w:val="24"/>
          <w:highlight w:val="none"/>
        </w:rPr>
        <w:t>选择性报价和附有条件的报价。</w:t>
      </w:r>
    </w:p>
    <w:p>
      <w:pPr>
        <w:pStyle w:val="7"/>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（三）投标</w:t>
      </w:r>
      <w:r>
        <w:rPr>
          <w:rFonts w:hint="eastAsia" w:asciiTheme="minorEastAsia" w:hAnsiTheme="minorEastAsia" w:eastAsiaTheme="minorEastAsia"/>
          <w:b/>
          <w:color w:val="auto"/>
          <w:kern w:val="0"/>
          <w:sz w:val="24"/>
          <w:highlight w:val="none"/>
          <w:lang w:val="en-US" w:eastAsia="zh-CN"/>
        </w:rPr>
        <w:t>文件的</w:t>
      </w:r>
      <w:r>
        <w:rPr>
          <w:rFonts w:hint="eastAsia" w:asciiTheme="minorEastAsia" w:hAnsiTheme="minorEastAsia" w:eastAsiaTheme="minorEastAsia"/>
          <w:b/>
          <w:color w:val="auto"/>
          <w:kern w:val="0"/>
          <w:sz w:val="24"/>
          <w:highlight w:val="none"/>
        </w:rPr>
        <w:t>有效期</w:t>
      </w:r>
    </w:p>
    <w:p>
      <w:pPr>
        <w:pStyle w:val="7"/>
        <w:spacing w:line="360" w:lineRule="auto"/>
        <w:ind w:firstLine="480" w:firstLineChars="200"/>
        <w:rPr>
          <w:rFonts w:ascii="宋体" w:hAnsi="宋体"/>
          <w:color w:val="auto"/>
          <w:sz w:val="24"/>
          <w:highlight w:val="none"/>
          <w:lang w:val="en-GB"/>
        </w:rPr>
      </w:pPr>
      <w:r>
        <w:rPr>
          <w:rFonts w:hint="eastAsia" w:ascii="宋体" w:hAnsi="宋体"/>
          <w:color w:val="auto"/>
          <w:sz w:val="24"/>
          <w:highlight w:val="none"/>
        </w:rPr>
        <w:t>1.</w:t>
      </w:r>
      <w:r>
        <w:rPr>
          <w:rFonts w:hint="eastAsia" w:ascii="宋体" w:hAnsi="宋体"/>
          <w:color w:val="auto"/>
          <w:sz w:val="24"/>
          <w:highlight w:val="none"/>
          <w:lang w:val="en-US" w:eastAsia="zh-CN"/>
        </w:rPr>
        <w:t>投标文件有效期为</w:t>
      </w:r>
      <w:r>
        <w:rPr>
          <w:rFonts w:hint="eastAsia" w:ascii="宋体" w:hAnsi="宋体"/>
          <w:color w:val="auto"/>
          <w:sz w:val="24"/>
          <w:highlight w:val="none"/>
          <w:lang w:val="en-GB"/>
        </w:rPr>
        <w:t>投标截止日起90天。。</w:t>
      </w:r>
    </w:p>
    <w:p>
      <w:pPr>
        <w:pStyle w:val="7"/>
        <w:spacing w:line="360" w:lineRule="auto"/>
        <w:ind w:firstLine="480" w:firstLineChars="200"/>
        <w:rPr>
          <w:rFonts w:ascii="宋体" w:hAnsi="宋体"/>
          <w:color w:val="auto"/>
          <w:sz w:val="24"/>
          <w:highlight w:val="none"/>
          <w:lang w:val="en-GB"/>
        </w:rPr>
      </w:pPr>
      <w:r>
        <w:rPr>
          <w:rFonts w:hint="eastAsia" w:ascii="宋体" w:hAnsi="宋体"/>
          <w:color w:val="auto"/>
          <w:sz w:val="24"/>
          <w:highlight w:val="none"/>
        </w:rPr>
        <w:t>2.</w:t>
      </w:r>
      <w:r>
        <w:rPr>
          <w:rFonts w:hint="eastAsia" w:ascii="宋体" w:hAnsi="宋体"/>
          <w:color w:val="auto"/>
          <w:sz w:val="24"/>
          <w:highlight w:val="none"/>
          <w:lang w:val="en-GB"/>
        </w:rPr>
        <w:t>在特殊情况下，采购人可与投标人协商延长投标文件的有效期，这种要求和答复均以书面形式进行。</w:t>
      </w:r>
    </w:p>
    <w:p>
      <w:pPr>
        <w:snapToGrid w:val="0"/>
        <w:spacing w:line="360" w:lineRule="auto"/>
        <w:ind w:firstLine="480" w:firstLineChars="200"/>
        <w:rPr>
          <w:rFonts w:asciiTheme="minorEastAsia" w:hAnsiTheme="minorEastAsia" w:eastAsiaTheme="minorEastAsia"/>
          <w:color w:val="auto"/>
          <w:sz w:val="24"/>
          <w:highlight w:val="none"/>
        </w:rPr>
      </w:pPr>
      <w:r>
        <w:rPr>
          <w:rFonts w:hint="eastAsia" w:ascii="宋体" w:hAnsi="宋体"/>
          <w:color w:val="auto"/>
          <w:sz w:val="24"/>
          <w:highlight w:val="none"/>
        </w:rPr>
        <w:t xml:space="preserve">3. </w:t>
      </w:r>
      <w:r>
        <w:rPr>
          <w:rFonts w:asciiTheme="minorEastAsia" w:hAnsiTheme="minorEastAsia" w:eastAsiaTheme="minorEastAsia"/>
          <w:color w:val="auto"/>
          <w:sz w:val="24"/>
          <w:highlight w:val="none"/>
        </w:rPr>
        <w:t>中标人的</w:t>
      </w:r>
      <w:r>
        <w:rPr>
          <w:rFonts w:hint="eastAsia" w:asciiTheme="minorEastAsia" w:hAnsiTheme="minorEastAsia" w:eastAsiaTheme="minorEastAsia"/>
          <w:color w:val="auto"/>
          <w:sz w:val="24"/>
          <w:highlight w:val="none"/>
        </w:rPr>
        <w:t>电子投标文件</w:t>
      </w:r>
      <w:r>
        <w:rPr>
          <w:rFonts w:asciiTheme="minorEastAsia" w:hAnsiTheme="minorEastAsia" w:eastAsiaTheme="minorEastAsia"/>
          <w:color w:val="auto"/>
          <w:sz w:val="24"/>
          <w:highlight w:val="none"/>
        </w:rPr>
        <w:t>自开标之日起至合同履行完毕均应保持有效。</w:t>
      </w:r>
    </w:p>
    <w:p>
      <w:pPr>
        <w:snapToGri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（四）投标文件的签署</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pPr>
        <w:pStyle w:val="7"/>
        <w:spacing w:line="360" w:lineRule="auto"/>
        <w:ind w:firstLine="480" w:firstLineChars="200"/>
        <w:rPr>
          <w:rFonts w:asciiTheme="minorEastAsia" w:hAnsiTheme="minorEastAsia" w:eastAsiaTheme="minorEastAsia"/>
          <w:bCs/>
          <w:color w:val="auto"/>
          <w:kern w:val="0"/>
          <w:sz w:val="24"/>
          <w:highlight w:val="none"/>
        </w:rPr>
      </w:pPr>
      <w:r>
        <w:rPr>
          <w:rFonts w:hint="eastAsia" w:asciiTheme="minorEastAsia" w:hAnsiTheme="minorEastAsia" w:eastAsiaTheme="minorEastAsia"/>
          <w:bCs/>
          <w:color w:val="auto"/>
          <w:kern w:val="0"/>
          <w:sz w:val="24"/>
          <w:highlight w:val="none"/>
        </w:rPr>
        <w:t>2.投标文件中所有的插字、涂改和增删，必须由法定代表人或经其正式授权的代表在旁边签字或盖章才有效。</w:t>
      </w:r>
    </w:p>
    <w:p>
      <w:pPr>
        <w:autoSpaceDE w:val="0"/>
        <w:autoSpaceDN w:val="0"/>
        <w:adjustRightInd w:val="0"/>
        <w:spacing w:line="360" w:lineRule="auto"/>
        <w:ind w:firstLine="482" w:firstLineChars="200"/>
        <w:rPr>
          <w:rFonts w:asciiTheme="minorEastAsia" w:hAnsiTheme="minorEastAsia"/>
          <w:b/>
          <w:bCs/>
          <w:color w:val="auto"/>
          <w:sz w:val="24"/>
          <w:highlight w:val="none"/>
        </w:rPr>
      </w:pPr>
      <w:r>
        <w:rPr>
          <w:rFonts w:hint="eastAsia" w:asciiTheme="minorEastAsia" w:hAnsiTheme="minorEastAsia"/>
          <w:b/>
          <w:bCs/>
          <w:color w:val="auto"/>
          <w:sz w:val="24"/>
          <w:highlight w:val="none"/>
        </w:rPr>
        <w:t>（五）</w:t>
      </w:r>
      <w:r>
        <w:rPr>
          <w:rFonts w:hint="eastAsia" w:asciiTheme="minorEastAsia" w:hAnsiTheme="minorEastAsia" w:eastAsiaTheme="minorEastAsia"/>
          <w:b/>
          <w:bCs/>
          <w:color w:val="auto"/>
          <w:sz w:val="24"/>
          <w:highlight w:val="none"/>
        </w:rPr>
        <w:t>投标文件</w:t>
      </w:r>
      <w:r>
        <w:rPr>
          <w:rFonts w:hint="eastAsia" w:asciiTheme="minorEastAsia" w:hAnsiTheme="minorEastAsia"/>
          <w:b/>
          <w:bCs/>
          <w:color w:val="auto"/>
          <w:sz w:val="24"/>
          <w:highlight w:val="none"/>
        </w:rPr>
        <w:t>的递交要求</w:t>
      </w:r>
    </w:p>
    <w:p>
      <w:pPr>
        <w:tabs>
          <w:tab w:val="left" w:pos="1418"/>
        </w:tabs>
        <w:autoSpaceDE w:val="0"/>
        <w:autoSpaceDN w:val="0"/>
        <w:adjustRightIn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ajorEastAsia" w:hAnsiTheme="majorEastAsia" w:eastAsiaTheme="majorEastAsia" w:cstheme="majorEastAsia"/>
          <w:color w:val="auto"/>
          <w:sz w:val="24"/>
          <w:highlight w:val="none"/>
        </w:rPr>
        <w:t>按照前附表要求提交，</w:t>
      </w:r>
      <w:r>
        <w:rPr>
          <w:rFonts w:hint="eastAsia" w:asciiTheme="minorEastAsia" w:hAnsiTheme="minorEastAsia" w:eastAsiaTheme="minorEastAsia"/>
          <w:color w:val="auto"/>
          <w:kern w:val="0"/>
          <w:sz w:val="24"/>
          <w:highlight w:val="none"/>
        </w:rPr>
        <w:t>如采购组织机构延长截止时间和开标时间，采购组织机构和投标人的权利和义务将受到新的截止时间和开标时间的约束。</w:t>
      </w:r>
    </w:p>
    <w:p>
      <w:pPr>
        <w:snapToGrid w:val="0"/>
        <w:spacing w:line="360" w:lineRule="auto"/>
        <w:ind w:firstLine="482" w:firstLineChars="200"/>
        <w:rPr>
          <w:rFonts w:asciiTheme="minorEastAsia" w:hAnsiTheme="minorEastAsia" w:eastAsiaTheme="minorEastAsia"/>
          <w:b/>
          <w:color w:val="auto"/>
          <w:kern w:val="0"/>
          <w:sz w:val="24"/>
          <w:highlight w:val="none"/>
        </w:rPr>
      </w:pPr>
      <w:r>
        <w:rPr>
          <w:rFonts w:hint="eastAsia" w:asciiTheme="minorEastAsia" w:hAnsiTheme="minorEastAsia" w:eastAsiaTheme="minorEastAsia"/>
          <w:b/>
          <w:color w:val="auto"/>
          <w:kern w:val="0"/>
          <w:sz w:val="24"/>
          <w:highlight w:val="none"/>
        </w:rPr>
        <w:t>五、开标</w:t>
      </w:r>
    </w:p>
    <w:p>
      <w:pPr>
        <w:autoSpaceDE w:val="0"/>
        <w:autoSpaceDN w:val="0"/>
        <w:adjustRightInd w:val="0"/>
        <w:spacing w:line="360" w:lineRule="auto"/>
        <w:ind w:firstLine="482" w:firstLineChars="200"/>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（一）开</w:t>
      </w:r>
      <w:r>
        <w:rPr>
          <w:rFonts w:hint="eastAsia" w:asciiTheme="minorEastAsia" w:hAnsiTheme="minorEastAsia" w:eastAsiaTheme="minorEastAsia"/>
          <w:b/>
          <w:color w:val="auto"/>
          <w:sz w:val="24"/>
          <w:highlight w:val="none"/>
        </w:rPr>
        <w:t>标</w:t>
      </w:r>
      <w:r>
        <w:rPr>
          <w:rFonts w:asciiTheme="minorEastAsia" w:hAnsiTheme="minorEastAsia" w:eastAsiaTheme="minorEastAsia"/>
          <w:b/>
          <w:color w:val="auto"/>
          <w:sz w:val="24"/>
          <w:highlight w:val="none"/>
        </w:rPr>
        <w:t>程序</w:t>
      </w:r>
    </w:p>
    <w:p>
      <w:pPr>
        <w:pStyle w:val="7"/>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1.开标时间到后，主持人准时组织开标；</w:t>
      </w:r>
    </w:p>
    <w:p>
      <w:pPr>
        <w:pStyle w:val="7"/>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2.宣布开标纪律；</w:t>
      </w:r>
    </w:p>
    <w:p>
      <w:pPr>
        <w:pStyle w:val="7"/>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3.宣布采购组织机构工作人员；</w:t>
      </w:r>
    </w:p>
    <w:p>
      <w:pPr>
        <w:pStyle w:val="7"/>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4.投标人登录政采云平台，用“项目采购-开标评标”功能对电子投标文件进行在线解密，在线解密时间为开标时间起半个小时内；</w:t>
      </w:r>
    </w:p>
    <w:p>
      <w:pPr>
        <w:pStyle w:val="7"/>
        <w:spacing w:line="360" w:lineRule="auto"/>
        <w:ind w:firstLine="480" w:firstLineChars="200"/>
        <w:rPr>
          <w:color w:val="auto"/>
          <w:sz w:val="24"/>
          <w:szCs w:val="22"/>
          <w:highlight w:val="none"/>
        </w:rPr>
      </w:pPr>
      <w:r>
        <w:rPr>
          <w:rFonts w:hint="eastAsia" w:cs="宋体" w:asciiTheme="minorEastAsia" w:hAnsiTheme="minorEastAsia" w:eastAsiaTheme="minorEastAsia"/>
          <w:color w:val="auto"/>
          <w:sz w:val="24"/>
          <w:szCs w:val="24"/>
          <w:highlight w:val="none"/>
        </w:rPr>
        <w:t>5.</w:t>
      </w:r>
      <w:r>
        <w:rPr>
          <w:rFonts w:hint="eastAsia" w:asciiTheme="minorEastAsia" w:hAnsiTheme="minorEastAsia" w:eastAsiaTheme="minorEastAsia"/>
          <w:color w:val="auto"/>
          <w:sz w:val="24"/>
          <w:szCs w:val="24"/>
          <w:highlight w:val="none"/>
        </w:rPr>
        <w:t>采购组织机构</w:t>
      </w:r>
      <w:r>
        <w:rPr>
          <w:rFonts w:hint="eastAsia"/>
          <w:color w:val="auto"/>
          <w:sz w:val="24"/>
          <w:szCs w:val="22"/>
          <w:highlight w:val="none"/>
        </w:rPr>
        <w:t>工作人员当众宣布投标人名称、投标价格和招标文件规定的需要宣布的其他内容；（以开标一览表要求为准）</w:t>
      </w:r>
    </w:p>
    <w:p>
      <w:pPr>
        <w:pStyle w:val="7"/>
        <w:spacing w:line="360" w:lineRule="auto"/>
        <w:ind w:firstLine="480" w:firstLineChars="200"/>
        <w:rPr>
          <w:rFonts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6.公布开标结果。</w:t>
      </w:r>
    </w:p>
    <w:p>
      <w:pPr>
        <w:pStyle w:val="7"/>
        <w:spacing w:line="360" w:lineRule="auto"/>
        <w:ind w:firstLine="482" w:firstLineChars="200"/>
        <w:rPr>
          <w:b/>
          <w:bCs/>
          <w:color w:val="auto"/>
          <w:sz w:val="24"/>
          <w:szCs w:val="22"/>
          <w:highlight w:val="none"/>
        </w:rPr>
      </w:pPr>
      <w:r>
        <w:rPr>
          <w:rFonts w:hint="eastAsia"/>
          <w:b/>
          <w:bCs/>
          <w:color w:val="auto"/>
          <w:sz w:val="24"/>
          <w:szCs w:val="22"/>
          <w:highlight w:val="none"/>
        </w:rPr>
        <w:t>（二）开标异议</w:t>
      </w:r>
    </w:p>
    <w:p>
      <w:pPr>
        <w:pStyle w:val="7"/>
        <w:spacing w:line="360" w:lineRule="auto"/>
        <w:ind w:firstLine="480" w:firstLineChars="200"/>
        <w:rPr>
          <w:color w:val="auto"/>
          <w:sz w:val="24"/>
          <w:szCs w:val="22"/>
          <w:highlight w:val="none"/>
        </w:rPr>
      </w:pPr>
      <w:r>
        <w:rPr>
          <w:rFonts w:hint="eastAsia"/>
          <w:color w:val="auto"/>
          <w:sz w:val="24"/>
          <w:szCs w:val="22"/>
          <w:highlight w:val="none"/>
        </w:rPr>
        <w:t>投标人代表对开标过程和开标记录有疑义，以及认为采购人、采购组织机构相关工作人员有需要回避的情形的，应当场提出询问或者回避申请，开标会议结束后不再接受相关询问、质疑或者回避申请。</w:t>
      </w:r>
    </w:p>
    <w:p>
      <w:pPr>
        <w:pStyle w:val="7"/>
        <w:spacing w:line="360" w:lineRule="auto"/>
        <w:ind w:firstLine="482" w:firstLineChars="200"/>
        <w:rPr>
          <w:color w:val="auto"/>
          <w:sz w:val="24"/>
          <w:szCs w:val="22"/>
          <w:highlight w:val="none"/>
        </w:rPr>
      </w:pPr>
      <w:r>
        <w:rPr>
          <w:rFonts w:hint="eastAsia"/>
          <w:b/>
          <w:bCs/>
          <w:color w:val="auto"/>
          <w:sz w:val="24"/>
          <w:szCs w:val="22"/>
          <w:highlight w:val="none"/>
        </w:rPr>
        <w:t>（三）</w:t>
      </w:r>
      <w:r>
        <w:rPr>
          <w:rFonts w:hint="eastAsia"/>
          <w:color w:val="auto"/>
          <w:sz w:val="24"/>
          <w:szCs w:val="22"/>
          <w:highlight w:val="none"/>
        </w:rPr>
        <w:t>投标人不足三家，不得开标。</w:t>
      </w:r>
    </w:p>
    <w:p>
      <w:pPr>
        <w:pStyle w:val="11"/>
        <w:snapToGrid w:val="0"/>
        <w:spacing w:line="360" w:lineRule="auto"/>
        <w:ind w:firstLine="482" w:firstLineChars="200"/>
        <w:rPr>
          <w:rFonts w:asciiTheme="minorEastAsia" w:hAnsiTheme="minorEastAsia"/>
          <w:b/>
          <w:color w:val="auto"/>
          <w:sz w:val="24"/>
          <w:highlight w:val="none"/>
        </w:rPr>
      </w:pPr>
      <w:r>
        <w:rPr>
          <w:rFonts w:hint="eastAsia" w:asciiTheme="minorEastAsia" w:hAnsiTheme="minorEastAsia" w:eastAsiaTheme="minorEastAsia"/>
          <w:b/>
          <w:color w:val="auto"/>
          <w:sz w:val="24"/>
          <w:highlight w:val="none"/>
        </w:rPr>
        <w:t>五、评标（详见第四章）</w:t>
      </w:r>
    </w:p>
    <w:p>
      <w:pPr>
        <w:pStyle w:val="16"/>
        <w:spacing w:before="0" w:beforeAutospacing="0" w:after="0" w:afterAutospacing="0" w:line="360" w:lineRule="auto"/>
        <w:ind w:firstLine="482" w:firstLineChars="200"/>
        <w:jc w:val="both"/>
        <w:rPr>
          <w:rFonts w:hint="default" w:asciiTheme="minorEastAsia" w:hAnsiTheme="minorEastAsia" w:eastAsiaTheme="minorEastAsia"/>
          <w:b/>
          <w:color w:val="auto"/>
          <w:highlight w:val="none"/>
        </w:rPr>
      </w:pPr>
      <w:r>
        <w:rPr>
          <w:rFonts w:asciiTheme="minorEastAsia" w:hAnsiTheme="minorEastAsia" w:eastAsiaTheme="minorEastAsia"/>
          <w:b/>
          <w:color w:val="auto"/>
          <w:highlight w:val="none"/>
        </w:rPr>
        <w:t>六、定标</w:t>
      </w:r>
    </w:p>
    <w:p>
      <w:pPr>
        <w:pStyle w:val="16"/>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（一）</w:t>
      </w:r>
      <w:r>
        <w:rPr>
          <w:color w:val="auto"/>
          <w:highlight w:val="none"/>
        </w:rPr>
        <w:t>确定中标人。</w:t>
      </w:r>
      <w:r>
        <w:rPr>
          <w:rFonts w:asciiTheme="minorEastAsia" w:hAnsiTheme="minorEastAsia" w:eastAsiaTheme="minorEastAsia"/>
          <w:color w:val="auto"/>
          <w:highlight w:val="none"/>
        </w:rPr>
        <w:t>评标委员会根据采购单位的</w:t>
      </w:r>
      <w:r>
        <w:rPr>
          <w:color w:val="auto"/>
          <w:highlight w:val="none"/>
        </w:rPr>
        <w:t>《授权意见确认书》</w:t>
      </w:r>
      <w:r>
        <w:rPr>
          <w:rFonts w:asciiTheme="minorEastAsia" w:hAnsiTheme="minorEastAsia" w:eastAsiaTheme="minorEastAsia"/>
          <w:color w:val="auto"/>
          <w:highlight w:val="none"/>
        </w:rPr>
        <w:t>，推荐中标候选人或确定中标人。其中推荐中标候选人的，采购组织机构在评标结束后2个工作日内将评标报告送采购人，采购人自收到评标报告之日起5个工作日内在评标报告推荐的中标候选人中确定中标人。</w:t>
      </w:r>
    </w:p>
    <w:p>
      <w:pPr>
        <w:spacing w:line="360" w:lineRule="auto"/>
        <w:ind w:firstLine="480" w:firstLineChars="200"/>
        <w:rPr>
          <w:rFonts w:ascii="宋体" w:hAnsi="宋体"/>
          <w:color w:val="auto"/>
          <w:kern w:val="0"/>
          <w:sz w:val="24"/>
          <w:highlight w:val="none"/>
        </w:rPr>
      </w:pPr>
      <w:r>
        <w:rPr>
          <w:rFonts w:hint="eastAsia" w:asciiTheme="minorEastAsia" w:hAnsiTheme="minorEastAsia" w:eastAsiaTheme="minorEastAsia"/>
          <w:color w:val="auto"/>
          <w:sz w:val="24"/>
          <w:highlight w:val="none"/>
        </w:rPr>
        <w:t>（二）</w:t>
      </w:r>
      <w:r>
        <w:rPr>
          <w:rFonts w:hint="eastAsia" w:ascii="宋体" w:hAnsi="宋体"/>
          <w:color w:val="auto"/>
          <w:kern w:val="0"/>
          <w:sz w:val="24"/>
          <w:highlight w:val="none"/>
        </w:rPr>
        <w:t>发布</w:t>
      </w:r>
      <w:r>
        <w:rPr>
          <w:color w:val="auto"/>
          <w:sz w:val="24"/>
          <w:highlight w:val="none"/>
        </w:rPr>
        <w:t>中标</w:t>
      </w:r>
      <w:r>
        <w:rPr>
          <w:rFonts w:hint="eastAsia" w:ascii="宋体" w:hAnsi="宋体"/>
          <w:color w:val="auto"/>
          <w:kern w:val="0"/>
          <w:sz w:val="24"/>
          <w:highlight w:val="none"/>
        </w:rPr>
        <w:t>结果公告。采购组织机构自中标人</w:t>
      </w:r>
      <w:r>
        <w:rPr>
          <w:rFonts w:ascii="宋体" w:hAnsi="宋体"/>
          <w:color w:val="auto"/>
          <w:kern w:val="0"/>
          <w:sz w:val="24"/>
          <w:highlight w:val="none"/>
        </w:rPr>
        <w:t>确定</w:t>
      </w:r>
      <w:r>
        <w:rPr>
          <w:rFonts w:hint="eastAsia" w:ascii="宋体" w:hAnsi="宋体"/>
          <w:color w:val="auto"/>
          <w:kern w:val="0"/>
          <w:sz w:val="24"/>
          <w:highlight w:val="none"/>
        </w:rPr>
        <w:t>之日起</w:t>
      </w:r>
      <w:r>
        <w:rPr>
          <w:rFonts w:ascii="宋体" w:hAnsi="宋体"/>
          <w:color w:val="auto"/>
          <w:kern w:val="0"/>
          <w:sz w:val="24"/>
          <w:highlight w:val="none"/>
        </w:rPr>
        <w:t>2个工作日内</w:t>
      </w:r>
      <w:r>
        <w:rPr>
          <w:rFonts w:hint="eastAsia" w:ascii="宋体" w:hAnsi="宋体"/>
          <w:color w:val="auto"/>
          <w:kern w:val="0"/>
          <w:sz w:val="24"/>
          <w:highlight w:val="none"/>
        </w:rPr>
        <w:t>，</w:t>
      </w:r>
      <w:r>
        <w:rPr>
          <w:rFonts w:ascii="宋体" w:hAnsi="宋体"/>
          <w:color w:val="auto"/>
          <w:kern w:val="0"/>
          <w:sz w:val="24"/>
          <w:highlight w:val="none"/>
        </w:rPr>
        <w:t>在</w:t>
      </w:r>
      <w:r>
        <w:rPr>
          <w:rFonts w:hint="eastAsia" w:ascii="宋体" w:hAnsi="宋体"/>
          <w:color w:val="auto"/>
          <w:kern w:val="0"/>
          <w:sz w:val="24"/>
          <w:highlight w:val="none"/>
        </w:rPr>
        <w:t>浙江</w:t>
      </w:r>
      <w:r>
        <w:rPr>
          <w:rFonts w:ascii="宋体" w:hAnsi="宋体"/>
          <w:color w:val="auto"/>
          <w:kern w:val="0"/>
          <w:sz w:val="24"/>
          <w:highlight w:val="none"/>
        </w:rPr>
        <w:t>省</w:t>
      </w:r>
      <w:r>
        <w:rPr>
          <w:rFonts w:hint="eastAsia" w:ascii="宋体" w:hAnsi="宋体"/>
          <w:color w:val="auto"/>
          <w:kern w:val="0"/>
          <w:sz w:val="24"/>
          <w:highlight w:val="none"/>
        </w:rPr>
        <w:t>政府采购</w:t>
      </w:r>
      <w:r>
        <w:rPr>
          <w:rFonts w:ascii="宋体" w:hAnsi="宋体"/>
          <w:color w:val="auto"/>
          <w:kern w:val="0"/>
          <w:sz w:val="24"/>
          <w:highlight w:val="none"/>
        </w:rPr>
        <w:t>网</w:t>
      </w:r>
      <w:r>
        <w:rPr>
          <w:rFonts w:hint="eastAsia" w:ascii="宋体" w:hAnsi="宋体"/>
          <w:color w:val="auto"/>
          <w:kern w:val="0"/>
          <w:sz w:val="24"/>
          <w:highlight w:val="none"/>
        </w:rPr>
        <w:t>和台州市公共资源交易网上</w:t>
      </w:r>
      <w:r>
        <w:rPr>
          <w:rFonts w:ascii="宋体" w:hAnsi="宋体"/>
          <w:color w:val="auto"/>
          <w:kern w:val="0"/>
          <w:sz w:val="24"/>
          <w:highlight w:val="none"/>
        </w:rPr>
        <w:t>公告</w:t>
      </w:r>
      <w:r>
        <w:rPr>
          <w:rFonts w:hint="eastAsia" w:ascii="宋体" w:hAnsi="宋体"/>
          <w:color w:val="auto"/>
          <w:kern w:val="0"/>
          <w:sz w:val="24"/>
          <w:highlight w:val="none"/>
        </w:rPr>
        <w:t>中标结果，</w:t>
      </w:r>
      <w:r>
        <w:rPr>
          <w:color w:val="auto"/>
          <w:sz w:val="24"/>
          <w:highlight w:val="none"/>
        </w:rPr>
        <w:t>中标结果公告期为 1 个工作日</w:t>
      </w:r>
      <w:r>
        <w:rPr>
          <w:rFonts w:hint="eastAsia" w:ascii="宋体" w:hAnsi="宋体"/>
          <w:color w:val="auto"/>
          <w:kern w:val="0"/>
          <w:sz w:val="24"/>
          <w:highlight w:val="none"/>
        </w:rPr>
        <w:t>。</w:t>
      </w:r>
    </w:p>
    <w:p>
      <w:pPr>
        <w:pStyle w:val="8"/>
        <w:spacing w:line="360" w:lineRule="auto"/>
        <w:ind w:firstLine="480" w:firstLineChars="200"/>
        <w:jc w:val="both"/>
        <w:rPr>
          <w:color w:val="auto"/>
          <w:highlight w:val="none"/>
        </w:rPr>
      </w:pPr>
      <w:r>
        <w:rPr>
          <w:rFonts w:hint="eastAsia" w:ascii="宋体" w:hAnsi="宋体"/>
          <w:color w:val="auto"/>
          <w:kern w:val="0"/>
          <w:sz w:val="24"/>
          <w:highlight w:val="none"/>
        </w:rPr>
        <w:t>（三）</w:t>
      </w:r>
      <w:r>
        <w:rPr>
          <w:rFonts w:hint="eastAsia"/>
          <w:color w:val="auto"/>
          <w:sz w:val="24"/>
          <w:highlight w:val="none"/>
        </w:rPr>
        <w:t>发放中标通知书</w:t>
      </w:r>
      <w:r>
        <w:rPr>
          <w:rFonts w:hint="eastAsia" w:ascii="宋体" w:hAnsi="宋体"/>
          <w:color w:val="auto"/>
          <w:kern w:val="0"/>
          <w:sz w:val="24"/>
          <w:highlight w:val="none"/>
        </w:rPr>
        <w:t>。采购组织机构在发布中标结果公告的同时，</w:t>
      </w:r>
      <w:r>
        <w:rPr>
          <w:rFonts w:hint="eastAsia"/>
          <w:color w:val="auto"/>
          <w:sz w:val="24"/>
          <w:highlight w:val="none"/>
        </w:rPr>
        <w:t>通过政采云平台</w:t>
      </w:r>
      <w:r>
        <w:rPr>
          <w:rFonts w:hint="eastAsia" w:ascii="宋体" w:hAnsi="宋体"/>
          <w:color w:val="auto"/>
          <w:kern w:val="0"/>
          <w:sz w:val="24"/>
          <w:highlight w:val="none"/>
        </w:rPr>
        <w:t>向中标人发出中标通知书。</w:t>
      </w:r>
    </w:p>
    <w:p>
      <w:pPr>
        <w:spacing w:line="360" w:lineRule="auto"/>
        <w:ind w:firstLine="482" w:firstLineChars="200"/>
        <w:rPr>
          <w:rFonts w:ascii="宋体" w:hAnsi="宋体"/>
          <w:color w:val="auto"/>
          <w:kern w:val="0"/>
          <w:sz w:val="24"/>
          <w:highlight w:val="none"/>
        </w:rPr>
      </w:pPr>
      <w:r>
        <w:rPr>
          <w:rFonts w:hint="eastAsia" w:asciiTheme="minorEastAsia" w:hAnsiTheme="minorEastAsia" w:eastAsiaTheme="minorEastAsia"/>
          <w:b/>
          <w:color w:val="auto"/>
          <w:sz w:val="24"/>
          <w:highlight w:val="none"/>
        </w:rPr>
        <w:t>七</w:t>
      </w:r>
      <w:r>
        <w:rPr>
          <w:rFonts w:asciiTheme="minorEastAsia" w:hAnsiTheme="minorEastAsia" w:eastAsiaTheme="minorEastAsia"/>
          <w:b/>
          <w:color w:val="auto"/>
          <w:sz w:val="24"/>
          <w:highlight w:val="none"/>
        </w:rPr>
        <w:t>、</w:t>
      </w:r>
      <w:r>
        <w:rPr>
          <w:rFonts w:hint="eastAsia" w:ascii="宋体" w:hAnsi="宋体"/>
          <w:b/>
          <w:color w:val="auto"/>
          <w:kern w:val="0"/>
          <w:sz w:val="24"/>
          <w:highlight w:val="none"/>
        </w:rPr>
        <w:t>合同签订及公告</w:t>
      </w:r>
    </w:p>
    <w:p>
      <w:pPr>
        <w:spacing w:line="360" w:lineRule="auto"/>
        <w:ind w:firstLine="482" w:firstLineChars="200"/>
        <w:rPr>
          <w:rFonts w:ascii="宋体" w:hAnsi="宋体"/>
          <w:b/>
          <w:color w:val="auto"/>
          <w:kern w:val="0"/>
          <w:sz w:val="24"/>
          <w:highlight w:val="none"/>
        </w:rPr>
      </w:pPr>
      <w:r>
        <w:rPr>
          <w:rFonts w:hint="eastAsia" w:ascii="宋体" w:hAnsi="宋体"/>
          <w:b/>
          <w:color w:val="auto"/>
          <w:sz w:val="24"/>
          <w:highlight w:val="none"/>
        </w:rPr>
        <w:t>（一）签订合同</w:t>
      </w:r>
    </w:p>
    <w:p>
      <w:pPr>
        <w:pStyle w:val="16"/>
        <w:spacing w:before="0" w:beforeAutospacing="0" w:after="0" w:afterAutospacing="0" w:line="360" w:lineRule="auto"/>
        <w:ind w:firstLine="480" w:firstLineChars="200"/>
        <w:jc w:val="both"/>
        <w:rPr>
          <w:rFonts w:hint="default"/>
          <w:color w:val="auto"/>
          <w:highlight w:val="none"/>
        </w:rPr>
      </w:pPr>
      <w:r>
        <w:rPr>
          <w:color w:val="auto"/>
          <w:highlight w:val="none"/>
        </w:rPr>
        <w:t>1.采购人应当自中标通知书发出之日起30日内，按照招标文件和中标人投标文件内容要求，与中标人签订书面合同或者电子合同。所签订的合同不得对招标文件确定的事项和中标人电子投标文件作实质性修改。</w:t>
      </w:r>
    </w:p>
    <w:p>
      <w:pPr>
        <w:pStyle w:val="16"/>
        <w:spacing w:before="0" w:beforeAutospacing="0" w:after="0" w:afterAutospacing="0" w:line="360" w:lineRule="auto"/>
        <w:ind w:firstLine="480" w:firstLineChars="200"/>
        <w:jc w:val="both"/>
        <w:rPr>
          <w:rFonts w:hint="default"/>
          <w:color w:val="auto"/>
          <w:highlight w:val="none"/>
        </w:rPr>
      </w:pPr>
      <w:r>
        <w:rPr>
          <w:color w:val="auto"/>
          <w:highlight w:val="none"/>
        </w:rPr>
        <w:t>2.采购人不得向中标人提出任何不合理的要求作为签订合同的条件。</w:t>
      </w:r>
    </w:p>
    <w:p>
      <w:pPr>
        <w:pStyle w:val="16"/>
        <w:spacing w:before="0" w:beforeAutospacing="0" w:after="0" w:afterAutospacing="0" w:line="360" w:lineRule="auto"/>
        <w:ind w:firstLine="480" w:firstLineChars="200"/>
        <w:jc w:val="both"/>
        <w:rPr>
          <w:rFonts w:hint="default"/>
          <w:color w:val="auto"/>
          <w:highlight w:val="none"/>
        </w:rPr>
      </w:pPr>
      <w:r>
        <w:rPr>
          <w:color w:val="auto"/>
          <w:highlight w:val="none"/>
        </w:rPr>
        <w:t>3.中标人无故拖延、拒签合同的,将取消中标资格。</w:t>
      </w:r>
    </w:p>
    <w:p>
      <w:pPr>
        <w:pStyle w:val="16"/>
        <w:spacing w:before="0" w:beforeAutospacing="0" w:after="0" w:afterAutospacing="0" w:line="360" w:lineRule="auto"/>
        <w:ind w:firstLine="480" w:firstLineChars="200"/>
        <w:jc w:val="both"/>
        <w:rPr>
          <w:rFonts w:hint="default"/>
          <w:color w:val="auto"/>
          <w:highlight w:val="none"/>
        </w:rPr>
      </w:pPr>
      <w:r>
        <w:rPr>
          <w:color w:val="auto"/>
          <w:highlight w:val="none"/>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16"/>
        <w:spacing w:before="0" w:beforeAutospacing="0" w:after="0" w:afterAutospacing="0" w:line="360" w:lineRule="auto"/>
        <w:ind w:firstLine="480" w:firstLineChars="200"/>
        <w:jc w:val="both"/>
        <w:rPr>
          <w:rFonts w:hint="default"/>
          <w:color w:val="auto"/>
          <w:highlight w:val="none"/>
        </w:rPr>
      </w:pPr>
      <w:r>
        <w:rPr>
          <w:color w:val="auto"/>
          <w:highlight w:val="none"/>
        </w:rPr>
        <w:t>5.询问或者质疑事项可能影响中标结果的，采购人应当暂停签订合同，已经签订合同的，应当中止履行合同。</w:t>
      </w:r>
    </w:p>
    <w:p>
      <w:pPr>
        <w:pStyle w:val="16"/>
        <w:spacing w:before="0" w:beforeAutospacing="0" w:after="0" w:afterAutospacing="0" w:line="360" w:lineRule="auto"/>
        <w:ind w:firstLine="482" w:firstLineChars="200"/>
        <w:jc w:val="both"/>
        <w:rPr>
          <w:rFonts w:hint="default" w:cs="仿宋_GB2312"/>
          <w:b/>
          <w:color w:val="auto"/>
          <w:highlight w:val="none"/>
        </w:rPr>
      </w:pPr>
      <w:r>
        <w:rPr>
          <w:b/>
          <w:color w:val="auto"/>
          <w:highlight w:val="none"/>
        </w:rPr>
        <w:t>（二）合同公告及备案</w:t>
      </w:r>
    </w:p>
    <w:p>
      <w:pPr>
        <w:pStyle w:val="10"/>
        <w:spacing w:after="0" w:line="360" w:lineRule="auto"/>
        <w:ind w:left="0" w:leftChars="0" w:firstLine="480" w:firstLineChars="200"/>
        <w:rPr>
          <w:rFonts w:ascii="宋体" w:hAnsi="宋体"/>
          <w:color w:val="auto"/>
          <w:sz w:val="24"/>
          <w:highlight w:val="none"/>
        </w:rPr>
      </w:pPr>
      <w:r>
        <w:rPr>
          <w:rFonts w:hint="eastAsia" w:ascii="宋体" w:hAnsi="宋体"/>
          <w:color w:val="auto"/>
          <w:sz w:val="24"/>
          <w:highlight w:val="none"/>
        </w:rPr>
        <w:t>1.采购人应当自合同签订之日起2个工作日内，</w:t>
      </w:r>
      <w:r>
        <w:rPr>
          <w:rFonts w:ascii="宋体" w:hAnsi="宋体"/>
          <w:color w:val="auto"/>
          <w:kern w:val="0"/>
          <w:sz w:val="24"/>
          <w:highlight w:val="none"/>
        </w:rPr>
        <w:t>在省级以上财政部门指定的</w:t>
      </w:r>
      <w:r>
        <w:rPr>
          <w:rFonts w:hint="eastAsia" w:ascii="宋体" w:hAnsi="宋体"/>
          <w:color w:val="auto"/>
          <w:kern w:val="0"/>
          <w:sz w:val="24"/>
          <w:highlight w:val="none"/>
        </w:rPr>
        <w:t>政府采购信息发布</w:t>
      </w:r>
      <w:r>
        <w:rPr>
          <w:rFonts w:ascii="宋体" w:hAnsi="宋体"/>
          <w:color w:val="auto"/>
          <w:kern w:val="0"/>
          <w:sz w:val="24"/>
          <w:highlight w:val="none"/>
        </w:rPr>
        <w:t>媒体及相关网站</w:t>
      </w:r>
      <w:r>
        <w:rPr>
          <w:rFonts w:hint="eastAsia" w:ascii="宋体" w:hAnsi="宋体"/>
          <w:color w:val="auto"/>
          <w:kern w:val="0"/>
          <w:sz w:val="24"/>
          <w:highlight w:val="none"/>
        </w:rPr>
        <w:t>上</w:t>
      </w:r>
      <w:r>
        <w:rPr>
          <w:rFonts w:ascii="宋体" w:hAnsi="宋体"/>
          <w:color w:val="auto"/>
          <w:kern w:val="0"/>
          <w:sz w:val="24"/>
          <w:highlight w:val="none"/>
        </w:rPr>
        <w:t>公告</w:t>
      </w:r>
      <w:r>
        <w:rPr>
          <w:rFonts w:hint="eastAsia" w:ascii="宋体" w:hAnsi="宋体"/>
          <w:color w:val="auto"/>
          <w:sz w:val="24"/>
          <w:highlight w:val="none"/>
        </w:rPr>
        <w:t>。</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2.采购人应当自合同签订之日起7个工作日内，</w:t>
      </w:r>
      <w:r>
        <w:rPr>
          <w:rFonts w:hint="eastAsia"/>
          <w:color w:val="auto"/>
          <w:sz w:val="24"/>
          <w:highlight w:val="none"/>
        </w:rPr>
        <w:t>将合同通过政采云</w:t>
      </w:r>
      <w:r>
        <w:rPr>
          <w:rFonts w:hint="eastAsia"/>
          <w:color w:val="auto"/>
          <w:sz w:val="24"/>
          <w:highlight w:val="none"/>
          <w:lang w:eastAsia="zh-CN"/>
        </w:rPr>
        <w:t>平台</w:t>
      </w:r>
      <w:r>
        <w:rPr>
          <w:rFonts w:hint="eastAsia"/>
          <w:color w:val="auto"/>
          <w:sz w:val="24"/>
          <w:highlight w:val="none"/>
        </w:rPr>
        <w:t>提交至</w:t>
      </w:r>
      <w:r>
        <w:rPr>
          <w:rFonts w:hint="eastAsia" w:ascii="宋体" w:hAnsi="宋体"/>
          <w:color w:val="auto"/>
          <w:sz w:val="24"/>
          <w:highlight w:val="none"/>
        </w:rPr>
        <w:t>同级人民政府财政部门备案存档。</w:t>
      </w:r>
    </w:p>
    <w:p>
      <w:pPr>
        <w:pStyle w:val="8"/>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八、询问、质疑与投诉</w:t>
      </w:r>
    </w:p>
    <w:p>
      <w:pPr>
        <w:pStyle w:val="8"/>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（一）询问</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w:t>
      </w:r>
      <w:r>
        <w:rPr>
          <w:rFonts w:hint="eastAsia" w:ascii="宋体" w:hAnsi="宋体"/>
          <w:color w:val="auto"/>
          <w:sz w:val="24"/>
          <w:highlight w:val="none"/>
          <w:lang w:eastAsia="zh-CN"/>
        </w:rPr>
        <w:t>“</w:t>
      </w:r>
      <w:r>
        <w:rPr>
          <w:rFonts w:hint="eastAsia" w:ascii="宋体" w:hAnsi="宋体"/>
          <w:color w:val="auto"/>
          <w:sz w:val="24"/>
          <w:highlight w:val="none"/>
        </w:rPr>
        <w:t>投标邀请</w:t>
      </w:r>
      <w:r>
        <w:rPr>
          <w:rFonts w:hint="eastAsia" w:ascii="宋体" w:hAnsi="宋体"/>
          <w:color w:val="auto"/>
          <w:sz w:val="24"/>
          <w:highlight w:val="none"/>
          <w:lang w:eastAsia="zh-CN"/>
        </w:rPr>
        <w:t>”</w:t>
      </w:r>
      <w:r>
        <w:rPr>
          <w:rFonts w:hint="eastAsia" w:ascii="宋体" w:hAnsi="宋体"/>
          <w:color w:val="auto"/>
          <w:sz w:val="24"/>
          <w:highlight w:val="none"/>
        </w:rPr>
        <w:t>中“采购人、采购组织机构的名称、地址和联系方式”。</w:t>
      </w:r>
    </w:p>
    <w:p>
      <w:pPr>
        <w:pStyle w:val="8"/>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（二）质疑</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1.报名本项目的投标人认为招标文件、采购过程和中标结果使自己的权益受到损害的，以书面形式或政采云</w:t>
      </w:r>
      <w:r>
        <w:rPr>
          <w:rFonts w:hint="eastAsia" w:ascii="宋体" w:hAnsi="宋体"/>
          <w:color w:val="auto"/>
          <w:sz w:val="24"/>
          <w:highlight w:val="none"/>
          <w:lang w:eastAsia="zh-CN"/>
        </w:rPr>
        <w:t>平台的</w:t>
      </w:r>
      <w:r>
        <w:rPr>
          <w:rFonts w:hint="eastAsia" w:ascii="宋体" w:hAnsi="宋体"/>
          <w:color w:val="auto"/>
          <w:sz w:val="24"/>
          <w:highlight w:val="none"/>
        </w:rPr>
        <w:t>质疑系统一次性向采购人或采购组织机构提出质疑：</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（1）投标人认为招标文件的内容损害其权益的，应当自获取之日起（获取截止日之后收到招标文件的，以获取截止日为准）7个工作日内提出质疑；</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（2）投标人对采购过程提出质疑的，应当在各采购程序环节结束之日起7个工作日内提出质疑；</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（3）投标人对中标结果提出质疑的，应当在中标结果公告期限届满之日起7个工作日内提出质疑；</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2.采购人或采购组织机构在收到投标人的书面质疑后7个工作日内作出答复，并以书面形式或政采云</w:t>
      </w:r>
      <w:r>
        <w:rPr>
          <w:rFonts w:hint="eastAsia" w:ascii="宋体" w:hAnsi="宋体"/>
          <w:color w:val="auto"/>
          <w:sz w:val="24"/>
          <w:highlight w:val="none"/>
          <w:lang w:eastAsia="zh-CN"/>
        </w:rPr>
        <w:t>平台</w:t>
      </w:r>
      <w:r>
        <w:rPr>
          <w:rFonts w:hint="eastAsia" w:ascii="宋体" w:hAnsi="宋体"/>
          <w:color w:val="auto"/>
          <w:sz w:val="24"/>
          <w:highlight w:val="none"/>
        </w:rPr>
        <w:t>回复质疑投标人和其他有关投标人，但答复内容不涉及商业秘密。</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8"/>
        <w:spacing w:line="360" w:lineRule="auto"/>
        <w:ind w:firstLine="482" w:firstLineChars="200"/>
        <w:jc w:val="both"/>
        <w:rPr>
          <w:rFonts w:ascii="宋体" w:hAnsi="宋体"/>
          <w:b/>
          <w:bCs/>
          <w:color w:val="auto"/>
          <w:sz w:val="24"/>
          <w:highlight w:val="none"/>
        </w:rPr>
      </w:pPr>
      <w:r>
        <w:rPr>
          <w:rFonts w:hint="eastAsia" w:ascii="宋体" w:hAnsi="宋体"/>
          <w:b/>
          <w:bCs/>
          <w:color w:val="auto"/>
          <w:sz w:val="24"/>
          <w:highlight w:val="none"/>
        </w:rPr>
        <w:t>（三）投诉</w:t>
      </w:r>
    </w:p>
    <w:p>
      <w:pPr>
        <w:pStyle w:val="8"/>
        <w:spacing w:line="360" w:lineRule="auto"/>
        <w:ind w:firstLine="480" w:firstLineChars="200"/>
        <w:jc w:val="both"/>
        <w:rPr>
          <w:rFonts w:ascii="宋体" w:hAnsi="宋体"/>
          <w:color w:val="auto"/>
          <w:sz w:val="24"/>
          <w:highlight w:val="none"/>
        </w:rPr>
      </w:pPr>
      <w:r>
        <w:rPr>
          <w:rFonts w:hint="eastAsia" w:ascii="宋体" w:hAnsi="宋体"/>
          <w:color w:val="auto"/>
          <w:sz w:val="24"/>
          <w:highlight w:val="none"/>
        </w:rPr>
        <w:t>投标人对采购人或采购组织机构的质疑答复不满意或在规定时间内未得到答复的，可以在答复期满后15个工作日内，向同级政府采购监督管理机构投诉。</w:t>
      </w:r>
    </w:p>
    <w:p>
      <w:pPr>
        <w:pStyle w:val="8"/>
        <w:spacing w:line="360" w:lineRule="auto"/>
        <w:ind w:firstLine="480" w:firstLineChars="200"/>
        <w:jc w:val="both"/>
        <w:rPr>
          <w:rFonts w:asciiTheme="minorEastAsia" w:hAnsiTheme="minorEastAsia" w:eastAsiaTheme="minorEastAsia"/>
          <w:b/>
          <w:color w:val="auto"/>
          <w:sz w:val="36"/>
          <w:szCs w:val="36"/>
          <w:highlight w:val="none"/>
        </w:rPr>
      </w:pPr>
      <w:r>
        <w:rPr>
          <w:rFonts w:hint="eastAsia" w:ascii="宋体" w:hAnsi="宋体"/>
          <w:color w:val="auto"/>
          <w:sz w:val="24"/>
          <w:highlight w:val="none"/>
        </w:rPr>
        <w:br w:type="page"/>
      </w:r>
    </w:p>
    <w:p>
      <w:pPr>
        <w:numPr>
          <w:ilvl w:val="0"/>
          <w:numId w:val="4"/>
        </w:numPr>
        <w:spacing w:line="360" w:lineRule="auto"/>
        <w:jc w:val="center"/>
        <w:rPr>
          <w:rFonts w:asciiTheme="minorEastAsia" w:hAnsiTheme="minorEastAsia" w:eastAsiaTheme="minorEastAsia"/>
          <w:b/>
          <w:color w:val="auto"/>
          <w:sz w:val="36"/>
          <w:szCs w:val="36"/>
          <w:highlight w:val="none"/>
        </w:rPr>
      </w:pPr>
      <w:bookmarkStart w:id="34" w:name="_Toc13072_WPSOffice_Level1"/>
      <w:r>
        <w:rPr>
          <w:rFonts w:hint="eastAsia" w:asciiTheme="minorEastAsia" w:hAnsiTheme="minorEastAsia" w:eastAsiaTheme="minorEastAsia"/>
          <w:b/>
          <w:color w:val="auto"/>
          <w:sz w:val="36"/>
          <w:szCs w:val="36"/>
          <w:highlight w:val="none"/>
        </w:rPr>
        <w:t>招标需求</w:t>
      </w:r>
      <w:bookmarkEnd w:id="34"/>
    </w:p>
    <w:p>
      <w:pPr>
        <w:snapToGrid w:val="0"/>
        <w:spacing w:before="156" w:beforeLines="50" w:after="156" w:afterLines="50" w:line="360" w:lineRule="auto"/>
        <w:rPr>
          <w:rFonts w:ascii="宋体" w:hAnsi="宋体"/>
          <w:b/>
          <w:color w:val="auto"/>
          <w:sz w:val="36"/>
          <w:szCs w:val="36"/>
          <w:highlight w:val="none"/>
        </w:rPr>
      </w:pPr>
      <w:r>
        <w:rPr>
          <w:rFonts w:hint="eastAsia" w:ascii="宋体" w:hAnsi="宋体"/>
          <w:b/>
          <w:color w:val="auto"/>
          <w:sz w:val="28"/>
          <w:highlight w:val="none"/>
        </w:rPr>
        <w:t>一</w:t>
      </w:r>
      <w:r>
        <w:rPr>
          <w:rFonts w:ascii="宋体" w:hAnsi="宋体"/>
          <w:b/>
          <w:color w:val="auto"/>
          <w:sz w:val="28"/>
          <w:highlight w:val="none"/>
        </w:rPr>
        <w:t>、</w:t>
      </w:r>
      <w:r>
        <w:rPr>
          <w:rFonts w:hint="eastAsia" w:ascii="宋体" w:hAnsi="宋体"/>
          <w:b/>
          <w:color w:val="auto"/>
          <w:sz w:val="28"/>
          <w:highlight w:val="none"/>
        </w:rPr>
        <w:t>招标项目一览表</w:t>
      </w:r>
    </w:p>
    <w:p>
      <w:pPr>
        <w:snapToGrid w:val="0"/>
        <w:spacing w:before="156" w:beforeLines="50" w:after="156" w:afterLines="50"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本次招标共</w:t>
      </w:r>
      <w:r>
        <w:rPr>
          <w:rFonts w:hint="eastAsia" w:asciiTheme="minorEastAsia" w:hAnsiTheme="minorEastAsia" w:eastAsiaTheme="minorEastAsia" w:cstheme="minorEastAsia"/>
          <w:color w:val="auto"/>
          <w:sz w:val="24"/>
          <w:szCs w:val="24"/>
          <w:highlight w:val="none"/>
          <w:u w:val="single"/>
        </w:rPr>
        <w:t xml:space="preserve"> 一 </w:t>
      </w:r>
      <w:r>
        <w:rPr>
          <w:rFonts w:hint="eastAsia" w:asciiTheme="minorEastAsia" w:hAnsiTheme="minorEastAsia" w:eastAsiaTheme="minorEastAsia" w:cstheme="minorEastAsia"/>
          <w:color w:val="auto"/>
          <w:sz w:val="24"/>
          <w:szCs w:val="24"/>
          <w:highlight w:val="none"/>
        </w:rPr>
        <w:t>个标段，具体内容如下表：</w:t>
      </w:r>
    </w:p>
    <w:tbl>
      <w:tblPr>
        <w:tblStyle w:val="19"/>
        <w:tblW w:w="9700"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933"/>
        <w:gridCol w:w="996"/>
        <w:gridCol w:w="777"/>
        <w:gridCol w:w="764"/>
        <w:gridCol w:w="1086"/>
        <w:gridCol w:w="1170"/>
        <w:gridCol w:w="894"/>
        <w:gridCol w:w="1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trPr>
        <w:tc>
          <w:tcPr>
            <w:tcW w:w="716"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标段号</w:t>
            </w:r>
          </w:p>
        </w:tc>
        <w:tc>
          <w:tcPr>
            <w:tcW w:w="1933" w:type="dxa"/>
            <w:noWrap w:val="0"/>
            <w:vAlign w:val="center"/>
          </w:tcPr>
          <w:p>
            <w:pPr>
              <w:tabs>
                <w:tab w:val="left" w:pos="8280"/>
              </w:tabs>
              <w:autoSpaceDE w:val="0"/>
              <w:autoSpaceDN w:val="0"/>
              <w:adjustRightInd w:val="0"/>
              <w:spacing w:line="360" w:lineRule="auto"/>
              <w:ind w:right="25" w:firstLine="120" w:firstLineChars="50"/>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eastAsia="zh-CN"/>
              </w:rPr>
              <w:t>项目</w:t>
            </w:r>
            <w:r>
              <w:rPr>
                <w:rFonts w:hint="eastAsia" w:asciiTheme="minorEastAsia" w:hAnsiTheme="minorEastAsia" w:eastAsiaTheme="minorEastAsia" w:cstheme="minorEastAsia"/>
                <w:b/>
                <w:color w:val="auto"/>
                <w:sz w:val="24"/>
                <w:szCs w:val="24"/>
                <w:highlight w:val="none"/>
              </w:rPr>
              <w:t>名称</w:t>
            </w:r>
          </w:p>
        </w:tc>
        <w:tc>
          <w:tcPr>
            <w:tcW w:w="996"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规格</w:t>
            </w:r>
          </w:p>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型号</w:t>
            </w:r>
          </w:p>
        </w:tc>
        <w:tc>
          <w:tcPr>
            <w:tcW w:w="777"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数量</w:t>
            </w:r>
          </w:p>
        </w:tc>
        <w:tc>
          <w:tcPr>
            <w:tcW w:w="764"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单位</w:t>
            </w:r>
          </w:p>
        </w:tc>
        <w:tc>
          <w:tcPr>
            <w:tcW w:w="1086"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预算</w:t>
            </w:r>
          </w:p>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（万元）</w:t>
            </w:r>
          </w:p>
        </w:tc>
        <w:tc>
          <w:tcPr>
            <w:tcW w:w="1170" w:type="dxa"/>
            <w:noWrap w:val="0"/>
            <w:vAlign w:val="center"/>
          </w:tcPr>
          <w:p>
            <w:pPr>
              <w:tabs>
                <w:tab w:val="left" w:pos="8280"/>
              </w:tabs>
              <w:autoSpaceDE w:val="0"/>
              <w:autoSpaceDN w:val="0"/>
              <w:adjustRightInd w:val="0"/>
              <w:spacing w:line="360" w:lineRule="auto"/>
              <w:ind w:right="25" w:rightChars="0"/>
              <w:jc w:val="center"/>
              <w:rPr>
                <w:rFonts w:hint="eastAsia" w:asciiTheme="minorEastAsia" w:hAnsiTheme="minorEastAsia" w:eastAsiaTheme="minorEastAsia" w:cstheme="minorEastAsia"/>
                <w:b/>
                <w:color w:val="auto"/>
                <w:sz w:val="24"/>
                <w:szCs w:val="24"/>
                <w:highlight w:val="none"/>
              </w:rPr>
            </w:pPr>
            <w:r>
              <w:rPr>
                <w:rFonts w:hint="eastAsia" w:ascii="宋体" w:hAnsi="宋体"/>
                <w:b/>
                <w:color w:val="auto"/>
                <w:sz w:val="24"/>
                <w:szCs w:val="24"/>
                <w:highlight w:val="none"/>
                <w:lang w:val="en-US" w:eastAsia="zh-CN"/>
              </w:rPr>
              <w:t>最高投标限价（万元）</w:t>
            </w:r>
          </w:p>
        </w:tc>
        <w:tc>
          <w:tcPr>
            <w:tcW w:w="894"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服务期</w:t>
            </w:r>
          </w:p>
        </w:tc>
        <w:tc>
          <w:tcPr>
            <w:tcW w:w="1364" w:type="dxa"/>
            <w:noWrap w:val="0"/>
            <w:vAlign w:val="center"/>
          </w:tcPr>
          <w:p>
            <w:pPr>
              <w:tabs>
                <w:tab w:val="left" w:pos="8280"/>
              </w:tabs>
              <w:autoSpaceDE w:val="0"/>
              <w:autoSpaceDN w:val="0"/>
              <w:adjustRightInd w:val="0"/>
              <w:spacing w:line="360" w:lineRule="auto"/>
              <w:ind w:right="25"/>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eastAsia="zh-CN"/>
              </w:rPr>
              <w:t>项目</w:t>
            </w:r>
            <w:r>
              <w:rPr>
                <w:rFonts w:hint="eastAsia" w:asciiTheme="minorEastAsia" w:hAnsiTheme="minorEastAsia" w:eastAsiaTheme="minorEastAsia" w:cstheme="minorEastAsia"/>
                <w:b/>
                <w:color w:val="auto"/>
                <w:sz w:val="24"/>
                <w:szCs w:val="24"/>
                <w:highlight w:val="none"/>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trPr>
        <w:tc>
          <w:tcPr>
            <w:tcW w:w="716" w:type="dxa"/>
            <w:noWrap w:val="0"/>
            <w:vAlign w:val="center"/>
          </w:tcPr>
          <w:p>
            <w:pPr>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一</w:t>
            </w:r>
          </w:p>
        </w:tc>
        <w:tc>
          <w:tcPr>
            <w:tcW w:w="1933" w:type="dxa"/>
            <w:noWrap w:val="0"/>
            <w:vAlign w:val="center"/>
          </w:tcPr>
          <w:p>
            <w:pPr>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中心机房精密空调及UPS等设备维保项目</w:t>
            </w:r>
          </w:p>
        </w:tc>
        <w:tc>
          <w:tcPr>
            <w:tcW w:w="996" w:type="dxa"/>
            <w:noWrap w:val="0"/>
            <w:vAlign w:val="center"/>
          </w:tcPr>
          <w:p>
            <w:pPr>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详见</w:t>
            </w:r>
          </w:p>
          <w:p>
            <w:pPr>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具体技术需求</w:t>
            </w:r>
          </w:p>
        </w:tc>
        <w:tc>
          <w:tcPr>
            <w:tcW w:w="777" w:type="dxa"/>
            <w:noWrap w:val="0"/>
            <w:vAlign w:val="center"/>
          </w:tcPr>
          <w:p>
            <w:pPr>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rPr>
              <w:t>1</w:t>
            </w:r>
          </w:p>
        </w:tc>
        <w:tc>
          <w:tcPr>
            <w:tcW w:w="764" w:type="dxa"/>
            <w:noWrap w:val="0"/>
            <w:vAlign w:val="center"/>
          </w:tcPr>
          <w:p>
            <w:pPr>
              <w:tabs>
                <w:tab w:val="left" w:pos="8280"/>
              </w:tabs>
              <w:autoSpaceDE w:val="0"/>
              <w:autoSpaceDN w:val="0"/>
              <w:adjustRightInd w:val="0"/>
              <w:ind w:right="25"/>
              <w:jc w:val="center"/>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项</w:t>
            </w:r>
          </w:p>
        </w:tc>
        <w:tc>
          <w:tcPr>
            <w:tcW w:w="1086" w:type="dxa"/>
            <w:noWrap w:val="0"/>
            <w:vAlign w:val="center"/>
          </w:tcPr>
          <w:p>
            <w:pPr>
              <w:tabs>
                <w:tab w:val="left" w:pos="8280"/>
              </w:tabs>
              <w:autoSpaceDE w:val="0"/>
              <w:autoSpaceDN w:val="0"/>
              <w:adjustRightInd w:val="0"/>
              <w:ind w:right="2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83.4</w:t>
            </w:r>
          </w:p>
        </w:tc>
        <w:tc>
          <w:tcPr>
            <w:tcW w:w="1170" w:type="dxa"/>
            <w:noWrap w:val="0"/>
            <w:vAlign w:val="center"/>
          </w:tcPr>
          <w:p>
            <w:pPr>
              <w:tabs>
                <w:tab w:val="left" w:pos="8280"/>
              </w:tabs>
              <w:autoSpaceDE w:val="0"/>
              <w:autoSpaceDN w:val="0"/>
              <w:adjustRightInd w:val="0"/>
              <w:ind w:right="25" w:rightChars="0"/>
              <w:jc w:val="center"/>
              <w:rPr>
                <w:rFonts w:hint="eastAsia" w:asciiTheme="minorEastAsia" w:hAnsiTheme="minorEastAsia" w:eastAsiaTheme="minorEastAsia" w:cstheme="minorEastAsia"/>
                <w:color w:val="auto"/>
                <w:sz w:val="24"/>
                <w:szCs w:val="24"/>
                <w:highlight w:val="none"/>
                <w:lang w:eastAsia="zh-CN"/>
              </w:rPr>
            </w:pPr>
            <w:r>
              <w:rPr>
                <w:rFonts w:hint="eastAsia" w:ascii="宋体" w:hAnsi="宋体"/>
                <w:color w:val="auto"/>
                <w:sz w:val="24"/>
                <w:szCs w:val="24"/>
                <w:highlight w:val="none"/>
                <w:lang w:val="en-US" w:eastAsia="zh-CN"/>
              </w:rPr>
              <w:t>79.4079</w:t>
            </w:r>
          </w:p>
        </w:tc>
        <w:tc>
          <w:tcPr>
            <w:tcW w:w="894" w:type="dxa"/>
            <w:noWrap w:val="0"/>
            <w:vAlign w:val="center"/>
          </w:tcPr>
          <w:p>
            <w:pPr>
              <w:tabs>
                <w:tab w:val="left" w:pos="8280"/>
              </w:tabs>
              <w:autoSpaceDE w:val="0"/>
              <w:autoSpaceDN w:val="0"/>
              <w:adjustRightInd w:val="0"/>
              <w:ind w:right="25"/>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年</w:t>
            </w:r>
          </w:p>
        </w:tc>
        <w:tc>
          <w:tcPr>
            <w:tcW w:w="1364" w:type="dxa"/>
            <w:noWrap w:val="0"/>
            <w:vAlign w:val="center"/>
          </w:tcPr>
          <w:p>
            <w:pPr>
              <w:tabs>
                <w:tab w:val="left" w:pos="8280"/>
              </w:tabs>
              <w:autoSpaceDE w:val="0"/>
              <w:autoSpaceDN w:val="0"/>
              <w:adjustRightInd w:val="0"/>
              <w:ind w:right="25"/>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台州市公安局交通警察局</w:t>
            </w:r>
          </w:p>
        </w:tc>
      </w:tr>
    </w:tbl>
    <w:p>
      <w:pPr>
        <w:pStyle w:val="4"/>
        <w:ind w:right="0" w:firstLine="482" w:firstLineChars="200"/>
        <w:rPr>
          <w:rFonts w:hint="eastAsia" w:ascii="宋体" w:hAnsi="宋体"/>
          <w:b/>
          <w:color w:val="auto"/>
          <w:sz w:val="28"/>
          <w:highlight w:val="none"/>
        </w:rPr>
      </w:pPr>
      <w:r>
        <w:rPr>
          <w:rFonts w:hint="eastAsia" w:cs="宋体"/>
          <w:bCs/>
          <w:color w:val="auto"/>
          <w:sz w:val="24"/>
          <w:szCs w:val="24"/>
          <w:highlight w:val="none"/>
          <w:lang w:val="en-US" w:eastAsia="zh-CN"/>
        </w:rPr>
        <w:t>合同一年一签，期满后服务质量优秀，服务对象满意度高的，经采购人同意后，维保期可按年度续签延续，累计时间最长不超过3年。</w:t>
      </w:r>
      <w:r>
        <w:rPr>
          <w:rFonts w:hint="eastAsia" w:asciiTheme="minorEastAsia" w:hAnsiTheme="minorEastAsia" w:eastAsiaTheme="minorEastAsia" w:cstheme="minorEastAsia"/>
          <w:color w:val="auto"/>
          <w:kern w:val="2"/>
          <w:sz w:val="24"/>
          <w:szCs w:val="24"/>
          <w:highlight w:val="none"/>
          <w:lang w:val="en-US" w:eastAsia="zh-CN" w:bidi="ar-SA"/>
        </w:rPr>
        <w:t xml:space="preserve"> </w:t>
      </w:r>
    </w:p>
    <w:p>
      <w:pPr>
        <w:tabs>
          <w:tab w:val="left" w:pos="8280"/>
        </w:tabs>
        <w:autoSpaceDE w:val="0"/>
        <w:autoSpaceDN w:val="0"/>
        <w:adjustRightInd w:val="0"/>
        <w:ind w:right="23"/>
        <w:rPr>
          <w:rFonts w:ascii="宋体" w:hAnsi="宋体"/>
          <w:b/>
          <w:color w:val="auto"/>
          <w:sz w:val="28"/>
          <w:highlight w:val="none"/>
        </w:rPr>
      </w:pPr>
      <w:r>
        <w:rPr>
          <w:rFonts w:hint="eastAsia" w:ascii="宋体" w:hAnsi="宋体"/>
          <w:b/>
          <w:color w:val="auto"/>
          <w:sz w:val="28"/>
          <w:highlight w:val="none"/>
        </w:rPr>
        <w:t>二、技术需求</w:t>
      </w: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基本情况</w:t>
      </w:r>
    </w:p>
    <w:p>
      <w:pPr>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台州市公安局交通警察局信息中心机房项目建设于2015年，位于台州市公安局交通警察局大楼的二楼，机房面积约578平米（含一楼电池室），机房按功能区划分为接入机房、数据机房、灾备机房、配电机房、消防钢瓶室、值班室及一楼UPS电池室及地下室电池房。机房设备于20</w:t>
      </w:r>
      <w:r>
        <w:rPr>
          <w:rFonts w:hint="eastAsia" w:asciiTheme="minorEastAsia" w:hAnsiTheme="minorEastAsia" w:eastAsiaTheme="minorEastAsia" w:cstheme="minorEastAsia"/>
          <w:color w:val="auto"/>
          <w:sz w:val="24"/>
          <w:szCs w:val="24"/>
          <w:highlight w:val="none"/>
          <w:lang w:val="en-US" w:eastAsia="zh-CN"/>
        </w:rPr>
        <w:t>22</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7月底</w:t>
      </w:r>
      <w:r>
        <w:rPr>
          <w:rFonts w:hint="eastAsia" w:asciiTheme="minorEastAsia" w:hAnsiTheme="minorEastAsia" w:eastAsiaTheme="minorEastAsia" w:cstheme="minorEastAsia"/>
          <w:color w:val="auto"/>
          <w:sz w:val="24"/>
          <w:szCs w:val="24"/>
          <w:highlight w:val="none"/>
        </w:rPr>
        <w:t>维保到期，为了充分保证中心机房顺畅运行，继续对机房内设备维保进行招标。</w:t>
      </w:r>
      <w:r>
        <w:rPr>
          <w:rFonts w:hint="eastAsia" w:asciiTheme="minorEastAsia" w:hAnsiTheme="minorEastAsia" w:eastAsiaTheme="minorEastAsia" w:cstheme="minorEastAsia"/>
          <w:color w:val="auto"/>
          <w:sz w:val="24"/>
          <w:szCs w:val="24"/>
          <w:highlight w:val="none"/>
        </w:rPr>
        <w:br w:type="textWrapping"/>
      </w:r>
      <w:r>
        <w:rPr>
          <w:rFonts w:hint="eastAsia" w:asciiTheme="minorEastAsia" w:hAnsiTheme="minorEastAsia" w:eastAsiaTheme="minorEastAsia" w:cstheme="minorEastAsia"/>
          <w:color w:val="auto"/>
          <w:sz w:val="24"/>
          <w:szCs w:val="24"/>
          <w:highlight w:val="none"/>
        </w:rPr>
        <w:t xml:space="preserve">    数据机房配置2个电源头柜、2个网络头柜、54个服务器机柜、3台精密空调及2套新风系统。</w:t>
      </w:r>
    </w:p>
    <w:p>
      <w:pPr>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接入机房配置1个电源头柜、5个ODF机柜、10个网络机柜、2台精密空调及1套新风系统。</w:t>
      </w:r>
    </w:p>
    <w:p>
      <w:pPr>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灾备机房配置1个电源头柜、1个网络头柜、12个服务器机柜和1台精密空调。</w:t>
      </w:r>
    </w:p>
    <w:p>
      <w:pPr>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配电机房配置2个ATS切换柜、2个动力柜、1个市电配电柜、2个UPS输出柜、1个照明电柜、2台并机UPS和1台精密空调。</w:t>
      </w:r>
    </w:p>
    <w:p>
      <w:pPr>
        <w:adjustRightIn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一层UPS电池房配置两台200KVA的UPS模块化主机、144节电池和1台精密空调。</w:t>
      </w:r>
    </w:p>
    <w:p>
      <w:pPr>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drawing>
          <wp:inline distT="0" distB="0" distL="114300" distR="114300">
            <wp:extent cx="5274310" cy="4176395"/>
            <wp:effectExtent l="0" t="0" r="2540" b="146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5274310" cy="4176395"/>
                    </a:xfrm>
                    <a:prstGeom prst="rect">
                      <a:avLst/>
                    </a:prstGeom>
                    <a:noFill/>
                    <a:ln>
                      <a:noFill/>
                    </a:ln>
                  </pic:spPr>
                </pic:pic>
              </a:graphicData>
            </a:graphic>
          </wp:inline>
        </w:drawing>
      </w: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维护内容</w:t>
      </w:r>
    </w:p>
    <w:p>
      <w:pPr>
        <w:pStyle w:val="25"/>
        <w:spacing w:line="360" w:lineRule="auto"/>
        <w:ind w:left="420" w:firstLine="48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台州市公安局交通警察局中心机房维护内容包括：机房供配电系统、UPS系统、空调系统、新风系统、机房动态环境监控系统、机房综合布线系统、机房基础系统、大楼综合布线系统。</w:t>
      </w:r>
    </w:p>
    <w:tbl>
      <w:tblPr>
        <w:tblStyle w:val="19"/>
        <w:tblpPr w:leftFromText="180" w:rightFromText="180" w:vertAnchor="text" w:horzAnchor="page" w:tblpXSpec="center" w:tblpY="40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48"/>
        <w:gridCol w:w="789"/>
        <w:gridCol w:w="3409"/>
        <w:gridCol w:w="19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sz w:val="24"/>
                <w:szCs w:val="24"/>
                <w:highlight w:val="none"/>
              </w:rPr>
            </w:pPr>
          </w:p>
        </w:tc>
        <w:tc>
          <w:tcPr>
            <w:tcW w:w="1548" w:type="dxa"/>
            <w:noWrap w:val="0"/>
            <w:vAlign w:val="center"/>
          </w:tcPr>
          <w:p>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项目名称</w:t>
            </w:r>
          </w:p>
        </w:tc>
        <w:tc>
          <w:tcPr>
            <w:tcW w:w="789" w:type="dxa"/>
            <w:noWrap w:val="0"/>
            <w:vAlign w:val="center"/>
          </w:tcPr>
          <w:p>
            <w:pPr>
              <w:ind w:left="-107" w:leftChars="-51" w:right="-107" w:rightChars="-51"/>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3409" w:type="dxa"/>
            <w:noWrap w:val="0"/>
            <w:vAlign w:val="center"/>
          </w:tcPr>
          <w:p>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现有设备型号</w:t>
            </w:r>
          </w:p>
        </w:tc>
        <w:tc>
          <w:tcPr>
            <w:tcW w:w="1915" w:type="dxa"/>
            <w:noWrap w:val="0"/>
            <w:vAlign w:val="center"/>
          </w:tcPr>
          <w:p>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一</w:t>
            </w:r>
          </w:p>
        </w:tc>
        <w:tc>
          <w:tcPr>
            <w:tcW w:w="1548" w:type="dxa"/>
            <w:noWrap w:val="0"/>
            <w:vAlign w:val="center"/>
          </w:tcPr>
          <w:p>
            <w:pPr>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中心机房</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需长驻人员日常维护及运行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ATS切换电源柜</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中达电通380V/1600A ：双电源切换开关ATyS 3S-</w:t>
            </w:r>
            <w:r>
              <w:rPr>
                <w:rFonts w:hint="eastAsia" w:asciiTheme="minorEastAsia" w:hAnsiTheme="minorEastAsia" w:eastAsiaTheme="minorEastAsia" w:cstheme="minorEastAsia"/>
                <w:color w:val="auto"/>
                <w:sz w:val="24"/>
                <w:szCs w:val="24"/>
                <w:highlight w:val="none"/>
                <w:lang w:val="en-US" w:eastAsia="zh-CN"/>
              </w:rPr>
              <w:t>1600</w:t>
            </w:r>
            <w:r>
              <w:rPr>
                <w:rFonts w:hint="eastAsia" w:asciiTheme="minorEastAsia" w:hAnsiTheme="minorEastAsia" w:eastAsiaTheme="minorEastAsia" w:cstheme="minorEastAsia"/>
                <w:color w:val="auto"/>
                <w:sz w:val="24"/>
                <w:szCs w:val="24"/>
                <w:highlight w:val="none"/>
              </w:rPr>
              <w:t xml:space="preserve">A/4P+C20+DPS×1只，空气开关NS1250N 3P1250A MIC5.0×2只，浪涌保护器V25-B/3+NPE-FS×2只，多功能仪表RMD96E×2只；ATS采用溯高美，主开关和配电分支开关采用施耐德微型断路器，浪涌保护器采用OBO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动力柜</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中达电通380V/1600A ：双电源切换开关ATyS 3S-1600A/4P+C20+DPS×1只，空气开关NS1600N 3P1600A MIC5.0×1只，空气开关NSX400F 3P400A MIC2.3×1只，空气开关NSX250F 3P200A TMD×5只，浪涌保护器V25-B/3+NPE-FS×1只，多功能仪表RMD96E×2只；ATS采用溯高美，主开关和配电分支开关采用施耐德微型断路器，浪涌保护器采用OBO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3</w:t>
            </w:r>
          </w:p>
        </w:tc>
        <w:tc>
          <w:tcPr>
            <w:tcW w:w="1548"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市电柜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中达电通380V/400A ：空气开关NSX400F 3P400A MIC2.3×1只，小型断路器20个回路，浪涌保护器V25-B/3+NPE-FS×1只</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4</w:t>
            </w:r>
          </w:p>
        </w:tc>
        <w:tc>
          <w:tcPr>
            <w:tcW w:w="1548"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UPS输出柜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中达电通380V/200A ：空气开关NSX250F 3P200A TMD×1只，空气开关NSX160F 3P160A TMD×3只，空气开关NSX100F 3P100A TMD×3只，浪涌保护器V20-C/3+NPE-FS×1只</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5</w:t>
            </w:r>
          </w:p>
        </w:tc>
        <w:tc>
          <w:tcPr>
            <w:tcW w:w="1548"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数据机房电源头柜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中达电通380V/160A ：</w:t>
            </w:r>
          </w:p>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空气开关NSX160F 3P160A TMD×2只，小型断路器IC65N 1PC32A×72只，浪涌保护器V20-C/3+NPE-FS×2只，多功能仪表RMD96E×2只；主开关和配电分支开关采用施耐德微型断路器，浪涌保护器采用OBO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6</w:t>
            </w:r>
          </w:p>
        </w:tc>
        <w:tc>
          <w:tcPr>
            <w:tcW w:w="1548"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接入机房电源头柜</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中达电通380V/100A ：</w:t>
            </w:r>
          </w:p>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空气开关NSX100F 3P100A TMD×2只，小型断路器IC65N 1PC32A×50只，浪涌保护器V20-C/3+NPE-FS×2只，多功能仪表RMD96E×2只；主开关和配电分支开关采用施耐德微型断路器，浪涌保护器采用OBO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7</w:t>
            </w:r>
          </w:p>
        </w:tc>
        <w:tc>
          <w:tcPr>
            <w:tcW w:w="1548"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灾备机房电源头柜</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1柜</w:t>
            </w:r>
          </w:p>
        </w:tc>
        <w:tc>
          <w:tcPr>
            <w:tcW w:w="3409" w:type="dxa"/>
            <w:noWrap w:val="0"/>
            <w:vAlign w:val="center"/>
          </w:tcPr>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中达电通380V/100A ：</w:t>
            </w:r>
          </w:p>
          <w:p>
            <w:pPr>
              <w:pStyle w:val="4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空气开关NSX100F 3P100A TMD×2只，小型断路器IC65N 1PC32A×36只，浪涌保护器V20-C/3+NPE-FS×2只，多功能仪表RMD96E×2只；主开关和配电分支开关采用施耐德微型断路器，浪涌保护器采用OBO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8</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UPS主机</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科士达RP3300 -200K</w:t>
            </w:r>
          </w:p>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每柜最多选择</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个同功率模块单元并联，可实现N+X冗余。</w:t>
            </w:r>
          </w:p>
          <w:p>
            <w:pPr>
              <w:rPr>
                <w:rFonts w:hint="eastAsia" w:asciiTheme="minorEastAsia" w:hAnsiTheme="minorEastAsia" w:eastAsiaTheme="minorEastAsia" w:cstheme="minorEastAsia"/>
                <w:color w:val="auto"/>
                <w:kern w:val="0"/>
                <w:sz w:val="24"/>
                <w:szCs w:val="24"/>
                <w:highlight w:val="none"/>
              </w:rPr>
            </w:pP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一年原厂7*24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9</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UPS模块</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10</w:t>
            </w:r>
            <w:r>
              <w:rPr>
                <w:rFonts w:hint="eastAsia" w:asciiTheme="minorEastAsia" w:hAnsiTheme="minorEastAsia" w:eastAsiaTheme="minorEastAsia" w:cstheme="minorEastAsia"/>
                <w:color w:val="auto"/>
                <w:kern w:val="0"/>
                <w:sz w:val="24"/>
                <w:szCs w:val="24"/>
                <w:highlight w:val="none"/>
              </w:rPr>
              <w:t>个</w:t>
            </w:r>
          </w:p>
        </w:tc>
        <w:tc>
          <w:tcPr>
            <w:tcW w:w="3409" w:type="dxa"/>
            <w:noWrap w:val="0"/>
            <w:vAlign w:val="center"/>
          </w:tcPr>
          <w:p>
            <w:pPr>
              <w:pStyle w:val="49"/>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每个机框配置5个20KVA/18WK功率模块；输入方式：三相四线+接地(可支持单相输入)；输入电压范围208vac～478vac；整机效率95% 。</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一年原厂7*24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10</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并机UPS</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科士达S30KV：三进三出，双变换在线式、工频机，内置自动和手动维修旁路开关，可多台共享一组电池，带智能电池管理（ABM）技术。</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一年原厂7*24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11</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精密空调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5台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佳力图 MEAD401：机组制冷量≥40KW，采用模块化结构，每套系统可以独立摆放，风冷系列/送风量≥10000（m3/h）。</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12</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精密空调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佳力图 MEAD301：机组制冷量≥30KW，采用模块化结构，每套系统可以独立摆放，风冷系列/送风量≥8600（m3/h）</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13</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 xml:space="preserve">精密空调 </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佳力图 13AU12：机组制冷量≥12.5KW，每套系统可以独立摆放，风冷系列/送风量≥2800（m3/h）。</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14</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新风系统</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3套</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KYS-XF-24000X： 24000m3/h风量，低噪音离心风机主动进风；帆布接口</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15</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综合布线系统</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1套</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机柜内跳线整理，出具统计报表</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日常维护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16</w:t>
            </w:r>
          </w:p>
        </w:tc>
        <w:tc>
          <w:tcPr>
            <w:tcW w:w="1548"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动态环境监控系统</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1套</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栅格，包含：配电采集系统、温湿度采集系统、电池检测系统、视频监控系统、门禁系统等</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二</w:t>
            </w:r>
          </w:p>
        </w:tc>
        <w:tc>
          <w:tcPr>
            <w:tcW w:w="1548" w:type="dxa"/>
            <w:noWrap w:val="0"/>
            <w:vAlign w:val="center"/>
          </w:tcPr>
          <w:p>
            <w:pPr>
              <w:rPr>
                <w:rFonts w:hint="eastAsia" w:asciiTheme="minorEastAsia" w:hAnsiTheme="minorEastAsia" w:eastAsiaTheme="minorEastAsia" w:cstheme="minorEastAsia"/>
                <w:b/>
                <w:color w:val="auto"/>
                <w:kern w:val="0"/>
                <w:sz w:val="24"/>
                <w:szCs w:val="24"/>
                <w:highlight w:val="none"/>
              </w:rPr>
            </w:pPr>
            <w:r>
              <w:rPr>
                <w:rFonts w:hint="eastAsia" w:asciiTheme="minorEastAsia" w:hAnsiTheme="minorEastAsia" w:eastAsiaTheme="minorEastAsia" w:cstheme="minorEastAsia"/>
                <w:b/>
                <w:color w:val="auto"/>
                <w:kern w:val="0"/>
                <w:sz w:val="24"/>
                <w:szCs w:val="24"/>
                <w:highlight w:val="none"/>
              </w:rPr>
              <w:t>大楼综合布线</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需长驻人员日常维护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综合布线维护</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1套</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主楼及1号楼、3号楼、4号楼的弱电井网络、电话跳线整理，出具统计报表</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日常维护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UPS</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科士达S30KV:三进三出，双变换在线式、工频机，内置自动和手动维修旁路开关，可多台共享一组电池，带智能电池管理（ABM）技术。</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一年原厂7*24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3</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核心交换机</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H3C S10504：整机交换容量8.96Tbps；整机包转发能力2800Mpps,4个交换网槽数；4个业务插槽数；2块交换网板；2个电源；16个千兆光口；56个千兆电口；2个万兆光口；配置1块千兆10KM单模模块;支持四框设备虚拟化。</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4</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机房头柜交换机</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12台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H3C LS-5820V2-54QS-GE：</w:t>
            </w:r>
          </w:p>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交换容量1280Gbps，整机包转发能力252Mpps； 220V模块化可插拔电源2个； 固化千兆电接口数量48个； 固化万兆光接口数4个；模块化风扇模块2个</w:t>
            </w:r>
          </w:p>
          <w:p>
            <w:pPr>
              <w:rPr>
                <w:rFonts w:hint="eastAsia" w:asciiTheme="minorEastAsia" w:hAnsiTheme="minorEastAsia" w:eastAsiaTheme="minorEastAsia" w:cstheme="minorEastAsia"/>
                <w:color w:val="auto"/>
                <w:kern w:val="0"/>
                <w:sz w:val="24"/>
                <w:szCs w:val="24"/>
                <w:highlight w:val="none"/>
              </w:rPr>
            </w:pP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5</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24口楼层交换机</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8</w:t>
            </w:r>
            <w:r>
              <w:rPr>
                <w:rFonts w:hint="eastAsia" w:asciiTheme="minorEastAsia" w:hAnsiTheme="minorEastAsia" w:eastAsiaTheme="minorEastAsia" w:cstheme="minorEastAsia"/>
                <w:color w:val="auto"/>
                <w:kern w:val="0"/>
                <w:sz w:val="24"/>
                <w:szCs w:val="24"/>
                <w:highlight w:val="none"/>
              </w:rPr>
              <w:t>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H3C LS-5120-28C-EI-H3：交换容量256Gbps；转发性能96Mpps，配置千兆电口24个，复用的千兆光口4个，支持扩展万兆接口数4个</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6</w:t>
            </w:r>
          </w:p>
        </w:tc>
        <w:tc>
          <w:tcPr>
            <w:tcW w:w="1548" w:type="dxa"/>
            <w:noWrap w:val="0"/>
            <w:vAlign w:val="center"/>
          </w:tcPr>
          <w:p>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48口楼层交换机</w:t>
            </w:r>
          </w:p>
        </w:tc>
        <w:tc>
          <w:tcPr>
            <w:tcW w:w="78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9</w:t>
            </w:r>
            <w:r>
              <w:rPr>
                <w:rFonts w:hint="eastAsia" w:asciiTheme="minorEastAsia" w:hAnsiTheme="minorEastAsia" w:eastAsiaTheme="minorEastAsia" w:cstheme="minorEastAsia"/>
                <w:color w:val="auto"/>
                <w:kern w:val="0"/>
                <w:sz w:val="24"/>
                <w:szCs w:val="24"/>
                <w:highlight w:val="none"/>
              </w:rPr>
              <w:t>台</w:t>
            </w:r>
          </w:p>
        </w:tc>
        <w:tc>
          <w:tcPr>
            <w:tcW w:w="3409"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H3C LS-5120-52C-EI-H3：交换容量256Gbps；转发性能132Mpps，配置千兆电口48个，复用的千兆光口4个，支持扩展万兆接口数4个</w:t>
            </w:r>
          </w:p>
        </w:tc>
        <w:tc>
          <w:tcPr>
            <w:tcW w:w="1915" w:type="dxa"/>
            <w:noWrap w:val="0"/>
            <w:vAlign w:val="center"/>
          </w:tcPr>
          <w:p>
            <w:pP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一年7*24</w:t>
            </w:r>
          </w:p>
        </w:tc>
      </w:tr>
    </w:tbl>
    <w:p>
      <w:pPr>
        <w:pStyle w:val="25"/>
        <w:autoSpaceDE w:val="0"/>
        <w:autoSpaceDN w:val="0"/>
        <w:spacing w:line="360" w:lineRule="auto"/>
        <w:ind w:left="142" w:firstLine="484" w:firstLineChars="202"/>
        <w:rPr>
          <w:rFonts w:hint="eastAsia" w:asciiTheme="minorEastAsia" w:hAnsiTheme="minorEastAsia" w:eastAsiaTheme="minorEastAsia" w:cstheme="minorEastAsia"/>
          <w:color w:val="auto"/>
          <w:sz w:val="24"/>
          <w:szCs w:val="24"/>
          <w:highlight w:val="none"/>
        </w:rPr>
      </w:pPr>
    </w:p>
    <w:p>
      <w:pPr>
        <w:pStyle w:val="25"/>
        <w:autoSpaceDE w:val="0"/>
        <w:autoSpaceDN w:val="0"/>
        <w:spacing w:line="360" w:lineRule="auto"/>
        <w:ind w:left="142" w:firstLine="484" w:firstLineChars="20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▲1、中标后需提供UPS主机、UPS模块、并机UPS的原厂商针对本项目的质保函，维护中所提供的替换硬件必须为同品牌的原厂部件。</w:t>
      </w: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项目管理要求</w:t>
      </w:r>
    </w:p>
    <w:p>
      <w:pPr>
        <w:pStyle w:val="25"/>
        <w:autoSpaceDE w:val="0"/>
        <w:autoSpaceDN w:val="0"/>
        <w:spacing w:line="360" w:lineRule="auto"/>
        <w:ind w:left="142" w:firstLine="424" w:firstLineChars="177"/>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需派遣一名工程师长驻于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，常驻地点为公安局交通警察局二层中心机房办公室；驻点期间，服从</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管理，严格遵守</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作息时间安排，严格遵守</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的规章制度和保密制度，并在重大节假日及重大活动期间提供全程保障服务。常驻人员的变动需经业主方同意。</w:t>
      </w:r>
    </w:p>
    <w:p>
      <w:pPr>
        <w:pStyle w:val="4"/>
        <w:numPr>
          <w:ilvl w:val="0"/>
          <w:numId w:val="7"/>
        </w:numPr>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日常巡检服务内容</w:t>
      </w:r>
    </w:p>
    <w:p>
      <w:pPr>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机房日常巡检主要是为了保障机房设备在维保期内的可用性、可靠性、安</w:t>
      </w:r>
    </w:p>
    <w:p>
      <w:p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全性。尤其在当前国家对政府、军队、企事业信息安全保密的大背景下，机房日常巡检是必不可少的环节，更是信息安全保障的重要手段之一。日常巡检服务内容包括但不限于以下两点：</w:t>
      </w:r>
    </w:p>
    <w:p>
      <w:pPr>
        <w:pStyle w:val="25"/>
        <w:numPr>
          <w:ilvl w:val="0"/>
          <w:numId w:val="8"/>
        </w:numPr>
        <w:autoSpaceDE w:val="0"/>
        <w:autoSpaceDN w:val="0"/>
        <w:spacing w:line="360" w:lineRule="auto"/>
        <w:ind w:left="704"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驻点人员需熟悉机房运作情况，每日查看机房内环境的温湿度及空调运行情况、供配电电柜的电压电流及功率等基本参数，并详细记录；巡检机柜内服务器等设备的电力负载运行情况并负责故障通知；管理人员出入并按要求登记在册；管理进入机房的设备；每周不少于一次的卫生清理；每季度向业主方提交机房配电系统报表、温湿度报表、访客出入登记表等。</w:t>
      </w:r>
    </w:p>
    <w:p>
      <w:pPr>
        <w:pStyle w:val="25"/>
        <w:numPr>
          <w:ilvl w:val="0"/>
          <w:numId w:val="8"/>
        </w:numPr>
        <w:autoSpaceDE w:val="0"/>
        <w:autoSpaceDN w:val="0"/>
        <w:spacing w:line="360" w:lineRule="auto"/>
        <w:ind w:left="704"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驻点人员熟练掌握交</w:t>
      </w:r>
      <w:r>
        <w:rPr>
          <w:rFonts w:hint="eastAsia" w:asciiTheme="minorEastAsia" w:hAnsiTheme="minorEastAsia" w:eastAsiaTheme="minorEastAsia" w:cstheme="minorEastAsia"/>
          <w:color w:val="auto"/>
          <w:sz w:val="24"/>
          <w:szCs w:val="24"/>
          <w:highlight w:val="none"/>
          <w:lang w:val="en-US" w:eastAsia="zh-CN"/>
        </w:rPr>
        <w:t>警</w:t>
      </w:r>
      <w:r>
        <w:rPr>
          <w:rFonts w:hint="eastAsia" w:asciiTheme="minorEastAsia" w:hAnsiTheme="minorEastAsia" w:eastAsiaTheme="minorEastAsia" w:cstheme="minorEastAsia"/>
          <w:color w:val="auto"/>
          <w:sz w:val="24"/>
          <w:szCs w:val="24"/>
          <w:highlight w:val="none"/>
        </w:rPr>
        <w:t>局大楼及1号楼、3号楼、4号楼的综合布线情况，负责弱电井内网络跳线、电话跳线、标签及整理，弱电井内每月不少于一次的卫生打扫。中标单位每半年需进行线缆整理并提交一份综合布线点位统计报表，应准确详细。</w:t>
      </w:r>
    </w:p>
    <w:p>
      <w:pPr>
        <w:pStyle w:val="25"/>
        <w:numPr>
          <w:ilvl w:val="0"/>
          <w:numId w:val="8"/>
        </w:numPr>
        <w:autoSpaceDE w:val="0"/>
        <w:autoSpaceDN w:val="0"/>
        <w:spacing w:line="360" w:lineRule="auto"/>
        <w:ind w:left="704"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驻点人员需掌握交警局大楼后备发电机的操作规程，每月不少于一次检查后备发电机状况并演练后备发电预案。</w:t>
      </w: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巡检服务要求</w:t>
      </w:r>
    </w:p>
    <w:p>
      <w:pPr>
        <w:pStyle w:val="25"/>
        <w:numPr>
          <w:ilvl w:val="0"/>
          <w:numId w:val="9"/>
        </w:numPr>
        <w:autoSpaceDE w:val="0"/>
        <w:autoSpaceDN w:val="0"/>
        <w:spacing w:line="360" w:lineRule="auto"/>
        <w:ind w:left="704"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每季安排原厂工程师对UPS巡检一次，每次巡检后须向用户提供完整的巡检报告，应包含电池后备时间数据、电压电流功率的参数情况、检测电池的使用情况，提出存在问题（隐患）和建议。当系统中应用出现异常或性能降低时，投标人应免费提供性能分析，并提出优化解决方案。</w:t>
      </w:r>
    </w:p>
    <w:p>
      <w:pPr>
        <w:pStyle w:val="25"/>
        <w:numPr>
          <w:ilvl w:val="0"/>
          <w:numId w:val="9"/>
        </w:numPr>
        <w:autoSpaceDE w:val="0"/>
        <w:autoSpaceDN w:val="0"/>
        <w:spacing w:line="360" w:lineRule="auto"/>
        <w:ind w:left="704"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每季度安排原厂工程师对空调、新风巡检一次，每次巡检后须向用户提供完整的巡检报告，提出存在问题（隐患）和建议。当系统中应用出现异常或性能降低时，投标人应免费提供性能分析，并提出优化解决方案。本次维保内容还包含免费提供：每季度清洗空调外机；更换或清洗空调过滤网；更换新风过滤网。</w:t>
      </w:r>
    </w:p>
    <w:p>
      <w:pPr>
        <w:pStyle w:val="25"/>
        <w:numPr>
          <w:ilvl w:val="0"/>
          <w:numId w:val="9"/>
        </w:numPr>
        <w:autoSpaceDE w:val="0"/>
        <w:autoSpaceDN w:val="0"/>
        <w:spacing w:line="360" w:lineRule="auto"/>
        <w:ind w:left="704"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投标人每年至少两次对动环系统按机房实际运行情况进行系统调优或升级，优化系统工作界面。</w:t>
      </w:r>
    </w:p>
    <w:p>
      <w:pPr>
        <w:rPr>
          <w:rFonts w:hint="eastAsia" w:asciiTheme="minorEastAsia" w:hAnsiTheme="minorEastAsia" w:eastAsiaTheme="minorEastAsia" w:cstheme="minorEastAsia"/>
          <w:color w:val="auto"/>
          <w:sz w:val="24"/>
          <w:szCs w:val="24"/>
          <w:highlight w:val="none"/>
        </w:rPr>
      </w:pP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应急服务要求</w:t>
      </w:r>
    </w:p>
    <w:p>
      <w:pPr>
        <w:pStyle w:val="5"/>
        <w:numPr>
          <w:ilvl w:val="0"/>
          <w:numId w:val="10"/>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级别定义：</w:t>
      </w:r>
    </w:p>
    <w:p>
      <w:pPr>
        <w:numPr>
          <w:ilvl w:val="0"/>
          <w:numId w:val="11"/>
        </w:numPr>
        <w:spacing w:line="360" w:lineRule="auto"/>
        <w:ind w:left="630" w:leftChars="3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一级（P1）:供电系统出现报警或者机房出现漏水等现象</w:t>
      </w:r>
    </w:p>
    <w:p>
      <w:pPr>
        <w:numPr>
          <w:ilvl w:val="0"/>
          <w:numId w:val="11"/>
        </w:numPr>
        <w:spacing w:line="360" w:lineRule="auto"/>
        <w:ind w:left="630" w:leftChars="3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二级（P2）：环境系统出现高温高湿现象或者精密空调发生故障</w:t>
      </w:r>
    </w:p>
    <w:p>
      <w:pPr>
        <w:numPr>
          <w:ilvl w:val="0"/>
          <w:numId w:val="11"/>
        </w:numPr>
        <w:spacing w:line="360" w:lineRule="auto"/>
        <w:ind w:left="630" w:leftChars="3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三级（P3）：设备通讯中断等但不影响机房的正常运行</w:t>
      </w:r>
    </w:p>
    <w:p>
      <w:pPr>
        <w:pStyle w:val="5"/>
        <w:numPr>
          <w:ilvl w:val="0"/>
          <w:numId w:val="10"/>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应急处理服务</w:t>
      </w:r>
    </w:p>
    <w:p>
      <w:pPr>
        <w:pStyle w:val="25"/>
        <w:numPr>
          <w:ilvl w:val="0"/>
          <w:numId w:val="12"/>
        </w:numPr>
        <w:autoSpaceDE w:val="0"/>
        <w:autoSpaceDN w:val="0"/>
        <w:adjustRightInd w:val="0"/>
        <w:spacing w:line="360" w:lineRule="auto"/>
        <w:ind w:left="902"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为</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提供设备的7*24小时服务电话支持，设备使用过程中如遇到问题，无论软硬件，投标人均应及时提供支持和帮助。</w:t>
      </w:r>
    </w:p>
    <w:p>
      <w:pPr>
        <w:pStyle w:val="25"/>
        <w:numPr>
          <w:ilvl w:val="0"/>
          <w:numId w:val="12"/>
        </w:numPr>
        <w:autoSpaceDE w:val="0"/>
        <w:autoSpaceDN w:val="0"/>
        <w:spacing w:line="360" w:lineRule="auto"/>
        <w:ind w:firstLineChars="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设备损坏时，尽可能维修，如必须更换配件，需经业主方认可。</w:t>
      </w:r>
    </w:p>
    <w:p>
      <w:pPr>
        <w:pStyle w:val="25"/>
        <w:numPr>
          <w:ilvl w:val="0"/>
          <w:numId w:val="12"/>
        </w:numPr>
        <w:autoSpaceDE w:val="0"/>
        <w:autoSpaceDN w:val="0"/>
        <w:adjustRightInd w:val="0"/>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根据故障级别，乙方应按照以下响应时限提供7×24小时的技术支持服务。</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134"/>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故障等级</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响应时限</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到达现场</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排除故障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一级</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&lt;10分钟</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&lt;30分钟</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&lt;1小时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二级</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&lt;30分钟</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&lt;1小时</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&lt;4小时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三级</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&lt;1小时</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&lt;2小时</w:t>
            </w:r>
          </w:p>
        </w:tc>
        <w:tc>
          <w:tcPr>
            <w:tcW w:w="1134" w:type="dxa"/>
            <w:noWrap w:val="0"/>
            <w:vAlign w:val="top"/>
          </w:tcPr>
          <w:p>
            <w:pPr>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&lt;8小时</w:t>
            </w:r>
          </w:p>
        </w:tc>
      </w:tr>
    </w:tbl>
    <w:p>
      <w:pPr>
        <w:pStyle w:val="25"/>
        <w:numPr>
          <w:ilvl w:val="0"/>
          <w:numId w:val="12"/>
        </w:numPr>
        <w:autoSpaceDE w:val="0"/>
        <w:autoSpaceDN w:val="0"/>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应建立完善的应急处理机制。在设备出现故障时，应在接到故障报告后规定时间内到达现场，做出实质性响应，对故障件免费提供备件支持，并负责故障件更换、维护和故障恢复工作。投标人在规定时间内解决设备故障，规定时间内故障不能解决而影响设备正常使用时，投标人负责提供不低于原型号的硬件设备，保障系统正常运行。投标人在故障处理后应向</w:t>
      </w:r>
      <w:r>
        <w:rPr>
          <w:rFonts w:hint="eastAsia" w:asciiTheme="minorEastAsia" w:hAnsiTheme="minorEastAsia" w:eastAsiaTheme="minorEastAsia" w:cstheme="minorEastAsia"/>
          <w:color w:val="auto"/>
          <w:sz w:val="24"/>
          <w:szCs w:val="24"/>
          <w:highlight w:val="none"/>
          <w:lang w:eastAsia="zh-CN"/>
        </w:rPr>
        <w:t>采购人</w:t>
      </w:r>
      <w:r>
        <w:rPr>
          <w:rFonts w:hint="eastAsia" w:asciiTheme="minorEastAsia" w:hAnsiTheme="minorEastAsia" w:eastAsiaTheme="minorEastAsia" w:cstheme="minorEastAsia"/>
          <w:color w:val="auto"/>
          <w:sz w:val="24"/>
          <w:szCs w:val="24"/>
          <w:highlight w:val="none"/>
        </w:rPr>
        <w:t xml:space="preserve">提供详细的故障解决报告，留档保存。 </w:t>
      </w: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文档要求</w:t>
      </w:r>
    </w:p>
    <w:p>
      <w:pPr>
        <w:pStyle w:val="25"/>
        <w:numPr>
          <w:ilvl w:val="0"/>
          <w:numId w:val="13"/>
        </w:numPr>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按照季度向甲方提交运维服务报告，并根据甲方要求开展工作汇报、技术资料共享、服务报告提交等工作。</w:t>
      </w:r>
    </w:p>
    <w:p>
      <w:pPr>
        <w:pStyle w:val="25"/>
        <w:numPr>
          <w:ilvl w:val="0"/>
          <w:numId w:val="13"/>
        </w:numPr>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项目验收前乙方应提交一份服务总结报告，具体包括：</w:t>
      </w:r>
      <w:bookmarkStart w:id="35" w:name="_Toc156619418"/>
      <w:bookmarkStart w:id="36" w:name="_Toc205109063"/>
      <w:bookmarkStart w:id="37" w:name="_Toc98819413"/>
      <w:bookmarkStart w:id="38" w:name="_Toc200444001"/>
      <w:r>
        <w:rPr>
          <w:rFonts w:hint="eastAsia" w:asciiTheme="minorEastAsia" w:hAnsiTheme="minorEastAsia" w:eastAsiaTheme="minorEastAsia" w:cstheme="minorEastAsia"/>
          <w:color w:val="auto"/>
          <w:sz w:val="24"/>
          <w:szCs w:val="24"/>
          <w:highlight w:val="none"/>
        </w:rPr>
        <w:t>设备巡检记录、故障处理记录</w:t>
      </w:r>
      <w:bookmarkEnd w:id="35"/>
      <w:bookmarkEnd w:id="36"/>
      <w:r>
        <w:rPr>
          <w:rFonts w:hint="eastAsia" w:asciiTheme="minorEastAsia" w:hAnsiTheme="minorEastAsia" w:eastAsiaTheme="minorEastAsia" w:cstheme="minorEastAsia"/>
          <w:color w:val="auto"/>
          <w:sz w:val="24"/>
          <w:szCs w:val="24"/>
          <w:highlight w:val="none"/>
        </w:rPr>
        <w:t>及其他服务情况，并</w:t>
      </w:r>
      <w:bookmarkEnd w:id="37"/>
      <w:bookmarkEnd w:id="38"/>
      <w:r>
        <w:rPr>
          <w:rFonts w:hint="eastAsia" w:asciiTheme="minorEastAsia" w:hAnsiTheme="minorEastAsia" w:eastAsiaTheme="minorEastAsia" w:cstheme="minorEastAsia"/>
          <w:color w:val="auto"/>
          <w:sz w:val="24"/>
          <w:szCs w:val="24"/>
          <w:highlight w:val="none"/>
        </w:rPr>
        <w:t>总结分析全年设备运行情况、服务统计等内容，提出合理化改进建议，装订成册后提交给甲方。</w:t>
      </w:r>
    </w:p>
    <w:p>
      <w:pPr>
        <w:pStyle w:val="25"/>
        <w:numPr>
          <w:ilvl w:val="0"/>
          <w:numId w:val="13"/>
        </w:numPr>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系统运维项目需文档交付物包含但不限于：</w:t>
      </w:r>
    </w:p>
    <w:tbl>
      <w:tblPr>
        <w:tblStyle w:val="19"/>
        <w:tblW w:w="0" w:type="auto"/>
        <w:jc w:val="center"/>
        <w:tblLayout w:type="fixed"/>
        <w:tblCellMar>
          <w:top w:w="0" w:type="dxa"/>
          <w:left w:w="108" w:type="dxa"/>
          <w:bottom w:w="0" w:type="dxa"/>
          <w:right w:w="108" w:type="dxa"/>
        </w:tblCellMar>
      </w:tblPr>
      <w:tblGrid>
        <w:gridCol w:w="797"/>
        <w:gridCol w:w="2552"/>
        <w:gridCol w:w="4678"/>
      </w:tblGrid>
      <w:tr>
        <w:tblPrEx>
          <w:tblCellMar>
            <w:top w:w="0" w:type="dxa"/>
            <w:left w:w="108" w:type="dxa"/>
            <w:bottom w:w="0" w:type="dxa"/>
            <w:right w:w="108" w:type="dxa"/>
          </w:tblCellMar>
        </w:tblPrEx>
        <w:trPr>
          <w:cantSplit/>
          <w:trHeight w:val="285" w:hRule="atLeast"/>
          <w:tblHeader/>
          <w:jc w:val="center"/>
        </w:trPr>
        <w:tc>
          <w:tcPr>
            <w:tcW w:w="797" w:type="dxa"/>
            <w:tcBorders>
              <w:top w:val="single" w:color="auto" w:sz="8" w:space="0"/>
              <w:left w:val="single" w:color="auto" w:sz="8" w:space="0"/>
              <w:bottom w:val="single" w:color="auto" w:sz="8" w:space="0"/>
              <w:right w:val="single" w:color="auto" w:sz="8" w:space="0"/>
            </w:tcBorders>
            <w:shd w:val="clear" w:color="auto" w:fill="D9D9D9"/>
            <w:noWrap w:val="0"/>
            <w:vAlign w:val="center"/>
          </w:tcPr>
          <w:p>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552" w:type="dxa"/>
            <w:tcBorders>
              <w:top w:val="single" w:color="auto" w:sz="8" w:space="0"/>
              <w:left w:val="nil"/>
              <w:bottom w:val="single" w:color="auto" w:sz="8" w:space="0"/>
              <w:right w:val="single" w:color="auto" w:sz="8" w:space="0"/>
            </w:tcBorders>
            <w:shd w:val="clear" w:color="auto" w:fill="D9D9D9"/>
            <w:noWrap w:val="0"/>
            <w:vAlign w:val="center"/>
          </w:tcPr>
          <w:p>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工作项</w:t>
            </w:r>
          </w:p>
        </w:tc>
        <w:tc>
          <w:tcPr>
            <w:tcW w:w="4678" w:type="dxa"/>
            <w:tcBorders>
              <w:top w:val="single" w:color="auto" w:sz="8" w:space="0"/>
              <w:left w:val="nil"/>
              <w:bottom w:val="single" w:color="auto" w:sz="8" w:space="0"/>
              <w:right w:val="single" w:color="auto" w:sz="8" w:space="0"/>
            </w:tcBorders>
            <w:shd w:val="clear" w:color="auto" w:fill="D9D9D9"/>
            <w:noWrap w:val="0"/>
            <w:vAlign w:val="center"/>
          </w:tcPr>
          <w:p>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项目交付物</w:t>
            </w:r>
          </w:p>
        </w:tc>
      </w:tr>
      <w:tr>
        <w:tblPrEx>
          <w:tblCellMar>
            <w:top w:w="0" w:type="dxa"/>
            <w:left w:w="108" w:type="dxa"/>
            <w:bottom w:w="0" w:type="dxa"/>
            <w:right w:w="108" w:type="dxa"/>
          </w:tblCellMar>
        </w:tblPrEx>
        <w:trPr>
          <w:trHeight w:val="555" w:hRule="atLeast"/>
          <w:jc w:val="center"/>
        </w:trPr>
        <w:tc>
          <w:tcPr>
            <w:tcW w:w="797" w:type="dxa"/>
            <w:tcBorders>
              <w:top w:val="nil"/>
              <w:left w:val="single" w:color="auto" w:sz="8" w:space="0"/>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52"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日常技术运维</w:t>
            </w:r>
          </w:p>
        </w:tc>
        <w:tc>
          <w:tcPr>
            <w:tcW w:w="4678"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《日常运维服务清单》</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《基础运维项目服务方案》</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《机房日巡检记录表》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《季度/半年度/年度服务报告》</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《访客出入登记表》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《设备出入机房登记表》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《客户投诉记录表》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《客户满意度调查记录表》</w:t>
            </w:r>
          </w:p>
        </w:tc>
      </w:tr>
      <w:tr>
        <w:tblPrEx>
          <w:tblCellMar>
            <w:top w:w="0" w:type="dxa"/>
            <w:left w:w="108" w:type="dxa"/>
            <w:bottom w:w="0" w:type="dxa"/>
            <w:right w:w="108" w:type="dxa"/>
          </w:tblCellMar>
        </w:tblPrEx>
        <w:trPr>
          <w:trHeight w:val="555" w:hRule="atLeast"/>
          <w:jc w:val="center"/>
        </w:trPr>
        <w:tc>
          <w:tcPr>
            <w:tcW w:w="797" w:type="dxa"/>
            <w:tcBorders>
              <w:top w:val="nil"/>
              <w:left w:val="single" w:color="auto" w:sz="8" w:space="0"/>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2552"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机房设备巡检记录</w:t>
            </w:r>
          </w:p>
        </w:tc>
        <w:tc>
          <w:tcPr>
            <w:tcW w:w="4678"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《UPS巡检记录》</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《空调巡检记录》</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《动环系统巡检记录》</w:t>
            </w:r>
          </w:p>
        </w:tc>
      </w:tr>
      <w:tr>
        <w:tblPrEx>
          <w:tblCellMar>
            <w:top w:w="0" w:type="dxa"/>
            <w:left w:w="108" w:type="dxa"/>
            <w:bottom w:w="0" w:type="dxa"/>
            <w:right w:w="108" w:type="dxa"/>
          </w:tblCellMar>
        </w:tblPrEx>
        <w:trPr>
          <w:trHeight w:val="555" w:hRule="atLeast"/>
          <w:jc w:val="center"/>
        </w:trPr>
        <w:tc>
          <w:tcPr>
            <w:tcW w:w="797" w:type="dxa"/>
            <w:tcBorders>
              <w:top w:val="nil"/>
              <w:left w:val="single" w:color="auto" w:sz="8" w:space="0"/>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2552"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故障处理</w:t>
            </w:r>
          </w:p>
        </w:tc>
        <w:tc>
          <w:tcPr>
            <w:tcW w:w="4678"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《故障处理报告》</w:t>
            </w:r>
          </w:p>
        </w:tc>
      </w:tr>
      <w:tr>
        <w:tblPrEx>
          <w:tblCellMar>
            <w:top w:w="0" w:type="dxa"/>
            <w:left w:w="108" w:type="dxa"/>
            <w:bottom w:w="0" w:type="dxa"/>
            <w:right w:w="108" w:type="dxa"/>
          </w:tblCellMar>
        </w:tblPrEx>
        <w:trPr>
          <w:trHeight w:val="555" w:hRule="atLeast"/>
          <w:jc w:val="center"/>
        </w:trPr>
        <w:tc>
          <w:tcPr>
            <w:tcW w:w="797" w:type="dxa"/>
            <w:tcBorders>
              <w:top w:val="nil"/>
              <w:left w:val="single" w:color="auto" w:sz="8" w:space="0"/>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p>
        </w:tc>
        <w:tc>
          <w:tcPr>
            <w:tcW w:w="2552"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综合布线系统</w:t>
            </w:r>
          </w:p>
        </w:tc>
        <w:tc>
          <w:tcPr>
            <w:tcW w:w="4678"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《办公室点位登记表》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《弱电井点位登记表》</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《电话登记表》</w:t>
            </w:r>
          </w:p>
        </w:tc>
      </w:tr>
      <w:tr>
        <w:tblPrEx>
          <w:tblCellMar>
            <w:top w:w="0" w:type="dxa"/>
            <w:left w:w="108" w:type="dxa"/>
            <w:bottom w:w="0" w:type="dxa"/>
            <w:right w:w="108" w:type="dxa"/>
          </w:tblCellMar>
        </w:tblPrEx>
        <w:trPr>
          <w:trHeight w:val="285" w:hRule="atLeast"/>
          <w:jc w:val="center"/>
        </w:trPr>
        <w:tc>
          <w:tcPr>
            <w:tcW w:w="797" w:type="dxa"/>
            <w:tcBorders>
              <w:top w:val="nil"/>
              <w:left w:val="single" w:color="auto" w:sz="8" w:space="0"/>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2552"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运维服务管理规范化建设</w:t>
            </w:r>
          </w:p>
        </w:tc>
        <w:tc>
          <w:tcPr>
            <w:tcW w:w="4678" w:type="dxa"/>
            <w:tcBorders>
              <w:top w:val="nil"/>
              <w:left w:val="nil"/>
              <w:bottom w:val="single" w:color="auto" w:sz="8" w:space="0"/>
              <w:right w:val="single" w:color="auto" w:sz="8" w:space="0"/>
            </w:tcBorders>
            <w:noWrap w:val="0"/>
            <w:vAlign w:val="center"/>
          </w:tcPr>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运维体系更新的相关制度、流程文档</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服务改进报告等</w:t>
            </w:r>
          </w:p>
          <w:p>
            <w:pPr>
              <w:tabs>
                <w:tab w:val="left" w:pos="851"/>
                <w:tab w:val="left" w:pos="1134"/>
              </w:tabs>
              <w:autoSpaceDE w:val="0"/>
              <w:autoSpaceDN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《机房管理制度》</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《运维人员/小组绩效考核管理流程及文档》</w:t>
            </w:r>
          </w:p>
          <w:p>
            <w:pPr>
              <w:widowControl/>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《日常问题处理流程流程及文档》（不涉及系统变更）</w:t>
            </w:r>
          </w:p>
        </w:tc>
      </w:tr>
    </w:tbl>
    <w:p>
      <w:pPr>
        <w:rPr>
          <w:rFonts w:hint="eastAsia" w:asciiTheme="minorEastAsia" w:hAnsiTheme="minorEastAsia" w:eastAsiaTheme="minorEastAsia" w:cstheme="minorEastAsia"/>
          <w:color w:val="auto"/>
          <w:sz w:val="24"/>
          <w:szCs w:val="24"/>
          <w:highlight w:val="none"/>
        </w:rPr>
      </w:pPr>
    </w:p>
    <w:p>
      <w:pPr>
        <w:pStyle w:val="4"/>
        <w:numPr>
          <w:ilvl w:val="0"/>
          <w:numId w:val="7"/>
        </w:numP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违约责任</w:t>
      </w:r>
    </w:p>
    <w:p>
      <w:pPr>
        <w:pStyle w:val="25"/>
        <w:numPr>
          <w:ilvl w:val="0"/>
          <w:numId w:val="14"/>
        </w:numPr>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驻点人员应严格遵守业主方作息时间安排，无正当理由未按照要求上下班的，每发生一次承担500元的违约责任，三次以上未响应的，每次承担合同金额的1%的违约责任。</w:t>
      </w:r>
    </w:p>
    <w:p>
      <w:pPr>
        <w:pStyle w:val="25"/>
        <w:numPr>
          <w:ilvl w:val="0"/>
          <w:numId w:val="14"/>
        </w:numPr>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应及时对机房及综合布线系统进行维护。</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未及时响应故障或用户要求的，每发生一次承担2000元的违约责任、三次以上未及时响应故障，每次承担合同金额的1%的违约责任；如</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对发生的故障长时间不能处理或违约赔偿费额度达到合同总价的10%的，用户可单方面解除合同。</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除承担上述违约责任外，还应承担因合同被解除给用户方造成的合同金额 5%的损失责任。</w:t>
      </w:r>
    </w:p>
    <w:p>
      <w:pPr>
        <w:pStyle w:val="25"/>
        <w:numPr>
          <w:ilvl w:val="0"/>
          <w:numId w:val="14"/>
        </w:numPr>
        <w:spacing w:line="360" w:lineRule="auto"/>
        <w:ind w:firstLineChars="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用户方有权定期或不定期检查维护质量，对</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未达要求的，有权核减相应的维护费用，并可解除合同。</w:t>
      </w:r>
      <w:r>
        <w:rPr>
          <w:rFonts w:hint="eastAsia" w:asciiTheme="minorEastAsia" w:hAnsiTheme="minorEastAsia" w:eastAsiaTheme="minorEastAsia" w:cstheme="minorEastAsia"/>
          <w:color w:val="auto"/>
          <w:sz w:val="24"/>
          <w:szCs w:val="24"/>
          <w:highlight w:val="none"/>
          <w:lang w:eastAsia="zh-CN"/>
        </w:rPr>
        <w:t>投标人</w:t>
      </w:r>
      <w:r>
        <w:rPr>
          <w:rFonts w:hint="eastAsia" w:asciiTheme="minorEastAsia" w:hAnsiTheme="minorEastAsia" w:eastAsiaTheme="minorEastAsia" w:cstheme="minorEastAsia"/>
          <w:color w:val="auto"/>
          <w:sz w:val="24"/>
          <w:szCs w:val="24"/>
          <w:highlight w:val="none"/>
        </w:rPr>
        <w:t>除承担合同金额100%违约责任外，还应承担因合同被解除给用户方造成的合同金额5%的损失责任。</w:t>
      </w:r>
    </w:p>
    <w:p>
      <w:pPr>
        <w:pStyle w:val="25"/>
        <w:numPr>
          <w:ilvl w:val="0"/>
          <w:numId w:val="14"/>
        </w:numPr>
        <w:spacing w:line="360" w:lineRule="auto"/>
        <w:ind w:firstLineChars="0"/>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投标人必须按国家的劳动法律法规规定企业员工确立合法的劳资关系，签订用工劳务合同，为企业员工办理养老、医疗等基本社会保险，并为作业人员办理有关工伤人身意外保险手续。若员工在作业过程中发生意外事故，必须按有关规定处理，一切经济损失和各项费用由投标人承担，与用户方无关。</w:t>
      </w:r>
    </w:p>
    <w:p>
      <w:pPr>
        <w:pStyle w:val="25"/>
        <w:numPr>
          <w:ilvl w:val="0"/>
          <w:numId w:val="7"/>
        </w:numPr>
        <w:spacing w:line="360" w:lineRule="auto"/>
        <w:ind w:left="720" w:leftChars="0" w:hanging="720" w:firstLineChars="0"/>
        <w:rPr>
          <w:rFonts w:hint="eastAsia" w:asciiTheme="minorEastAsia" w:hAnsiTheme="minorEastAsia" w:eastAsiaTheme="minorEastAsia" w:cstheme="minorEastAsia"/>
          <w:b/>
          <w:color w:val="auto"/>
          <w:kern w:val="2"/>
          <w:sz w:val="24"/>
          <w:szCs w:val="24"/>
          <w:highlight w:val="none"/>
          <w:lang w:val="en-US" w:eastAsia="zh-CN" w:bidi="ar-SA"/>
        </w:rPr>
      </w:pPr>
      <w:r>
        <w:rPr>
          <w:rFonts w:hint="eastAsia" w:asciiTheme="minorEastAsia" w:hAnsiTheme="minorEastAsia" w:eastAsiaTheme="minorEastAsia" w:cstheme="minorEastAsia"/>
          <w:b/>
          <w:color w:val="auto"/>
          <w:kern w:val="2"/>
          <w:sz w:val="24"/>
          <w:szCs w:val="24"/>
          <w:highlight w:val="none"/>
          <w:lang w:val="en-US" w:eastAsia="zh-CN" w:bidi="ar-SA"/>
        </w:rPr>
        <w:t>服务满意考核标准</w:t>
      </w:r>
    </w:p>
    <w:p>
      <w:pPr>
        <w:pStyle w:val="25"/>
        <w:numPr>
          <w:ilvl w:val="0"/>
          <w:numId w:val="0"/>
        </w:numPr>
        <w:spacing w:line="360" w:lineRule="auto"/>
        <w:ind w:leftChars="0"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由招标人按照以下三方面情况进行评分，分值100分。</w:t>
      </w:r>
    </w:p>
    <w:p>
      <w:pPr>
        <w:pStyle w:val="25"/>
        <w:numPr>
          <w:ilvl w:val="0"/>
          <w:numId w:val="0"/>
        </w:numPr>
        <w:spacing w:line="360" w:lineRule="auto"/>
        <w:ind w:leftChars="0"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一、人员到岗到位情况20分；</w:t>
      </w:r>
    </w:p>
    <w:p>
      <w:pPr>
        <w:pStyle w:val="25"/>
        <w:numPr>
          <w:ilvl w:val="0"/>
          <w:numId w:val="0"/>
        </w:numPr>
        <w:spacing w:line="360" w:lineRule="auto"/>
        <w:ind w:leftChars="0"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二、服务水平及能力60分；</w:t>
      </w:r>
    </w:p>
    <w:p>
      <w:pPr>
        <w:pStyle w:val="25"/>
        <w:numPr>
          <w:ilvl w:val="0"/>
          <w:numId w:val="0"/>
        </w:numPr>
        <w:spacing w:line="360" w:lineRule="auto"/>
        <w:ind w:leftChars="0" w:firstLine="480" w:firstLineChars="200"/>
        <w:rPr>
          <w:rFonts w:hint="eastAsia" w:asciiTheme="minorEastAsia" w:hAnsiTheme="minorEastAsia" w:eastAsiaTheme="minorEastAsia" w:cstheme="minorEastAsia"/>
          <w:b w:val="0"/>
          <w:bCs/>
          <w:color w:val="auto"/>
          <w:kern w:val="2"/>
          <w:sz w:val="24"/>
          <w:szCs w:val="24"/>
          <w:highlight w:val="none"/>
          <w:lang w:val="en-US" w:eastAsia="zh-CN" w:bidi="ar-SA"/>
        </w:rPr>
      </w:pPr>
      <w:r>
        <w:rPr>
          <w:rFonts w:hint="eastAsia" w:asciiTheme="minorEastAsia" w:hAnsiTheme="minorEastAsia" w:eastAsiaTheme="minorEastAsia" w:cstheme="minorEastAsia"/>
          <w:b w:val="0"/>
          <w:bCs/>
          <w:color w:val="auto"/>
          <w:kern w:val="2"/>
          <w:sz w:val="24"/>
          <w:szCs w:val="24"/>
          <w:highlight w:val="none"/>
          <w:lang w:val="en-US" w:eastAsia="zh-CN" w:bidi="ar-SA"/>
        </w:rPr>
        <w:t>三、资料完整度20分。</w:t>
      </w:r>
    </w:p>
    <w:p>
      <w:pPr>
        <w:pStyle w:val="25"/>
        <w:numPr>
          <w:ilvl w:val="0"/>
          <w:numId w:val="0"/>
        </w:numPr>
        <w:spacing w:line="360" w:lineRule="auto"/>
        <w:ind w:leftChars="0" w:firstLine="480" w:firstLineChars="200"/>
        <w:rPr>
          <w:rFonts w:hint="eastAsia" w:asciiTheme="minorEastAsia" w:hAnsiTheme="minorEastAsia" w:eastAsiaTheme="minorEastAsia" w:cstheme="minorEastAsia"/>
          <w:b w:val="0"/>
          <w:bCs/>
          <w:color w:val="auto"/>
          <w:sz w:val="24"/>
          <w:szCs w:val="24"/>
          <w:highlight w:val="none"/>
          <w:lang w:val="zh-CN"/>
        </w:rPr>
      </w:pPr>
      <w:r>
        <w:rPr>
          <w:rFonts w:hint="eastAsia" w:asciiTheme="minorEastAsia" w:hAnsiTheme="minorEastAsia" w:eastAsiaTheme="minorEastAsia" w:cstheme="minorEastAsia"/>
          <w:b w:val="0"/>
          <w:bCs/>
          <w:color w:val="auto"/>
          <w:kern w:val="2"/>
          <w:sz w:val="24"/>
          <w:szCs w:val="24"/>
          <w:highlight w:val="none"/>
          <w:lang w:val="en-US" w:eastAsia="zh-CN" w:bidi="ar-SA"/>
        </w:rPr>
        <w:t>每季度评分60分以上且年平均分70分以上为良好，每季度评分70分以上且年平均分80分以上为优秀。</w:t>
      </w:r>
    </w:p>
    <w:p>
      <w:pPr>
        <w:autoSpaceDE w:val="0"/>
        <w:autoSpaceDN w:val="0"/>
        <w:adjustRightInd w:val="0"/>
        <w:spacing w:before="120" w:after="120" w:line="360" w:lineRule="auto"/>
        <w:rPr>
          <w:rFonts w:hint="eastAsia" w:asciiTheme="minorEastAsia" w:hAnsiTheme="minorEastAsia" w:eastAsiaTheme="minorEastAsia" w:cstheme="minorEastAsia"/>
          <w:b/>
          <w:bCs/>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zh-CN"/>
        </w:rPr>
        <w:t>三、商务需求</w:t>
      </w:r>
    </w:p>
    <w:p>
      <w:pPr>
        <w:autoSpaceDE w:val="0"/>
        <w:autoSpaceDN w:val="0"/>
        <w:adjustRightInd w:val="0"/>
        <w:spacing w:before="120" w:after="120" w:line="360" w:lineRule="auto"/>
        <w:rPr>
          <w:rFonts w:hint="eastAsia" w:asciiTheme="minorEastAsia" w:hAnsiTheme="minorEastAsia" w:eastAsiaTheme="minorEastAsia" w:cstheme="minorEastAsia"/>
          <w:b/>
          <w:bCs/>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zh-CN"/>
        </w:rPr>
        <w:t>1、维保期：</w:t>
      </w:r>
      <w:r>
        <w:rPr>
          <w:rFonts w:hint="eastAsia" w:asciiTheme="minorEastAsia" w:hAnsiTheme="minorEastAsia" w:eastAsiaTheme="minorEastAsia" w:cstheme="minorEastAsia"/>
          <w:b/>
          <w:bCs/>
          <w:color w:val="auto"/>
          <w:kern w:val="0"/>
          <w:sz w:val="24"/>
          <w:szCs w:val="24"/>
          <w:highlight w:val="none"/>
          <w:lang w:val="zh-CN" w:eastAsia="zh-CN"/>
        </w:rPr>
        <w:t>维保期</w:t>
      </w:r>
      <w:r>
        <w:rPr>
          <w:rFonts w:hint="eastAsia" w:asciiTheme="minorEastAsia" w:hAnsiTheme="minorEastAsia" w:eastAsiaTheme="minorEastAsia" w:cstheme="minorEastAsia"/>
          <w:b/>
          <w:bCs/>
          <w:color w:val="auto"/>
          <w:kern w:val="0"/>
          <w:sz w:val="24"/>
          <w:szCs w:val="24"/>
          <w:highlight w:val="none"/>
          <w:lang w:val="zh-CN"/>
        </w:rPr>
        <w:t>_</w:t>
      </w:r>
      <w:r>
        <w:rPr>
          <w:rFonts w:hint="eastAsia" w:asciiTheme="minorEastAsia" w:hAnsiTheme="minorEastAsia" w:eastAsiaTheme="minorEastAsia" w:cstheme="minorEastAsia"/>
          <w:b/>
          <w:bCs/>
          <w:color w:val="auto"/>
          <w:kern w:val="0"/>
          <w:sz w:val="24"/>
          <w:szCs w:val="24"/>
          <w:highlight w:val="none"/>
          <w:lang w:val="zh-CN" w:eastAsia="zh-CN"/>
        </w:rPr>
        <w:t>3</w:t>
      </w:r>
      <w:r>
        <w:rPr>
          <w:rFonts w:hint="eastAsia" w:asciiTheme="minorEastAsia" w:hAnsiTheme="minorEastAsia" w:eastAsiaTheme="minorEastAsia" w:cstheme="minorEastAsia"/>
          <w:b/>
          <w:bCs/>
          <w:color w:val="auto"/>
          <w:kern w:val="0"/>
          <w:sz w:val="24"/>
          <w:szCs w:val="24"/>
          <w:highlight w:val="none"/>
          <w:lang w:val="zh-CN"/>
        </w:rPr>
        <w:t>_年。（自合同签订之日起计，合同一年一签）</w:t>
      </w:r>
    </w:p>
    <w:p>
      <w:pPr>
        <w:autoSpaceDE w:val="0"/>
        <w:autoSpaceDN w:val="0"/>
        <w:adjustRightInd w:val="0"/>
        <w:spacing w:before="120" w:after="120" w:line="360" w:lineRule="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zh-CN"/>
        </w:rPr>
        <w:t>2、服务时间及地点：</w:t>
      </w:r>
      <w:r>
        <w:rPr>
          <w:rFonts w:hint="eastAsia" w:asciiTheme="minorEastAsia" w:hAnsiTheme="minorEastAsia" w:eastAsiaTheme="minorEastAsia" w:cstheme="minorEastAsia"/>
          <w:color w:val="auto"/>
          <w:kern w:val="0"/>
          <w:sz w:val="24"/>
          <w:szCs w:val="24"/>
          <w:highlight w:val="none"/>
          <w:lang w:val="zh-CN"/>
        </w:rPr>
        <w:t>同前面“招标项目一览表”内所填的相关内容。</w:t>
      </w:r>
    </w:p>
    <w:p>
      <w:pPr>
        <w:autoSpaceDE w:val="0"/>
        <w:autoSpaceDN w:val="0"/>
        <w:adjustRightInd w:val="0"/>
        <w:spacing w:before="120" w:after="120" w:line="360" w:lineRule="auto"/>
        <w:rPr>
          <w:rFonts w:hint="eastAsia" w:asciiTheme="minorEastAsia" w:hAnsiTheme="minorEastAsia" w:eastAsiaTheme="minorEastAsia" w:cstheme="minorEastAsia"/>
          <w:b/>
          <w:bCs/>
          <w:color w:val="auto"/>
          <w:kern w:val="0"/>
          <w:sz w:val="24"/>
          <w:szCs w:val="24"/>
          <w:highlight w:val="none"/>
          <w:lang w:val="zh-CN"/>
        </w:rPr>
      </w:pPr>
      <w:r>
        <w:rPr>
          <w:rFonts w:hint="eastAsia" w:asciiTheme="minorEastAsia" w:hAnsiTheme="minorEastAsia" w:eastAsiaTheme="minorEastAsia" w:cstheme="minorEastAsia"/>
          <w:b/>
          <w:bCs/>
          <w:color w:val="auto"/>
          <w:kern w:val="0"/>
          <w:sz w:val="24"/>
          <w:szCs w:val="24"/>
          <w:highlight w:val="none"/>
          <w:lang w:val="zh-CN"/>
        </w:rPr>
        <w:t>3、付款条件：</w:t>
      </w:r>
    </w:p>
    <w:p>
      <w:pPr>
        <w:autoSpaceDE w:val="0"/>
        <w:autoSpaceDN w:val="0"/>
        <w:adjustRightInd w:val="0"/>
        <w:spacing w:before="120" w:after="120" w:line="360" w:lineRule="auto"/>
        <w:ind w:firstLine="525"/>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在财政资金到位的前提下，</w:t>
      </w:r>
      <w:r>
        <w:rPr>
          <w:rFonts w:hint="eastAsia" w:asciiTheme="minorEastAsia" w:hAnsiTheme="minorEastAsia" w:eastAsiaTheme="minorEastAsia" w:cstheme="minorEastAsia"/>
          <w:color w:val="auto"/>
          <w:kern w:val="0"/>
          <w:sz w:val="24"/>
          <w:szCs w:val="24"/>
          <w:highlight w:val="none"/>
          <w:lang w:val="zh-CN"/>
        </w:rPr>
        <w:t>合同签订后</w:t>
      </w:r>
      <w:r>
        <w:rPr>
          <w:rFonts w:hint="eastAsia" w:asciiTheme="minorEastAsia" w:hAnsiTheme="minorEastAsia" w:eastAsiaTheme="minorEastAsia" w:cstheme="minorEastAsia"/>
          <w:color w:val="auto"/>
          <w:kern w:val="0"/>
          <w:sz w:val="24"/>
          <w:szCs w:val="24"/>
          <w:highlight w:val="none"/>
          <w:lang w:val="en-US" w:eastAsia="zh-CN"/>
        </w:rPr>
        <w:t>7个工作日内支付合同金额的40%</w:t>
      </w:r>
      <w:r>
        <w:rPr>
          <w:rFonts w:hint="eastAsia" w:asciiTheme="minorEastAsia" w:hAnsiTheme="minorEastAsia" w:eastAsiaTheme="minorEastAsia" w:cstheme="minorEastAsia"/>
          <w:color w:val="auto"/>
          <w:kern w:val="0"/>
          <w:sz w:val="24"/>
          <w:szCs w:val="24"/>
          <w:highlight w:val="none"/>
          <w:lang w:val="zh-CN"/>
        </w:rPr>
        <w:t>，按标书及投标要求提供半年维保服务后支付合同款项的</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zh-CN"/>
        </w:rPr>
        <w:t>0%，剩余</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zh-CN"/>
        </w:rPr>
        <w:t>0%等合同期满后由采购人进行考核，考核合格后支付。</w:t>
      </w:r>
      <w:r>
        <w:rPr>
          <w:rFonts w:hint="eastAsia" w:asciiTheme="minorEastAsia" w:hAnsiTheme="minorEastAsia" w:eastAsiaTheme="minorEastAsia" w:cstheme="minorEastAsia"/>
          <w:bCs/>
          <w:color w:val="auto"/>
          <w:sz w:val="24"/>
          <w:szCs w:val="24"/>
          <w:highlight w:val="none"/>
        </w:rPr>
        <w:t>（每年合同金额为中标价的三分之一）</w:t>
      </w:r>
    </w:p>
    <w:p>
      <w:pPr>
        <w:widowControl w:val="0"/>
        <w:spacing w:line="360" w:lineRule="auto"/>
        <w:ind w:firstLine="480" w:firstLineChars="20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cs="宋体"/>
          <w:bCs/>
          <w:color w:val="auto"/>
          <w:sz w:val="24"/>
          <w:szCs w:val="24"/>
          <w:highlight w:val="none"/>
          <w:lang w:val="en-US" w:eastAsia="zh-CN"/>
        </w:rPr>
        <w:t>合同一年一签，</w:t>
      </w:r>
      <w:r>
        <w:rPr>
          <w:rFonts w:hint="eastAsia" w:asciiTheme="minorEastAsia" w:hAnsiTheme="minorEastAsia" w:eastAsiaTheme="minorEastAsia" w:cstheme="minorEastAsia"/>
          <w:color w:val="auto"/>
          <w:kern w:val="2"/>
          <w:sz w:val="24"/>
          <w:szCs w:val="24"/>
          <w:highlight w:val="none"/>
          <w:lang w:val="en-US" w:eastAsia="zh-CN" w:bidi="ar-SA"/>
        </w:rPr>
        <w:t xml:space="preserve">期满后服务质量优秀，服务对象满意度高的，经采购人同意后，维保期可按年度续签延续，累计时间最长不超过3年。 </w:t>
      </w:r>
    </w:p>
    <w:p>
      <w:pPr>
        <w:snapToGrid w:val="0"/>
        <w:spacing w:line="470" w:lineRule="atLeast"/>
        <w:rPr>
          <w:rFonts w:hint="eastAsia" w:ascii="宋体" w:hAnsi="宋体"/>
          <w:color w:val="auto"/>
          <w:sz w:val="21"/>
          <w:szCs w:val="21"/>
          <w:highlight w:val="none"/>
        </w:rPr>
      </w:pPr>
    </w:p>
    <w:p>
      <w:pPr>
        <w:pStyle w:val="11"/>
        <w:snapToGrid w:val="0"/>
        <w:spacing w:before="120" w:beforeLines="0" w:after="120" w:afterLines="0" w:line="240" w:lineRule="auto"/>
        <w:ind w:firstLine="241" w:firstLineChars="100"/>
        <w:outlineLvl w:val="0"/>
        <w:rPr>
          <w:rFonts w:hint="eastAsia" w:asciiTheme="minorEastAsia" w:hAnsiTheme="minorEastAsia" w:eastAsiaTheme="minorEastAsia" w:cstheme="minorEastAsia"/>
          <w:b/>
          <w:bCs/>
          <w:color w:val="auto"/>
          <w:kern w:val="0"/>
          <w:sz w:val="24"/>
          <w:szCs w:val="24"/>
          <w:highlight w:val="none"/>
          <w:lang w:val="zh-CN" w:eastAsia="zh-CN" w:bidi="ar-SA"/>
        </w:rPr>
      </w:pPr>
      <w:r>
        <w:rPr>
          <w:rFonts w:hint="eastAsia" w:asciiTheme="minorEastAsia" w:hAnsiTheme="minorEastAsia" w:eastAsiaTheme="minorEastAsia" w:cstheme="minorEastAsia"/>
          <w:b/>
          <w:bCs/>
          <w:color w:val="auto"/>
          <w:kern w:val="0"/>
          <w:sz w:val="24"/>
          <w:szCs w:val="24"/>
          <w:highlight w:val="none"/>
          <w:lang w:val="zh-CN" w:eastAsia="zh-CN" w:bidi="ar-SA"/>
        </w:rPr>
        <w:t>三、商务需求表</w:t>
      </w:r>
    </w:p>
    <w:tbl>
      <w:tblPr>
        <w:tblStyle w:val="19"/>
        <w:tblW w:w="0" w:type="auto"/>
        <w:tblInd w:w="28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26"/>
        <w:gridCol w:w="71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4" w:hRule="atLeast"/>
        </w:trPr>
        <w:tc>
          <w:tcPr>
            <w:tcW w:w="152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招标范围</w:t>
            </w:r>
          </w:p>
        </w:tc>
        <w:tc>
          <w:tcPr>
            <w:tcW w:w="711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招标范围为采购人提供的采购文件及技术规格要求所包含的中心机房精密空调及UPS等设备维保项目。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4" w:hRule="atLeast"/>
        </w:trPr>
        <w:tc>
          <w:tcPr>
            <w:tcW w:w="152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zh-CN" w:eastAsia="zh-CN"/>
              </w:rPr>
              <w:t>服务时间及地点</w:t>
            </w:r>
          </w:p>
        </w:tc>
        <w:tc>
          <w:tcPr>
            <w:tcW w:w="711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zh-CN" w:eastAsia="zh-CN"/>
              </w:rPr>
              <w:t>同前面“招标项目一览表”内所填的相关内容。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526"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付款条件</w:t>
            </w:r>
          </w:p>
        </w:tc>
        <w:tc>
          <w:tcPr>
            <w:tcW w:w="7113"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adjustRightInd w:val="0"/>
              <w:spacing w:before="120" w:after="120" w:line="360" w:lineRule="auto"/>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rPr>
              <w:t>在财政资金到位的前提下，</w:t>
            </w:r>
            <w:r>
              <w:rPr>
                <w:rFonts w:hint="eastAsia" w:asciiTheme="minorEastAsia" w:hAnsiTheme="minorEastAsia" w:eastAsiaTheme="minorEastAsia" w:cstheme="minorEastAsia"/>
                <w:color w:val="auto"/>
                <w:kern w:val="0"/>
                <w:sz w:val="24"/>
                <w:szCs w:val="24"/>
                <w:highlight w:val="none"/>
                <w:lang w:val="zh-CN"/>
              </w:rPr>
              <w:t>合同签订后</w:t>
            </w:r>
            <w:r>
              <w:rPr>
                <w:rFonts w:hint="eastAsia" w:asciiTheme="minorEastAsia" w:hAnsiTheme="minorEastAsia" w:eastAsiaTheme="minorEastAsia" w:cstheme="minorEastAsia"/>
                <w:color w:val="auto"/>
                <w:kern w:val="0"/>
                <w:sz w:val="24"/>
                <w:szCs w:val="24"/>
                <w:highlight w:val="none"/>
                <w:lang w:val="en-US" w:eastAsia="zh-CN"/>
              </w:rPr>
              <w:t>7个工作日内支付合同金额的40%</w:t>
            </w:r>
            <w:r>
              <w:rPr>
                <w:rFonts w:hint="eastAsia" w:asciiTheme="minorEastAsia" w:hAnsiTheme="minorEastAsia" w:eastAsiaTheme="minorEastAsia" w:cstheme="minorEastAsia"/>
                <w:color w:val="auto"/>
                <w:kern w:val="0"/>
                <w:sz w:val="24"/>
                <w:szCs w:val="24"/>
                <w:highlight w:val="none"/>
                <w:lang w:val="zh-CN"/>
              </w:rPr>
              <w:t>，按标书及投标要求提供半年维保服务后支付合同款项的</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zh-CN"/>
              </w:rPr>
              <w:t>0%，剩余</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zh-CN"/>
              </w:rPr>
              <w:t>0%等合同期满后由采购人进行考核，考核合格后支付。</w:t>
            </w:r>
            <w:r>
              <w:rPr>
                <w:rFonts w:hint="eastAsia" w:asciiTheme="minorEastAsia" w:hAnsiTheme="minorEastAsia" w:eastAsiaTheme="minorEastAsia" w:cstheme="minorEastAsia"/>
                <w:bCs/>
                <w:color w:val="auto"/>
                <w:sz w:val="24"/>
                <w:szCs w:val="24"/>
                <w:highlight w:val="none"/>
              </w:rPr>
              <w:t>（每年合同金额为中标价的三分之一）</w:t>
            </w:r>
          </w:p>
          <w:p>
            <w:pPr>
              <w:widowControl w:val="0"/>
              <w:spacing w:line="360" w:lineRule="auto"/>
              <w:jc w:val="both"/>
              <w:rPr>
                <w:rFonts w:hint="eastAsia" w:asciiTheme="minorEastAsia" w:hAnsiTheme="minorEastAsia" w:eastAsiaTheme="minorEastAsia" w:cstheme="minorEastAsia"/>
                <w:color w:val="auto"/>
                <w:kern w:val="0"/>
                <w:sz w:val="24"/>
                <w:szCs w:val="24"/>
                <w:highlight w:val="none"/>
                <w:lang w:val="en-US" w:eastAsia="zh-CN"/>
              </w:rPr>
            </w:pPr>
            <w:r>
              <w:rPr>
                <w:rFonts w:hint="eastAsia" w:cs="宋体"/>
                <w:bCs/>
                <w:color w:val="auto"/>
                <w:sz w:val="24"/>
                <w:szCs w:val="24"/>
                <w:highlight w:val="none"/>
                <w:lang w:val="en-US" w:eastAsia="zh-CN"/>
              </w:rPr>
              <w:t>合同一年一签，</w:t>
            </w:r>
            <w:r>
              <w:rPr>
                <w:rFonts w:hint="eastAsia" w:asciiTheme="minorEastAsia" w:hAnsiTheme="minorEastAsia" w:eastAsiaTheme="minorEastAsia" w:cstheme="minorEastAsia"/>
                <w:color w:val="auto"/>
                <w:kern w:val="2"/>
                <w:sz w:val="24"/>
                <w:szCs w:val="24"/>
                <w:highlight w:val="none"/>
                <w:lang w:val="en-US" w:eastAsia="zh-CN" w:bidi="ar-SA"/>
              </w:rPr>
              <w:t xml:space="preserve">期满后服务质量优秀，服务对象满意度高的，经采购人同意后，维保期可按年度续签延续，累计时间最长不超过3年。 </w:t>
            </w:r>
          </w:p>
        </w:tc>
      </w:tr>
    </w:tbl>
    <w:p>
      <w:pPr>
        <w:snapToGrid w:val="0"/>
        <w:spacing w:line="360" w:lineRule="auto"/>
        <w:ind w:firstLine="482" w:firstLineChars="200"/>
        <w:rPr>
          <w:rFonts w:asciiTheme="minorEastAsia" w:hAnsiTheme="minorEastAsia" w:eastAsiaTheme="minorEastAsia"/>
          <w:b/>
          <w:color w:val="auto"/>
          <w:sz w:val="24"/>
          <w:highlight w:val="none"/>
        </w:rPr>
      </w:pPr>
    </w:p>
    <w:p>
      <w:pPr>
        <w:rPr>
          <w:rFonts w:asciiTheme="minorEastAsia" w:hAnsiTheme="minorEastAsia" w:eastAsiaTheme="minorEastAsia"/>
          <w:b/>
          <w:color w:val="auto"/>
          <w:sz w:val="36"/>
          <w:szCs w:val="36"/>
          <w:highlight w:val="none"/>
        </w:rPr>
      </w:pPr>
      <w:bookmarkStart w:id="39" w:name="_Toc31173_WPSOffice_Level1"/>
      <w:r>
        <w:rPr>
          <w:rFonts w:hint="eastAsia" w:asciiTheme="minorEastAsia" w:hAnsiTheme="minorEastAsia" w:eastAsiaTheme="minorEastAsia"/>
          <w:b/>
          <w:color w:val="auto"/>
          <w:sz w:val="36"/>
          <w:szCs w:val="36"/>
          <w:highlight w:val="none"/>
        </w:rPr>
        <w:br w:type="page"/>
      </w:r>
    </w:p>
    <w:p>
      <w:pPr>
        <w:numPr>
          <w:ilvl w:val="0"/>
          <w:numId w:val="4"/>
        </w:numPr>
        <w:spacing w:line="360" w:lineRule="auto"/>
        <w:jc w:val="cente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t>评标</w:t>
      </w:r>
      <w:bookmarkEnd w:id="39"/>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一、评标方法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综合评分法,是指投标文件满足招标文件全部实质性要求，且按照评审因素的量化指标评审得分最高的投标人为</w:t>
      </w:r>
      <w:r>
        <w:rPr>
          <w:rFonts w:hint="eastAsia" w:ascii="宋体" w:hAnsi="宋体" w:cs="宋体"/>
          <w:color w:val="auto"/>
          <w:sz w:val="24"/>
          <w:highlight w:val="none"/>
          <w:lang w:eastAsia="zh-CN"/>
        </w:rPr>
        <w:t>第一</w:t>
      </w:r>
      <w:r>
        <w:rPr>
          <w:rFonts w:hint="eastAsia" w:ascii="宋体" w:hAnsi="宋体" w:cs="宋体"/>
          <w:color w:val="auto"/>
          <w:sz w:val="24"/>
          <w:highlight w:val="none"/>
        </w:rPr>
        <w:t>中标候选人</w:t>
      </w:r>
      <w:r>
        <w:rPr>
          <w:rFonts w:hint="eastAsia" w:ascii="宋体" w:hAnsi="宋体" w:cs="宋体"/>
          <w:color w:val="auto"/>
          <w:sz w:val="24"/>
          <w:highlight w:val="none"/>
          <w:lang w:eastAsia="zh-CN"/>
        </w:rPr>
        <w:t>，次</w:t>
      </w:r>
      <w:r>
        <w:rPr>
          <w:rFonts w:hint="eastAsia" w:ascii="宋体" w:hAnsi="宋体" w:cs="宋体"/>
          <w:color w:val="auto"/>
          <w:sz w:val="24"/>
          <w:highlight w:val="none"/>
        </w:rPr>
        <w:t>高的投标人为</w:t>
      </w:r>
      <w:r>
        <w:rPr>
          <w:rFonts w:hint="eastAsia" w:ascii="宋体" w:hAnsi="宋体" w:cs="宋体"/>
          <w:color w:val="auto"/>
          <w:sz w:val="24"/>
          <w:highlight w:val="none"/>
          <w:lang w:eastAsia="zh-CN"/>
        </w:rPr>
        <w:t>第二</w:t>
      </w:r>
      <w:r>
        <w:rPr>
          <w:rFonts w:hint="eastAsia" w:ascii="宋体" w:hAnsi="宋体" w:cs="宋体"/>
          <w:color w:val="auto"/>
          <w:sz w:val="24"/>
          <w:highlight w:val="none"/>
        </w:rPr>
        <w:t>中标候选人的评标方法。</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二、评标原则</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（一）评标活动遵循公平、公正、科学和择优的原则，以招标文件和投标文件为评标的基本依据，并按照招标文件规定的评标方法和评标标准进行评标。</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（二）任何单位和个人不得干扰、影响评标的正常进行；评标委员会及有关工作人员应不带任何倾向性和启发性，不得向外界透露任何与评标有关的内容，不得私下与投标人接触。</w:t>
      </w:r>
    </w:p>
    <w:p>
      <w:pPr>
        <w:pStyle w:val="18"/>
        <w:spacing w:after="0" w:line="360" w:lineRule="auto"/>
        <w:ind w:left="0" w:leftChars="0"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三、评标委员会</w:t>
      </w:r>
    </w:p>
    <w:p>
      <w:pPr>
        <w:pStyle w:val="7"/>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（一）本项目评标委员会由采购人代表和评审专家组成。</w:t>
      </w:r>
    </w:p>
    <w:p>
      <w:pPr>
        <w:pStyle w:val="7"/>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（二）评标委员会成员</w:t>
      </w:r>
      <w:r>
        <w:rPr>
          <w:rFonts w:hint="eastAsia" w:ascii="宋体" w:hAnsi="宋体" w:cs="宋体"/>
          <w:color w:val="auto"/>
          <w:sz w:val="24"/>
          <w:szCs w:val="24"/>
          <w:highlight w:val="none"/>
          <w:lang w:val="en-US" w:eastAsia="zh-CN"/>
        </w:rPr>
        <w:t>与参与投标的供应商</w:t>
      </w:r>
      <w:r>
        <w:rPr>
          <w:rFonts w:hint="eastAsia" w:ascii="宋体" w:hAnsi="宋体" w:cs="宋体"/>
          <w:color w:val="auto"/>
          <w:sz w:val="24"/>
          <w:szCs w:val="24"/>
          <w:highlight w:val="none"/>
        </w:rPr>
        <w:t>有下列情形之一的，应当回避：</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1.参加采购活动前3年内与供应商存在劳动关系；</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2.参加采购活动前3年内担任供应商的董事、监事；</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3.参加采购活动前3年内是供应商的控股股东或者实际控制人；</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4.与供应商的法定代表人或者负责人有夫妻、直系血亲、三代以内旁系血亲或者近姻亲关系；</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5.与供应商有其他可能影响政府采购活动公平、公正进行的关系。</w:t>
      </w:r>
    </w:p>
    <w:p>
      <w:pPr>
        <w:pStyle w:val="7"/>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（三）评标委员会负责具体评标事务，并独立履行下列职责：</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1.审查、评价投标文件是否符合招标文件的商务、技术等实质性要求；</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2.要求投标人对投标文件有关事项作出澄清或者说明；</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3.对投标文件进行比较和评价；</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4.确定中标候选人名单，以及根据采购人委托直接确定中标人；</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5.向采购人、采购组织机构或者有关部门报告评标中发现的违法行为；</w:t>
      </w:r>
    </w:p>
    <w:p>
      <w:pPr>
        <w:pStyle w:val="7"/>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6.法律法规规定的其他职责。</w:t>
      </w:r>
    </w:p>
    <w:p>
      <w:pPr>
        <w:pStyle w:val="16"/>
        <w:spacing w:before="0" w:beforeAutospacing="0" w:after="0" w:afterAutospacing="0" w:line="360" w:lineRule="auto"/>
        <w:ind w:firstLine="482" w:firstLineChars="200"/>
        <w:jc w:val="both"/>
        <w:rPr>
          <w:rFonts w:hint="default" w:asciiTheme="minorEastAsia" w:hAnsiTheme="minorEastAsia" w:eastAsiaTheme="minorEastAsia"/>
          <w:b/>
          <w:color w:val="auto"/>
          <w:highlight w:val="none"/>
        </w:rPr>
      </w:pPr>
      <w:r>
        <w:rPr>
          <w:rFonts w:asciiTheme="minorEastAsia" w:hAnsiTheme="minorEastAsia" w:eastAsiaTheme="minorEastAsia"/>
          <w:b/>
          <w:color w:val="auto"/>
          <w:highlight w:val="none"/>
        </w:rPr>
        <w:t>四、无效标情形</w:t>
      </w:r>
    </w:p>
    <w:p>
      <w:pPr>
        <w:adjustRightInd w:val="0"/>
        <w:snapToGrid w:val="0"/>
        <w:spacing w:line="360" w:lineRule="auto"/>
        <w:ind w:firstLine="480"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kern w:val="0"/>
          <w:sz w:val="24"/>
          <w:highlight w:val="none"/>
        </w:rPr>
        <w:t>（一）在资格证明</w:t>
      </w:r>
      <w:r>
        <w:rPr>
          <w:rFonts w:hint="eastAsia" w:asciiTheme="minorEastAsia" w:hAnsiTheme="minorEastAsia" w:eastAsiaTheme="minorEastAsia"/>
          <w:color w:val="auto"/>
          <w:kern w:val="0"/>
          <w:sz w:val="24"/>
          <w:highlight w:val="none"/>
          <w:lang w:eastAsia="zh-CN"/>
        </w:rPr>
        <w:t>文件</w:t>
      </w:r>
      <w:r>
        <w:rPr>
          <w:rFonts w:hint="eastAsia" w:asciiTheme="minorEastAsia" w:hAnsiTheme="minorEastAsia" w:eastAsiaTheme="minorEastAsia"/>
          <w:color w:val="auto"/>
          <w:kern w:val="0"/>
          <w:sz w:val="24"/>
          <w:highlight w:val="none"/>
        </w:rPr>
        <w:t>或商务与技术</w:t>
      </w:r>
      <w:r>
        <w:rPr>
          <w:rFonts w:hint="eastAsia" w:asciiTheme="minorEastAsia" w:hAnsiTheme="minorEastAsia" w:eastAsiaTheme="minorEastAsia"/>
          <w:color w:val="auto"/>
          <w:kern w:val="0"/>
          <w:sz w:val="24"/>
          <w:highlight w:val="none"/>
          <w:lang w:eastAsia="zh-CN"/>
        </w:rPr>
        <w:t>文件</w:t>
      </w:r>
      <w:r>
        <w:rPr>
          <w:rFonts w:hint="eastAsia" w:asciiTheme="minorEastAsia" w:hAnsiTheme="minorEastAsia" w:eastAsiaTheme="minorEastAsia"/>
          <w:color w:val="auto"/>
          <w:kern w:val="0"/>
          <w:sz w:val="24"/>
          <w:highlight w:val="none"/>
        </w:rPr>
        <w:t>中出现投标报价的，或者报价文件中报价的货物跟商务与技术文件中的投标货物出现重大偏差的；</w:t>
      </w:r>
    </w:p>
    <w:p>
      <w:pPr>
        <w:pStyle w:val="16"/>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（二）不具备招标文件中规定的资格要求的；</w:t>
      </w:r>
      <w:r>
        <w:rPr>
          <w:rFonts w:hint="default" w:asciiTheme="minorEastAsia" w:hAnsiTheme="minorEastAsia" w:eastAsiaTheme="minorEastAsia"/>
          <w:color w:val="auto"/>
          <w:highlight w:val="none"/>
        </w:rPr>
        <w:tab/>
      </w:r>
    </w:p>
    <w:p>
      <w:pPr>
        <w:pStyle w:val="16"/>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（三）投标文件含有采购人不能接受的附加条件的；</w:t>
      </w:r>
    </w:p>
    <w:p>
      <w:pPr>
        <w:pStyle w:val="8"/>
        <w:spacing w:line="360" w:lineRule="auto"/>
        <w:ind w:firstLine="480" w:firstLineChars="200"/>
        <w:jc w:val="both"/>
        <w:rPr>
          <w:rFonts w:asciiTheme="minorEastAsia" w:hAnsiTheme="minorEastAsia" w:eastAsiaTheme="minorEastAsia"/>
          <w:bCs/>
          <w:color w:val="auto"/>
          <w:kern w:val="0"/>
          <w:sz w:val="24"/>
          <w:highlight w:val="none"/>
        </w:rPr>
      </w:pPr>
      <w:r>
        <w:rPr>
          <w:rFonts w:hint="eastAsia" w:asciiTheme="minorEastAsia" w:hAnsiTheme="minorEastAsia" w:eastAsiaTheme="minorEastAsia"/>
          <w:color w:val="auto"/>
          <w:kern w:val="0"/>
          <w:sz w:val="24"/>
          <w:highlight w:val="none"/>
        </w:rPr>
        <w:t>（四）</w:t>
      </w:r>
      <w:r>
        <w:rPr>
          <w:rFonts w:hint="eastAsia" w:cs="Times New Roman" w:asciiTheme="minorEastAsia" w:hAnsiTheme="minorEastAsia" w:eastAsiaTheme="minorEastAsia"/>
          <w:color w:val="auto"/>
          <w:kern w:val="0"/>
          <w:sz w:val="24"/>
          <w:szCs w:val="24"/>
          <w:highlight w:val="none"/>
          <w:shd w:val="clear"/>
        </w:rPr>
        <w:t>评标委员会认为投标人的报价明显低于其他通过符合性审查投标人的报价，有可能影响产品质量或者不能诚信履约的，投标人在限定的时间内不能证明其报价合理性的，评标委员会应当将其作为无效投标处理；</w:t>
      </w:r>
    </w:p>
    <w:p>
      <w:pPr>
        <w:pStyle w:val="16"/>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（五）报价超过招标文件中规定的预算金额/最高限价</w:t>
      </w:r>
      <w:r>
        <w:rPr>
          <w:rFonts w:hint="eastAsia" w:asciiTheme="minorEastAsia" w:hAnsiTheme="minorEastAsia" w:eastAsiaTheme="minorEastAsia"/>
          <w:color w:val="auto"/>
          <w:highlight w:val="none"/>
          <w:lang w:eastAsia="zh-CN"/>
        </w:rPr>
        <w:t>或未填写投标报价的</w:t>
      </w:r>
      <w:r>
        <w:rPr>
          <w:rFonts w:asciiTheme="minorEastAsia" w:hAnsiTheme="minorEastAsia" w:eastAsiaTheme="minorEastAsia"/>
          <w:color w:val="auto"/>
          <w:highlight w:val="none"/>
        </w:rPr>
        <w:t xml:space="preserve">；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eastAsia="zh-CN"/>
        </w:rPr>
        <w:t>六</w:t>
      </w:r>
      <w:r>
        <w:rPr>
          <w:rFonts w:hint="eastAsia" w:asciiTheme="minorEastAsia" w:hAnsiTheme="minorEastAsia" w:eastAsiaTheme="minorEastAsia"/>
          <w:color w:val="auto"/>
          <w:kern w:val="0"/>
          <w:sz w:val="24"/>
          <w:highlight w:val="none"/>
        </w:rPr>
        <w:t>）投标参数未如实填写，完全复制粘贴招标参数的；</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eastAsia="zh-CN"/>
        </w:rPr>
        <w:t>七</w:t>
      </w:r>
      <w:r>
        <w:rPr>
          <w:rFonts w:hint="eastAsia" w:asciiTheme="minorEastAsia" w:hAnsiTheme="minorEastAsia" w:eastAsiaTheme="minorEastAsia"/>
          <w:color w:val="auto"/>
          <w:kern w:val="0"/>
          <w:sz w:val="24"/>
          <w:highlight w:val="none"/>
        </w:rPr>
        <w:t xml:space="preserve">）投标文件存在虚假材料的；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kern w:val="0"/>
          <w:sz w:val="24"/>
          <w:highlight w:val="none"/>
        </w:rPr>
      </w:pPr>
      <w:r>
        <w:rPr>
          <w:rFonts w:hint="eastAsia" w:asciiTheme="minorEastAsia" w:hAnsiTheme="minorEastAsia" w:eastAsiaTheme="minorEastAsia"/>
          <w:color w:val="auto"/>
          <w:kern w:val="0"/>
          <w:sz w:val="24"/>
          <w:highlight w:val="none"/>
        </w:rPr>
        <w:t>（</w:t>
      </w:r>
      <w:r>
        <w:rPr>
          <w:rFonts w:hint="eastAsia" w:asciiTheme="minorEastAsia" w:hAnsiTheme="minorEastAsia" w:eastAsiaTheme="minorEastAsia"/>
          <w:color w:val="auto"/>
          <w:kern w:val="0"/>
          <w:sz w:val="24"/>
          <w:highlight w:val="none"/>
          <w:lang w:eastAsia="zh-CN"/>
        </w:rPr>
        <w:t>八</w:t>
      </w:r>
      <w:r>
        <w:rPr>
          <w:rFonts w:hint="eastAsia" w:asciiTheme="minorEastAsia" w:hAnsiTheme="minorEastAsia" w:eastAsiaTheme="minorEastAsia"/>
          <w:color w:val="auto"/>
          <w:kern w:val="0"/>
          <w:sz w:val="24"/>
          <w:highlight w:val="none"/>
        </w:rPr>
        <w:t>）有</w:t>
      </w:r>
      <w:r>
        <w:rPr>
          <w:rFonts w:asciiTheme="minorEastAsia" w:hAnsiTheme="minorEastAsia" w:eastAsiaTheme="minorEastAsia"/>
          <w:color w:val="auto"/>
          <w:kern w:val="0"/>
          <w:sz w:val="24"/>
          <w:highlight w:val="none"/>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auto"/>
          <w:kern w:val="0"/>
          <w:sz w:val="24"/>
          <w:highlight w:val="none"/>
        </w:rPr>
        <w:t>，并移送采购监管部门</w:t>
      </w:r>
      <w:r>
        <w:rPr>
          <w:rFonts w:asciiTheme="minorEastAsia" w:hAnsiTheme="minorEastAsia" w:eastAsiaTheme="minorEastAsia"/>
          <w:color w:val="auto"/>
          <w:kern w:val="0"/>
          <w:sz w:val="24"/>
          <w:highlight w:val="none"/>
        </w:rPr>
        <w:t>：</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不同投标人的投标文件由同一单位或者个人编制；</w:t>
      </w:r>
    </w:p>
    <w:p>
      <w:pPr>
        <w:pStyle w:val="16"/>
        <w:spacing w:before="0" w:beforeAutospacing="0" w:after="0" w:afterAutospacing="0" w:line="360" w:lineRule="auto"/>
        <w:ind w:firstLine="480" w:firstLineChars="200"/>
        <w:jc w:val="both"/>
        <w:rPr>
          <w:rFonts w:hint="default" w:asciiTheme="minorEastAsia" w:hAnsiTheme="minorEastAsia" w:eastAsiaTheme="minorEastAsia"/>
          <w:color w:val="auto"/>
          <w:highlight w:val="none"/>
        </w:rPr>
      </w:pPr>
      <w:r>
        <w:rPr>
          <w:rFonts w:asciiTheme="minorEastAsia" w:hAnsiTheme="minorEastAsia" w:eastAsiaTheme="minorEastAsia"/>
          <w:color w:val="auto"/>
          <w:highlight w:val="none"/>
        </w:rPr>
        <w:t>2.不同投标人委托同一单位或者个人办理投标事宜；</w:t>
      </w:r>
    </w:p>
    <w:p>
      <w:pPr>
        <w:pStyle w:val="16"/>
        <w:spacing w:before="0" w:beforeAutospacing="0" w:after="0" w:afterAutospacing="0" w:line="360" w:lineRule="auto"/>
        <w:ind w:firstLine="480" w:firstLineChars="200"/>
        <w:jc w:val="both"/>
        <w:rPr>
          <w:rFonts w:hint="default" w:cs="Times New Roman" w:asciiTheme="minorEastAsia" w:hAnsiTheme="minorEastAsia" w:eastAsiaTheme="minorEastAsia"/>
          <w:color w:val="auto"/>
          <w:highlight w:val="none"/>
        </w:rPr>
      </w:pPr>
      <w:r>
        <w:rPr>
          <w:rFonts w:asciiTheme="minorEastAsia" w:hAnsiTheme="minorEastAsia" w:eastAsiaTheme="minorEastAsia"/>
          <w:color w:val="auto"/>
          <w:highlight w:val="none"/>
        </w:rPr>
        <w:t>3.不同投标人的投标文件</w:t>
      </w:r>
      <w:r>
        <w:rPr>
          <w:rFonts w:cs="Times New Roman" w:asciiTheme="minorEastAsia" w:hAnsiTheme="minorEastAsia" w:eastAsiaTheme="minorEastAsia"/>
          <w:color w:val="auto"/>
          <w:highlight w:val="none"/>
        </w:rPr>
        <w:t>载明的项目管理成员或者联系人员为同一人；</w:t>
      </w:r>
    </w:p>
    <w:p>
      <w:pPr>
        <w:pStyle w:val="16"/>
        <w:spacing w:before="0" w:beforeAutospacing="0" w:after="0" w:afterAutospacing="0" w:line="360" w:lineRule="auto"/>
        <w:ind w:firstLine="480" w:firstLineChars="200"/>
        <w:jc w:val="both"/>
        <w:rPr>
          <w:rFonts w:cs="Times New Roman" w:asciiTheme="minorEastAsia" w:hAnsiTheme="minorEastAsia" w:eastAsiaTheme="minorEastAsia"/>
          <w:color w:val="auto"/>
          <w:highlight w:val="none"/>
        </w:rPr>
      </w:pPr>
      <w:r>
        <w:rPr>
          <w:rFonts w:cs="Times New Roman" w:asciiTheme="minorEastAsia" w:hAnsiTheme="minorEastAsia" w:eastAsiaTheme="minorEastAsia"/>
          <w:color w:val="auto"/>
          <w:highlight w:val="none"/>
        </w:rPr>
        <w:t>4.不同投标人的投标文件异常一致或者投标报价呈规律性差异；</w:t>
      </w:r>
    </w:p>
    <w:p>
      <w:pPr>
        <w:pStyle w:val="16"/>
        <w:spacing w:before="0" w:beforeAutospacing="0" w:after="0" w:afterAutospacing="0" w:line="360" w:lineRule="auto"/>
        <w:ind w:firstLine="480" w:firstLineChars="200"/>
        <w:jc w:val="both"/>
        <w:rPr>
          <w:rFonts w:hint="default" w:cs="Times New Roman" w:asciiTheme="minorEastAsia" w:hAnsiTheme="minorEastAsia" w:eastAsiaTheme="minorEastAsia"/>
          <w:color w:val="auto"/>
          <w:highlight w:val="none"/>
        </w:rPr>
      </w:pPr>
      <w:r>
        <w:rPr>
          <w:rFonts w:hint="eastAsia" w:cs="Times New Roman" w:asciiTheme="minorEastAsia" w:hAnsiTheme="minorEastAsia" w:eastAsiaTheme="minorEastAsia"/>
          <w:color w:val="auto"/>
          <w:highlight w:val="none"/>
        </w:rPr>
        <w:t>5.不同投标人的投标文件相互混装；</w:t>
      </w:r>
    </w:p>
    <w:p>
      <w:pPr>
        <w:pStyle w:val="16"/>
        <w:spacing w:before="0" w:beforeAutospacing="0" w:after="0" w:afterAutospacing="0" w:line="360" w:lineRule="auto"/>
        <w:ind w:firstLine="480" w:firstLineChars="200"/>
        <w:jc w:val="both"/>
        <w:rPr>
          <w:rFonts w:hint="default" w:asciiTheme="minorEastAsia" w:hAnsiTheme="minorEastAsia"/>
          <w:color w:val="auto"/>
          <w:highlight w:val="none"/>
        </w:rPr>
      </w:pPr>
      <w:r>
        <w:rPr>
          <w:rFonts w:asciiTheme="minorEastAsia" w:hAnsiTheme="minorEastAsia" w:eastAsiaTheme="minorEastAsia"/>
          <w:color w:val="auto"/>
          <w:highlight w:val="none"/>
        </w:rPr>
        <w:t>（十）</w:t>
      </w:r>
      <w:r>
        <w:rPr>
          <w:rFonts w:cs="宋体"/>
          <w:color w:val="auto"/>
          <w:highlight w:val="none"/>
        </w:rPr>
        <w:t>实质性要求（招标文件中打“▲”内容）不响应的；</w:t>
      </w:r>
    </w:p>
    <w:p>
      <w:pPr>
        <w:pStyle w:val="7"/>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（十一）商务条款不响应的；</w:t>
      </w:r>
    </w:p>
    <w:p>
      <w:pPr>
        <w:pStyle w:val="7"/>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（十二）投标文件有效期不足的；</w:t>
      </w:r>
    </w:p>
    <w:p>
      <w:pPr>
        <w:pStyle w:val="7"/>
        <w:spacing w:line="360" w:lineRule="auto"/>
        <w:ind w:firstLine="480" w:firstLineChars="200"/>
        <w:rPr>
          <w:rFonts w:asciiTheme="minorEastAsia" w:hAnsiTheme="minorEastAsia" w:eastAsia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（十三</w:t>
      </w:r>
      <w:r>
        <w:rPr>
          <w:rFonts w:hint="eastAsia" w:cs="Times New Roman" w:asciiTheme="minorEastAsia" w:hAnsiTheme="minorEastAsia" w:eastAsiaTheme="minorEastAsia"/>
          <w:color w:val="auto"/>
          <w:kern w:val="0"/>
          <w:sz w:val="24"/>
          <w:szCs w:val="24"/>
          <w:highlight w:val="none"/>
        </w:rPr>
        <w:t>）逾期或未按要求提交投标文件的；</w:t>
      </w:r>
    </w:p>
    <w:p>
      <w:pPr>
        <w:pStyle w:val="7"/>
        <w:spacing w:line="360" w:lineRule="auto"/>
        <w:ind w:firstLine="480" w:firstLineChars="200"/>
        <w:rPr>
          <w:rFonts w:asciiTheme="minorEastAsia" w:hAnsiTheme="minorEastAsia"/>
          <w:color w:val="auto"/>
          <w:kern w:val="0"/>
          <w:sz w:val="24"/>
          <w:szCs w:val="24"/>
          <w:highlight w:val="none"/>
        </w:rPr>
      </w:pPr>
      <w:r>
        <w:rPr>
          <w:rFonts w:hint="eastAsia" w:asciiTheme="minorEastAsia" w:hAnsiTheme="minorEastAsia" w:eastAsiaTheme="minorEastAsia"/>
          <w:color w:val="auto"/>
          <w:kern w:val="0"/>
          <w:sz w:val="24"/>
          <w:szCs w:val="24"/>
          <w:highlight w:val="none"/>
        </w:rPr>
        <w:t>（十四）其他</w:t>
      </w:r>
      <w:r>
        <w:rPr>
          <w:rFonts w:ascii="宋体" w:hAnsi="宋体" w:cs="宋体"/>
          <w:color w:val="auto"/>
          <w:sz w:val="24"/>
          <w:szCs w:val="24"/>
          <w:highlight w:val="none"/>
        </w:rPr>
        <w:t>不符合法律法规相关规定的</w:t>
      </w:r>
      <w:r>
        <w:rPr>
          <w:rFonts w:hint="eastAsia" w:ascii="宋体" w:hAnsi="宋体" w:cs="宋体"/>
          <w:color w:val="auto"/>
          <w:sz w:val="24"/>
          <w:szCs w:val="24"/>
          <w:highlight w:val="none"/>
        </w:rPr>
        <w:t>。</w:t>
      </w:r>
    </w:p>
    <w:p>
      <w:pPr>
        <w:autoSpaceDE w:val="0"/>
        <w:autoSpaceDN w:val="0"/>
        <w:adjustRightInd w:val="0"/>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五、废标情形</w:t>
      </w:r>
    </w:p>
    <w:p>
      <w:pPr>
        <w:pStyle w:val="16"/>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（一）</w:t>
      </w:r>
      <w:r>
        <w:rPr>
          <w:rFonts w:cs="宋体"/>
          <w:color w:val="auto"/>
          <w:highlight w:val="none"/>
        </w:rPr>
        <w:t>出现影响采购公正的违法、违规行为的；</w:t>
      </w:r>
    </w:p>
    <w:p>
      <w:pPr>
        <w:pStyle w:val="16"/>
        <w:spacing w:before="0" w:beforeAutospacing="0" w:after="0" w:afterAutospacing="0" w:line="360" w:lineRule="auto"/>
        <w:ind w:firstLine="480" w:firstLineChars="200"/>
        <w:jc w:val="both"/>
        <w:rPr>
          <w:rFonts w:hint="default" w:cs="宋体"/>
          <w:b/>
          <w:bCs/>
          <w:color w:val="auto"/>
          <w:highlight w:val="none"/>
        </w:rPr>
      </w:pPr>
      <w:r>
        <w:rPr>
          <w:rFonts w:asciiTheme="minorEastAsia" w:hAnsiTheme="minorEastAsia" w:eastAsiaTheme="minorEastAsia"/>
          <w:color w:val="auto"/>
          <w:highlight w:val="none"/>
        </w:rPr>
        <w:t>（二）</w:t>
      </w:r>
      <w:r>
        <w:rPr>
          <w:rFonts w:cs="宋体"/>
          <w:color w:val="auto"/>
          <w:highlight w:val="none"/>
        </w:rPr>
        <w:t>评标委员会发现招标文件存在歧义、重大缺陷导致评标工作无法进行，或者招标文件内容违反国家有关强制性规定的；</w:t>
      </w:r>
    </w:p>
    <w:p>
      <w:pPr>
        <w:pStyle w:val="16"/>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（三）</w:t>
      </w:r>
      <w:r>
        <w:rPr>
          <w:rFonts w:cs="宋体"/>
          <w:color w:val="auto"/>
          <w:highlight w:val="none"/>
        </w:rPr>
        <w:t>因重大变故，采购任务取消的；</w:t>
      </w:r>
    </w:p>
    <w:p>
      <w:pPr>
        <w:pStyle w:val="16"/>
        <w:spacing w:before="0" w:beforeAutospacing="0" w:after="0" w:afterAutospacing="0" w:line="360" w:lineRule="auto"/>
        <w:ind w:firstLine="480" w:firstLineChars="200"/>
        <w:jc w:val="both"/>
        <w:rPr>
          <w:rFonts w:hint="default" w:cs="宋体"/>
          <w:color w:val="auto"/>
          <w:highlight w:val="none"/>
        </w:rPr>
      </w:pPr>
      <w:r>
        <w:rPr>
          <w:rFonts w:asciiTheme="minorEastAsia" w:hAnsiTheme="minorEastAsia" w:eastAsiaTheme="minorEastAsia"/>
          <w:color w:val="auto"/>
          <w:highlight w:val="none"/>
        </w:rPr>
        <w:t>（四）</w:t>
      </w:r>
      <w:r>
        <w:rPr>
          <w:rFonts w:cs="宋体"/>
          <w:color w:val="auto"/>
          <w:highlight w:val="none"/>
        </w:rPr>
        <w:t>法律、法规和招标文件规定的其他导致评标结果无效的。</w:t>
      </w:r>
    </w:p>
    <w:p>
      <w:pPr>
        <w:pStyle w:val="11"/>
        <w:snapToGrid w:val="0"/>
        <w:spacing w:line="360" w:lineRule="auto"/>
        <w:ind w:firstLine="482" w:firstLineChars="200"/>
        <w:rPr>
          <w:rFonts w:hAnsi="宋体" w:cs="宋体"/>
          <w:b/>
          <w:color w:val="auto"/>
          <w:sz w:val="24"/>
          <w:highlight w:val="none"/>
        </w:rPr>
      </w:pPr>
      <w:r>
        <w:rPr>
          <w:rFonts w:hint="eastAsia" w:hAnsi="宋体" w:cs="宋体"/>
          <w:b/>
          <w:color w:val="auto"/>
          <w:sz w:val="24"/>
          <w:highlight w:val="none"/>
        </w:rPr>
        <w:t>六、评标过程的监控</w:t>
      </w:r>
    </w:p>
    <w:p>
      <w:pPr>
        <w:pStyle w:val="16"/>
        <w:spacing w:before="0" w:beforeAutospacing="0" w:after="0" w:afterAutospacing="0" w:line="360" w:lineRule="auto"/>
        <w:ind w:firstLine="480" w:firstLineChars="200"/>
        <w:jc w:val="both"/>
        <w:rPr>
          <w:rFonts w:hint="default" w:cs="宋体"/>
          <w:color w:val="auto"/>
          <w:highlight w:val="none"/>
        </w:rPr>
      </w:pPr>
      <w:r>
        <w:rPr>
          <w:rFonts w:cs="宋体"/>
          <w:color w:val="auto"/>
          <w:highlight w:val="none"/>
        </w:rPr>
        <w:t>本项目评标过程实行全程录音、录像监控，政府采购监管部门视情进行现场监督，投标人在评标过程中所进行的试图影响评标结果的不公正活动，可能导致其投标被拒绝。</w:t>
      </w:r>
    </w:p>
    <w:p>
      <w:pPr>
        <w:pStyle w:val="11"/>
        <w:snapToGrid w:val="0"/>
        <w:spacing w:line="360" w:lineRule="auto"/>
        <w:ind w:firstLine="482" w:firstLineChars="200"/>
        <w:rPr>
          <w:rFonts w:hAnsi="宋体" w:cs="宋体"/>
          <w:b/>
          <w:bCs/>
          <w:color w:val="auto"/>
          <w:sz w:val="24"/>
          <w:highlight w:val="none"/>
        </w:rPr>
      </w:pPr>
      <w:r>
        <w:rPr>
          <w:rFonts w:hint="eastAsia" w:hAnsi="宋体" w:cs="宋体"/>
          <w:b/>
          <w:bCs/>
          <w:color w:val="auto"/>
          <w:sz w:val="24"/>
          <w:highlight w:val="none"/>
        </w:rPr>
        <w:t>七、政府采购政策落实</w:t>
      </w:r>
    </w:p>
    <w:p>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（一）</w:t>
      </w:r>
      <w:r>
        <w:rPr>
          <w:rFonts w:hint="eastAsia" w:ascii="宋体"/>
          <w:color w:val="auto"/>
          <w:sz w:val="24"/>
          <w:highlight w:val="none"/>
          <w:lang w:val="zh-CN"/>
        </w:rPr>
        <w:t>政府采购政策及优惠：</w:t>
      </w:r>
    </w:p>
    <w:p>
      <w:pPr>
        <w:autoSpaceDE w:val="0"/>
        <w:autoSpaceDN w:val="0"/>
        <w:adjustRightInd w:val="0"/>
        <w:spacing w:line="360" w:lineRule="auto"/>
        <w:ind w:firstLine="480" w:firstLineChars="200"/>
        <w:rPr>
          <w:rFonts w:ascii="宋体"/>
          <w:color w:val="auto"/>
          <w:sz w:val="24"/>
          <w:highlight w:val="none"/>
        </w:rPr>
      </w:pPr>
      <w:r>
        <w:rPr>
          <w:rFonts w:hint="eastAsia" w:ascii="宋体"/>
          <w:color w:val="auto"/>
          <w:sz w:val="24"/>
          <w:highlight w:val="none"/>
        </w:rPr>
        <w:t>1.</w:t>
      </w:r>
      <w:r>
        <w:rPr>
          <w:rFonts w:hint="eastAsia" w:ascii="宋体"/>
          <w:color w:val="auto"/>
          <w:sz w:val="24"/>
          <w:highlight w:val="none"/>
          <w:lang w:val="zh-CN"/>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w:t>
      </w:r>
      <w:r>
        <w:rPr>
          <w:rFonts w:hint="eastAsia" w:ascii="宋体"/>
          <w:color w:val="auto"/>
          <w:sz w:val="24"/>
          <w:highlight w:val="none"/>
        </w:rPr>
        <w:t>中</w:t>
      </w:r>
      <w:r>
        <w:rPr>
          <w:rFonts w:hint="eastAsia" w:ascii="宋体"/>
          <w:color w:val="auto"/>
          <w:sz w:val="24"/>
          <w:highlight w:val="none"/>
          <w:lang w:val="zh-CN"/>
        </w:rPr>
        <w:t>小企业声明函》（</w:t>
      </w:r>
      <w:r>
        <w:rPr>
          <w:rFonts w:hint="eastAsia" w:ascii="宋体"/>
          <w:color w:val="auto"/>
          <w:sz w:val="24"/>
          <w:highlight w:val="none"/>
          <w:lang w:eastAsia="zh-CN"/>
        </w:rPr>
        <w:t>格式见附件</w:t>
      </w:r>
      <w:r>
        <w:rPr>
          <w:rFonts w:hint="eastAsia" w:ascii="宋体"/>
          <w:color w:val="auto"/>
          <w:sz w:val="24"/>
          <w:highlight w:val="none"/>
          <w:lang w:val="zh-CN"/>
        </w:rPr>
        <w:t>），</w:t>
      </w:r>
      <w:r>
        <w:rPr>
          <w:rFonts w:hint="eastAsia" w:ascii="宋体"/>
          <w:color w:val="auto"/>
          <w:sz w:val="24"/>
          <w:highlight w:val="none"/>
        </w:rPr>
        <w:t>投标人未提供以上资料或者经</w:t>
      </w:r>
      <w:r>
        <w:rPr>
          <w:rFonts w:hint="eastAsia" w:ascii="宋体"/>
          <w:color w:val="auto"/>
          <w:sz w:val="24"/>
          <w:highlight w:val="none"/>
          <w:lang w:val="zh-CN"/>
        </w:rPr>
        <w:t>评标委员会核查不符的</w:t>
      </w:r>
      <w:r>
        <w:rPr>
          <w:rFonts w:hint="eastAsia" w:ascii="宋体"/>
          <w:color w:val="auto"/>
          <w:sz w:val="24"/>
          <w:highlight w:val="none"/>
        </w:rPr>
        <w:t>，将不能享受</w:t>
      </w:r>
      <w:r>
        <w:rPr>
          <w:rFonts w:hint="eastAsia"/>
          <w:color w:val="auto"/>
          <w:sz w:val="24"/>
          <w:highlight w:val="none"/>
        </w:rPr>
        <w:t>相应的</w:t>
      </w:r>
      <w:r>
        <w:rPr>
          <w:rFonts w:hint="eastAsia" w:ascii="宋体"/>
          <w:color w:val="auto"/>
          <w:sz w:val="24"/>
          <w:highlight w:val="none"/>
        </w:rPr>
        <w:t>小微企业优惠政策。</w:t>
      </w:r>
    </w:p>
    <w:p>
      <w:pPr>
        <w:autoSpaceDE w:val="0"/>
        <w:autoSpaceDN w:val="0"/>
        <w:adjustRightInd w:val="0"/>
        <w:spacing w:line="360" w:lineRule="auto"/>
        <w:ind w:firstLine="480" w:firstLineChars="200"/>
        <w:rPr>
          <w:rFonts w:ascii="宋体"/>
          <w:color w:val="auto"/>
          <w:sz w:val="24"/>
          <w:highlight w:val="none"/>
          <w:lang w:val="zh-CN"/>
        </w:rPr>
      </w:pPr>
      <w:r>
        <w:rPr>
          <w:rFonts w:hint="eastAsia" w:ascii="宋体"/>
          <w:color w:val="auto"/>
          <w:sz w:val="24"/>
          <w:highlight w:val="none"/>
        </w:rPr>
        <w:t>2.</w:t>
      </w:r>
      <w:r>
        <w:rPr>
          <w:rFonts w:hint="eastAsia" w:ascii="宋体"/>
          <w:color w:val="auto"/>
          <w:sz w:val="24"/>
          <w:highlight w:val="none"/>
          <w:lang w:val="zh-CN"/>
        </w:rPr>
        <w:t>监狱企业参加政府采购活动时，应当提供由省级以上监狱管理局、戒毒管理局（含新疆生产建设兵团）出具的属于监狱企业的证明文件，视同小型、微型企业，享受小微企业政府采购优惠政策；</w:t>
      </w:r>
    </w:p>
    <w:p>
      <w:pPr>
        <w:autoSpaceDE w:val="0"/>
        <w:autoSpaceDN w:val="0"/>
        <w:adjustRightInd w:val="0"/>
        <w:spacing w:line="360" w:lineRule="auto"/>
        <w:ind w:firstLine="480" w:firstLineChars="200"/>
        <w:rPr>
          <w:rFonts w:hint="eastAsia" w:ascii="宋体"/>
          <w:color w:val="auto"/>
          <w:sz w:val="24"/>
          <w:highlight w:val="none"/>
          <w:lang w:val="zh-CN"/>
        </w:rPr>
      </w:pPr>
      <w:r>
        <w:rPr>
          <w:rFonts w:hint="eastAsia" w:ascii="宋体"/>
          <w:color w:val="auto"/>
          <w:sz w:val="24"/>
          <w:highlight w:val="none"/>
        </w:rPr>
        <w:t>3.</w:t>
      </w:r>
      <w:r>
        <w:rPr>
          <w:rFonts w:hint="eastAsia" w:ascii="宋体"/>
          <w:color w:val="auto"/>
          <w:sz w:val="24"/>
          <w:highlight w:val="none"/>
          <w:lang w:val="zh-CN"/>
        </w:rPr>
        <w:t>残疾人福利性单位在参加政府采购活动时，应提供《残疾人福利性单位声明函》（格式见附件），视同小型、微型企业，享受小微企业政府采购优惠政策。</w:t>
      </w:r>
    </w:p>
    <w:p>
      <w:pPr>
        <w:pStyle w:val="8"/>
        <w:spacing w:line="360" w:lineRule="auto"/>
        <w:ind w:firstLine="480" w:firstLineChars="200"/>
        <w:jc w:val="both"/>
        <w:rPr>
          <w:rFonts w:hint="eastAsia" w:ascii="宋体" w:hAnsi="宋体" w:cs="宋体"/>
          <w:color w:val="auto"/>
          <w:sz w:val="24"/>
          <w:highlight w:val="none"/>
        </w:rPr>
      </w:pPr>
      <w:r>
        <w:rPr>
          <w:rFonts w:hint="eastAsia" w:ascii="宋体"/>
          <w:color w:val="auto"/>
          <w:sz w:val="24"/>
          <w:highlight w:val="none"/>
          <w:lang w:val="en-US" w:eastAsia="zh-CN"/>
        </w:rPr>
        <w:t>4.</w:t>
      </w:r>
      <w:r>
        <w:rPr>
          <w:rFonts w:hint="eastAsia" w:ascii="宋体" w:hAnsi="宋体" w:cs="宋体"/>
          <w:color w:val="auto"/>
          <w:sz w:val="24"/>
          <w:highlight w:val="none"/>
        </w:rPr>
        <w:t>投标产品中有符合最新一期行政主管部门公布的“节能产品政府采购品目清单”、“环境标志产品政府采购品目清单”标准的节能环保产品，应提供所投产品由国家确定的认证机关出具的节能产品、环保产品有效认证证书。【特别提示：节能和环境标志产品最新一期政府采购品目清单，可在“中国政府采购网”中查看】</w:t>
      </w:r>
    </w:p>
    <w:p>
      <w:pPr>
        <w:autoSpaceDE w:val="0"/>
        <w:autoSpaceDN w:val="0"/>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pPr>
        <w:autoSpaceDE w:val="0"/>
        <w:autoSpaceDN w:val="0"/>
        <w:adjustRightInd w:val="0"/>
        <w:spacing w:line="360" w:lineRule="auto"/>
        <w:ind w:firstLine="480" w:firstLineChars="200"/>
        <w:rPr>
          <w:color w:val="auto"/>
          <w:highlight w:val="none"/>
          <w:lang w:val="zh-CN"/>
        </w:rPr>
      </w:pPr>
      <w:r>
        <w:rPr>
          <w:rFonts w:hint="eastAsia" w:ascii="宋体"/>
          <w:color w:val="auto"/>
          <w:sz w:val="24"/>
          <w:highlight w:val="none"/>
        </w:rPr>
        <w:t>（二）价格扣除相关要求：</w:t>
      </w:r>
    </w:p>
    <w:p>
      <w:pPr>
        <w:autoSpaceDE w:val="0"/>
        <w:autoSpaceDN w:val="0"/>
        <w:adjustRightInd w:val="0"/>
        <w:spacing w:line="360" w:lineRule="auto"/>
        <w:ind w:firstLine="480" w:firstLineChars="200"/>
        <w:rPr>
          <w:rFonts w:hint="eastAsia" w:ascii="宋体" w:hAnsi="Times New Roman" w:cs="Times New Roman"/>
          <w:color w:val="auto"/>
          <w:sz w:val="24"/>
          <w:highlight w:val="none"/>
          <w:lang w:val="zh-CN"/>
        </w:rPr>
      </w:pPr>
      <w:r>
        <w:rPr>
          <w:rFonts w:hint="eastAsia" w:ascii="宋体" w:hAnsi="Times New Roman" w:cs="Times New Roman"/>
          <w:color w:val="auto"/>
          <w:sz w:val="24"/>
          <w:highlight w:val="none"/>
          <w:lang w:val="zh-CN"/>
        </w:rPr>
        <w:t>对于非联合体投标，小型微型企业产品的价格给予</w:t>
      </w:r>
      <w:r>
        <w:rPr>
          <w:rFonts w:hint="eastAsia" w:ascii="宋体" w:hAnsi="Times New Roman" w:cs="Times New Roman"/>
          <w:b/>
          <w:bCs/>
          <w:color w:val="auto"/>
          <w:sz w:val="24"/>
          <w:highlight w:val="none"/>
          <w:u w:val="single"/>
          <w:lang w:val="zh-CN"/>
        </w:rPr>
        <w:t>10%</w:t>
      </w:r>
      <w:r>
        <w:rPr>
          <w:rFonts w:hint="eastAsia" w:ascii="宋体" w:hAnsi="Times New Roman" w:cs="Times New Roman"/>
          <w:color w:val="auto"/>
          <w:sz w:val="24"/>
          <w:highlight w:val="none"/>
          <w:lang w:val="zh-CN"/>
        </w:rPr>
        <w:t>的扣除，用扣除后的价格计算评标基准价和投标报价。对于联合体投标，小型、微型企业的协议合同金额占到联合体协议合同总金额30%以上的，可给予联合</w:t>
      </w:r>
      <w:r>
        <w:rPr>
          <w:rFonts w:hint="eastAsia" w:ascii="宋体" w:hAnsi="Times New Roman" w:cs="Times New Roman"/>
          <w:b w:val="0"/>
          <w:bCs w:val="0"/>
          <w:color w:val="auto"/>
          <w:sz w:val="24"/>
          <w:highlight w:val="none"/>
          <w:u w:val="none"/>
          <w:lang w:val="zh-CN"/>
        </w:rPr>
        <w:t>体</w:t>
      </w:r>
      <w:r>
        <w:rPr>
          <w:rFonts w:hint="eastAsia" w:ascii="宋体"/>
          <w:b w:val="0"/>
          <w:bCs w:val="0"/>
          <w:color w:val="auto"/>
          <w:sz w:val="24"/>
          <w:highlight w:val="none"/>
          <w:u w:val="none"/>
          <w:lang w:val="en-US" w:eastAsia="zh-CN"/>
        </w:rPr>
        <w:t>6%</w:t>
      </w:r>
      <w:r>
        <w:rPr>
          <w:rFonts w:hint="eastAsia" w:ascii="宋体" w:hAnsi="Times New Roman" w:cs="Times New Roman"/>
          <w:b w:val="0"/>
          <w:bCs w:val="0"/>
          <w:color w:val="auto"/>
          <w:sz w:val="24"/>
          <w:highlight w:val="none"/>
          <w:u w:val="none"/>
          <w:lang w:val="zh-CN"/>
        </w:rPr>
        <w:t>的</w:t>
      </w:r>
      <w:r>
        <w:rPr>
          <w:rFonts w:hint="eastAsia" w:ascii="宋体" w:hAnsi="Times New Roman" w:cs="Times New Roman"/>
          <w:color w:val="auto"/>
          <w:sz w:val="24"/>
          <w:highlight w:val="none"/>
          <w:lang w:val="zh-CN"/>
        </w:rPr>
        <w:t>价格扣除。联合体各方均为小型、微型企业的，联合体视同为小型、微型企业享受扶持政策</w:t>
      </w:r>
      <w:r>
        <w:rPr>
          <w:rFonts w:hint="eastAsia" w:ascii="宋体" w:hAnsi="Times New Roman" w:cs="Times New Roman"/>
          <w:color w:val="auto"/>
          <w:sz w:val="24"/>
          <w:highlight w:val="none"/>
          <w:lang w:val="zh-CN" w:eastAsia="zh-CN"/>
        </w:rPr>
        <w:t>，</w:t>
      </w:r>
      <w:r>
        <w:rPr>
          <w:rFonts w:hint="eastAsia" w:ascii="宋体" w:hAnsi="Times New Roman" w:cs="Times New Roman"/>
          <w:color w:val="auto"/>
          <w:sz w:val="24"/>
          <w:highlight w:val="none"/>
          <w:lang w:val="zh-CN"/>
        </w:rPr>
        <w:t>对于小型微型企业</w:t>
      </w:r>
      <w:r>
        <w:rPr>
          <w:rFonts w:hint="eastAsia" w:ascii="宋体" w:hAnsi="Times New Roman" w:cs="Times New Roman"/>
          <w:color w:val="auto"/>
          <w:sz w:val="24"/>
          <w:highlight w:val="none"/>
          <w:lang w:val="zh-CN" w:eastAsia="zh-CN"/>
        </w:rPr>
        <w:t>产品的价格给予</w:t>
      </w:r>
      <w:r>
        <w:rPr>
          <w:rFonts w:hint="eastAsia" w:ascii="宋体" w:hAnsi="Times New Roman" w:cs="Times New Roman"/>
          <w:color w:val="auto"/>
          <w:sz w:val="24"/>
          <w:highlight w:val="none"/>
          <w:lang w:val="zh-CN"/>
        </w:rPr>
        <w:t xml:space="preserve"> 10%</w:t>
      </w:r>
      <w:r>
        <w:rPr>
          <w:rFonts w:hint="eastAsia" w:ascii="宋体" w:hAnsi="Times New Roman" w:cs="Times New Roman"/>
          <w:color w:val="auto"/>
          <w:sz w:val="24"/>
          <w:highlight w:val="none"/>
          <w:lang w:val="zh-CN" w:eastAsia="zh-CN"/>
        </w:rPr>
        <w:t>的扣除，用扣除后的价格计算评标基准价和响应报价。同一投标人（包括联合体），小微企业、监狱企业、残疾人福利性单位价格扣除优惠只享受一次，不得重复享受。</w:t>
      </w:r>
    </w:p>
    <w:p>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bCs/>
          <w:color w:val="auto"/>
          <w:sz w:val="24"/>
          <w:highlight w:val="none"/>
        </w:rPr>
        <w:t>八、</w:t>
      </w:r>
      <w:r>
        <w:rPr>
          <w:rFonts w:asciiTheme="minorEastAsia" w:hAnsiTheme="minorEastAsia" w:eastAsiaTheme="minorEastAsia"/>
          <w:b/>
          <w:bCs/>
          <w:color w:val="auto"/>
          <w:sz w:val="24"/>
          <w:highlight w:val="none"/>
        </w:rPr>
        <w:t>评标程序</w:t>
      </w:r>
    </w:p>
    <w:p>
      <w:pPr>
        <w:snapToGrid w:val="0"/>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（一）资格</w:t>
      </w:r>
      <w:r>
        <w:rPr>
          <w:rFonts w:asciiTheme="minorEastAsia" w:hAnsiTheme="minorEastAsia" w:eastAsiaTheme="minorEastAsia"/>
          <w:b/>
          <w:bCs/>
          <w:color w:val="auto"/>
          <w:sz w:val="24"/>
          <w:highlight w:val="none"/>
        </w:rPr>
        <w:t>审查</w:t>
      </w:r>
    </w:p>
    <w:p>
      <w:pPr>
        <w:pStyle w:val="8"/>
        <w:spacing w:line="360" w:lineRule="auto"/>
        <w:ind w:firstLine="480" w:firstLineChars="200"/>
        <w:jc w:val="both"/>
        <w:rPr>
          <w:rFonts w:hint="eastAsia" w:asciiTheme="minorEastAsia" w:hAnsiTheme="minorEastAsia" w:eastAsiaTheme="minorEastAsia"/>
          <w:color w:val="auto"/>
          <w:sz w:val="24"/>
          <w:highlight w:val="none"/>
        </w:rPr>
      </w:pPr>
      <w:r>
        <w:rPr>
          <w:rFonts w:hint="eastAsia" w:ascii="宋体" w:hAnsi="宋体" w:cs="宋体"/>
          <w:color w:val="auto"/>
          <w:sz w:val="24"/>
          <w:highlight w:val="none"/>
        </w:rPr>
        <w:t>投标文件解密后</w:t>
      </w:r>
      <w:r>
        <w:rPr>
          <w:rFonts w:asciiTheme="minorEastAsia" w:hAnsiTheme="minorEastAsia" w:eastAsiaTheme="minorEastAsia"/>
          <w:color w:val="auto"/>
          <w:sz w:val="24"/>
          <w:highlight w:val="none"/>
        </w:rPr>
        <w:t>，采购人或采购组织机构依法对投标人的资格进行审查，对审查发现无效的进行必要的询标，</w:t>
      </w:r>
      <w:r>
        <w:rPr>
          <w:rFonts w:hint="eastAsia"/>
          <w:color w:val="auto"/>
          <w:sz w:val="24"/>
          <w:highlight w:val="none"/>
        </w:rPr>
        <w:t>在政采云平台公布</w:t>
      </w:r>
      <w:r>
        <w:rPr>
          <w:rFonts w:asciiTheme="minorEastAsia" w:hAnsiTheme="minorEastAsia" w:eastAsiaTheme="minorEastAsia"/>
          <w:color w:val="auto"/>
          <w:sz w:val="24"/>
          <w:highlight w:val="none"/>
        </w:rPr>
        <w:t>无效投标的投标人名单、投标无效的原因。</w:t>
      </w:r>
    </w:p>
    <w:p>
      <w:pPr>
        <w:pStyle w:val="8"/>
        <w:spacing w:line="360" w:lineRule="auto"/>
        <w:ind w:firstLine="480" w:firstLineChars="200"/>
        <w:jc w:val="both"/>
        <w:rPr>
          <w:rFonts w:asciiTheme="minorEastAsia" w:hAnsiTheme="minorEastAsia" w:eastAsiaTheme="minorEastAsia"/>
          <w:color w:val="auto"/>
          <w:sz w:val="24"/>
          <w:highlight w:val="none"/>
        </w:rPr>
      </w:pPr>
    </w:p>
    <w:tbl>
      <w:tblPr>
        <w:tblStyle w:val="19"/>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4"/>
        <w:gridCol w:w="7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694" w:type="dxa"/>
            <w:vAlign w:val="center"/>
          </w:tcPr>
          <w:p>
            <w:pPr>
              <w:pStyle w:val="44"/>
              <w:spacing w:before="1" w:line="360" w:lineRule="auto"/>
              <w:ind w:right="146"/>
              <w:rPr>
                <w:color w:val="auto"/>
                <w:szCs w:val="21"/>
                <w:highlight w:val="none"/>
              </w:rPr>
            </w:pPr>
            <w:r>
              <w:rPr>
                <w:rFonts w:hint="eastAsia"/>
                <w:color w:val="auto"/>
                <w:szCs w:val="21"/>
                <w:highlight w:val="none"/>
              </w:rPr>
              <w:t>具有独立承担民事责任的能力</w:t>
            </w:r>
          </w:p>
        </w:tc>
        <w:tc>
          <w:tcPr>
            <w:tcW w:w="7423" w:type="dxa"/>
            <w:vAlign w:val="center"/>
          </w:tcPr>
          <w:p>
            <w:pPr>
              <w:pStyle w:val="44"/>
              <w:spacing w:line="360" w:lineRule="auto"/>
              <w:ind w:right="63" w:firstLine="420" w:firstLineChars="200"/>
              <w:rPr>
                <w:color w:val="auto"/>
                <w:szCs w:val="21"/>
                <w:highlight w:val="none"/>
              </w:rPr>
            </w:pPr>
            <w:r>
              <w:rPr>
                <w:rFonts w:hint="eastAsia"/>
                <w:color w:val="auto"/>
                <w:szCs w:val="21"/>
                <w:highlight w:val="none"/>
              </w:rPr>
              <w:t>在中华人民共和国境内注册的法人或其他组织或自然人，投标时提交有效的营业执照（或事业法人登记证或身份证等相关证明）副本扫描件。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2" w:hRule="atLeast"/>
          <w:jc w:val="center"/>
        </w:trPr>
        <w:tc>
          <w:tcPr>
            <w:tcW w:w="1694" w:type="dxa"/>
            <w:shd w:val="clear" w:color="auto" w:fill="F6F6F6"/>
            <w:vAlign w:val="center"/>
          </w:tcPr>
          <w:p>
            <w:pPr>
              <w:pStyle w:val="44"/>
              <w:spacing w:before="1" w:line="360" w:lineRule="auto"/>
              <w:ind w:right="146"/>
              <w:rPr>
                <w:color w:val="auto"/>
                <w:szCs w:val="21"/>
                <w:highlight w:val="none"/>
              </w:rPr>
            </w:pPr>
            <w:r>
              <w:rPr>
                <w:rFonts w:hint="eastAsia"/>
                <w:color w:val="auto"/>
                <w:szCs w:val="21"/>
                <w:highlight w:val="none"/>
              </w:rPr>
              <w:t>有依法缴纳税收和社会保障资金的良好记录</w:t>
            </w:r>
          </w:p>
        </w:tc>
        <w:tc>
          <w:tcPr>
            <w:tcW w:w="7423" w:type="dxa"/>
            <w:shd w:val="clear" w:color="auto" w:fill="F6F6F6"/>
            <w:vAlign w:val="center"/>
          </w:tcPr>
          <w:p>
            <w:pPr>
              <w:pStyle w:val="44"/>
              <w:spacing w:line="360" w:lineRule="auto"/>
              <w:ind w:right="63" w:firstLine="420" w:firstLineChars="200"/>
              <w:rPr>
                <w:color w:val="auto"/>
                <w:szCs w:val="21"/>
                <w:highlight w:val="none"/>
              </w:rPr>
            </w:pPr>
            <w:r>
              <w:rPr>
                <w:rFonts w:hint="eastAsia"/>
                <w:color w:val="auto"/>
                <w:szCs w:val="21"/>
                <w:highlight w:val="none"/>
              </w:rPr>
              <w:t>提供投标截止日前6个月内任意1个月依法缴纳税收和社会保障资金的相关材料。如依法免税或不需要缴纳社会保障资金的，提供相应证明材料。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vAlign w:val="center"/>
          </w:tcPr>
          <w:p>
            <w:pPr>
              <w:pStyle w:val="44"/>
              <w:spacing w:before="1" w:line="360" w:lineRule="auto"/>
              <w:ind w:right="146"/>
              <w:rPr>
                <w:color w:val="auto"/>
                <w:szCs w:val="21"/>
                <w:highlight w:val="none"/>
              </w:rPr>
            </w:pPr>
            <w:r>
              <w:rPr>
                <w:rFonts w:hint="eastAsia"/>
                <w:color w:val="auto"/>
                <w:szCs w:val="21"/>
                <w:highlight w:val="none"/>
              </w:rPr>
              <w:t>具有良好的商业信誉和健全的财务会计制度</w:t>
            </w:r>
          </w:p>
        </w:tc>
        <w:tc>
          <w:tcPr>
            <w:tcW w:w="7423" w:type="dxa"/>
            <w:vAlign w:val="center"/>
          </w:tcPr>
          <w:p>
            <w:pPr>
              <w:pStyle w:val="44"/>
              <w:spacing w:before="117" w:line="360" w:lineRule="auto"/>
              <w:ind w:firstLine="420" w:firstLineChars="200"/>
              <w:rPr>
                <w:color w:val="auto"/>
                <w:szCs w:val="21"/>
                <w:highlight w:val="none"/>
              </w:rPr>
            </w:pPr>
            <w:r>
              <w:rPr>
                <w:rFonts w:hint="eastAsia"/>
                <w:color w:val="auto"/>
                <w:szCs w:val="21"/>
                <w:highlight w:val="none"/>
              </w:rPr>
              <w:t>提供上一年度财务状况报告或基本开户行出具的资信证明。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shd w:val="clear" w:color="auto" w:fill="F6F6F6"/>
            <w:vAlign w:val="center"/>
          </w:tcPr>
          <w:p>
            <w:pPr>
              <w:pStyle w:val="44"/>
              <w:spacing w:before="1" w:line="360" w:lineRule="auto"/>
              <w:ind w:right="146"/>
              <w:rPr>
                <w:color w:val="auto"/>
                <w:szCs w:val="21"/>
                <w:highlight w:val="none"/>
              </w:rPr>
            </w:pPr>
            <w:r>
              <w:rPr>
                <w:rFonts w:hint="eastAsia"/>
                <w:color w:val="auto"/>
                <w:szCs w:val="21"/>
                <w:highlight w:val="none"/>
              </w:rPr>
              <w:t>履行合同所必需的设备和专业技术能力</w:t>
            </w:r>
          </w:p>
        </w:tc>
        <w:tc>
          <w:tcPr>
            <w:tcW w:w="7423" w:type="dxa"/>
            <w:shd w:val="clear" w:color="auto" w:fill="F6F6F6"/>
            <w:vAlign w:val="center"/>
          </w:tcPr>
          <w:p>
            <w:pPr>
              <w:pStyle w:val="44"/>
              <w:spacing w:before="1" w:line="360" w:lineRule="auto"/>
              <w:ind w:firstLine="420" w:firstLineChars="200"/>
              <w:rPr>
                <w:color w:val="auto"/>
                <w:szCs w:val="21"/>
                <w:highlight w:val="none"/>
              </w:rPr>
            </w:pPr>
            <w:r>
              <w:rPr>
                <w:rFonts w:hint="eastAsia"/>
                <w:color w:val="auto"/>
                <w:szCs w:val="21"/>
                <w:highlight w:val="none"/>
              </w:rPr>
              <w:t>按投标文件格式填报设备及专业技术能力情况。（根据《投标人基本情况表》和《项目实施人员一览表》填报）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46" w:hRule="atLeast"/>
          <w:jc w:val="center"/>
        </w:trPr>
        <w:tc>
          <w:tcPr>
            <w:tcW w:w="1694" w:type="dxa"/>
            <w:vAlign w:val="center"/>
          </w:tcPr>
          <w:p>
            <w:pPr>
              <w:pStyle w:val="44"/>
              <w:spacing w:line="360" w:lineRule="auto"/>
              <w:ind w:right="146"/>
              <w:rPr>
                <w:color w:val="auto"/>
                <w:szCs w:val="21"/>
                <w:highlight w:val="none"/>
              </w:rPr>
            </w:pPr>
            <w:r>
              <w:rPr>
                <w:rFonts w:hint="eastAsia"/>
                <w:color w:val="auto"/>
                <w:szCs w:val="21"/>
                <w:highlight w:val="none"/>
              </w:rPr>
              <w:t>参加采购活动前3年内，在经营活动中没有重大违法记录</w:t>
            </w:r>
          </w:p>
        </w:tc>
        <w:tc>
          <w:tcPr>
            <w:tcW w:w="7423" w:type="dxa"/>
            <w:vAlign w:val="center"/>
          </w:tcPr>
          <w:p>
            <w:pPr>
              <w:pStyle w:val="44"/>
              <w:spacing w:before="48" w:line="360" w:lineRule="auto"/>
              <w:ind w:right="63" w:firstLine="420" w:firstLineChars="200"/>
              <w:rPr>
                <w:color w:val="auto"/>
                <w:szCs w:val="21"/>
                <w:highlight w:val="none"/>
              </w:rPr>
            </w:pPr>
            <w:r>
              <w:rPr>
                <w:rFonts w:hint="eastAsia"/>
                <w:color w:val="auto"/>
                <w:szCs w:val="21"/>
                <w:highlight w:val="none"/>
              </w:rPr>
              <w:t>参照投标声明书相关承诺内容。重大违法记录，是指投标人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0" w:hRule="atLeast"/>
          <w:jc w:val="center"/>
        </w:trPr>
        <w:tc>
          <w:tcPr>
            <w:tcW w:w="1694" w:type="dxa"/>
            <w:shd w:val="clear" w:color="auto" w:fill="F6F6F6"/>
            <w:vAlign w:val="center"/>
          </w:tcPr>
          <w:p>
            <w:pPr>
              <w:pStyle w:val="44"/>
              <w:spacing w:line="360" w:lineRule="auto"/>
              <w:ind w:left="64"/>
              <w:rPr>
                <w:color w:val="auto"/>
                <w:szCs w:val="21"/>
                <w:highlight w:val="none"/>
              </w:rPr>
            </w:pPr>
            <w:r>
              <w:rPr>
                <w:rFonts w:hint="eastAsia"/>
                <w:color w:val="auto"/>
                <w:szCs w:val="21"/>
                <w:highlight w:val="none"/>
              </w:rPr>
              <w:t>信用记录</w:t>
            </w:r>
          </w:p>
        </w:tc>
        <w:tc>
          <w:tcPr>
            <w:tcW w:w="7423" w:type="dxa"/>
            <w:shd w:val="clear" w:color="auto" w:fill="F6F6F6"/>
            <w:vAlign w:val="center"/>
          </w:tcPr>
          <w:p>
            <w:pPr>
              <w:ind w:firstLine="420" w:firstLineChars="200"/>
              <w:rPr>
                <w:rFonts w:ascii="宋体" w:hAnsi="宋体" w:cs="宋体"/>
                <w:color w:val="auto"/>
                <w:szCs w:val="21"/>
                <w:highlight w:val="none"/>
              </w:rPr>
            </w:pPr>
            <w:r>
              <w:rPr>
                <w:rFonts w:hint="eastAsia"/>
                <w:color w:val="auto"/>
                <w:highlight w:val="none"/>
              </w:rPr>
              <w:t>1.</w:t>
            </w:r>
            <w:r>
              <w:rPr>
                <w:color w:val="auto"/>
                <w:highlight w:val="none"/>
              </w:rPr>
              <w:t>截止时点：</w:t>
            </w:r>
            <w:r>
              <w:rPr>
                <w:rFonts w:hint="eastAsia"/>
                <w:color w:val="auto"/>
                <w:highlight w:val="none"/>
                <w:lang w:eastAsia="zh-CN"/>
              </w:rPr>
              <w:t>开标后评标前</w:t>
            </w:r>
            <w:r>
              <w:rPr>
                <w:color w:val="auto"/>
                <w:highlight w:val="none"/>
              </w:rPr>
              <w:t>。</w:t>
            </w:r>
          </w:p>
          <w:p>
            <w:pPr>
              <w:ind w:firstLine="420" w:firstLineChars="200"/>
              <w:rPr>
                <w:rFonts w:ascii="宋体" w:hAnsi="宋体" w:cs="宋体"/>
                <w:color w:val="auto"/>
                <w:szCs w:val="21"/>
                <w:highlight w:val="none"/>
              </w:rPr>
            </w:pPr>
            <w:r>
              <w:rPr>
                <w:rFonts w:hint="eastAsia"/>
                <w:color w:val="auto"/>
                <w:highlight w:val="none"/>
              </w:rPr>
              <w:t>2.</w:t>
            </w:r>
            <w:r>
              <w:rPr>
                <w:color w:val="auto"/>
                <w:highlight w:val="none"/>
              </w:rPr>
              <w:t>信用信息查询记录和证据留存的具体方式：由采购组织机构在规定查询时间内打印信用信息查询记录并归入项目档案。</w:t>
            </w:r>
            <w:r>
              <w:rPr>
                <w:color w:val="auto"/>
                <w:highlight w:val="none"/>
              </w:rPr>
              <w:br w:type="textWrapping"/>
            </w:r>
            <w:r>
              <w:rPr>
                <w:rFonts w:hint="eastAsia"/>
                <w:color w:val="auto"/>
                <w:highlight w:val="none"/>
              </w:rPr>
              <w:t xml:space="preserve">    3.</w:t>
            </w:r>
            <w:r>
              <w:rPr>
                <w:color w:val="auto"/>
                <w:highlight w:val="none"/>
              </w:rPr>
              <w:t>使用规则</w:t>
            </w:r>
            <w:r>
              <w:rPr>
                <w:rFonts w:hint="eastAsia"/>
                <w:color w:val="auto"/>
                <w:highlight w:val="none"/>
              </w:rPr>
              <w:t>：投标人</w:t>
            </w:r>
            <w:r>
              <w:rPr>
                <w:color w:val="auto"/>
                <w:highlight w:val="none"/>
              </w:rPr>
              <w:t>未被列入“信用中国”失信被执行人或重大税收违法案件当事人名单；</w:t>
            </w:r>
            <w:r>
              <w:rPr>
                <w:rFonts w:hint="eastAsia"/>
                <w:color w:val="auto"/>
                <w:highlight w:val="none"/>
              </w:rPr>
              <w:t>未</w:t>
            </w:r>
            <w:r>
              <w:rPr>
                <w:color w:val="auto"/>
                <w:highlight w:val="none"/>
              </w:rPr>
              <w:t>处于“中国政府采购网”政府采购严重违法失信行为信息记录中的禁止参加政府采购活动期间。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5" w:hRule="atLeast"/>
          <w:jc w:val="center"/>
        </w:trPr>
        <w:tc>
          <w:tcPr>
            <w:tcW w:w="1694" w:type="dxa"/>
            <w:vAlign w:val="center"/>
          </w:tcPr>
          <w:p>
            <w:pPr>
              <w:pStyle w:val="44"/>
              <w:spacing w:line="360" w:lineRule="auto"/>
              <w:ind w:right="146"/>
              <w:rPr>
                <w:color w:val="auto"/>
                <w:szCs w:val="21"/>
                <w:highlight w:val="none"/>
              </w:rPr>
            </w:pPr>
            <w:r>
              <w:rPr>
                <w:rFonts w:hint="eastAsia"/>
                <w:color w:val="auto"/>
                <w:szCs w:val="21"/>
                <w:highlight w:val="none"/>
              </w:rPr>
              <w:t>必须符合法律、行政法规规定的其他条件</w:t>
            </w:r>
          </w:p>
        </w:tc>
        <w:tc>
          <w:tcPr>
            <w:tcW w:w="7423" w:type="dxa"/>
            <w:vAlign w:val="center"/>
          </w:tcPr>
          <w:p>
            <w:pPr>
              <w:pStyle w:val="44"/>
              <w:spacing w:before="48" w:line="360" w:lineRule="auto"/>
              <w:ind w:right="63" w:firstLine="420" w:firstLineChars="200"/>
              <w:rPr>
                <w:color w:val="auto"/>
                <w:szCs w:val="21"/>
                <w:highlight w:val="none"/>
              </w:rPr>
            </w:pPr>
            <w:r>
              <w:rPr>
                <w:rFonts w:hint="eastAsia"/>
                <w:color w:val="auto"/>
                <w:szCs w:val="21"/>
                <w:highlight w:val="none"/>
              </w:rPr>
              <w:t>1.单位负责人为同一人或者存在直接控股、管理关系的不同供应商，不得同时参加本项目投标。</w:t>
            </w:r>
          </w:p>
          <w:p>
            <w:pPr>
              <w:pStyle w:val="44"/>
              <w:spacing w:before="48" w:line="360" w:lineRule="auto"/>
              <w:ind w:right="63" w:firstLine="420" w:firstLineChars="200"/>
              <w:rPr>
                <w:color w:val="auto"/>
                <w:szCs w:val="21"/>
                <w:highlight w:val="none"/>
              </w:rPr>
            </w:pPr>
            <w:r>
              <w:rPr>
                <w:rFonts w:hint="eastAsia"/>
                <w:color w:val="auto"/>
                <w:szCs w:val="21"/>
                <w:highlight w:val="none"/>
              </w:rPr>
              <w:t>2.为本项目提供整体设计、规范编制或者项目管理、监理、检测等服务的供应商，不得再参与本项目投标。</w:t>
            </w:r>
          </w:p>
          <w:p>
            <w:pPr>
              <w:pStyle w:val="44"/>
              <w:spacing w:before="48" w:line="360" w:lineRule="auto"/>
              <w:ind w:right="63" w:firstLine="420" w:firstLineChars="200"/>
              <w:rPr>
                <w:color w:val="auto"/>
                <w:szCs w:val="21"/>
                <w:highlight w:val="none"/>
              </w:rPr>
            </w:pPr>
            <w:r>
              <w:rPr>
                <w:rFonts w:hint="eastAsia"/>
                <w:color w:val="auto"/>
                <w:szCs w:val="21"/>
                <w:highlight w:val="none"/>
              </w:rPr>
              <w:t>3.投标（报价）函相关承诺要求内容。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694" w:type="dxa"/>
            <w:shd w:val="clear" w:color="auto" w:fill="F6F6F6"/>
            <w:vAlign w:val="center"/>
          </w:tcPr>
          <w:p>
            <w:pPr>
              <w:pStyle w:val="44"/>
              <w:spacing w:before="48" w:line="360" w:lineRule="auto"/>
              <w:ind w:left="64"/>
              <w:rPr>
                <w:color w:val="auto"/>
                <w:szCs w:val="21"/>
                <w:highlight w:val="none"/>
              </w:rPr>
            </w:pPr>
            <w:r>
              <w:rPr>
                <w:rFonts w:hint="eastAsia"/>
                <w:color w:val="auto"/>
                <w:szCs w:val="21"/>
                <w:highlight w:val="none"/>
              </w:rPr>
              <w:t>联合体投标</w:t>
            </w:r>
          </w:p>
        </w:tc>
        <w:tc>
          <w:tcPr>
            <w:tcW w:w="7423" w:type="dxa"/>
            <w:shd w:val="clear" w:color="auto" w:fill="F6F6F6"/>
            <w:vAlign w:val="center"/>
          </w:tcPr>
          <w:p>
            <w:pPr>
              <w:pStyle w:val="44"/>
              <w:spacing w:before="48" w:line="360" w:lineRule="auto"/>
              <w:ind w:left="64" w:firstLine="420" w:firstLineChars="200"/>
              <w:rPr>
                <w:color w:val="auto"/>
                <w:szCs w:val="21"/>
                <w:highlight w:val="none"/>
              </w:rPr>
            </w:pPr>
            <w:r>
              <w:rPr>
                <w:rFonts w:hint="eastAsia"/>
                <w:color w:val="auto"/>
                <w:szCs w:val="21"/>
                <w:highlight w:val="none"/>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vAlign w:val="center"/>
          </w:tcPr>
          <w:p>
            <w:pPr>
              <w:pStyle w:val="44"/>
              <w:spacing w:line="360" w:lineRule="auto"/>
              <w:ind w:right="146"/>
              <w:rPr>
                <w:color w:val="auto"/>
                <w:szCs w:val="21"/>
                <w:highlight w:val="none"/>
              </w:rPr>
            </w:pPr>
            <w:r>
              <w:rPr>
                <w:rFonts w:hint="eastAsia"/>
                <w:color w:val="auto"/>
                <w:szCs w:val="21"/>
                <w:highlight w:val="none"/>
              </w:rPr>
              <w:t>资质</w:t>
            </w:r>
          </w:p>
        </w:tc>
        <w:tc>
          <w:tcPr>
            <w:tcW w:w="7423" w:type="dxa"/>
            <w:vAlign w:val="center"/>
          </w:tcPr>
          <w:p>
            <w:pPr>
              <w:pStyle w:val="44"/>
              <w:spacing w:before="48" w:line="360" w:lineRule="auto"/>
              <w:ind w:left="64" w:firstLine="420" w:firstLineChars="200"/>
              <w:rPr>
                <w:rFonts w:hint="eastAsia" w:eastAsia="宋体"/>
                <w:color w:val="auto"/>
                <w:szCs w:val="21"/>
                <w:highlight w:val="none"/>
                <w:lang w:eastAsia="zh-CN"/>
              </w:rPr>
            </w:pPr>
            <w:r>
              <w:rPr>
                <w:rFonts w:hint="eastAsia"/>
                <w:color w:val="auto"/>
                <w:szCs w:val="21"/>
                <w:highlight w:val="none"/>
                <w:lang w:eastAsia="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694" w:type="dxa"/>
            <w:shd w:val="clear" w:color="auto" w:fill="F6F6F6"/>
            <w:vAlign w:val="center"/>
          </w:tcPr>
          <w:p>
            <w:pPr>
              <w:pStyle w:val="44"/>
              <w:spacing w:line="360" w:lineRule="auto"/>
              <w:ind w:right="146"/>
              <w:rPr>
                <w:color w:val="auto"/>
                <w:szCs w:val="21"/>
                <w:highlight w:val="none"/>
              </w:rPr>
            </w:pPr>
            <w:r>
              <w:rPr>
                <w:rFonts w:hint="eastAsia"/>
                <w:color w:val="auto"/>
                <w:szCs w:val="21"/>
                <w:highlight w:val="none"/>
              </w:rPr>
              <w:t>落实政府采购政策需满足的资格要求</w:t>
            </w:r>
          </w:p>
        </w:tc>
        <w:tc>
          <w:tcPr>
            <w:tcW w:w="7423" w:type="dxa"/>
            <w:shd w:val="clear" w:color="auto" w:fill="F6F6F6"/>
            <w:vAlign w:val="center"/>
          </w:tcPr>
          <w:p>
            <w:pPr>
              <w:pStyle w:val="44"/>
              <w:spacing w:before="1" w:line="360" w:lineRule="auto"/>
              <w:ind w:firstLine="420" w:firstLineChars="200"/>
              <w:rPr>
                <w:rFonts w:hint="eastAsia" w:eastAsia="宋体"/>
                <w:color w:val="auto"/>
                <w:szCs w:val="21"/>
                <w:highlight w:val="none"/>
                <w:lang w:eastAsia="zh-CN"/>
              </w:rPr>
            </w:pPr>
            <w:r>
              <w:rPr>
                <w:rFonts w:hint="eastAsia"/>
                <w:color w:val="auto"/>
                <w:highlight w:val="none"/>
                <w:lang w:eastAsia="zh-CN"/>
              </w:rPr>
              <w:t>无</w:t>
            </w:r>
          </w:p>
        </w:tc>
      </w:tr>
    </w:tbl>
    <w:p>
      <w:pPr>
        <w:pStyle w:val="8"/>
        <w:spacing w:line="360" w:lineRule="auto"/>
        <w:ind w:firstLine="482" w:firstLineChars="200"/>
        <w:rPr>
          <w:rFonts w:hint="eastAsia" w:asciiTheme="minorEastAsia" w:hAnsiTheme="minorEastAsia" w:eastAsiaTheme="minorEastAsia"/>
          <w:b/>
          <w:bCs/>
          <w:color w:val="auto"/>
          <w:sz w:val="24"/>
          <w:highlight w:val="none"/>
        </w:rPr>
      </w:pPr>
    </w:p>
    <w:p>
      <w:pPr>
        <w:pStyle w:val="8"/>
        <w:spacing w:line="360" w:lineRule="auto"/>
        <w:ind w:firstLine="482" w:firstLineChars="200"/>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（二）</w:t>
      </w:r>
      <w:r>
        <w:rPr>
          <w:rFonts w:asciiTheme="minorEastAsia" w:hAnsiTheme="minorEastAsia" w:eastAsiaTheme="minorEastAsia"/>
          <w:b/>
          <w:bCs/>
          <w:color w:val="auto"/>
          <w:sz w:val="24"/>
          <w:highlight w:val="none"/>
        </w:rPr>
        <w:t>符合性审查</w:t>
      </w:r>
    </w:p>
    <w:p>
      <w:pPr>
        <w:pStyle w:val="8"/>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评标委员会应当对符合资格的投标人的投标文件进行符合性审查，以确定其是否满足招标文件的实质性要求，对审查发现无效的进行必要的询标，</w:t>
      </w:r>
      <w:r>
        <w:rPr>
          <w:rFonts w:hint="eastAsia" w:ascii="宋体" w:hAnsi="宋体" w:cs="宋体"/>
          <w:color w:val="auto"/>
          <w:sz w:val="24"/>
          <w:highlight w:val="none"/>
        </w:rPr>
        <w:t>在政采云平台公布无效投标的投标人名单、投标无效的原因</w:t>
      </w:r>
      <w:r>
        <w:rPr>
          <w:rFonts w:hint="eastAsia" w:asciiTheme="minorEastAsia" w:hAnsiTheme="minorEastAsia" w:eastAsiaTheme="minorEastAsia"/>
          <w:color w:val="auto"/>
          <w:sz w:val="24"/>
          <w:highlight w:val="none"/>
        </w:rPr>
        <w:t>。</w:t>
      </w:r>
    </w:p>
    <w:tbl>
      <w:tblPr>
        <w:tblStyle w:val="19"/>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02"/>
        <w:gridCol w:w="7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7" w:hRule="atLeast"/>
          <w:jc w:val="center"/>
        </w:trPr>
        <w:tc>
          <w:tcPr>
            <w:tcW w:w="1702" w:type="dxa"/>
            <w:vAlign w:val="center"/>
          </w:tcPr>
          <w:p>
            <w:pPr>
              <w:pStyle w:val="44"/>
              <w:spacing w:line="360" w:lineRule="auto"/>
              <w:ind w:right="146"/>
              <w:rPr>
                <w:color w:val="auto"/>
                <w:szCs w:val="21"/>
                <w:highlight w:val="none"/>
              </w:rPr>
            </w:pPr>
            <w:r>
              <w:rPr>
                <w:rFonts w:hint="eastAsia"/>
                <w:color w:val="auto"/>
                <w:szCs w:val="21"/>
                <w:highlight w:val="none"/>
              </w:rPr>
              <w:t>投标文件</w:t>
            </w:r>
          </w:p>
        </w:tc>
        <w:tc>
          <w:tcPr>
            <w:tcW w:w="7476" w:type="dxa"/>
            <w:vAlign w:val="center"/>
          </w:tcPr>
          <w:p>
            <w:pPr>
              <w:pStyle w:val="44"/>
              <w:spacing w:before="48" w:line="360" w:lineRule="auto"/>
              <w:rPr>
                <w:color w:val="auto"/>
                <w:szCs w:val="21"/>
                <w:highlight w:val="none"/>
              </w:rPr>
            </w:pPr>
            <w:r>
              <w:rPr>
                <w:rFonts w:hint="eastAsia"/>
                <w:color w:val="auto"/>
                <w:szCs w:val="21"/>
                <w:highlight w:val="none"/>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702" w:type="dxa"/>
            <w:shd w:val="clear" w:color="auto" w:fill="F6F6F6"/>
            <w:vAlign w:val="center"/>
          </w:tcPr>
          <w:p>
            <w:pPr>
              <w:pStyle w:val="44"/>
              <w:spacing w:line="360" w:lineRule="auto"/>
              <w:ind w:right="146"/>
              <w:rPr>
                <w:color w:val="auto"/>
                <w:szCs w:val="21"/>
                <w:highlight w:val="none"/>
              </w:rPr>
            </w:pPr>
            <w:r>
              <w:rPr>
                <w:rFonts w:hint="eastAsia"/>
                <w:color w:val="auto"/>
                <w:szCs w:val="21"/>
                <w:highlight w:val="none"/>
              </w:rPr>
              <w:t>法定代表人/负责人资格证明书及授权委托书</w:t>
            </w:r>
          </w:p>
        </w:tc>
        <w:tc>
          <w:tcPr>
            <w:tcW w:w="7476" w:type="dxa"/>
            <w:shd w:val="clear" w:color="auto" w:fill="F6F6F6"/>
            <w:vAlign w:val="center"/>
          </w:tcPr>
          <w:p>
            <w:pPr>
              <w:pStyle w:val="44"/>
              <w:spacing w:before="48" w:line="360" w:lineRule="auto"/>
              <w:rPr>
                <w:color w:val="auto"/>
                <w:szCs w:val="21"/>
                <w:highlight w:val="none"/>
              </w:rPr>
            </w:pPr>
            <w:r>
              <w:rPr>
                <w:rFonts w:hint="eastAsia"/>
                <w:color w:val="auto"/>
                <w:szCs w:val="21"/>
                <w:highlight w:val="none"/>
              </w:rPr>
              <w:t>法定代表人/负责人资格证明书及授权委托书，按对应格式文件签署、盖章。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vAlign w:val="center"/>
          </w:tcPr>
          <w:p>
            <w:pPr>
              <w:pStyle w:val="44"/>
              <w:spacing w:line="360" w:lineRule="auto"/>
              <w:ind w:right="146"/>
              <w:rPr>
                <w:color w:val="auto"/>
                <w:szCs w:val="21"/>
                <w:highlight w:val="none"/>
              </w:rPr>
            </w:pPr>
            <w:r>
              <w:rPr>
                <w:rFonts w:hint="eastAsia"/>
                <w:color w:val="auto"/>
                <w:szCs w:val="21"/>
                <w:highlight w:val="none"/>
              </w:rPr>
              <w:t>“▲”实质性条款</w:t>
            </w:r>
          </w:p>
        </w:tc>
        <w:tc>
          <w:tcPr>
            <w:tcW w:w="7476" w:type="dxa"/>
            <w:vAlign w:val="center"/>
          </w:tcPr>
          <w:p>
            <w:pPr>
              <w:pStyle w:val="44"/>
              <w:spacing w:before="48" w:line="360" w:lineRule="auto"/>
              <w:rPr>
                <w:color w:val="auto"/>
                <w:szCs w:val="21"/>
                <w:highlight w:val="none"/>
              </w:rPr>
            </w:pPr>
            <w:r>
              <w:rPr>
                <w:rFonts w:hint="eastAsia"/>
                <w:color w:val="auto"/>
                <w:szCs w:val="21"/>
                <w:highlight w:val="none"/>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shd w:val="clear" w:color="auto" w:fill="F6F6F6"/>
            <w:vAlign w:val="center"/>
          </w:tcPr>
          <w:p>
            <w:pPr>
              <w:pStyle w:val="44"/>
              <w:spacing w:line="360" w:lineRule="auto"/>
              <w:ind w:right="146"/>
              <w:rPr>
                <w:color w:val="auto"/>
                <w:szCs w:val="21"/>
                <w:highlight w:val="none"/>
              </w:rPr>
            </w:pPr>
            <w:r>
              <w:rPr>
                <w:rFonts w:hint="eastAsia"/>
                <w:color w:val="auto"/>
                <w:szCs w:val="21"/>
                <w:highlight w:val="none"/>
              </w:rPr>
              <w:t>串通投标</w:t>
            </w:r>
          </w:p>
        </w:tc>
        <w:tc>
          <w:tcPr>
            <w:tcW w:w="7476" w:type="dxa"/>
            <w:shd w:val="clear" w:color="auto" w:fill="F6F6F6"/>
            <w:vAlign w:val="center"/>
          </w:tcPr>
          <w:p>
            <w:pPr>
              <w:pStyle w:val="44"/>
              <w:spacing w:before="48" w:line="360" w:lineRule="auto"/>
              <w:rPr>
                <w:color w:val="auto"/>
                <w:szCs w:val="21"/>
                <w:highlight w:val="none"/>
              </w:rPr>
            </w:pPr>
            <w:r>
              <w:rPr>
                <w:rFonts w:hint="eastAsia"/>
                <w:color w:val="auto"/>
                <w:szCs w:val="21"/>
                <w:highlight w:val="none"/>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57" w:hRule="atLeast"/>
          <w:jc w:val="center"/>
        </w:trPr>
        <w:tc>
          <w:tcPr>
            <w:tcW w:w="1702" w:type="dxa"/>
            <w:vAlign w:val="center"/>
          </w:tcPr>
          <w:p>
            <w:pPr>
              <w:pStyle w:val="44"/>
              <w:spacing w:line="360" w:lineRule="auto"/>
              <w:ind w:right="146"/>
              <w:rPr>
                <w:color w:val="auto"/>
                <w:szCs w:val="21"/>
                <w:highlight w:val="none"/>
              </w:rPr>
            </w:pPr>
            <w:r>
              <w:rPr>
                <w:rFonts w:hint="eastAsia"/>
                <w:color w:val="auto"/>
                <w:szCs w:val="21"/>
                <w:highlight w:val="none"/>
              </w:rPr>
              <w:t>附加条件</w:t>
            </w:r>
          </w:p>
        </w:tc>
        <w:tc>
          <w:tcPr>
            <w:tcW w:w="7476" w:type="dxa"/>
            <w:vAlign w:val="center"/>
          </w:tcPr>
          <w:p>
            <w:pPr>
              <w:pStyle w:val="44"/>
              <w:spacing w:before="48" w:line="360" w:lineRule="auto"/>
              <w:rPr>
                <w:color w:val="auto"/>
                <w:szCs w:val="21"/>
                <w:highlight w:val="none"/>
              </w:rPr>
            </w:pPr>
            <w:r>
              <w:rPr>
                <w:rFonts w:hint="eastAsia"/>
                <w:color w:val="auto"/>
                <w:szCs w:val="21"/>
                <w:highlight w:val="none"/>
              </w:rPr>
              <w:t>投标文件未含有采购人不可接受的附加条件。</w:t>
            </w:r>
          </w:p>
        </w:tc>
      </w:tr>
    </w:tbl>
    <w:p>
      <w:pPr>
        <w:pStyle w:val="8"/>
        <w:spacing w:line="360" w:lineRule="auto"/>
        <w:rPr>
          <w:rFonts w:asciiTheme="minorEastAsia" w:hAnsiTheme="minorEastAsia" w:eastAsiaTheme="minorEastAsia"/>
          <w:color w:val="auto"/>
          <w:sz w:val="24"/>
          <w:highlight w:val="none"/>
        </w:rPr>
      </w:pPr>
    </w:p>
    <w:p>
      <w:pPr>
        <w:pStyle w:val="16"/>
        <w:spacing w:before="0" w:beforeAutospacing="0" w:after="0" w:afterAutospacing="0" w:line="360" w:lineRule="auto"/>
        <w:ind w:firstLine="482" w:firstLineChars="200"/>
        <w:jc w:val="both"/>
        <w:rPr>
          <w:rFonts w:hint="default" w:asciiTheme="minorEastAsia" w:hAnsiTheme="minorEastAsia" w:eastAsiaTheme="minorEastAsia"/>
          <w:color w:val="auto"/>
          <w:highlight w:val="none"/>
        </w:rPr>
      </w:pPr>
      <w:r>
        <w:rPr>
          <w:rFonts w:asciiTheme="minorEastAsia" w:hAnsiTheme="minorEastAsia" w:eastAsiaTheme="minorEastAsia"/>
          <w:b/>
          <w:bCs/>
          <w:color w:val="auto"/>
          <w:highlight w:val="none"/>
        </w:rPr>
        <w:t>（三）</w:t>
      </w:r>
      <w:r>
        <w:rPr>
          <w:rFonts w:ascii="Arial" w:hAnsi="Arial" w:cs="Arial" w:eastAsiaTheme="minorEastAsia"/>
          <w:b/>
          <w:bCs/>
          <w:color w:val="auto"/>
          <w:highlight w:val="none"/>
        </w:rPr>
        <w:t>商务技术及价格评审</w:t>
      </w:r>
    </w:p>
    <w:p>
      <w:pPr>
        <w:autoSpaceDE w:val="0"/>
        <w:autoSpaceDN w:val="0"/>
        <w:spacing w:line="360" w:lineRule="auto"/>
        <w:ind w:firstLine="480" w:firstLineChars="200"/>
        <w:rPr>
          <w:rFonts w:asciiTheme="minorEastAsia" w:hAnsiTheme="minorEastAsia" w:eastAsiaTheme="minorEastAsia"/>
          <w:color w:val="auto"/>
          <w:sz w:val="24"/>
          <w:highlight w:val="none"/>
        </w:rPr>
      </w:pPr>
      <w:r>
        <w:rPr>
          <w:rFonts w:hint="eastAsia" w:ascii="宋体" w:hAnsi="宋体" w:cs="宋体" w:eastAsiaTheme="minorEastAsia"/>
          <w:color w:val="auto"/>
          <w:sz w:val="24"/>
          <w:highlight w:val="none"/>
          <w:u w:val="none"/>
          <w:lang w:eastAsia="zh-CN"/>
        </w:rPr>
        <w:t>本</w:t>
      </w:r>
      <w:r>
        <w:rPr>
          <w:rFonts w:hint="eastAsia" w:asciiTheme="minorEastAsia" w:hAnsiTheme="minorEastAsia" w:eastAsiaTheme="minorEastAsia"/>
          <w:color w:val="auto"/>
          <w:kern w:val="0"/>
          <w:sz w:val="24"/>
          <w:highlight w:val="none"/>
        </w:rPr>
        <w:t>项目评标方法为综合评分法，总计100分，评标按以下标准及要求进行：</w:t>
      </w:r>
    </w:p>
    <w:p>
      <w:pPr>
        <w:autoSpaceDE w:val="0"/>
        <w:autoSpaceDN w:val="0"/>
        <w:adjustRightInd w:val="0"/>
        <w:spacing w:line="360" w:lineRule="auto"/>
        <w:ind w:right="85" w:firstLine="482" w:firstLineChars="200"/>
        <w:rPr>
          <w:rFonts w:hint="eastAsia" w:ascii="宋体" w:eastAsia="宋体"/>
          <w:b/>
          <w:bCs/>
          <w:color w:val="auto"/>
          <w:sz w:val="24"/>
          <w:highlight w:val="none"/>
          <w:lang w:eastAsia="zh-CN"/>
        </w:rPr>
      </w:pPr>
      <w:r>
        <w:rPr>
          <w:rFonts w:hint="eastAsia" w:ascii="宋体"/>
          <w:b/>
          <w:bCs/>
          <w:color w:val="auto"/>
          <w:sz w:val="24"/>
          <w:highlight w:val="none"/>
        </w:rPr>
        <w:t>1.评分标准</w:t>
      </w:r>
      <w:r>
        <w:rPr>
          <w:rFonts w:hint="eastAsia" w:ascii="宋体"/>
          <w:b/>
          <w:bCs/>
          <w:color w:val="auto"/>
          <w:sz w:val="24"/>
          <w:highlight w:val="none"/>
          <w:lang w:eastAsia="zh-CN"/>
        </w:rPr>
        <w:t>（以下内容缺项不得分）</w:t>
      </w:r>
    </w:p>
    <w:tbl>
      <w:tblPr>
        <w:tblStyle w:val="19"/>
        <w:tblW w:w="980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02"/>
        <w:gridCol w:w="7950"/>
        <w:gridCol w:w="7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218" w:hRule="atLeast"/>
          <w:jc w:val="center"/>
        </w:trPr>
        <w:tc>
          <w:tcPr>
            <w:tcW w:w="1102" w:type="dxa"/>
            <w:tcBorders>
              <w:tl2br w:val="nil"/>
              <w:tr2bl w:val="nil"/>
            </w:tcBorders>
            <w:shd w:val="clear" w:color="auto" w:fill="7F7F7F"/>
            <w:noWrap w:val="0"/>
            <w:vAlign w:val="center"/>
          </w:tcPr>
          <w:p>
            <w:pPr>
              <w:widowControl/>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评分项目</w:t>
            </w:r>
          </w:p>
        </w:tc>
        <w:tc>
          <w:tcPr>
            <w:tcW w:w="7950" w:type="dxa"/>
            <w:tcBorders>
              <w:tl2br w:val="nil"/>
              <w:tr2bl w:val="nil"/>
            </w:tcBorders>
            <w:shd w:val="clear" w:color="auto" w:fill="7F7F7F"/>
            <w:noWrap w:val="0"/>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评分细则</w:t>
            </w:r>
          </w:p>
        </w:tc>
        <w:tc>
          <w:tcPr>
            <w:tcW w:w="750" w:type="dxa"/>
            <w:tcBorders>
              <w:tl2br w:val="nil"/>
              <w:tr2bl w:val="nil"/>
            </w:tcBorders>
            <w:shd w:val="clear" w:color="auto" w:fill="7F7F7F"/>
            <w:noWrap w:val="0"/>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8" w:hRule="atLeast"/>
          <w:jc w:val="center"/>
        </w:trPr>
        <w:tc>
          <w:tcPr>
            <w:tcW w:w="1102" w:type="dxa"/>
            <w:vMerge w:val="restart"/>
            <w:tcBorders>
              <w:tl2br w:val="nil"/>
              <w:tr2bl w:val="nil"/>
            </w:tcBorders>
            <w:noWrap w:val="0"/>
            <w:vAlign w:val="center"/>
          </w:tcPr>
          <w:p>
            <w:pPr>
              <w:widowControl/>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技术方案3</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分</w:t>
            </w:r>
          </w:p>
        </w:tc>
        <w:tc>
          <w:tcPr>
            <w:tcW w:w="7950" w:type="dxa"/>
            <w:tcBorders>
              <w:tl2br w:val="nil"/>
              <w:tr2bl w:val="nil"/>
            </w:tcBorders>
            <w:noWrap w:val="0"/>
            <w:vAlign w:val="center"/>
          </w:tcPr>
          <w:p>
            <w:pPr>
              <w:widowControl/>
              <w:jc w:val="left"/>
              <w:rPr>
                <w:rFonts w:hint="eastAsia"/>
                <w:color w:val="auto"/>
                <w:sz w:val="24"/>
                <w:szCs w:val="24"/>
                <w:highlight w:val="none"/>
                <w:lang w:val="en-US" w:eastAsia="zh-CN"/>
              </w:rPr>
            </w:pPr>
            <w:r>
              <w:rPr>
                <w:rFonts w:hint="eastAsia" w:ascii="宋体" w:hAnsi="宋体" w:eastAsia="宋体" w:cs="宋体"/>
                <w:color w:val="auto"/>
                <w:sz w:val="24"/>
                <w:szCs w:val="24"/>
                <w:highlight w:val="none"/>
              </w:rPr>
              <w:t>根据投标人对交警中心机房设备，环境的熟悉程度</w:t>
            </w:r>
            <w:r>
              <w:rPr>
                <w:rFonts w:hint="eastAsia" w:ascii="宋体" w:hAnsi="宋体" w:cs="宋体"/>
                <w:color w:val="auto"/>
                <w:sz w:val="24"/>
                <w:szCs w:val="24"/>
                <w:highlight w:val="none"/>
                <w:lang w:eastAsia="zh-CN"/>
              </w:rPr>
              <w:t>进行打分</w:t>
            </w:r>
            <w:r>
              <w:rPr>
                <w:rFonts w:hint="eastAsia" w:ascii="宋体" w:hAnsi="宋体" w:eastAsia="宋体" w:cs="宋体"/>
                <w:color w:val="auto"/>
                <w:sz w:val="24"/>
                <w:szCs w:val="24"/>
                <w:highlight w:val="none"/>
              </w:rPr>
              <w:t>，</w:t>
            </w:r>
          </w:p>
          <w:p>
            <w:pPr>
              <w:widowControl/>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w:t>
            </w:r>
            <w:r>
              <w:rPr>
                <w:rFonts w:hint="eastAsia"/>
                <w:color w:val="auto"/>
                <w:sz w:val="24"/>
                <w:szCs w:val="24"/>
                <w:highlight w:val="none"/>
                <w:lang w:val="en-US" w:eastAsia="zh-CN"/>
              </w:rPr>
              <w:t>做到准确详细的阐述机房设备现状，</w:t>
            </w:r>
            <w:r>
              <w:rPr>
                <w:rFonts w:hint="eastAsia" w:ascii="Times New Roman" w:hAnsi="Times New Roman" w:eastAsia="宋体" w:cs="Times New Roman"/>
                <w:color w:val="auto"/>
                <w:sz w:val="24"/>
                <w:szCs w:val="24"/>
                <w:highlight w:val="none"/>
                <w:lang w:val="en-US" w:eastAsia="zh-CN"/>
              </w:rPr>
              <w:t>对</w:t>
            </w:r>
            <w:r>
              <w:rPr>
                <w:rFonts w:hint="eastAsia"/>
                <w:color w:val="auto"/>
                <w:sz w:val="24"/>
                <w:szCs w:val="24"/>
                <w:highlight w:val="none"/>
                <w:lang w:val="en-US" w:eastAsia="zh-CN"/>
              </w:rPr>
              <w:t>环境了解透彻</w:t>
            </w:r>
            <w:r>
              <w:rPr>
                <w:rFonts w:hint="eastAsia" w:ascii="宋体" w:hAnsi="宋体" w:eastAsia="宋体" w:cs="宋体"/>
                <w:color w:val="auto"/>
                <w:sz w:val="24"/>
                <w:szCs w:val="24"/>
                <w:highlight w:val="none"/>
                <w:lang w:val="zh-CN"/>
              </w:rPr>
              <w:t>得</w:t>
            </w: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lang w:val="zh-CN"/>
              </w:rPr>
              <w:t>分；</w:t>
            </w:r>
          </w:p>
          <w:p>
            <w:pPr>
              <w:widowControl/>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能基本了解环境并基本阐述现状，得</w:t>
            </w:r>
            <w:r>
              <w:rPr>
                <w:rFonts w:hint="eastAsia" w:ascii="宋体" w:hAnsi="宋体" w:eastAsia="宋体" w:cs="宋体"/>
                <w:color w:val="auto"/>
                <w:sz w:val="24"/>
                <w:szCs w:val="24"/>
                <w:highlight w:val="none"/>
                <w:lang w:val="en-US" w:eastAsia="zh-CN"/>
              </w:rPr>
              <w:t>3.9-2.1</w:t>
            </w:r>
            <w:r>
              <w:rPr>
                <w:rFonts w:hint="eastAsia" w:ascii="宋体" w:hAnsi="宋体" w:eastAsia="宋体" w:cs="宋体"/>
                <w:color w:val="auto"/>
                <w:sz w:val="24"/>
                <w:szCs w:val="24"/>
                <w:highlight w:val="none"/>
                <w:lang w:val="zh-CN"/>
              </w:rPr>
              <w:t>分；</w:t>
            </w:r>
          </w:p>
          <w:p>
            <w:pPr>
              <w:widowControl/>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仅能简单了解环境并简单阐述现状，得</w:t>
            </w:r>
            <w:r>
              <w:rPr>
                <w:rFonts w:hint="eastAsia" w:ascii="宋体" w:hAnsi="宋体" w:eastAsia="宋体" w:cs="宋体"/>
                <w:color w:val="auto"/>
                <w:sz w:val="24"/>
                <w:szCs w:val="24"/>
                <w:highlight w:val="none"/>
                <w:lang w:val="en-US" w:eastAsia="zh-CN"/>
              </w:rPr>
              <w:t>2-1</w:t>
            </w:r>
            <w:r>
              <w:rPr>
                <w:rFonts w:hint="eastAsia" w:ascii="宋体" w:hAnsi="宋体" w:eastAsia="宋体" w:cs="宋体"/>
                <w:color w:val="auto"/>
                <w:sz w:val="24"/>
                <w:szCs w:val="24"/>
                <w:highlight w:val="none"/>
                <w:lang w:val="zh-CN"/>
              </w:rPr>
              <w:t>分；</w:t>
            </w:r>
          </w:p>
          <w:p>
            <w:pPr>
              <w:widowControl/>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阐述不到位或未提到的不得分。</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8" w:hRule="atLeast"/>
          <w:jc w:val="center"/>
        </w:trPr>
        <w:tc>
          <w:tcPr>
            <w:tcW w:w="1102" w:type="dxa"/>
            <w:vMerge w:val="continue"/>
            <w:tcBorders>
              <w:tl2br w:val="nil"/>
              <w:tr2bl w:val="nil"/>
            </w:tcBorders>
            <w:noWrap w:val="0"/>
            <w:vAlign w:val="center"/>
          </w:tcPr>
          <w:p>
            <w:pPr>
              <w:widowControl/>
              <w:jc w:val="left"/>
              <w:rPr>
                <w:color w:val="auto"/>
                <w:sz w:val="24"/>
                <w:szCs w:val="24"/>
                <w:highlight w:val="none"/>
              </w:rPr>
            </w:pPr>
          </w:p>
        </w:tc>
        <w:tc>
          <w:tcPr>
            <w:tcW w:w="7950" w:type="dxa"/>
            <w:tcBorders>
              <w:tl2br w:val="nil"/>
              <w:tr2bl w:val="nil"/>
            </w:tcBorders>
            <w:noWrap w:val="0"/>
            <w:vAlign w:val="center"/>
          </w:tcPr>
          <w:p>
            <w:pPr>
              <w:widowControl/>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根据投标人对交警大楼综合布线的熟悉程度，是否提供相应点位登记表进行打分，</w:t>
            </w:r>
          </w:p>
          <w:p>
            <w:pPr>
              <w:widowControl/>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情况熟悉，提供的相应点位登记表详实的，得</w:t>
            </w:r>
            <w:r>
              <w:rPr>
                <w:rFonts w:hint="eastAsia" w:ascii="宋体" w:hAnsi="宋体" w:cs="宋体"/>
                <w:color w:val="auto"/>
                <w:sz w:val="24"/>
                <w:szCs w:val="24"/>
                <w:highlight w:val="none"/>
                <w:lang w:val="en-US" w:eastAsia="zh-CN"/>
              </w:rPr>
              <w:t>3-2分；</w:t>
            </w:r>
          </w:p>
          <w:p>
            <w:pPr>
              <w:widowControl/>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2、情况较为熟悉，能够提供的相应点位登记表的，得1.9-1分；</w:t>
            </w:r>
          </w:p>
          <w:p>
            <w:pPr>
              <w:widowControl/>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阐述不到位或未提到的不得分。</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8" w:hRule="atLeast"/>
          <w:jc w:val="center"/>
        </w:trPr>
        <w:tc>
          <w:tcPr>
            <w:tcW w:w="1102" w:type="dxa"/>
            <w:vMerge w:val="continue"/>
            <w:tcBorders>
              <w:tl2br w:val="nil"/>
              <w:tr2bl w:val="nil"/>
            </w:tcBorders>
            <w:noWrap w:val="0"/>
            <w:vAlign w:val="center"/>
          </w:tcPr>
          <w:p>
            <w:pPr>
              <w:widowControl/>
              <w:jc w:val="left"/>
              <w:rPr>
                <w:rFonts w:hint="eastAsia" w:ascii="宋体" w:hAnsi="宋体" w:eastAsia="宋体" w:cs="宋体"/>
                <w:color w:val="auto"/>
                <w:sz w:val="24"/>
                <w:szCs w:val="24"/>
                <w:highlight w:val="none"/>
              </w:rPr>
            </w:pPr>
          </w:p>
        </w:tc>
        <w:tc>
          <w:tcPr>
            <w:tcW w:w="7950" w:type="dxa"/>
            <w:tcBorders>
              <w:tl2br w:val="nil"/>
              <w:tr2bl w:val="nil"/>
            </w:tcBorders>
            <w:noWrap w:val="0"/>
            <w:vAlign w:val="center"/>
          </w:tcPr>
          <w:p>
            <w:pPr>
              <w:widowControl/>
              <w:jc w:val="left"/>
              <w:rPr>
                <w:rFonts w:hint="eastAsia"/>
                <w:color w:val="auto"/>
                <w:sz w:val="24"/>
                <w:szCs w:val="24"/>
                <w:highlight w:val="none"/>
                <w:lang w:eastAsia="zh-CN"/>
              </w:rPr>
            </w:pPr>
            <w:r>
              <w:rPr>
                <w:rFonts w:hint="eastAsia"/>
                <w:color w:val="auto"/>
                <w:sz w:val="24"/>
                <w:szCs w:val="24"/>
                <w:highlight w:val="none"/>
              </w:rPr>
              <w:t>是否针对</w:t>
            </w:r>
            <w:r>
              <w:rPr>
                <w:rFonts w:hint="eastAsia" w:ascii="宋体" w:hAnsi="宋体" w:eastAsia="宋体" w:cs="宋体"/>
                <w:color w:val="auto"/>
                <w:sz w:val="24"/>
                <w:szCs w:val="24"/>
                <w:highlight w:val="none"/>
              </w:rPr>
              <w:t>交警中心</w:t>
            </w:r>
            <w:r>
              <w:rPr>
                <w:rFonts w:hint="eastAsia"/>
                <w:color w:val="auto"/>
                <w:sz w:val="24"/>
                <w:szCs w:val="24"/>
                <w:highlight w:val="none"/>
              </w:rPr>
              <w:t>机房运行现状提供相应维护方案，维护内容安排是否合理，维护措施编写是否得力，由评委对所有投标人方案进行横向比较打分</w:t>
            </w:r>
            <w:r>
              <w:rPr>
                <w:rFonts w:hint="eastAsia"/>
                <w:color w:val="auto"/>
                <w:sz w:val="24"/>
                <w:szCs w:val="24"/>
                <w:highlight w:val="none"/>
                <w:lang w:eastAsia="zh-CN"/>
              </w:rPr>
              <w:t>；</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维护方案描述条款详细明确、内容齐全，能够保证中心机房现有系统功能的正常运行，设备维护管理及其他服务工作的正常开展，得</w:t>
            </w:r>
            <w:r>
              <w:rPr>
                <w:rFonts w:hint="eastAsia" w:ascii="宋体" w:hAnsi="宋体" w:eastAsia="宋体" w:cs="宋体"/>
                <w:color w:val="auto"/>
                <w:sz w:val="24"/>
                <w:szCs w:val="24"/>
                <w:highlight w:val="none"/>
                <w:lang w:val="en-US" w:eastAsia="zh-CN"/>
              </w:rPr>
              <w:t>10-8</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2、维护方案</w:t>
            </w:r>
            <w:r>
              <w:rPr>
                <w:rFonts w:hint="eastAsia" w:ascii="宋体" w:hAnsi="宋体" w:eastAsia="宋体" w:cs="宋体"/>
                <w:color w:val="auto"/>
                <w:sz w:val="24"/>
                <w:szCs w:val="24"/>
                <w:highlight w:val="none"/>
                <w:lang w:val="zh-CN" w:eastAsia="zh-CN"/>
              </w:rPr>
              <w:t>描述条款比较明确、内容比较齐全，能够保证中心机房现有系统功能的正常运行，设备维护管理及其他服务工作的正常开展，得</w:t>
            </w:r>
            <w:r>
              <w:rPr>
                <w:rFonts w:hint="eastAsia" w:ascii="宋体" w:hAnsi="宋体" w:eastAsia="宋体" w:cs="宋体"/>
                <w:color w:val="auto"/>
                <w:sz w:val="24"/>
                <w:szCs w:val="24"/>
                <w:highlight w:val="none"/>
                <w:lang w:val="en-US" w:eastAsia="zh-CN"/>
              </w:rPr>
              <w:t>7.9-5</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3、维护方案</w:t>
            </w:r>
            <w:r>
              <w:rPr>
                <w:rFonts w:hint="eastAsia" w:ascii="宋体" w:hAnsi="宋体" w:eastAsia="宋体" w:cs="宋体"/>
                <w:color w:val="auto"/>
                <w:sz w:val="24"/>
                <w:szCs w:val="24"/>
                <w:highlight w:val="none"/>
                <w:lang w:val="zh-CN" w:eastAsia="zh-CN"/>
              </w:rPr>
              <w:t>描述条款不够明确、内容不够齐全，且思路不过清晰、描述不够详细，但能够基本保证现有系统功能的正常运行，设备维护管理及其他服务工作的正常开展得</w:t>
            </w:r>
            <w:r>
              <w:rPr>
                <w:rFonts w:hint="eastAsia" w:ascii="宋体" w:hAnsi="宋体" w:eastAsia="宋体" w:cs="宋体"/>
                <w:color w:val="auto"/>
                <w:sz w:val="24"/>
                <w:szCs w:val="24"/>
                <w:highlight w:val="none"/>
                <w:lang w:val="en-US" w:eastAsia="zh-CN"/>
              </w:rPr>
              <w:t>4.9-2</w:t>
            </w:r>
            <w:r>
              <w:rPr>
                <w:rFonts w:hint="eastAsia" w:ascii="宋体" w:hAnsi="宋体" w:eastAsia="宋体" w:cs="宋体"/>
                <w:color w:val="auto"/>
                <w:sz w:val="24"/>
                <w:szCs w:val="24"/>
                <w:highlight w:val="none"/>
                <w:lang w:val="zh-CN" w:eastAsia="zh-CN"/>
              </w:rPr>
              <w:t>分；</w:t>
            </w:r>
          </w:p>
          <w:p>
            <w:pPr>
              <w:widowControl/>
              <w:jc w:val="left"/>
              <w:rPr>
                <w:rFonts w:hint="eastAsia"/>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方案满足不了招标需求的不得分。</w:t>
            </w:r>
          </w:p>
        </w:tc>
        <w:tc>
          <w:tcPr>
            <w:tcW w:w="750" w:type="dxa"/>
            <w:tcBorders>
              <w:tl2br w:val="nil"/>
              <w:tr2bl w:val="nil"/>
            </w:tcBorders>
            <w:noWrap w:val="0"/>
            <w:vAlign w:val="center"/>
          </w:tcPr>
          <w:p>
            <w:pPr>
              <w:widowControl/>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8" w:hRule="atLeast"/>
          <w:jc w:val="center"/>
        </w:trPr>
        <w:tc>
          <w:tcPr>
            <w:tcW w:w="1102" w:type="dxa"/>
            <w:vMerge w:val="continue"/>
            <w:tcBorders>
              <w:tl2br w:val="nil"/>
              <w:tr2bl w:val="nil"/>
            </w:tcBorders>
            <w:noWrap w:val="0"/>
            <w:vAlign w:val="center"/>
          </w:tcPr>
          <w:p>
            <w:pPr>
              <w:widowControl/>
              <w:jc w:val="left"/>
              <w:rPr>
                <w:rFonts w:hint="eastAsia" w:ascii="宋体" w:hAnsi="宋体" w:eastAsia="宋体" w:cs="宋体"/>
                <w:color w:val="auto"/>
                <w:sz w:val="24"/>
                <w:szCs w:val="24"/>
                <w:highlight w:val="none"/>
              </w:rPr>
            </w:pPr>
          </w:p>
        </w:tc>
        <w:tc>
          <w:tcPr>
            <w:tcW w:w="7950" w:type="dxa"/>
            <w:tcBorders>
              <w:tl2br w:val="nil"/>
              <w:tr2bl w:val="nil"/>
            </w:tcBorders>
            <w:noWrap w:val="0"/>
            <w:vAlign w:val="center"/>
          </w:tcPr>
          <w:p>
            <w:pPr>
              <w:adjustRightInd w:val="0"/>
              <w:snapToGrid w:val="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投标人应对交警中心机房建立的电源系统保障应急预案，针对预案的及时性、可行性、完整性等进行评比并酌情</w:t>
            </w:r>
            <w:r>
              <w:rPr>
                <w:rFonts w:hint="eastAsia" w:ascii="宋体" w:hAnsi="宋体" w:eastAsia="宋体" w:cs="宋体"/>
                <w:color w:val="auto"/>
                <w:sz w:val="24"/>
                <w:szCs w:val="24"/>
                <w:highlight w:val="none"/>
                <w:lang w:eastAsia="zh-CN"/>
              </w:rPr>
              <w:t>打</w:t>
            </w:r>
            <w:r>
              <w:rPr>
                <w:rFonts w:hint="eastAsia" w:ascii="宋体" w:hAnsi="宋体" w:eastAsia="宋体" w:cs="宋体"/>
                <w:color w:val="auto"/>
                <w:sz w:val="24"/>
                <w:szCs w:val="24"/>
                <w:highlight w:val="none"/>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1、投标人提供的电源系统保障应急预案，方案描述清晰，内容详细，且确实可行的得</w:t>
            </w:r>
            <w:r>
              <w:rPr>
                <w:rFonts w:hint="eastAsia" w:ascii="宋体" w:hAnsi="宋体" w:eastAsia="宋体" w:cs="宋体"/>
                <w:color w:val="auto"/>
                <w:sz w:val="24"/>
                <w:szCs w:val="24"/>
                <w:highlight w:val="none"/>
                <w:lang w:val="en-US" w:eastAsia="zh-CN"/>
              </w:rPr>
              <w:t>10-8</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2、投标人提供的电源系统保障应急预案，方案描述不够清晰，内容较完整，具有一定的可行性的得</w:t>
            </w:r>
            <w:r>
              <w:rPr>
                <w:rFonts w:hint="eastAsia" w:ascii="宋体" w:hAnsi="宋体" w:eastAsia="宋体" w:cs="宋体"/>
                <w:color w:val="auto"/>
                <w:sz w:val="24"/>
                <w:szCs w:val="24"/>
                <w:highlight w:val="none"/>
                <w:lang w:val="en-US" w:eastAsia="zh-CN"/>
              </w:rPr>
              <w:t>7.9-5</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3、投标人提供的电源系统保障应急预案，方案描述混乱，内容有缺失，不具备可行性的得</w:t>
            </w:r>
            <w:r>
              <w:rPr>
                <w:rFonts w:hint="eastAsia" w:ascii="宋体" w:hAnsi="宋体" w:eastAsia="宋体" w:cs="宋体"/>
                <w:color w:val="auto"/>
                <w:sz w:val="24"/>
                <w:szCs w:val="24"/>
                <w:highlight w:val="none"/>
                <w:lang w:val="en-US" w:eastAsia="zh-CN"/>
              </w:rPr>
              <w:t>4.9-2</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不提供不得分。</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756" w:hRule="atLeast"/>
          <w:jc w:val="center"/>
        </w:trPr>
        <w:tc>
          <w:tcPr>
            <w:tcW w:w="1102" w:type="dxa"/>
            <w:vMerge w:val="continue"/>
            <w:tcBorders>
              <w:tl2br w:val="nil"/>
              <w:tr2bl w:val="nil"/>
            </w:tcBorders>
            <w:noWrap w:val="0"/>
            <w:vAlign w:val="center"/>
          </w:tcPr>
          <w:p>
            <w:pPr>
              <w:widowControl/>
              <w:jc w:val="left"/>
              <w:rPr>
                <w:rFonts w:hint="eastAsia" w:ascii="宋体" w:hAnsi="宋体" w:eastAsia="宋体" w:cs="宋体"/>
                <w:b/>
                <w:bCs/>
                <w:color w:val="auto"/>
                <w:sz w:val="24"/>
                <w:szCs w:val="24"/>
                <w:highlight w:val="none"/>
              </w:rPr>
            </w:pPr>
          </w:p>
        </w:tc>
        <w:tc>
          <w:tcPr>
            <w:tcW w:w="7950" w:type="dxa"/>
            <w:tcBorders>
              <w:tl2br w:val="nil"/>
              <w:tr2bl w:val="nil"/>
            </w:tcBorders>
            <w:noWrap w:val="0"/>
            <w:vAlign w:val="center"/>
          </w:tcPr>
          <w:p>
            <w:pPr>
              <w:widowControl/>
              <w:jc w:val="left"/>
              <w:rPr>
                <w:rFonts w:hint="eastAsia"/>
                <w:color w:val="auto"/>
                <w:sz w:val="24"/>
                <w:szCs w:val="24"/>
                <w:highlight w:val="none"/>
                <w:lang w:eastAsia="zh-CN"/>
              </w:rPr>
            </w:pPr>
            <w:r>
              <w:rPr>
                <w:rFonts w:hint="eastAsia"/>
                <w:color w:val="auto"/>
                <w:sz w:val="24"/>
                <w:szCs w:val="24"/>
                <w:highlight w:val="none"/>
              </w:rPr>
              <w:t>投标人应对交警机房建立的空调及新风系统保障应急预案，针对预案的及时性、可行性、完整性等进行评比并酌情</w:t>
            </w:r>
            <w:r>
              <w:rPr>
                <w:rFonts w:hint="eastAsia"/>
                <w:color w:val="auto"/>
                <w:sz w:val="24"/>
                <w:szCs w:val="24"/>
                <w:highlight w:val="none"/>
                <w:lang w:eastAsia="zh-CN"/>
              </w:rPr>
              <w:t>打分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1、投标人提供的空调及新风系统保障应急预案，方案描述清晰，内容详细，且确实可行的得</w:t>
            </w:r>
            <w:r>
              <w:rPr>
                <w:rFonts w:hint="eastAsia" w:ascii="宋体" w:hAnsi="宋体" w:eastAsia="宋体" w:cs="宋体"/>
                <w:color w:val="auto"/>
                <w:sz w:val="24"/>
                <w:szCs w:val="24"/>
                <w:highlight w:val="none"/>
                <w:lang w:val="en-US" w:eastAsia="zh-CN"/>
              </w:rPr>
              <w:t>10-8</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2、投标人提供的空调及新风系统保障应急预案，方案描述不够清晰，内容较完整，具有一定的可行性的得</w:t>
            </w:r>
            <w:r>
              <w:rPr>
                <w:rFonts w:hint="eastAsia" w:ascii="宋体" w:hAnsi="宋体" w:eastAsia="宋体" w:cs="宋体"/>
                <w:color w:val="auto"/>
                <w:sz w:val="24"/>
                <w:szCs w:val="24"/>
                <w:highlight w:val="none"/>
                <w:lang w:val="en-US" w:eastAsia="zh-CN"/>
              </w:rPr>
              <w:t>7.9-5</w:t>
            </w:r>
            <w:r>
              <w:rPr>
                <w:rFonts w:hint="eastAsia" w:ascii="宋体" w:hAnsi="宋体" w:eastAsia="宋体" w:cs="宋体"/>
                <w:color w:val="auto"/>
                <w:sz w:val="24"/>
                <w:szCs w:val="24"/>
                <w:highlight w:val="none"/>
                <w:lang w:val="zh-CN" w:eastAsia="zh-CN"/>
              </w:rPr>
              <w:t>分；</w:t>
            </w:r>
          </w:p>
          <w:p>
            <w:pPr>
              <w:widowControl/>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3、投标人提供的空调及新风系统保障应急预案，方案描述混乱，内容有缺失，不具备可行性的得</w:t>
            </w:r>
            <w:r>
              <w:rPr>
                <w:rFonts w:hint="eastAsia" w:ascii="宋体" w:hAnsi="宋体" w:eastAsia="宋体" w:cs="宋体"/>
                <w:color w:val="auto"/>
                <w:sz w:val="24"/>
                <w:szCs w:val="24"/>
                <w:highlight w:val="none"/>
                <w:lang w:val="en-US" w:eastAsia="zh-CN"/>
              </w:rPr>
              <w:t>4.9-2</w:t>
            </w:r>
            <w:r>
              <w:rPr>
                <w:rFonts w:hint="eastAsia" w:ascii="宋体" w:hAnsi="宋体" w:eastAsia="宋体" w:cs="宋体"/>
                <w:color w:val="auto"/>
                <w:sz w:val="24"/>
                <w:szCs w:val="24"/>
                <w:highlight w:val="none"/>
                <w:lang w:val="zh-CN" w:eastAsia="zh-CN"/>
              </w:rPr>
              <w:t>分；</w:t>
            </w:r>
          </w:p>
          <w:p>
            <w:pPr>
              <w:widowControl/>
              <w:jc w:val="left"/>
              <w:rPr>
                <w:rFonts w:hint="eastAsia"/>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不提供不得分。</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84" w:hRule="atLeast"/>
          <w:jc w:val="center"/>
        </w:trPr>
        <w:tc>
          <w:tcPr>
            <w:tcW w:w="1102" w:type="dxa"/>
            <w:vMerge w:val="restart"/>
            <w:tcBorders>
              <w:tl2br w:val="nil"/>
              <w:tr2bl w:val="nil"/>
            </w:tcBorders>
            <w:shd w:val="clear" w:color="auto" w:fill="auto"/>
            <w:noWrap w:val="0"/>
            <w:vAlign w:val="center"/>
          </w:tcPr>
          <w:p>
            <w:pPr>
              <w:widowControl/>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企业实力及信誉</w:t>
            </w:r>
          </w:p>
          <w:p>
            <w:pPr>
              <w:widowControl/>
              <w:spacing w:line="360" w:lineRule="auto"/>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9</w:t>
            </w:r>
            <w:r>
              <w:rPr>
                <w:rFonts w:hint="eastAsia" w:ascii="宋体" w:hAnsi="宋体" w:eastAsia="宋体" w:cs="宋体"/>
                <w:b/>
                <w:bCs/>
                <w:color w:val="auto"/>
                <w:sz w:val="24"/>
                <w:szCs w:val="24"/>
                <w:highlight w:val="none"/>
              </w:rPr>
              <w:t>分</w:t>
            </w:r>
          </w:p>
        </w:tc>
        <w:tc>
          <w:tcPr>
            <w:tcW w:w="7950" w:type="dxa"/>
            <w:tcBorders>
              <w:tl2br w:val="nil"/>
              <w:tr2bl w:val="nil"/>
            </w:tcBorders>
            <w:shd w:val="clear" w:color="auto" w:fill="FFFFFF"/>
            <w:noWrap w:val="0"/>
            <w:vAlign w:val="center"/>
          </w:tcPr>
          <w:p>
            <w:pPr>
              <w:widowControl/>
              <w:jc w:val="left"/>
              <w:rPr>
                <w:rFonts w:hint="eastAsia"/>
                <w:color w:val="auto"/>
                <w:sz w:val="24"/>
                <w:szCs w:val="24"/>
                <w:highlight w:val="none"/>
              </w:rPr>
            </w:pPr>
            <w:r>
              <w:rPr>
                <w:rFonts w:hint="eastAsia"/>
                <w:color w:val="auto"/>
                <w:sz w:val="24"/>
                <w:szCs w:val="24"/>
                <w:highlight w:val="none"/>
                <w:lang w:eastAsia="zh-CN"/>
              </w:rPr>
              <w:t>自</w:t>
            </w:r>
            <w:r>
              <w:rPr>
                <w:rFonts w:hint="eastAsia"/>
                <w:color w:val="auto"/>
                <w:sz w:val="24"/>
                <w:szCs w:val="24"/>
                <w:highlight w:val="none"/>
                <w:lang w:val="en-US" w:eastAsia="zh-CN"/>
              </w:rPr>
              <w:t>2019年6月1日起至今</w:t>
            </w:r>
            <w:r>
              <w:rPr>
                <w:rFonts w:hint="eastAsia"/>
                <w:color w:val="auto"/>
                <w:sz w:val="24"/>
                <w:szCs w:val="24"/>
                <w:highlight w:val="none"/>
                <w:lang w:eastAsia="zh-CN"/>
              </w:rPr>
              <w:t>建设类似案例，或完成类似服务案例，每提供一个得</w:t>
            </w:r>
            <w:r>
              <w:rPr>
                <w:rFonts w:hint="eastAsia"/>
                <w:color w:val="auto"/>
                <w:sz w:val="24"/>
                <w:szCs w:val="24"/>
                <w:highlight w:val="none"/>
                <w:lang w:val="en-US" w:eastAsia="zh-CN"/>
              </w:rPr>
              <w:t>0.5</w:t>
            </w:r>
            <w:r>
              <w:rPr>
                <w:rFonts w:hint="eastAsia"/>
                <w:color w:val="auto"/>
                <w:sz w:val="24"/>
                <w:szCs w:val="24"/>
                <w:highlight w:val="none"/>
                <w:lang w:eastAsia="zh-CN"/>
              </w:rPr>
              <w:t>分，最高不超过</w:t>
            </w:r>
            <w:r>
              <w:rPr>
                <w:rFonts w:hint="eastAsia"/>
                <w:color w:val="auto"/>
                <w:sz w:val="24"/>
                <w:szCs w:val="24"/>
                <w:highlight w:val="none"/>
                <w:lang w:val="en-US" w:eastAsia="zh-CN"/>
              </w:rPr>
              <w:t>3</w:t>
            </w:r>
            <w:r>
              <w:rPr>
                <w:rFonts w:hint="eastAsia"/>
                <w:color w:val="auto"/>
                <w:sz w:val="24"/>
                <w:szCs w:val="24"/>
                <w:highlight w:val="none"/>
                <w:lang w:eastAsia="zh-CN"/>
              </w:rPr>
              <w:t>分</w:t>
            </w:r>
            <w:r>
              <w:rPr>
                <w:rFonts w:hint="eastAsia" w:ascii="Times New Roman" w:hAnsi="Times New Roman" w:eastAsia="宋体" w:cs="Times New Roman"/>
                <w:color w:val="auto"/>
                <w:sz w:val="24"/>
                <w:szCs w:val="24"/>
                <w:highlight w:val="none"/>
              </w:rPr>
              <w:t>。</w:t>
            </w:r>
          </w:p>
          <w:p>
            <w:pPr>
              <w:widowControl/>
              <w:jc w:val="left"/>
              <w:rPr>
                <w:rFonts w:hint="eastAsia"/>
                <w:color w:val="auto"/>
                <w:sz w:val="24"/>
                <w:szCs w:val="24"/>
                <w:highlight w:val="none"/>
              </w:rPr>
            </w:pPr>
            <w:r>
              <w:rPr>
                <w:rFonts w:hint="eastAsia"/>
                <w:color w:val="auto"/>
                <w:sz w:val="24"/>
                <w:szCs w:val="24"/>
                <w:highlight w:val="none"/>
                <w:lang w:val="zh-CN" w:eastAsia="zh-CN"/>
              </w:rPr>
              <w:t>需提供合同复印件和相应发票复印件并加盖公章，未提供的不得分。</w:t>
            </w:r>
          </w:p>
        </w:tc>
        <w:tc>
          <w:tcPr>
            <w:tcW w:w="750" w:type="dxa"/>
            <w:tcBorders>
              <w:tl2br w:val="nil"/>
              <w:tr2bl w:val="nil"/>
            </w:tcBorders>
            <w:shd w:val="clear" w:color="auto" w:fill="FFFFFF"/>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4" w:hRule="atLeast"/>
          <w:jc w:val="center"/>
        </w:trPr>
        <w:tc>
          <w:tcPr>
            <w:tcW w:w="1102" w:type="dxa"/>
            <w:vMerge w:val="continue"/>
            <w:tcBorders>
              <w:tl2br w:val="nil"/>
              <w:tr2bl w:val="nil"/>
            </w:tcBorders>
            <w:shd w:val="clear" w:color="auto" w:fill="auto"/>
            <w:noWrap w:val="0"/>
            <w:vAlign w:val="center"/>
          </w:tcPr>
          <w:p>
            <w:pPr>
              <w:widowControl/>
              <w:jc w:val="left"/>
              <w:rPr>
                <w:rFonts w:hint="eastAsia" w:ascii="宋体" w:hAnsi="宋体" w:eastAsia="宋体" w:cs="宋体"/>
                <w:b/>
                <w:bCs/>
                <w:color w:val="auto"/>
                <w:sz w:val="24"/>
                <w:szCs w:val="24"/>
                <w:highlight w:val="none"/>
              </w:rPr>
            </w:pPr>
          </w:p>
        </w:tc>
        <w:tc>
          <w:tcPr>
            <w:tcW w:w="7950" w:type="dxa"/>
            <w:tcBorders>
              <w:tl2br w:val="nil"/>
              <w:tr2bl w:val="nil"/>
            </w:tcBorders>
            <w:shd w:val="clear" w:color="auto" w:fill="FFFFFF"/>
            <w:noWrap w:val="0"/>
            <w:vAlign w:val="center"/>
          </w:tcPr>
          <w:p>
            <w:pPr>
              <w:pStyle w:val="18"/>
              <w:ind w:left="0" w:leftChars="0" w:firstLine="0" w:firstLineChars="0"/>
              <w:jc w:val="left"/>
              <w:rPr>
                <w:rFonts w:hint="eastAsia"/>
                <w:color w:val="auto"/>
                <w:sz w:val="24"/>
                <w:szCs w:val="24"/>
                <w:highlight w:val="none"/>
                <w:lang w:val="en-US" w:eastAsia="zh-CN"/>
              </w:rPr>
            </w:pPr>
            <w:r>
              <w:rPr>
                <w:rFonts w:hint="eastAsia"/>
                <w:color w:val="auto"/>
                <w:sz w:val="24"/>
                <w:szCs w:val="24"/>
                <w:highlight w:val="none"/>
                <w:lang w:val="en-US" w:eastAsia="zh-CN"/>
              </w:rPr>
              <w:t>投标人具有电子与智能化工程专业承包二级及以上的得2分。                    投标人具有信息安全管理体系、质量管理体系、环境管理质量体系、职业健康安全管理体系认证的每一项得1分，最高得4分。                                     （须提供相关证明材料的复印件加盖投标人公章，未提供或提供不符要求的不得分）</w:t>
            </w:r>
          </w:p>
        </w:tc>
        <w:tc>
          <w:tcPr>
            <w:tcW w:w="750" w:type="dxa"/>
            <w:tcBorders>
              <w:tl2br w:val="nil"/>
              <w:tr2bl w:val="nil"/>
            </w:tcBorders>
            <w:shd w:val="clear" w:color="auto" w:fill="FFFFFF"/>
            <w:noWrap w:val="0"/>
            <w:vAlign w:val="center"/>
          </w:tcPr>
          <w:p>
            <w:pPr>
              <w:widowControl/>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09" w:hRule="atLeast"/>
          <w:jc w:val="center"/>
        </w:trPr>
        <w:tc>
          <w:tcPr>
            <w:tcW w:w="1102" w:type="dxa"/>
            <w:vMerge w:val="restart"/>
            <w:tcBorders>
              <w:tl2br w:val="nil"/>
              <w:tr2bl w:val="nil"/>
            </w:tcBorders>
            <w:noWrap w:val="0"/>
            <w:vAlign w:val="center"/>
          </w:tcPr>
          <w:p>
            <w:pPr>
              <w:widowControl/>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售后服务</w:t>
            </w:r>
            <w:r>
              <w:rPr>
                <w:rFonts w:hint="eastAsia" w:ascii="宋体" w:hAnsi="宋体" w:cs="宋体"/>
                <w:b/>
                <w:bCs/>
                <w:color w:val="auto"/>
                <w:sz w:val="24"/>
                <w:szCs w:val="24"/>
                <w:highlight w:val="none"/>
                <w:lang w:val="en-US" w:eastAsia="zh-CN"/>
              </w:rPr>
              <w:t>23</w:t>
            </w:r>
            <w:r>
              <w:rPr>
                <w:rFonts w:hint="eastAsia" w:ascii="宋体" w:hAnsi="宋体" w:eastAsia="宋体" w:cs="宋体"/>
                <w:b/>
                <w:bCs/>
                <w:color w:val="auto"/>
                <w:sz w:val="24"/>
                <w:szCs w:val="24"/>
                <w:highlight w:val="none"/>
              </w:rPr>
              <w:t>分</w:t>
            </w:r>
          </w:p>
        </w:tc>
        <w:tc>
          <w:tcPr>
            <w:tcW w:w="79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一、</w:t>
            </w:r>
            <w:r>
              <w:rPr>
                <w:rFonts w:hint="eastAsia" w:ascii="宋体" w:hAnsi="宋体" w:eastAsia="宋体" w:cs="宋体"/>
                <w:bCs/>
                <w:color w:val="auto"/>
                <w:sz w:val="24"/>
                <w:szCs w:val="24"/>
                <w:highlight w:val="none"/>
                <w:lang w:val="en-US" w:eastAsia="zh-CN"/>
              </w:rPr>
              <w:t>提供台州本地服务网点证明材料或提供中标后30个工作日内设立售后服务机构的承诺函的，得3分。</w:t>
            </w:r>
          </w:p>
          <w:p>
            <w:pPr>
              <w:widowControl/>
              <w:numPr>
                <w:ilvl w:val="0"/>
                <w:numId w:val="0"/>
              </w:numPr>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二、</w:t>
            </w:r>
            <w:r>
              <w:rPr>
                <w:rFonts w:hint="eastAsia" w:ascii="宋体" w:hAnsi="宋体" w:eastAsia="宋体" w:cs="宋体"/>
                <w:color w:val="auto"/>
                <w:sz w:val="24"/>
                <w:szCs w:val="24"/>
                <w:highlight w:val="none"/>
              </w:rPr>
              <w:t>根据投标人的服务响应时间、服务期内的服务承诺等具体内容、方案和措施。由评委</w:t>
            </w:r>
            <w:r>
              <w:rPr>
                <w:rFonts w:hint="eastAsia" w:ascii="宋体" w:hAnsi="宋体" w:eastAsia="宋体" w:cs="宋体"/>
                <w:color w:val="auto"/>
                <w:sz w:val="24"/>
                <w:szCs w:val="24"/>
                <w:highlight w:val="none"/>
                <w:lang w:eastAsia="zh-CN"/>
              </w:rPr>
              <w:t>进行</w:t>
            </w:r>
            <w:r>
              <w:rPr>
                <w:rFonts w:hint="eastAsia" w:ascii="宋体" w:hAnsi="宋体" w:eastAsia="宋体" w:cs="宋体"/>
                <w:color w:val="auto"/>
                <w:sz w:val="24"/>
                <w:szCs w:val="24"/>
                <w:highlight w:val="none"/>
              </w:rPr>
              <w:t>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0-4分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w:t>
            </w:r>
          </w:p>
          <w:p>
            <w:pPr>
              <w:widowControl/>
              <w:numPr>
                <w:ilvl w:val="0"/>
                <w:numId w:val="0"/>
              </w:numPr>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1、服务响应及时，服务承诺对提高维护工作质量及效率有明显促进的得4-3分；</w:t>
            </w:r>
          </w:p>
          <w:p>
            <w:pPr>
              <w:widowControl/>
              <w:numPr>
                <w:ilvl w:val="0"/>
                <w:numId w:val="0"/>
              </w:numPr>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2、服务响应较及时，服务承诺对提高维护工作质量及效率有帮助的得2.9-1分；</w:t>
            </w:r>
          </w:p>
          <w:p>
            <w:pPr>
              <w:widowControl/>
              <w:numPr>
                <w:ilvl w:val="0"/>
                <w:numId w:val="0"/>
              </w:numPr>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3、服务响应不及时，服务承诺空洞，对提高维护工作质量及效率没有帮助的得0.9-0分。</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31" w:hRule="atLeast"/>
          <w:jc w:val="center"/>
        </w:trPr>
        <w:tc>
          <w:tcPr>
            <w:tcW w:w="1102" w:type="dxa"/>
            <w:vMerge w:val="continue"/>
            <w:tcBorders>
              <w:tl2br w:val="nil"/>
              <w:tr2bl w:val="nil"/>
            </w:tcBorders>
            <w:noWrap w:val="0"/>
            <w:vAlign w:val="center"/>
          </w:tcPr>
          <w:p>
            <w:pPr>
              <w:widowControl/>
              <w:jc w:val="left"/>
              <w:rPr>
                <w:rFonts w:hint="eastAsia" w:ascii="宋体" w:hAnsi="宋体" w:eastAsia="宋体" w:cs="宋体"/>
                <w:b/>
                <w:bCs/>
                <w:color w:val="auto"/>
                <w:sz w:val="24"/>
                <w:szCs w:val="24"/>
                <w:highlight w:val="none"/>
              </w:rPr>
            </w:pPr>
          </w:p>
        </w:tc>
        <w:tc>
          <w:tcPr>
            <w:tcW w:w="79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rPr>
              <w:t>本项目负责人具备信息系统项目管理师（高级）</w:t>
            </w:r>
            <w:r>
              <w:rPr>
                <w:rFonts w:hint="eastAsia" w:ascii="宋体" w:hAnsi="宋体" w:cs="宋体"/>
                <w:bCs/>
                <w:color w:val="auto"/>
                <w:sz w:val="24"/>
                <w:szCs w:val="24"/>
                <w:highlight w:val="none"/>
                <w:lang w:eastAsia="zh-CN"/>
              </w:rPr>
              <w:t>证书</w:t>
            </w:r>
            <w:r>
              <w:rPr>
                <w:rFonts w:hint="eastAsia" w:ascii="宋体" w:hAnsi="宋体" w:cs="宋体"/>
                <w:bCs/>
                <w:color w:val="auto"/>
                <w:sz w:val="24"/>
                <w:szCs w:val="24"/>
                <w:highlight w:val="none"/>
              </w:rPr>
              <w:t>的得</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分，具备系统集成项目管理工程师</w:t>
            </w:r>
            <w:r>
              <w:rPr>
                <w:rFonts w:hint="eastAsia" w:ascii="宋体" w:hAnsi="宋体" w:cs="宋体"/>
                <w:bCs/>
                <w:color w:val="auto"/>
                <w:sz w:val="24"/>
                <w:szCs w:val="24"/>
                <w:highlight w:val="none"/>
                <w:lang w:eastAsia="zh-CN"/>
              </w:rPr>
              <w:t>证书</w:t>
            </w:r>
            <w:r>
              <w:rPr>
                <w:rFonts w:hint="eastAsia" w:ascii="宋体" w:hAnsi="宋体" w:cs="宋体"/>
                <w:bCs/>
                <w:color w:val="auto"/>
                <w:sz w:val="24"/>
                <w:szCs w:val="24"/>
                <w:highlight w:val="none"/>
              </w:rPr>
              <w:t>的得</w:t>
            </w:r>
            <w:r>
              <w:rPr>
                <w:rFonts w:hint="eastAsia" w:ascii="宋体" w:hAnsi="宋体" w:cs="宋体"/>
                <w:bCs/>
                <w:color w:val="auto"/>
                <w:sz w:val="24"/>
                <w:szCs w:val="24"/>
                <w:highlight w:val="none"/>
                <w:lang w:val="en-US" w:eastAsia="zh-CN"/>
              </w:rPr>
              <w:t>2</w:t>
            </w:r>
            <w:r>
              <w:rPr>
                <w:rFonts w:hint="eastAsia" w:ascii="宋体" w:hAnsi="宋体" w:cs="宋体"/>
                <w:bCs/>
                <w:color w:val="auto"/>
                <w:sz w:val="24"/>
                <w:szCs w:val="24"/>
                <w:highlight w:val="none"/>
              </w:rPr>
              <w:t>分</w:t>
            </w:r>
            <w:r>
              <w:rPr>
                <w:rFonts w:hint="eastAsia" w:ascii="宋体" w:hAnsi="宋体" w:cs="宋体"/>
                <w:bCs/>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cs="宋体"/>
                <w:bCs/>
                <w:color w:val="auto"/>
                <w:sz w:val="24"/>
                <w:szCs w:val="24"/>
                <w:highlight w:val="none"/>
              </w:rPr>
              <w:t>本项最高得3分</w:t>
            </w:r>
            <w:r>
              <w:rPr>
                <w:rFonts w:hint="eastAsia" w:ascii="宋体" w:hAnsi="宋体" w:cs="宋体"/>
                <w:bCs/>
                <w:color w:val="auto"/>
                <w:sz w:val="24"/>
                <w:szCs w:val="24"/>
                <w:highlight w:val="none"/>
                <w:lang w:eastAsia="zh-CN"/>
              </w:rPr>
              <w:t>，</w:t>
            </w:r>
            <w:r>
              <w:rPr>
                <w:rFonts w:hint="eastAsia" w:ascii="宋体" w:hAnsi="宋体" w:eastAsia="宋体" w:cs="宋体"/>
                <w:color w:val="auto"/>
                <w:sz w:val="24"/>
                <w:szCs w:val="24"/>
                <w:highlight w:val="none"/>
              </w:rPr>
              <w:t>需提供</w:t>
            </w:r>
            <w:r>
              <w:rPr>
                <w:rFonts w:hint="eastAsia" w:ascii="宋体" w:hAnsi="宋体" w:eastAsia="宋体" w:cs="宋体"/>
                <w:color w:val="auto"/>
                <w:sz w:val="24"/>
                <w:szCs w:val="24"/>
                <w:highlight w:val="none"/>
                <w:lang w:eastAsia="zh-CN"/>
              </w:rPr>
              <w:t>证书复印件以及该人员近</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个月以上社保</w:t>
            </w:r>
            <w:r>
              <w:rPr>
                <w:rFonts w:hint="eastAsia" w:ascii="宋体" w:hAnsi="宋体" w:cs="宋体"/>
                <w:color w:val="auto"/>
                <w:sz w:val="24"/>
                <w:szCs w:val="24"/>
                <w:highlight w:val="none"/>
                <w:lang w:eastAsia="zh-CN"/>
              </w:rPr>
              <w:t>证明并加盖公章，</w:t>
            </w:r>
            <w:r>
              <w:rPr>
                <w:rFonts w:hint="eastAsia" w:ascii="宋体" w:hAnsi="宋体" w:eastAsia="宋体" w:cs="宋体"/>
                <w:color w:val="auto"/>
                <w:kern w:val="2"/>
                <w:sz w:val="24"/>
                <w:szCs w:val="24"/>
                <w:highlight w:val="none"/>
                <w:lang w:val="zh-CN" w:eastAsia="zh-CN" w:bidi="ar-SA"/>
              </w:rPr>
              <w:t>未提供的不得分</w:t>
            </w:r>
            <w:r>
              <w:rPr>
                <w:rFonts w:hint="eastAsia" w:ascii="宋体" w:hAnsi="宋体" w:eastAsia="宋体" w:cs="宋体"/>
                <w:color w:val="auto"/>
                <w:sz w:val="24"/>
                <w:szCs w:val="24"/>
                <w:highlight w:val="none"/>
              </w:rPr>
              <w:t>）</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7" w:hRule="atLeast"/>
          <w:jc w:val="center"/>
        </w:trPr>
        <w:tc>
          <w:tcPr>
            <w:tcW w:w="1102" w:type="dxa"/>
            <w:vMerge w:val="continue"/>
            <w:tcBorders>
              <w:tl2br w:val="nil"/>
              <w:tr2bl w:val="nil"/>
            </w:tcBorders>
            <w:noWrap w:val="0"/>
            <w:vAlign w:val="center"/>
          </w:tcPr>
          <w:p>
            <w:pPr>
              <w:widowControl/>
              <w:jc w:val="left"/>
              <w:rPr>
                <w:rFonts w:hint="eastAsia" w:ascii="宋体" w:hAnsi="宋体" w:eastAsia="宋体" w:cs="宋体"/>
                <w:b/>
                <w:bCs/>
                <w:color w:val="auto"/>
                <w:sz w:val="24"/>
                <w:szCs w:val="24"/>
                <w:highlight w:val="none"/>
              </w:rPr>
            </w:pPr>
          </w:p>
        </w:tc>
        <w:tc>
          <w:tcPr>
            <w:tcW w:w="7950" w:type="dxa"/>
            <w:tcBorders>
              <w:tl2br w:val="nil"/>
              <w:tr2bl w:val="nil"/>
            </w:tcBorders>
            <w:noWrap w:val="0"/>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根据现场驻点维护人员保障能力</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售后人员数量配备、技术支撑团队综合实力等综合比较后打分。</w:t>
            </w:r>
          </w:p>
          <w:p>
            <w:pPr>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1、驻点人员保障能力强、售后服务人员配备齐全、技术支撑团队综合实力强的</w:t>
            </w:r>
            <w:r>
              <w:rPr>
                <w:rFonts w:hint="eastAsia" w:ascii="宋体" w:hAnsi="宋体" w:eastAsia="宋体" w:cs="宋体"/>
                <w:color w:val="auto"/>
                <w:sz w:val="24"/>
                <w:szCs w:val="24"/>
                <w:highlight w:val="none"/>
                <w:lang w:eastAsia="zh-CN"/>
              </w:rPr>
              <w:t>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w:t>
            </w:r>
          </w:p>
          <w:p>
            <w:pPr>
              <w:pStyle w:val="18"/>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2、驻点人员保障能力较强、售后服务人员配备基本齐全、技术支撑团队综合实力强的</w:t>
            </w:r>
            <w:r>
              <w:rPr>
                <w:rFonts w:hint="eastAsia" w:ascii="宋体" w:hAnsi="宋体" w:eastAsia="宋体" w:cs="宋体"/>
                <w:color w:val="auto"/>
                <w:sz w:val="24"/>
                <w:szCs w:val="24"/>
                <w:highlight w:val="none"/>
                <w:lang w:eastAsia="zh-CN"/>
              </w:rPr>
              <w:t>得</w:t>
            </w:r>
            <w:r>
              <w:rPr>
                <w:rFonts w:hint="eastAsia" w:ascii="宋体" w:hAnsi="宋体" w:cs="宋体"/>
                <w:color w:val="auto"/>
                <w:sz w:val="24"/>
                <w:szCs w:val="24"/>
                <w:highlight w:val="none"/>
                <w:lang w:val="en-US" w:eastAsia="zh-CN"/>
              </w:rPr>
              <w:t>4.9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p>
            <w:pPr>
              <w:pStyle w:val="18"/>
              <w:ind w:left="0" w:leftChars="0" w:firstLine="0" w:firstLineChars="0"/>
              <w:rPr>
                <w:rFonts w:hint="eastAsia"/>
                <w:color w:val="auto"/>
                <w:sz w:val="24"/>
                <w:szCs w:val="24"/>
                <w:highlight w:val="none"/>
                <w:lang w:val="en-US" w:eastAsia="zh-CN"/>
              </w:rPr>
            </w:pPr>
            <w:r>
              <w:rPr>
                <w:rFonts w:hint="eastAsia" w:ascii="宋体" w:hAnsi="宋体" w:cs="宋体"/>
                <w:color w:val="auto"/>
                <w:sz w:val="24"/>
                <w:szCs w:val="24"/>
                <w:highlight w:val="none"/>
                <w:lang w:val="en-US" w:eastAsia="zh-CN"/>
              </w:rPr>
              <w:t>3、驻点人员保障能力差、售后服务人员配备不全、技术支撑团队综合实力弱的</w:t>
            </w:r>
            <w:r>
              <w:rPr>
                <w:rFonts w:hint="eastAsia" w:ascii="宋体" w:hAnsi="宋体" w:eastAsia="宋体" w:cs="宋体"/>
                <w:color w:val="auto"/>
                <w:sz w:val="24"/>
                <w:szCs w:val="24"/>
                <w:highlight w:val="none"/>
                <w:lang w:eastAsia="zh-CN"/>
              </w:rPr>
              <w:t>得</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-0分</w:t>
            </w:r>
          </w:p>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（以上人员需提供</w:t>
            </w:r>
            <w:r>
              <w:rPr>
                <w:rFonts w:hint="eastAsia" w:ascii="宋体" w:hAnsi="宋体" w:cs="宋体"/>
                <w:color w:val="auto"/>
                <w:sz w:val="24"/>
                <w:szCs w:val="24"/>
                <w:highlight w:val="none"/>
                <w:lang w:val="en-US" w:eastAsia="zh-CN"/>
              </w:rPr>
              <w:t>3个月以上</w:t>
            </w:r>
            <w:r>
              <w:rPr>
                <w:rFonts w:hint="eastAsia" w:ascii="宋体" w:hAnsi="宋体" w:eastAsia="宋体" w:cs="宋体"/>
                <w:color w:val="auto"/>
                <w:sz w:val="24"/>
                <w:szCs w:val="24"/>
                <w:highlight w:val="none"/>
              </w:rPr>
              <w:t>社保证明</w:t>
            </w:r>
            <w:r>
              <w:rPr>
                <w:rFonts w:hint="eastAsia" w:ascii="宋体" w:hAnsi="宋体" w:cs="宋体"/>
                <w:color w:val="auto"/>
                <w:sz w:val="24"/>
                <w:szCs w:val="24"/>
                <w:highlight w:val="none"/>
                <w:lang w:eastAsia="zh-CN"/>
              </w:rPr>
              <w:t>，</w:t>
            </w:r>
            <w:r>
              <w:rPr>
                <w:rFonts w:hint="eastAsia" w:ascii="宋体" w:hAnsi="宋体" w:eastAsia="宋体" w:cs="宋体"/>
                <w:color w:val="auto"/>
                <w:kern w:val="2"/>
                <w:sz w:val="24"/>
                <w:szCs w:val="24"/>
                <w:highlight w:val="none"/>
                <w:lang w:val="zh-CN" w:eastAsia="zh-CN" w:bidi="ar-SA"/>
              </w:rPr>
              <w:t>未提供的不得分</w:t>
            </w:r>
            <w:r>
              <w:rPr>
                <w:rFonts w:hint="eastAsia" w:ascii="宋体" w:hAnsi="宋体" w:eastAsia="宋体" w:cs="宋体"/>
                <w:color w:val="auto"/>
                <w:sz w:val="24"/>
                <w:szCs w:val="24"/>
                <w:highlight w:val="none"/>
              </w:rPr>
              <w:t>）</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7" w:hRule="atLeast"/>
          <w:jc w:val="center"/>
        </w:trPr>
        <w:tc>
          <w:tcPr>
            <w:tcW w:w="1102" w:type="dxa"/>
            <w:vMerge w:val="continue"/>
            <w:tcBorders>
              <w:tl2br w:val="nil"/>
              <w:tr2bl w:val="nil"/>
            </w:tcBorders>
            <w:noWrap w:val="0"/>
            <w:vAlign w:val="center"/>
          </w:tcPr>
          <w:p>
            <w:pPr>
              <w:jc w:val="left"/>
              <w:rPr>
                <w:color w:val="auto"/>
                <w:sz w:val="24"/>
                <w:szCs w:val="24"/>
                <w:highlight w:val="none"/>
              </w:rPr>
            </w:pPr>
          </w:p>
        </w:tc>
        <w:tc>
          <w:tcPr>
            <w:tcW w:w="7950" w:type="dxa"/>
            <w:tcBorders>
              <w:tl2br w:val="nil"/>
              <w:tr2bl w:val="nil"/>
            </w:tcBorders>
            <w:noWrap w:val="0"/>
            <w:vAlign w:val="center"/>
          </w:tcPr>
          <w:p>
            <w:pPr>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根据投标人针对机房运维提供的优化措施进行综合比较后打分，</w:t>
            </w:r>
          </w:p>
          <w:p>
            <w:pPr>
              <w:numPr>
                <w:ilvl w:val="0"/>
                <w:numId w:val="15"/>
              </w:numPr>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优化措施切实可行，对机房运维效率提高有帮助的</w:t>
            </w:r>
            <w:r>
              <w:rPr>
                <w:rFonts w:hint="eastAsia" w:ascii="宋体" w:hAnsi="宋体" w:eastAsia="宋体" w:cs="宋体"/>
                <w:color w:val="auto"/>
                <w:sz w:val="24"/>
                <w:szCs w:val="24"/>
                <w:highlight w:val="none"/>
                <w:lang w:eastAsia="zh-CN"/>
              </w:rPr>
              <w:t>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pPr>
              <w:numPr>
                <w:ilvl w:val="0"/>
                <w:numId w:val="15"/>
              </w:numPr>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能够提供优化措施，但可行性一般的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p>
          <w:p>
            <w:pPr>
              <w:numPr>
                <w:ilvl w:val="0"/>
                <w:numId w:val="15"/>
              </w:numPr>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提供的优化措施不全面、不具体，可行性差的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0.9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分。</w:t>
            </w:r>
          </w:p>
        </w:tc>
        <w:tc>
          <w:tcPr>
            <w:tcW w:w="750" w:type="dxa"/>
            <w:tcBorders>
              <w:tl2br w:val="nil"/>
              <w:tr2bl w:val="nil"/>
            </w:tcBorders>
            <w:noWrap w:val="0"/>
            <w:vAlign w:val="center"/>
          </w:tcPr>
          <w:p>
            <w:pPr>
              <w:jc w:val="lef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07" w:hRule="atLeast"/>
          <w:jc w:val="center"/>
        </w:trPr>
        <w:tc>
          <w:tcPr>
            <w:tcW w:w="1102" w:type="dxa"/>
            <w:vMerge w:val="continue"/>
            <w:tcBorders>
              <w:tl2br w:val="nil"/>
              <w:tr2bl w:val="nil"/>
            </w:tcBorders>
            <w:noWrap w:val="0"/>
            <w:vAlign w:val="center"/>
          </w:tcPr>
          <w:p>
            <w:pPr>
              <w:jc w:val="left"/>
              <w:rPr>
                <w:rFonts w:hint="eastAsia" w:ascii="宋体" w:hAnsi="宋体" w:eastAsia="宋体" w:cs="宋体"/>
                <w:color w:val="auto"/>
                <w:sz w:val="24"/>
                <w:szCs w:val="24"/>
                <w:highlight w:val="none"/>
              </w:rPr>
            </w:pPr>
          </w:p>
        </w:tc>
        <w:tc>
          <w:tcPr>
            <w:tcW w:w="7950" w:type="dxa"/>
            <w:tcBorders>
              <w:tl2br w:val="nil"/>
              <w:tr2bl w:val="nil"/>
            </w:tcBorders>
            <w:noWrap w:val="0"/>
            <w:vAlign w:val="center"/>
          </w:tcPr>
          <w:p>
            <w:pPr>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根据投标人针对机房运维提供的备件情况进行综合比较后打分，</w:t>
            </w:r>
          </w:p>
          <w:p>
            <w:pPr>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1、备件型号齐全、数量充足的</w:t>
            </w:r>
            <w:r>
              <w:rPr>
                <w:rFonts w:hint="eastAsia" w:ascii="宋体" w:hAnsi="宋体" w:eastAsia="宋体" w:cs="宋体"/>
                <w:color w:val="auto"/>
                <w:sz w:val="24"/>
                <w:szCs w:val="24"/>
                <w:highlight w:val="none"/>
                <w:lang w:eastAsia="zh-CN"/>
              </w:rPr>
              <w:t>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w:t>
            </w:r>
          </w:p>
          <w:p>
            <w:pPr>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备件型号较全，数量能够满足更换要求的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1.9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分；</w:t>
            </w:r>
          </w:p>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备件型号不全、数量不足的</w:t>
            </w:r>
            <w:r>
              <w:rPr>
                <w:rFonts w:hint="eastAsia" w:ascii="宋体" w:hAnsi="宋体" w:eastAsia="宋体" w:cs="宋体"/>
                <w:color w:val="auto"/>
                <w:sz w:val="24"/>
                <w:szCs w:val="24"/>
                <w:highlight w:val="none"/>
                <w:lang w:val="en-US" w:eastAsia="zh-CN"/>
              </w:rPr>
              <w:t>得</w:t>
            </w:r>
            <w:r>
              <w:rPr>
                <w:rFonts w:hint="eastAsia" w:ascii="宋体" w:hAnsi="宋体" w:cs="宋体"/>
                <w:color w:val="auto"/>
                <w:sz w:val="24"/>
                <w:szCs w:val="24"/>
                <w:highlight w:val="none"/>
                <w:lang w:val="en-US" w:eastAsia="zh-CN"/>
              </w:rPr>
              <w:t>0.9</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lang w:val="en-US" w:eastAsia="zh-CN"/>
              </w:rPr>
              <w:t>分。</w:t>
            </w:r>
          </w:p>
        </w:tc>
        <w:tc>
          <w:tcPr>
            <w:tcW w:w="750" w:type="dxa"/>
            <w:tcBorders>
              <w:tl2br w:val="nil"/>
              <w:tr2bl w:val="nil"/>
            </w:tcBorders>
            <w:noWrap w:val="0"/>
            <w:vAlign w:val="center"/>
          </w:tcPr>
          <w:p>
            <w:pPr>
              <w:jc w:val="both"/>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9" w:hRule="atLeast"/>
          <w:jc w:val="center"/>
        </w:trPr>
        <w:tc>
          <w:tcPr>
            <w:tcW w:w="1102" w:type="dxa"/>
            <w:tcBorders>
              <w:tl2br w:val="nil"/>
              <w:tr2bl w:val="nil"/>
            </w:tcBorders>
            <w:noWrap w:val="0"/>
            <w:vAlign w:val="center"/>
          </w:tcPr>
          <w:p>
            <w:pPr>
              <w:widowControl/>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eastAsia="zh-CN"/>
              </w:rPr>
              <w:t>价格分</w:t>
            </w:r>
          </w:p>
        </w:tc>
        <w:tc>
          <w:tcPr>
            <w:tcW w:w="7950" w:type="dxa"/>
            <w:tcBorders>
              <w:tl2br w:val="nil"/>
              <w:tr2bl w:val="nil"/>
            </w:tcBorders>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参与评审的价格=投标总价-小微企业价格扣除优惠值</w:t>
            </w:r>
            <w:r>
              <w:rPr>
                <w:rFonts w:hint="eastAsia" w:ascii="宋体" w:hAnsi="宋体" w:cs="宋体"/>
                <w:b/>
                <w:bCs/>
                <w:color w:val="auto"/>
                <w:sz w:val="24"/>
                <w:szCs w:val="24"/>
                <w:highlight w:val="none"/>
                <w:u w:val="single"/>
                <w:lang w:val="en-US" w:eastAsia="zh-CN"/>
              </w:rPr>
              <w:t>10</w:t>
            </w:r>
            <w:r>
              <w:rPr>
                <w:rFonts w:hint="eastAsia" w:ascii="宋体" w:hAnsi="宋体" w:eastAsia="宋体" w:cs="宋体"/>
                <w:b/>
                <w:bCs/>
                <w:color w:val="auto"/>
                <w:sz w:val="24"/>
                <w:szCs w:val="24"/>
                <w:highlight w:val="none"/>
                <w:u w:val="single"/>
              </w:rPr>
              <w:t>%</w:t>
            </w:r>
            <w:r>
              <w:rPr>
                <w:rFonts w:hint="eastAsia" w:ascii="宋体" w:hAnsi="宋体" w:eastAsia="宋体" w:cs="宋体"/>
                <w:color w:val="auto"/>
                <w:sz w:val="24"/>
                <w:szCs w:val="24"/>
                <w:highlight w:val="none"/>
              </w:rPr>
              <w:t>（如有）</w:t>
            </w:r>
          </w:p>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即满足招标文件要求且投标价格最低的投标报价为评标基准价</w:t>
            </w:r>
            <w:r>
              <w:rPr>
                <w:rFonts w:hint="eastAsia" w:ascii="宋体" w:hAnsi="宋体" w:eastAsia="宋体" w:cs="宋体"/>
                <w:color w:val="auto"/>
                <w:sz w:val="24"/>
                <w:szCs w:val="24"/>
                <w:highlight w:val="none"/>
                <w:lang w:eastAsia="zh-CN"/>
              </w:rPr>
              <w:t>，基准价</w:t>
            </w:r>
            <w:r>
              <w:rPr>
                <w:rFonts w:hint="eastAsia" w:ascii="宋体" w:hAnsi="宋体" w:eastAsia="宋体" w:cs="宋体"/>
                <w:color w:val="auto"/>
                <w:sz w:val="24"/>
                <w:szCs w:val="24"/>
                <w:highlight w:val="none"/>
                <w:lang w:val="en-US" w:eastAsia="zh-CN"/>
              </w:rPr>
              <w:t>30分。</w:t>
            </w:r>
          </w:p>
          <w:p>
            <w:pPr>
              <w:widowControl/>
              <w:jc w:val="left"/>
              <w:rPr>
                <w:rFonts w:hint="eastAsia" w:ascii="宋体" w:hAnsi="宋体" w:eastAsia="宋体" w:cs="宋体"/>
                <w:color w:val="auto"/>
                <w:sz w:val="24"/>
                <w:szCs w:val="24"/>
                <w:highlight w:val="none"/>
              </w:rPr>
            </w:pPr>
            <w:r>
              <w:rPr>
                <w:rFonts w:hint="eastAsia" w:ascii="宋体" w:hAnsi="宋体"/>
                <w:color w:val="auto"/>
                <w:sz w:val="24"/>
                <w:szCs w:val="24"/>
                <w:highlight w:val="none"/>
              </w:rPr>
              <w:t>投标报价得分</w:t>
            </w:r>
            <w:r>
              <w:rPr>
                <w:rFonts w:hint="eastAsia" w:ascii="宋体" w:hAnsi="宋体" w:eastAsia="宋体" w:cs="宋体"/>
                <w:color w:val="auto"/>
                <w:sz w:val="24"/>
                <w:szCs w:val="24"/>
                <w:highlight w:val="none"/>
              </w:rPr>
              <w:t>=（评标基准价/投标报价）×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0 %×100</w:t>
            </w:r>
          </w:p>
        </w:tc>
        <w:tc>
          <w:tcPr>
            <w:tcW w:w="750" w:type="dxa"/>
            <w:tcBorders>
              <w:tl2br w:val="nil"/>
              <w:tr2bl w:val="nil"/>
            </w:tcBorders>
            <w:noWrap w:val="0"/>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30分</w:t>
            </w:r>
          </w:p>
        </w:tc>
      </w:tr>
    </w:tbl>
    <w:p>
      <w:pPr>
        <w:rPr>
          <w:color w:val="auto"/>
          <w:highlight w:val="none"/>
        </w:rPr>
      </w:pPr>
      <w:r>
        <w:rPr>
          <w:rFonts w:hint="eastAsia"/>
          <w:color w:val="auto"/>
          <w:highlight w:val="none"/>
        </w:rPr>
        <w:t>注：</w:t>
      </w:r>
    </w:p>
    <w:p>
      <w:pPr>
        <w:rPr>
          <w:color w:val="auto"/>
          <w:highlight w:val="none"/>
        </w:rPr>
      </w:pPr>
      <w:r>
        <w:rPr>
          <w:rFonts w:hint="eastAsia"/>
          <w:color w:val="auto"/>
          <w:highlight w:val="none"/>
        </w:rPr>
        <w:t>①</w:t>
      </w:r>
      <w:r>
        <w:rPr>
          <w:rFonts w:hint="eastAsia"/>
          <w:color w:val="auto"/>
          <w:highlight w:val="none"/>
          <w:lang w:eastAsia="zh-CN"/>
        </w:rPr>
        <w:t>以上</w:t>
      </w:r>
      <w:r>
        <w:rPr>
          <w:rFonts w:hint="eastAsia"/>
          <w:color w:val="auto"/>
          <w:highlight w:val="none"/>
        </w:rPr>
        <w:t>证明材料</w:t>
      </w:r>
      <w:r>
        <w:rPr>
          <w:rFonts w:hint="eastAsia"/>
          <w:color w:val="auto"/>
          <w:highlight w:val="none"/>
          <w:lang w:eastAsia="zh-CN"/>
        </w:rPr>
        <w:t>均需</w:t>
      </w:r>
      <w:r>
        <w:rPr>
          <w:rFonts w:hint="eastAsia"/>
          <w:color w:val="auto"/>
          <w:highlight w:val="none"/>
        </w:rPr>
        <w:t>加盖电子印章。</w:t>
      </w:r>
    </w:p>
    <w:p>
      <w:pPr>
        <w:pStyle w:val="11"/>
        <w:snapToGrid w:val="0"/>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2.评审要求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(1)评标委员会应当按照招标文件中规定的评标方法和标准，对符合性审查合格的投标文件的商务部分和技术部分进行综合比较与评价，其中</w:t>
      </w:r>
      <w:r>
        <w:rPr>
          <w:rFonts w:hint="eastAsia" w:ascii="宋体"/>
          <w:bCs/>
          <w:color w:val="auto"/>
          <w:sz w:val="24"/>
          <w:highlight w:val="none"/>
          <w:lang w:val="zh-CN"/>
        </w:rPr>
        <w:t>客观</w:t>
      </w:r>
      <w:r>
        <w:rPr>
          <w:rFonts w:hint="eastAsia" w:ascii="宋体"/>
          <w:bCs/>
          <w:color w:val="auto"/>
          <w:sz w:val="24"/>
          <w:highlight w:val="none"/>
          <w:lang w:val="en-US" w:eastAsia="zh-CN"/>
        </w:rPr>
        <w:t>评分项的分值</w:t>
      </w:r>
      <w:r>
        <w:rPr>
          <w:rFonts w:hint="eastAsia" w:ascii="宋体"/>
          <w:bCs/>
          <w:color w:val="auto"/>
          <w:sz w:val="24"/>
          <w:highlight w:val="none"/>
          <w:lang w:val="zh-CN"/>
        </w:rPr>
        <w:t>应当一致。</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(2)对于投标文件报价出现前后不一致的，除招标文件另有规定外，按照下列规定修正：</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①</w:t>
      </w:r>
      <w:r>
        <w:rPr>
          <w:rFonts w:hint="eastAsia" w:ascii="宋体" w:hAnsi="宋体" w:eastAsia="宋体" w:cs="宋体"/>
          <w:color w:val="auto"/>
          <w:sz w:val="24"/>
          <w:szCs w:val="24"/>
          <w:highlight w:val="none"/>
          <w:shd w:val="clear"/>
          <w:lang w:eastAsia="zh-CN"/>
        </w:rPr>
        <w:t>‘政府采购云平台’上开启的投标报价与电子投标文件中开标一览表（报价表）内容不一致的，以电子投标文件中开标一览表（报价表）为准。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②投标文件中开标一览表（报价表）内容与投标文件中相应内容不一致的，以开标一览表（报价表）为准；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③大写金额和小写金额不一致的，以大写金额为准；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④单价金额小数点或者百分比有明显错位的，以开标一览表的总价为准，并修改单价；</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5 \* GB3 \* MERGEFORMAT </w:instrText>
      </w:r>
      <w:r>
        <w:rPr>
          <w:rFonts w:hint="eastAsia" w:ascii="宋体" w:hAnsi="宋体" w:cs="宋体"/>
          <w:color w:val="auto"/>
          <w:sz w:val="24"/>
          <w:highlight w:val="none"/>
        </w:rPr>
        <w:fldChar w:fldCharType="separate"/>
      </w:r>
      <w:r>
        <w:rPr>
          <w:color w:val="auto"/>
          <w:highlight w:val="none"/>
        </w:rPr>
        <w:t>⑤</w:t>
      </w:r>
      <w:r>
        <w:rPr>
          <w:rFonts w:hint="eastAsia" w:ascii="宋体" w:hAnsi="宋体" w:cs="宋体"/>
          <w:color w:val="auto"/>
          <w:sz w:val="24"/>
          <w:highlight w:val="none"/>
        </w:rPr>
        <w:fldChar w:fldCharType="end"/>
      </w:r>
      <w:r>
        <w:rPr>
          <w:rFonts w:hint="eastAsia" w:ascii="宋体" w:hAnsi="宋体" w:cs="宋体"/>
          <w:color w:val="auto"/>
          <w:sz w:val="24"/>
          <w:highlight w:val="none"/>
        </w:rPr>
        <w:t>总价金额与按单价汇总金额不一致的，以单价金额计算结果为准。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同时出现两种以上不一致的，按照前款规定的顺序修正。修正应当采用电子询标的形式，并加盖公章（电子印章）。</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（3）对于投标文件中含义不明确、同类问题表述不一致或者有明显文字和计算错误的内容，评标委员会应当要求投标人作出必要的澄清、说明或者补正。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（4）投标人的澄清、说明或者补正采用书面形式，并加盖公章（电子印章）或者由法定代表人或授权代表签字，且不得超出投标文件的范围或者改变投标文件的实质性内容。</w:t>
      </w:r>
    </w:p>
    <w:p>
      <w:pPr>
        <w:spacing w:line="360" w:lineRule="auto"/>
        <w:ind w:firstLine="482" w:firstLineChars="200"/>
        <w:rPr>
          <w:rFonts w:ascii="宋体"/>
          <w:color w:val="auto"/>
          <w:sz w:val="24"/>
          <w:highlight w:val="none"/>
        </w:rPr>
      </w:pPr>
      <w:r>
        <w:rPr>
          <w:rFonts w:hint="eastAsia" w:ascii="宋体" w:hAnsi="宋体" w:cs="宋体"/>
          <w:b/>
          <w:bCs/>
          <w:color w:val="auto"/>
          <w:sz w:val="24"/>
          <w:highlight w:val="none"/>
        </w:rPr>
        <w:t>（四）结果汇总及排序</w:t>
      </w:r>
    </w:p>
    <w:p>
      <w:pPr>
        <w:spacing w:line="360" w:lineRule="auto"/>
        <w:ind w:firstLine="480" w:firstLineChars="200"/>
        <w:rPr>
          <w:rFonts w:ascii="宋体"/>
          <w:color w:val="auto"/>
          <w:sz w:val="24"/>
          <w:highlight w:val="none"/>
          <w:lang w:val="zh-CN"/>
        </w:rPr>
      </w:pPr>
      <w:r>
        <w:rPr>
          <w:rFonts w:hint="eastAsia" w:ascii="宋体" w:hAnsi="宋体" w:cs="宋体"/>
          <w:color w:val="auto"/>
          <w:sz w:val="24"/>
          <w:highlight w:val="none"/>
        </w:rPr>
        <w:t>评标委员会各成员应当独立对每个投标人的投标文件进行评价，并汇总每个投标人的得分。评标结果按评审后综合得分由高到低顺序排列，</w:t>
      </w:r>
      <w:r>
        <w:rPr>
          <w:rFonts w:hint="eastAsia" w:ascii="宋体"/>
          <w:color w:val="auto"/>
          <w:sz w:val="24"/>
          <w:highlight w:val="none"/>
          <w:lang w:val="zh-CN"/>
        </w:rPr>
        <w:t>如综合得分相同，投标报价低者为先；如综合得分且投标报价相同的，货物类采购项目以技术性能得分较高者为先，服务类采购项目以实力信誉及业绩得分较高者为先。</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（五）评标报告撰写</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评标委员会根据全体评标成员签字的原始评标记录和评标结果编写评标报告。</w:t>
      </w:r>
    </w:p>
    <w:p>
      <w:pPr>
        <w:pStyle w:val="24"/>
        <w:rPr>
          <w:color w:val="auto"/>
          <w:highlight w:val="none"/>
        </w:rPr>
      </w:pPr>
    </w:p>
    <w:p>
      <w:pPr>
        <w:pStyle w:val="24"/>
        <w:rPr>
          <w:color w:val="auto"/>
          <w:highlight w:val="none"/>
        </w:rPr>
      </w:pPr>
    </w:p>
    <w:p>
      <w:pPr>
        <w:pStyle w:val="24"/>
        <w:rPr>
          <w:color w:val="auto"/>
          <w:highlight w:val="none"/>
        </w:rPr>
      </w:pPr>
    </w:p>
    <w:p>
      <w:pPr>
        <w:numPr>
          <w:ilvl w:val="0"/>
          <w:numId w:val="0"/>
        </w:numPr>
        <w:spacing w:line="360" w:lineRule="auto"/>
        <w:jc w:val="center"/>
        <w:rPr>
          <w:rFonts w:hint="eastAsia" w:asciiTheme="minorEastAsia" w:hAnsiTheme="minorEastAsia" w:eastAsiaTheme="minorEastAsia"/>
          <w:b/>
          <w:color w:val="auto"/>
          <w:sz w:val="36"/>
          <w:szCs w:val="36"/>
          <w:highlight w:val="none"/>
          <w:lang w:eastAsia="zh-CN"/>
        </w:rPr>
      </w:pPr>
      <w:bookmarkStart w:id="40" w:name="_Toc27944_WPSOffice_Level1"/>
      <w:r>
        <w:rPr>
          <w:rFonts w:hint="eastAsia" w:asciiTheme="minorEastAsia" w:hAnsiTheme="minorEastAsia" w:eastAsiaTheme="minorEastAsia"/>
          <w:b/>
          <w:color w:val="auto"/>
          <w:sz w:val="36"/>
          <w:szCs w:val="36"/>
          <w:highlight w:val="none"/>
          <w:lang w:val="en-US" w:eastAsia="zh-CN"/>
        </w:rPr>
        <w:t xml:space="preserve">第五章 </w:t>
      </w:r>
      <w:bookmarkEnd w:id="40"/>
      <w:r>
        <w:rPr>
          <w:rFonts w:hint="eastAsia" w:asciiTheme="minorEastAsia" w:hAnsiTheme="minorEastAsia" w:eastAsiaTheme="minorEastAsia"/>
          <w:b/>
          <w:color w:val="auto"/>
          <w:sz w:val="36"/>
          <w:szCs w:val="36"/>
          <w:highlight w:val="none"/>
          <w:lang w:eastAsia="zh-CN"/>
        </w:rPr>
        <w:t>拟签订的合同文本</w:t>
      </w:r>
    </w:p>
    <w:p>
      <w:pPr>
        <w:widowControl/>
        <w:shd w:val="clear" w:color="auto" w:fill="FFFFFF"/>
        <w:spacing w:line="360" w:lineRule="auto"/>
        <w:ind w:firstLine="480" w:firstLineChars="200"/>
        <w:rPr>
          <w:rFonts w:ascii="宋体" w:hAnsi="宋体" w:eastAsia="宋体"/>
          <w:color w:val="auto"/>
          <w:sz w:val="24"/>
          <w:highlight w:val="none"/>
        </w:rPr>
      </w:pPr>
      <w:r>
        <w:rPr>
          <w:rFonts w:ascii="宋体" w:hAnsi="宋体" w:eastAsia="宋体"/>
          <w:color w:val="auto"/>
          <w:sz w:val="24"/>
          <w:highlight w:val="none"/>
        </w:rPr>
        <w:t>以下为成交后签</w:t>
      </w:r>
      <w:r>
        <w:rPr>
          <w:rFonts w:hint="eastAsia" w:ascii="宋体" w:hAnsi="宋体" w:eastAsia="宋体"/>
          <w:color w:val="auto"/>
          <w:sz w:val="24"/>
          <w:highlight w:val="none"/>
        </w:rPr>
        <w:t>订</w:t>
      </w:r>
      <w:r>
        <w:rPr>
          <w:rFonts w:ascii="宋体" w:hAnsi="宋体" w:eastAsia="宋体"/>
          <w:color w:val="auto"/>
          <w:sz w:val="24"/>
          <w:highlight w:val="none"/>
        </w:rPr>
        <w:t>本项目合同的通用条款，</w:t>
      </w:r>
      <w:r>
        <w:rPr>
          <w:rFonts w:hint="eastAsia" w:ascii="宋体" w:hAnsi="宋体" w:eastAsia="宋体"/>
          <w:color w:val="auto"/>
          <w:sz w:val="24"/>
          <w:highlight w:val="none"/>
        </w:rPr>
        <w:t>中标人</w:t>
      </w:r>
      <w:r>
        <w:rPr>
          <w:rFonts w:ascii="宋体" w:hAnsi="宋体" w:eastAsia="宋体"/>
          <w:color w:val="auto"/>
          <w:sz w:val="24"/>
          <w:highlight w:val="none"/>
        </w:rPr>
        <w:t>不得提出实质性的修改，关于专用条款将由采购人与</w:t>
      </w:r>
      <w:r>
        <w:rPr>
          <w:rFonts w:hint="eastAsia" w:ascii="宋体" w:hAnsi="宋体" w:eastAsia="宋体"/>
          <w:color w:val="auto"/>
          <w:sz w:val="24"/>
          <w:highlight w:val="none"/>
        </w:rPr>
        <w:t>中标人</w:t>
      </w:r>
      <w:r>
        <w:rPr>
          <w:rFonts w:ascii="宋体" w:hAnsi="宋体" w:eastAsia="宋体"/>
          <w:color w:val="auto"/>
          <w:sz w:val="24"/>
          <w:highlight w:val="none"/>
        </w:rPr>
        <w:t>结合本项目具体情况协商后签订。</w:t>
      </w:r>
    </w:p>
    <w:p>
      <w:pPr>
        <w:pStyle w:val="11"/>
        <w:snapToGrid w:val="0"/>
        <w:spacing w:line="360" w:lineRule="auto"/>
        <w:rPr>
          <w:rFonts w:ascii="宋体" w:hAnsi="宋体" w:eastAsia="宋体"/>
          <w:color w:val="auto"/>
          <w:sz w:val="24"/>
          <w:highlight w:val="none"/>
        </w:rPr>
      </w:pPr>
      <w:r>
        <w:rPr>
          <w:rFonts w:ascii="宋体" w:hAnsi="宋体" w:eastAsia="宋体"/>
          <w:color w:val="auto"/>
          <w:sz w:val="24"/>
          <w:highlight w:val="none"/>
        </w:rPr>
        <w:t>项目名称：                                项目编号：</w:t>
      </w:r>
    </w:p>
    <w:p>
      <w:pPr>
        <w:pStyle w:val="11"/>
        <w:snapToGrid w:val="0"/>
        <w:spacing w:line="360" w:lineRule="auto"/>
        <w:rPr>
          <w:rFonts w:ascii="宋体" w:hAnsi="宋体" w:eastAsia="宋体"/>
          <w:color w:val="auto"/>
          <w:sz w:val="24"/>
          <w:highlight w:val="none"/>
        </w:rPr>
      </w:pPr>
      <w:r>
        <w:rPr>
          <w:rFonts w:ascii="宋体" w:hAnsi="宋体" w:eastAsia="宋体"/>
          <w:color w:val="auto"/>
          <w:sz w:val="24"/>
          <w:highlight w:val="none"/>
        </w:rPr>
        <w:t>甲方：（</w:t>
      </w:r>
      <w:r>
        <w:rPr>
          <w:rFonts w:hint="eastAsia" w:ascii="宋体" w:hAnsi="宋体" w:eastAsia="宋体"/>
          <w:color w:val="auto"/>
          <w:sz w:val="24"/>
          <w:highlight w:val="none"/>
        </w:rPr>
        <w:t>采购单位</w:t>
      </w:r>
      <w:r>
        <w:rPr>
          <w:rFonts w:ascii="宋体" w:hAnsi="宋体" w:eastAsia="宋体"/>
          <w:color w:val="auto"/>
          <w:sz w:val="24"/>
          <w:highlight w:val="none"/>
        </w:rPr>
        <w:t>）</w:t>
      </w:r>
      <w:r>
        <w:rPr>
          <w:rFonts w:hint="eastAsia" w:ascii="宋体" w:hAnsi="宋体" w:eastAsia="宋体"/>
          <w:color w:val="auto"/>
          <w:sz w:val="24"/>
          <w:highlight w:val="none"/>
        </w:rPr>
        <w:t xml:space="preserve">                        所在地：   </w:t>
      </w:r>
    </w:p>
    <w:p>
      <w:pPr>
        <w:pStyle w:val="11"/>
        <w:snapToGrid w:val="0"/>
        <w:spacing w:line="360" w:lineRule="auto"/>
        <w:rPr>
          <w:rFonts w:ascii="宋体" w:hAnsi="宋体" w:eastAsia="宋体"/>
          <w:color w:val="auto"/>
          <w:sz w:val="24"/>
          <w:highlight w:val="none"/>
        </w:rPr>
      </w:pPr>
      <w:r>
        <w:rPr>
          <w:rFonts w:ascii="宋体" w:hAnsi="宋体" w:eastAsia="宋体"/>
          <w:color w:val="auto"/>
          <w:sz w:val="24"/>
          <w:highlight w:val="none"/>
        </w:rPr>
        <w:t>乙方：（</w:t>
      </w:r>
      <w:r>
        <w:rPr>
          <w:rFonts w:hint="eastAsia" w:ascii="宋体" w:hAnsi="宋体" w:eastAsia="宋体"/>
          <w:color w:val="auto"/>
          <w:sz w:val="24"/>
          <w:highlight w:val="none"/>
        </w:rPr>
        <w:t>中标人</w:t>
      </w:r>
      <w:r>
        <w:rPr>
          <w:rFonts w:ascii="宋体" w:hAnsi="宋体" w:eastAsia="宋体"/>
          <w:color w:val="auto"/>
          <w:sz w:val="24"/>
          <w:highlight w:val="none"/>
        </w:rPr>
        <w:t>）</w:t>
      </w:r>
      <w:r>
        <w:rPr>
          <w:rFonts w:hint="eastAsia" w:ascii="宋体" w:hAnsi="宋体" w:eastAsia="宋体"/>
          <w:color w:val="auto"/>
          <w:sz w:val="24"/>
          <w:highlight w:val="none"/>
        </w:rPr>
        <w:t xml:space="preserve">                          所在地：</w:t>
      </w:r>
    </w:p>
    <w:p>
      <w:pPr>
        <w:widowControl/>
        <w:shd w:val="clear" w:color="auto" w:fill="FFFFFF"/>
        <w:spacing w:line="360" w:lineRule="auto"/>
        <w:ind w:firstLine="480" w:firstLineChars="200"/>
        <w:rPr>
          <w:rFonts w:ascii="宋体" w:hAnsi="宋体" w:eastAsia="宋体"/>
          <w:color w:val="auto"/>
          <w:sz w:val="24"/>
          <w:highlight w:val="none"/>
        </w:rPr>
      </w:pPr>
      <w:r>
        <w:rPr>
          <w:rFonts w:ascii="宋体" w:hAnsi="宋体" w:eastAsia="宋体"/>
          <w:color w:val="auto"/>
          <w:sz w:val="24"/>
          <w:highlight w:val="none"/>
        </w:rPr>
        <w:t>甲、乙双方根据</w:t>
      </w:r>
      <w:r>
        <w:rPr>
          <w:rFonts w:hint="eastAsia" w:ascii="宋体" w:hAnsi="宋体" w:eastAsia="宋体" w:cs="Arial"/>
          <w:color w:val="auto"/>
          <w:sz w:val="24"/>
          <w:highlight w:val="none"/>
        </w:rPr>
        <w:t>××</w:t>
      </w:r>
      <w:r>
        <w:rPr>
          <w:rFonts w:hint="eastAsia" w:ascii="宋体" w:hAnsi="宋体" w:eastAsia="宋体"/>
          <w:color w:val="auto"/>
          <w:sz w:val="24"/>
          <w:highlight w:val="none"/>
        </w:rPr>
        <w:t>(采购组织机构名称）</w:t>
      </w:r>
      <w:r>
        <w:rPr>
          <w:rFonts w:ascii="宋体" w:hAnsi="宋体" w:eastAsia="宋体"/>
          <w:color w:val="auto"/>
          <w:sz w:val="24"/>
          <w:highlight w:val="none"/>
        </w:rPr>
        <w:t>关于</w:t>
      </w:r>
      <w:r>
        <w:rPr>
          <w:rFonts w:hint="eastAsia" w:ascii="宋体" w:hAnsi="宋体" w:eastAsia="宋体" w:cs="Arial"/>
          <w:color w:val="auto"/>
          <w:sz w:val="24"/>
          <w:highlight w:val="none"/>
        </w:rPr>
        <w:t>××</w:t>
      </w:r>
      <w:r>
        <w:rPr>
          <w:rFonts w:ascii="宋体" w:hAnsi="宋体" w:eastAsia="宋体"/>
          <w:color w:val="auto"/>
          <w:sz w:val="24"/>
          <w:highlight w:val="none"/>
        </w:rPr>
        <w:t>项目</w:t>
      </w:r>
      <w:r>
        <w:rPr>
          <w:rFonts w:hint="eastAsia" w:ascii="宋体" w:hAnsi="宋体" w:eastAsia="宋体"/>
          <w:color w:val="auto"/>
          <w:sz w:val="24"/>
          <w:highlight w:val="none"/>
        </w:rPr>
        <w:t>公开招标</w:t>
      </w:r>
      <w:r>
        <w:rPr>
          <w:rFonts w:ascii="宋体" w:hAnsi="宋体" w:eastAsia="宋体"/>
          <w:color w:val="auto"/>
          <w:sz w:val="24"/>
          <w:highlight w:val="none"/>
        </w:rPr>
        <w:t>的结果，签署本合同。</w:t>
      </w:r>
    </w:p>
    <w:p>
      <w:pPr>
        <w:spacing w:line="360" w:lineRule="auto"/>
        <w:ind w:firstLine="482" w:firstLineChars="200"/>
        <w:rPr>
          <w:rFonts w:ascii="宋体" w:hAnsi="宋体" w:eastAsia="宋体"/>
          <w:color w:val="auto"/>
          <w:sz w:val="24"/>
          <w:highlight w:val="none"/>
          <w:lang w:val="zh-CN"/>
        </w:rPr>
      </w:pPr>
      <w:r>
        <w:rPr>
          <w:rFonts w:hint="eastAsia" w:ascii="宋体" w:hAnsi="宋体" w:eastAsia="宋体"/>
          <w:b/>
          <w:bCs/>
          <w:color w:val="auto"/>
          <w:sz w:val="24"/>
          <w:highlight w:val="none"/>
          <w:lang w:val="zh-CN"/>
        </w:rPr>
        <w:t>一、合同文件：</w:t>
      </w:r>
      <w:r>
        <w:rPr>
          <w:rFonts w:hint="eastAsia" w:ascii="宋体" w:hAnsi="宋体" w:eastAsia="宋体"/>
          <w:color w:val="auto"/>
          <w:sz w:val="24"/>
          <w:highlight w:val="none"/>
          <w:lang w:val="zh-CN"/>
        </w:rPr>
        <w:t xml:space="preserve"> </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一</w:t>
      </w:r>
      <w:r>
        <w:rPr>
          <w:rFonts w:hint="eastAsia" w:ascii="宋体" w:hAnsi="宋体" w:eastAsia="宋体"/>
          <w:color w:val="auto"/>
          <w:sz w:val="24"/>
          <w:highlight w:val="none"/>
          <w:lang w:val="zh-CN"/>
        </w:rPr>
        <w:t>）合同条款。</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二</w:t>
      </w:r>
      <w:r>
        <w:rPr>
          <w:rFonts w:hint="eastAsia" w:ascii="宋体" w:hAnsi="宋体" w:eastAsia="宋体"/>
          <w:color w:val="auto"/>
          <w:sz w:val="24"/>
          <w:highlight w:val="none"/>
          <w:lang w:val="zh-CN"/>
        </w:rPr>
        <w:t>）中标通知书。</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三</w:t>
      </w:r>
      <w:r>
        <w:rPr>
          <w:rFonts w:hint="eastAsia" w:ascii="宋体" w:hAnsi="宋体" w:eastAsia="宋体"/>
          <w:color w:val="auto"/>
          <w:sz w:val="24"/>
          <w:highlight w:val="none"/>
          <w:lang w:val="zh-CN"/>
        </w:rPr>
        <w:t>）更正补充文件。</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四</w:t>
      </w:r>
      <w:r>
        <w:rPr>
          <w:rFonts w:hint="eastAsia" w:ascii="宋体" w:hAnsi="宋体" w:eastAsia="宋体"/>
          <w:color w:val="auto"/>
          <w:sz w:val="24"/>
          <w:highlight w:val="none"/>
          <w:lang w:val="zh-CN"/>
        </w:rPr>
        <w:t>）招标文件。</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五</w:t>
      </w:r>
      <w:r>
        <w:rPr>
          <w:rFonts w:hint="eastAsia" w:ascii="宋体" w:hAnsi="宋体" w:eastAsia="宋体"/>
          <w:color w:val="auto"/>
          <w:sz w:val="24"/>
          <w:highlight w:val="none"/>
          <w:lang w:val="zh-CN"/>
        </w:rPr>
        <w:t>）中标</w:t>
      </w:r>
      <w:r>
        <w:rPr>
          <w:rFonts w:hint="eastAsia" w:ascii="宋体" w:hAnsi="宋体" w:eastAsia="宋体"/>
          <w:color w:val="auto"/>
          <w:sz w:val="24"/>
          <w:highlight w:val="none"/>
        </w:rPr>
        <w:t>人</w:t>
      </w:r>
      <w:r>
        <w:rPr>
          <w:rFonts w:hint="eastAsia" w:ascii="宋体" w:hAnsi="宋体" w:eastAsia="宋体"/>
          <w:color w:val="auto"/>
          <w:sz w:val="24"/>
          <w:highlight w:val="none"/>
          <w:lang w:val="zh-CN"/>
        </w:rPr>
        <w:t>投标文件。</w:t>
      </w:r>
    </w:p>
    <w:p>
      <w:pPr>
        <w:spacing w:line="360" w:lineRule="auto"/>
        <w:ind w:firstLine="480" w:firstLineChars="200"/>
        <w:rPr>
          <w:rFonts w:ascii="宋体" w:hAnsi="宋体" w:eastAsia="宋体"/>
          <w:color w:val="auto"/>
          <w:sz w:val="24"/>
          <w:highlight w:val="none"/>
          <w:lang w:val="zh-CN"/>
        </w:rPr>
      </w:pPr>
      <w:r>
        <w:rPr>
          <w:rFonts w:hint="eastAsia" w:ascii="宋体" w:hAnsi="宋体" w:eastAsia="宋体"/>
          <w:color w:val="auto"/>
          <w:sz w:val="24"/>
          <w:highlight w:val="none"/>
          <w:lang w:val="zh-CN"/>
        </w:rPr>
        <w:t>（</w:t>
      </w:r>
      <w:r>
        <w:rPr>
          <w:rFonts w:hint="eastAsia" w:ascii="宋体" w:hAnsi="宋体" w:eastAsia="宋体"/>
          <w:color w:val="auto"/>
          <w:sz w:val="24"/>
          <w:highlight w:val="none"/>
        </w:rPr>
        <w:t>六</w:t>
      </w:r>
      <w:r>
        <w:rPr>
          <w:rFonts w:hint="eastAsia" w:ascii="宋体" w:hAnsi="宋体" w:eastAsia="宋体"/>
          <w:color w:val="auto"/>
          <w:sz w:val="24"/>
          <w:highlight w:val="none"/>
          <w:lang w:val="zh-CN"/>
        </w:rPr>
        <w:t>）其他。</w:t>
      </w:r>
    </w:p>
    <w:p>
      <w:pPr>
        <w:pStyle w:val="11"/>
        <w:snapToGrid w:val="0"/>
        <w:spacing w:line="360" w:lineRule="auto"/>
        <w:ind w:firstLine="480" w:firstLineChars="200"/>
        <w:rPr>
          <w:rFonts w:ascii="宋体" w:hAnsi="宋体" w:eastAsia="宋体"/>
          <w:b/>
          <w:color w:val="auto"/>
          <w:sz w:val="24"/>
          <w:highlight w:val="none"/>
        </w:rPr>
      </w:pPr>
      <w:r>
        <w:rPr>
          <w:rFonts w:hint="eastAsia" w:ascii="宋体" w:hAnsi="宋体" w:eastAsia="宋体"/>
          <w:color w:val="auto"/>
          <w:sz w:val="24"/>
          <w:highlight w:val="none"/>
          <w:lang w:val="zh-CN"/>
        </w:rPr>
        <w:t>上述所指合同文件应认为是互相补充和解释的，但是有模棱两可或互相矛盾之处，以其所列内容顺序为准。</w:t>
      </w:r>
    </w:p>
    <w:p>
      <w:pPr>
        <w:widowControl/>
        <w:shd w:val="clear" w:color="auto" w:fill="FFFFFF"/>
        <w:spacing w:line="360" w:lineRule="auto"/>
        <w:ind w:firstLine="482" w:firstLineChars="200"/>
        <w:rPr>
          <w:rFonts w:ascii="宋体" w:hAnsi="宋体" w:eastAsia="宋体" w:cs="Arial"/>
          <w:b/>
          <w:color w:val="auto"/>
          <w:kern w:val="0"/>
          <w:sz w:val="24"/>
          <w:highlight w:val="none"/>
        </w:rPr>
      </w:pPr>
      <w:r>
        <w:rPr>
          <w:rFonts w:hint="eastAsia" w:ascii="宋体" w:hAnsi="宋体" w:eastAsia="宋体"/>
          <w:b/>
          <w:color w:val="auto"/>
          <w:sz w:val="24"/>
          <w:highlight w:val="none"/>
        </w:rPr>
        <w:t>二</w:t>
      </w:r>
      <w:r>
        <w:rPr>
          <w:rFonts w:ascii="宋体" w:hAnsi="宋体" w:eastAsia="宋体"/>
          <w:b/>
          <w:color w:val="auto"/>
          <w:sz w:val="24"/>
          <w:highlight w:val="none"/>
        </w:rPr>
        <w:t>、</w:t>
      </w:r>
      <w:r>
        <w:rPr>
          <w:rFonts w:ascii="宋体" w:hAnsi="宋体" w:eastAsia="宋体" w:cs="Arial"/>
          <w:b/>
          <w:color w:val="auto"/>
          <w:kern w:val="0"/>
          <w:sz w:val="24"/>
          <w:highlight w:val="none"/>
        </w:rPr>
        <w:t>合同内容及服务标准</w:t>
      </w:r>
    </w:p>
    <w:p>
      <w:pPr>
        <w:widowControl/>
        <w:shd w:val="clear" w:color="auto" w:fill="FFFFFF"/>
        <w:spacing w:line="360" w:lineRule="auto"/>
        <w:ind w:firstLine="480" w:firstLineChars="200"/>
        <w:rPr>
          <w:rFonts w:ascii="宋体" w:hAnsi="宋体" w:eastAsia="宋体" w:cs="Arial"/>
          <w:color w:val="auto"/>
          <w:kern w:val="0"/>
          <w:sz w:val="24"/>
          <w:highlight w:val="none"/>
        </w:rPr>
      </w:pPr>
      <w:r>
        <w:rPr>
          <w:rFonts w:ascii="宋体" w:hAnsi="宋体" w:eastAsia="宋体" w:cs="Arial"/>
          <w:color w:val="auto"/>
          <w:kern w:val="0"/>
          <w:sz w:val="24"/>
          <w:highlight w:val="none"/>
        </w:rPr>
        <w:t>（具体见项目需求）</w:t>
      </w:r>
    </w:p>
    <w:p>
      <w:pPr>
        <w:pStyle w:val="11"/>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三</w:t>
      </w:r>
      <w:r>
        <w:rPr>
          <w:rFonts w:ascii="宋体" w:hAnsi="宋体" w:eastAsia="宋体"/>
          <w:b/>
          <w:color w:val="auto"/>
          <w:sz w:val="24"/>
          <w:highlight w:val="none"/>
        </w:rPr>
        <w:t>、合同金额</w:t>
      </w:r>
    </w:p>
    <w:p>
      <w:pPr>
        <w:pStyle w:val="11"/>
        <w:snapToGrid w:val="0"/>
        <w:spacing w:line="360" w:lineRule="auto"/>
        <w:ind w:firstLine="480" w:firstLineChars="200"/>
        <w:rPr>
          <w:rFonts w:ascii="宋体" w:hAnsi="宋体" w:eastAsia="宋体"/>
          <w:color w:val="auto"/>
          <w:sz w:val="24"/>
          <w:highlight w:val="none"/>
        </w:rPr>
      </w:pPr>
      <w:r>
        <w:rPr>
          <w:rFonts w:ascii="宋体" w:hAnsi="宋体" w:eastAsia="宋体"/>
          <w:color w:val="auto"/>
          <w:sz w:val="24"/>
          <w:highlight w:val="none"/>
        </w:rPr>
        <w:t>本合同金额为（大写）：___________________元（￥_______________元）人民币。</w:t>
      </w:r>
    </w:p>
    <w:p>
      <w:pPr>
        <w:widowControl w:val="0"/>
        <w:snapToGrid w:val="0"/>
        <w:spacing w:before="120" w:after="120" w:line="360" w:lineRule="auto"/>
        <w:ind w:firstLine="240" w:firstLineChars="100"/>
        <w:jc w:val="both"/>
        <w:rPr>
          <w:rFonts w:ascii="宋体" w:hAnsi="Courier New" w:eastAsia="宋体" w:cs="Times New Roman"/>
          <w:color w:val="auto"/>
          <w:kern w:val="2"/>
          <w:sz w:val="21"/>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 xml:space="preserve"> </w:t>
      </w:r>
      <w:r>
        <w:rPr>
          <w:rFonts w:ascii="宋体" w:hAnsi="宋体" w:eastAsia="宋体" w:cs="Times New Roman"/>
          <w:color w:val="auto"/>
          <w:kern w:val="2"/>
          <w:sz w:val="24"/>
          <w:szCs w:val="24"/>
          <w:highlight w:val="none"/>
          <w:lang w:val="en-US" w:eastAsia="zh-CN" w:bidi="ar-SA"/>
        </w:rPr>
        <w:t>该总金额中包括但不限于</w:t>
      </w:r>
      <w:r>
        <w:rPr>
          <w:rFonts w:hint="eastAsia" w:ascii="宋体" w:hAnsi="宋体" w:eastAsia="宋体" w:cs="Times New Roman"/>
          <w:color w:val="auto"/>
          <w:kern w:val="2"/>
          <w:sz w:val="24"/>
          <w:szCs w:val="24"/>
          <w:highlight w:val="none"/>
          <w:lang w:val="en-US" w:eastAsia="zh-CN" w:bidi="ar-SA"/>
        </w:rPr>
        <w:t>服务费、运维费、</w:t>
      </w:r>
      <w:r>
        <w:rPr>
          <w:rFonts w:ascii="宋体" w:hAnsi="宋体" w:eastAsia="宋体" w:cs="Times New Roman"/>
          <w:color w:val="auto"/>
          <w:kern w:val="2"/>
          <w:sz w:val="24"/>
          <w:szCs w:val="24"/>
          <w:highlight w:val="none"/>
          <w:lang w:val="en-US" w:eastAsia="zh-CN" w:bidi="ar-SA"/>
        </w:rPr>
        <w:t>验收费、税金</w:t>
      </w:r>
      <w:r>
        <w:rPr>
          <w:rFonts w:hint="eastAsia" w:ascii="宋体" w:hAnsi="宋体" w:eastAsia="宋体" w:cs="Times New Roman"/>
          <w:color w:val="auto"/>
          <w:kern w:val="2"/>
          <w:sz w:val="24"/>
          <w:szCs w:val="24"/>
          <w:highlight w:val="none"/>
          <w:lang w:val="en-US" w:eastAsia="zh-CN" w:bidi="ar-SA"/>
        </w:rPr>
        <w:t>、招标代理服务费</w:t>
      </w:r>
      <w:r>
        <w:rPr>
          <w:rFonts w:ascii="宋体" w:hAnsi="宋体" w:eastAsia="宋体" w:cs="Times New Roman"/>
          <w:color w:val="auto"/>
          <w:kern w:val="2"/>
          <w:sz w:val="24"/>
          <w:szCs w:val="24"/>
          <w:highlight w:val="none"/>
          <w:lang w:val="en-US" w:eastAsia="zh-CN" w:bidi="ar-SA"/>
        </w:rPr>
        <w:t>等有关的一切费用和价款，在本合同履行期间乙方除甲方违约责任外不得再以任何理由向甲方计取任何其他费用。</w:t>
      </w:r>
    </w:p>
    <w:p>
      <w:pPr>
        <w:pStyle w:val="11"/>
        <w:snapToGrid w:val="0"/>
        <w:spacing w:line="360" w:lineRule="auto"/>
        <w:ind w:firstLine="480" w:firstLineChars="200"/>
        <w:rPr>
          <w:rFonts w:ascii="宋体" w:hAnsi="宋体" w:eastAsia="宋体"/>
          <w:color w:val="auto"/>
          <w:sz w:val="24"/>
          <w:highlight w:val="none"/>
        </w:rPr>
      </w:pPr>
    </w:p>
    <w:p>
      <w:pPr>
        <w:widowControl/>
        <w:shd w:val="clear" w:color="auto" w:fill="FFFFFF"/>
        <w:spacing w:line="360" w:lineRule="auto"/>
        <w:ind w:firstLine="482" w:firstLineChars="200"/>
        <w:rPr>
          <w:rFonts w:ascii="宋体" w:hAnsi="宋体" w:eastAsia="宋体" w:cs="Arial"/>
          <w:b/>
          <w:color w:val="auto"/>
          <w:kern w:val="0"/>
          <w:sz w:val="24"/>
          <w:highlight w:val="none"/>
        </w:rPr>
      </w:pPr>
      <w:r>
        <w:rPr>
          <w:rFonts w:hint="eastAsia" w:ascii="宋体" w:hAnsi="宋体" w:eastAsia="宋体" w:cs="Arial"/>
          <w:b/>
          <w:color w:val="auto"/>
          <w:kern w:val="0"/>
          <w:sz w:val="24"/>
          <w:highlight w:val="none"/>
        </w:rPr>
        <w:t>四</w:t>
      </w:r>
      <w:r>
        <w:rPr>
          <w:rFonts w:ascii="宋体" w:hAnsi="宋体" w:eastAsia="宋体" w:cs="Arial"/>
          <w:b/>
          <w:color w:val="auto"/>
          <w:kern w:val="0"/>
          <w:sz w:val="24"/>
          <w:highlight w:val="none"/>
        </w:rPr>
        <w:t>、甲乙双方责任</w:t>
      </w:r>
    </w:p>
    <w:p>
      <w:pPr>
        <w:pStyle w:val="16"/>
        <w:shd w:val="clear" w:color="auto" w:fill="FFFFFF"/>
        <w:spacing w:before="0" w:beforeAutospacing="0" w:after="0" w:afterAutospacing="0" w:line="360" w:lineRule="auto"/>
        <w:ind w:firstLine="480" w:firstLineChars="200"/>
        <w:jc w:val="both"/>
        <w:rPr>
          <w:rFonts w:hint="default" w:ascii="宋体" w:hAnsi="宋体" w:eastAsia="宋体" w:cs="Arial"/>
          <w:color w:val="auto"/>
          <w:highlight w:val="none"/>
        </w:rPr>
      </w:pPr>
      <w:r>
        <w:rPr>
          <w:rFonts w:ascii="宋体" w:hAnsi="宋体" w:eastAsia="宋体" w:cs="Arial"/>
          <w:color w:val="auto"/>
          <w:highlight w:val="none"/>
        </w:rPr>
        <w:t>（一）甲方责任</w:t>
      </w:r>
    </w:p>
    <w:p>
      <w:pPr>
        <w:pStyle w:val="16"/>
        <w:shd w:val="clear" w:color="auto" w:fill="FFFFFF"/>
        <w:spacing w:before="0" w:beforeAutospacing="0" w:after="0" w:afterAutospacing="0" w:line="360" w:lineRule="auto"/>
        <w:ind w:firstLine="480" w:firstLineChars="200"/>
        <w:jc w:val="both"/>
        <w:rPr>
          <w:rFonts w:hint="default" w:ascii="宋体" w:hAnsi="宋体" w:eastAsia="宋体" w:cs="Arial"/>
          <w:color w:val="auto"/>
          <w:highlight w:val="none"/>
        </w:rPr>
      </w:pPr>
      <w:r>
        <w:rPr>
          <w:rFonts w:ascii="宋体" w:hAnsi="宋体" w:eastAsia="宋体" w:cs="Arial"/>
          <w:color w:val="auto"/>
          <w:highlight w:val="none"/>
        </w:rPr>
        <w:t>（根据招标结果确定）</w:t>
      </w:r>
    </w:p>
    <w:p>
      <w:pPr>
        <w:pStyle w:val="16"/>
        <w:shd w:val="clear" w:color="auto" w:fill="FFFFFF"/>
        <w:spacing w:before="0" w:beforeAutospacing="0" w:after="0" w:afterAutospacing="0" w:line="360" w:lineRule="auto"/>
        <w:ind w:firstLine="480" w:firstLineChars="200"/>
        <w:jc w:val="both"/>
        <w:rPr>
          <w:rFonts w:hint="default" w:ascii="宋体" w:hAnsi="宋体" w:eastAsia="宋体" w:cs="Arial"/>
          <w:color w:val="auto"/>
          <w:highlight w:val="none"/>
        </w:rPr>
      </w:pPr>
      <w:r>
        <w:rPr>
          <w:rFonts w:ascii="宋体" w:hAnsi="宋体" w:eastAsia="宋体" w:cs="Arial"/>
          <w:color w:val="auto"/>
          <w:highlight w:val="none"/>
        </w:rPr>
        <w:t>（二）乙方责任</w:t>
      </w:r>
    </w:p>
    <w:p>
      <w:pPr>
        <w:pStyle w:val="16"/>
        <w:shd w:val="clear" w:color="auto" w:fill="FFFFFF"/>
        <w:spacing w:before="0" w:beforeAutospacing="0" w:after="0" w:afterAutospacing="0" w:line="360" w:lineRule="auto"/>
        <w:ind w:firstLine="480" w:firstLineChars="200"/>
        <w:jc w:val="both"/>
        <w:rPr>
          <w:rFonts w:hint="default" w:ascii="宋体" w:hAnsi="宋体" w:eastAsia="宋体" w:cs="Arial"/>
          <w:color w:val="auto"/>
          <w:highlight w:val="none"/>
        </w:rPr>
      </w:pPr>
      <w:r>
        <w:rPr>
          <w:rFonts w:ascii="宋体" w:hAnsi="宋体" w:eastAsia="宋体"/>
          <w:color w:val="auto"/>
          <w:highlight w:val="none"/>
        </w:rPr>
        <w:t>（根据招标结果确定）</w:t>
      </w:r>
    </w:p>
    <w:p>
      <w:pPr>
        <w:pStyle w:val="11"/>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五</w:t>
      </w:r>
      <w:r>
        <w:rPr>
          <w:rFonts w:ascii="宋体" w:hAnsi="宋体" w:eastAsia="宋体"/>
          <w:b/>
          <w:color w:val="auto"/>
          <w:sz w:val="24"/>
          <w:highlight w:val="none"/>
        </w:rPr>
        <w:t>、技术资料</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乙方应按招标文件规定的时间向甲方提供有关技术资料。</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（二）</w:t>
      </w:r>
      <w:r>
        <w:rPr>
          <w:rFonts w:ascii="宋体" w:hAnsi="宋体" w:eastAsia="宋体"/>
          <w:color w:val="auto"/>
          <w:sz w:val="24"/>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1"/>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六</w:t>
      </w:r>
      <w:r>
        <w:rPr>
          <w:rFonts w:ascii="宋体" w:hAnsi="宋体" w:eastAsia="宋体"/>
          <w:b/>
          <w:color w:val="auto"/>
          <w:sz w:val="24"/>
          <w:highlight w:val="none"/>
        </w:rPr>
        <w:t>、知识产权</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乙方应保证提供服务过程中不会侵犯任何第三方的知识产权。</w:t>
      </w:r>
    </w:p>
    <w:p>
      <w:pPr>
        <w:pStyle w:val="12"/>
        <w:spacing w:line="360" w:lineRule="auto"/>
        <w:ind w:left="0" w:leftChars="0" w:firstLine="480" w:firstLineChars="200"/>
        <w:rPr>
          <w:rFonts w:ascii="宋体" w:hAnsi="宋体" w:eastAsia="宋体"/>
          <w:color w:val="auto"/>
          <w:highlight w:val="none"/>
        </w:rPr>
      </w:pPr>
      <w:r>
        <w:rPr>
          <w:rFonts w:hint="eastAsia" w:ascii="宋体" w:hAnsi="宋体" w:eastAsia="宋体"/>
          <w:color w:val="auto"/>
          <w:sz w:val="24"/>
          <w:highlight w:val="none"/>
        </w:rPr>
        <w:t>（二）若侵犯,由乙方赔偿甲方因此遭受的损失（包括但不限于应对及追偿过程中所支付的律师费、差旅费、诉讼费、保全费、鉴定费、评估费等）。</w:t>
      </w:r>
    </w:p>
    <w:p>
      <w:pPr>
        <w:pStyle w:val="11"/>
        <w:snapToGrid w:val="0"/>
        <w:spacing w:line="360" w:lineRule="auto"/>
        <w:ind w:firstLine="482" w:firstLineChars="200"/>
        <w:rPr>
          <w:rFonts w:ascii="宋体" w:hAnsi="宋体" w:eastAsia="宋体" w:cs="Times New Roman"/>
          <w:color w:val="auto"/>
          <w:sz w:val="24"/>
          <w:highlight w:val="none"/>
        </w:rPr>
      </w:pPr>
      <w:r>
        <w:rPr>
          <w:rFonts w:hint="eastAsia" w:ascii="宋体" w:hAnsi="宋体" w:eastAsia="宋体"/>
          <w:b/>
          <w:color w:val="auto"/>
          <w:sz w:val="24"/>
          <w:highlight w:val="none"/>
        </w:rPr>
        <w:t>七</w:t>
      </w:r>
      <w:r>
        <w:rPr>
          <w:rFonts w:ascii="宋体" w:hAnsi="宋体" w:eastAsia="宋体"/>
          <w:b/>
          <w:color w:val="auto"/>
          <w:sz w:val="24"/>
          <w:highlight w:val="none"/>
        </w:rPr>
        <w:t>、履约保证金</w:t>
      </w:r>
      <w:r>
        <w:rPr>
          <w:rFonts w:hint="eastAsia" w:ascii="宋体" w:hAnsi="宋体" w:eastAsia="宋体"/>
          <w:b/>
          <w:color w:val="auto"/>
          <w:sz w:val="24"/>
          <w:highlight w:val="none"/>
        </w:rPr>
        <w:t>：</w:t>
      </w:r>
      <w:r>
        <w:rPr>
          <w:rFonts w:hint="eastAsia" w:ascii="宋体" w:hAnsi="宋体" w:eastAsia="宋体" w:cs="微软雅黑"/>
          <w:color w:val="auto"/>
          <w:szCs w:val="21"/>
          <w:highlight w:val="none"/>
        </w:rPr>
        <w:t>不收取履约保证金。</w:t>
      </w:r>
    </w:p>
    <w:p>
      <w:pPr>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八、转包或分包</w:t>
      </w:r>
    </w:p>
    <w:p>
      <w:pPr>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（一）本合同范围的服务，应由</w:t>
      </w:r>
      <w:r>
        <w:rPr>
          <w:rFonts w:ascii="宋体" w:hAnsi="宋体" w:eastAsia="宋体"/>
          <w:color w:val="auto"/>
          <w:sz w:val="24"/>
          <w:highlight w:val="none"/>
        </w:rPr>
        <w:t>乙</w:t>
      </w:r>
      <w:r>
        <w:rPr>
          <w:rFonts w:hint="eastAsia" w:ascii="宋体" w:hAnsi="宋体" w:eastAsia="宋体"/>
          <w:color w:val="auto"/>
          <w:sz w:val="24"/>
          <w:highlight w:val="none"/>
        </w:rPr>
        <w:t>方直接供应，不得转让他人供应。</w:t>
      </w:r>
    </w:p>
    <w:p>
      <w:pPr>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w:t>
      </w:r>
      <w:r>
        <w:rPr>
          <w:rFonts w:hint="eastAsia" w:ascii="宋体" w:hAnsi="宋体" w:eastAsia="宋体"/>
          <w:color w:val="auto"/>
          <w:sz w:val="24"/>
          <w:highlight w:val="none"/>
          <w:lang w:val="en-US" w:eastAsia="zh-CN"/>
        </w:rPr>
        <w:t>二</w:t>
      </w:r>
      <w:r>
        <w:rPr>
          <w:rFonts w:hint="eastAsia" w:ascii="宋体" w:hAnsi="宋体" w:eastAsia="宋体"/>
          <w:color w:val="auto"/>
          <w:sz w:val="24"/>
          <w:highlight w:val="none"/>
        </w:rPr>
        <w:t>）如有转让和未经甲方同意的分包行为，甲方有权解除合同，追究乙方的违约责任。</w:t>
      </w:r>
    </w:p>
    <w:p>
      <w:pPr>
        <w:pStyle w:val="11"/>
        <w:snapToGrid w:val="0"/>
        <w:spacing w:line="360" w:lineRule="auto"/>
        <w:ind w:firstLine="482" w:firstLineChars="200"/>
        <w:rPr>
          <w:rFonts w:ascii="宋体" w:hAnsi="宋体" w:eastAsia="宋体"/>
          <w:color w:val="auto"/>
          <w:sz w:val="24"/>
          <w:highlight w:val="none"/>
        </w:rPr>
      </w:pPr>
      <w:r>
        <w:rPr>
          <w:rFonts w:hint="eastAsia" w:ascii="宋体" w:hAnsi="宋体" w:eastAsia="宋体"/>
          <w:b/>
          <w:color w:val="auto"/>
          <w:sz w:val="24"/>
          <w:highlight w:val="none"/>
        </w:rPr>
        <w:t>九</w:t>
      </w:r>
      <w:r>
        <w:rPr>
          <w:rFonts w:ascii="宋体" w:hAnsi="宋体" w:eastAsia="宋体"/>
          <w:b/>
          <w:color w:val="auto"/>
          <w:sz w:val="24"/>
          <w:highlight w:val="none"/>
        </w:rPr>
        <w:t>、服务期 (选用)</w:t>
      </w:r>
    </w:p>
    <w:p>
      <w:pPr>
        <w:pStyle w:val="11"/>
        <w:snapToGrid w:val="0"/>
        <w:spacing w:line="360" w:lineRule="auto"/>
        <w:ind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rPr>
        <w:t>（一）维保期 3 年。（自合同签订之日起计，合同一年一签）。期满后服务质量优秀，服务对象满意的，经甲方同意后，维保期按年度延续，累计时间最长不超过3年。</w:t>
      </w:r>
      <w:r>
        <w:rPr>
          <w:rFonts w:hint="eastAsia" w:hAnsi="宋体"/>
          <w:color w:val="auto"/>
          <w:sz w:val="24"/>
          <w:highlight w:val="none"/>
          <w:lang w:val="en-US" w:eastAsia="zh-CN"/>
        </w:rPr>
        <w:t xml:space="preserve"> </w:t>
      </w:r>
    </w:p>
    <w:p>
      <w:pPr>
        <w:pStyle w:val="11"/>
        <w:snapToGrid w:val="0"/>
        <w:spacing w:line="360" w:lineRule="auto"/>
        <w:ind w:firstLine="482" w:firstLineChars="200"/>
        <w:rPr>
          <w:rFonts w:hint="default" w:ascii="宋体" w:hAnsi="宋体" w:eastAsia="宋体"/>
          <w:b/>
          <w:color w:val="auto"/>
          <w:sz w:val="24"/>
          <w:highlight w:val="none"/>
          <w:lang w:val="en-US" w:eastAsia="zh-CN"/>
        </w:rPr>
      </w:pPr>
      <w:r>
        <w:rPr>
          <w:rFonts w:hint="eastAsia" w:ascii="宋体" w:hAnsi="宋体" w:eastAsia="宋体"/>
          <w:b/>
          <w:color w:val="auto"/>
          <w:sz w:val="24"/>
          <w:highlight w:val="none"/>
        </w:rPr>
        <w:t>十</w:t>
      </w:r>
      <w:r>
        <w:rPr>
          <w:rFonts w:ascii="宋体" w:hAnsi="宋体" w:eastAsia="宋体"/>
          <w:b/>
          <w:color w:val="auto"/>
          <w:sz w:val="24"/>
          <w:highlight w:val="none"/>
        </w:rPr>
        <w:t>、合同履行时间、履行方式</w:t>
      </w:r>
      <w:r>
        <w:rPr>
          <w:rFonts w:hint="eastAsia" w:ascii="宋体" w:hAnsi="宋体" w:eastAsia="宋体"/>
          <w:b/>
          <w:color w:val="auto"/>
          <w:sz w:val="24"/>
          <w:highlight w:val="none"/>
          <w:lang w:eastAsia="zh-CN"/>
        </w:rPr>
        <w:t>、</w:t>
      </w:r>
      <w:r>
        <w:rPr>
          <w:rFonts w:ascii="宋体" w:hAnsi="宋体" w:eastAsia="宋体"/>
          <w:b/>
          <w:color w:val="auto"/>
          <w:sz w:val="24"/>
          <w:highlight w:val="none"/>
        </w:rPr>
        <w:t>履行地点</w:t>
      </w:r>
      <w:r>
        <w:rPr>
          <w:rFonts w:hint="eastAsia" w:ascii="宋体" w:hAnsi="宋体" w:eastAsia="宋体"/>
          <w:b/>
          <w:color w:val="auto"/>
          <w:sz w:val="24"/>
          <w:highlight w:val="none"/>
          <w:lang w:val="en-US" w:eastAsia="zh-CN"/>
        </w:rPr>
        <w:t>及验收</w:t>
      </w:r>
    </w:p>
    <w:p>
      <w:pPr>
        <w:pStyle w:val="11"/>
        <w:snapToGrid w:val="0"/>
        <w:spacing w:line="360" w:lineRule="auto"/>
        <w:ind w:firstLine="480" w:firstLineChars="200"/>
        <w:rPr>
          <w:rFonts w:ascii="宋体" w:hAnsi="宋体" w:eastAsia="宋体"/>
          <w:bCs/>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履行时间</w:t>
      </w:r>
      <w:r>
        <w:rPr>
          <w:rFonts w:ascii="宋体" w:hAnsi="宋体" w:eastAsia="宋体"/>
          <w:bCs/>
          <w:color w:val="auto"/>
          <w:sz w:val="24"/>
          <w:highlight w:val="none"/>
        </w:rPr>
        <w:t xml:space="preserve">： </w:t>
      </w:r>
      <w:r>
        <w:rPr>
          <w:rFonts w:hint="eastAsia" w:ascii="宋体" w:hAnsi="宋体" w:eastAsia="宋体"/>
          <w:bCs/>
          <w:color w:val="auto"/>
          <w:sz w:val="24"/>
          <w:highlight w:val="none"/>
        </w:rPr>
        <w:t xml:space="preserve"> 1年，自2022年</w:t>
      </w:r>
      <w:r>
        <w:rPr>
          <w:rFonts w:hint="eastAsia" w:ascii="宋体" w:hAnsi="宋体" w:eastAsia="宋体"/>
          <w:bCs/>
          <w:color w:val="auto"/>
          <w:sz w:val="24"/>
          <w:highlight w:val="none"/>
          <w:lang w:val="en-US" w:eastAsia="zh-CN"/>
        </w:rPr>
        <w:t xml:space="preserve"> </w:t>
      </w:r>
      <w:r>
        <w:rPr>
          <w:rFonts w:hint="eastAsia" w:hAnsi="宋体"/>
          <w:bCs/>
          <w:color w:val="auto"/>
          <w:sz w:val="24"/>
          <w:highlight w:val="none"/>
          <w:lang w:val="en-US" w:eastAsia="zh-CN"/>
        </w:rPr>
        <w:t xml:space="preserve"> </w:t>
      </w:r>
      <w:r>
        <w:rPr>
          <w:rFonts w:hint="eastAsia" w:ascii="宋体" w:hAnsi="宋体" w:eastAsia="宋体"/>
          <w:bCs/>
          <w:color w:val="auto"/>
          <w:sz w:val="24"/>
          <w:highlight w:val="none"/>
        </w:rPr>
        <w:t>月</w:t>
      </w:r>
      <w:r>
        <w:rPr>
          <w:rFonts w:hint="eastAsia" w:ascii="宋体" w:hAnsi="宋体" w:eastAsia="宋体"/>
          <w:bCs/>
          <w:color w:val="auto"/>
          <w:sz w:val="24"/>
          <w:highlight w:val="none"/>
          <w:lang w:val="en-US" w:eastAsia="zh-CN"/>
        </w:rPr>
        <w:t xml:space="preserve"> </w:t>
      </w:r>
      <w:r>
        <w:rPr>
          <w:rFonts w:hint="eastAsia" w:hAnsi="宋体"/>
          <w:bCs/>
          <w:color w:val="auto"/>
          <w:sz w:val="24"/>
          <w:highlight w:val="none"/>
          <w:lang w:val="en-US" w:eastAsia="zh-CN"/>
        </w:rPr>
        <w:t xml:space="preserve"> </w:t>
      </w:r>
      <w:r>
        <w:rPr>
          <w:rFonts w:hint="eastAsia" w:ascii="宋体" w:hAnsi="宋体" w:eastAsia="宋体"/>
          <w:bCs/>
          <w:color w:val="auto"/>
          <w:sz w:val="24"/>
          <w:highlight w:val="none"/>
        </w:rPr>
        <w:t>日至2023年</w:t>
      </w:r>
      <w:r>
        <w:rPr>
          <w:rFonts w:hint="eastAsia" w:hAnsi="宋体"/>
          <w:bCs/>
          <w:color w:val="auto"/>
          <w:sz w:val="24"/>
          <w:highlight w:val="none"/>
          <w:lang w:val="en-US" w:eastAsia="zh-CN"/>
        </w:rPr>
        <w:t xml:space="preserve"> </w:t>
      </w:r>
      <w:r>
        <w:rPr>
          <w:rFonts w:hint="eastAsia" w:ascii="宋体" w:hAnsi="宋体" w:eastAsia="宋体"/>
          <w:bCs/>
          <w:color w:val="auto"/>
          <w:sz w:val="24"/>
          <w:highlight w:val="none"/>
          <w:lang w:val="en-US" w:eastAsia="zh-CN"/>
        </w:rPr>
        <w:t xml:space="preserve"> </w:t>
      </w:r>
      <w:r>
        <w:rPr>
          <w:rFonts w:hint="eastAsia" w:ascii="宋体" w:hAnsi="宋体" w:eastAsia="宋体"/>
          <w:bCs/>
          <w:color w:val="auto"/>
          <w:sz w:val="24"/>
          <w:highlight w:val="none"/>
        </w:rPr>
        <w:t>月</w:t>
      </w:r>
      <w:r>
        <w:rPr>
          <w:rFonts w:hint="eastAsia" w:hAnsi="宋体"/>
          <w:bCs/>
          <w:color w:val="auto"/>
          <w:sz w:val="24"/>
          <w:highlight w:val="none"/>
          <w:lang w:val="en-US" w:eastAsia="zh-CN"/>
        </w:rPr>
        <w:t xml:space="preserve"> </w:t>
      </w:r>
      <w:r>
        <w:rPr>
          <w:rFonts w:hint="eastAsia" w:ascii="宋体" w:hAnsi="宋体" w:eastAsia="宋体"/>
          <w:bCs/>
          <w:color w:val="auto"/>
          <w:sz w:val="24"/>
          <w:highlight w:val="none"/>
          <w:lang w:val="en-US" w:eastAsia="zh-CN"/>
        </w:rPr>
        <w:t xml:space="preserve"> </w:t>
      </w:r>
      <w:r>
        <w:rPr>
          <w:rFonts w:hint="eastAsia" w:ascii="宋体" w:hAnsi="宋体" w:eastAsia="宋体"/>
          <w:bCs/>
          <w:color w:val="auto"/>
          <w:sz w:val="24"/>
          <w:highlight w:val="none"/>
        </w:rPr>
        <w:t>日</w:t>
      </w:r>
    </w:p>
    <w:p>
      <w:pPr>
        <w:pStyle w:val="11"/>
        <w:snapToGrid w:val="0"/>
        <w:spacing w:line="360" w:lineRule="auto"/>
        <w:ind w:firstLine="480" w:firstLineChars="200"/>
        <w:rPr>
          <w:rFonts w:ascii="宋体" w:hAnsi="宋体" w:eastAsia="宋体"/>
          <w:bCs/>
          <w:color w:val="auto"/>
          <w:sz w:val="24"/>
          <w:highlight w:val="none"/>
        </w:rPr>
      </w:pPr>
      <w:r>
        <w:rPr>
          <w:rFonts w:hint="eastAsia" w:ascii="宋体" w:hAnsi="宋体" w:eastAsia="宋体"/>
          <w:color w:val="auto"/>
          <w:sz w:val="24"/>
          <w:highlight w:val="none"/>
        </w:rPr>
        <w:t>（二）</w:t>
      </w:r>
      <w:r>
        <w:rPr>
          <w:rFonts w:ascii="宋体" w:hAnsi="宋体" w:eastAsia="宋体"/>
          <w:color w:val="auto"/>
          <w:sz w:val="24"/>
          <w:highlight w:val="none"/>
        </w:rPr>
        <w:t>履行方式</w:t>
      </w:r>
      <w:r>
        <w:rPr>
          <w:rFonts w:ascii="宋体" w:hAnsi="宋体" w:eastAsia="宋体"/>
          <w:bCs/>
          <w:color w:val="auto"/>
          <w:sz w:val="24"/>
          <w:highlight w:val="none"/>
        </w:rPr>
        <w:t>：</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（三）</w:t>
      </w:r>
      <w:r>
        <w:rPr>
          <w:rFonts w:ascii="宋体" w:hAnsi="宋体" w:eastAsia="宋体"/>
          <w:color w:val="auto"/>
          <w:sz w:val="24"/>
          <w:highlight w:val="none"/>
        </w:rPr>
        <w:t>履行地点</w:t>
      </w:r>
      <w:r>
        <w:rPr>
          <w:rFonts w:ascii="宋体" w:hAnsi="宋体" w:eastAsia="宋体"/>
          <w:bCs/>
          <w:color w:val="auto"/>
          <w:sz w:val="24"/>
          <w:highlight w:val="none"/>
        </w:rPr>
        <w:t>：</w:t>
      </w:r>
      <w:r>
        <w:rPr>
          <w:rFonts w:ascii="宋体" w:hAnsi="宋体" w:eastAsia="宋体"/>
          <w:color w:val="auto"/>
          <w:sz w:val="24"/>
          <w:highlight w:val="none"/>
        </w:rPr>
        <w:t xml:space="preserve"> </w:t>
      </w:r>
    </w:p>
    <w:p>
      <w:pPr>
        <w:pStyle w:val="12"/>
        <w:ind w:left="0" w:leftChars="0" w:firstLine="0" w:firstLineChars="0"/>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 xml:space="preserve">    （四）验收：</w:t>
      </w:r>
    </w:p>
    <w:p>
      <w:pPr>
        <w:pStyle w:val="12"/>
        <w:ind w:left="0" w:leftChars="0" w:firstLine="0" w:firstLineChars="0"/>
        <w:rPr>
          <w:rFonts w:hint="default" w:eastAsia="宋体"/>
          <w:color w:val="auto"/>
          <w:highlight w:val="none"/>
          <w:lang w:val="en-US" w:eastAsia="zh-CN"/>
        </w:rPr>
      </w:pPr>
    </w:p>
    <w:p>
      <w:pPr>
        <w:pStyle w:val="11"/>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十一</w:t>
      </w:r>
      <w:r>
        <w:rPr>
          <w:rFonts w:ascii="宋体" w:hAnsi="宋体" w:eastAsia="宋体"/>
          <w:b/>
          <w:color w:val="auto"/>
          <w:sz w:val="24"/>
          <w:highlight w:val="none"/>
        </w:rPr>
        <w:t>、款项支付</w:t>
      </w:r>
    </w:p>
    <w:p>
      <w:pPr>
        <w:pStyle w:val="11"/>
        <w:snapToGrid w:val="0"/>
        <w:spacing w:line="360" w:lineRule="auto"/>
        <w:ind w:firstLine="480" w:firstLineChars="200"/>
        <w:rPr>
          <w:rFonts w:ascii="宋体" w:hAnsi="宋体" w:eastAsia="宋体"/>
          <w:color w:val="auto"/>
          <w:sz w:val="24"/>
          <w:highlight w:val="none"/>
        </w:rPr>
      </w:pPr>
      <w:r>
        <w:rPr>
          <w:rFonts w:ascii="宋体" w:hAnsi="宋体" w:eastAsia="宋体"/>
          <w:bCs/>
          <w:color w:val="auto"/>
          <w:sz w:val="24"/>
          <w:highlight w:val="none"/>
        </w:rPr>
        <w:t xml:space="preserve"> </w:t>
      </w:r>
      <w:r>
        <w:rPr>
          <w:rFonts w:ascii="宋体" w:hAnsi="宋体" w:eastAsia="宋体"/>
          <w:color w:val="auto"/>
          <w:sz w:val="24"/>
          <w:highlight w:val="none"/>
        </w:rPr>
        <w:t xml:space="preserve">付款方式： </w:t>
      </w:r>
    </w:p>
    <w:p>
      <w:pPr>
        <w:snapToGrid w:val="0"/>
        <w:spacing w:line="360" w:lineRule="auto"/>
        <w:ind w:firstLine="482" w:firstLineChars="200"/>
        <w:rPr>
          <w:rFonts w:ascii="宋体" w:hAnsi="宋体" w:eastAsia="宋体"/>
          <w:b/>
          <w:color w:val="auto"/>
          <w:sz w:val="24"/>
          <w:highlight w:val="none"/>
        </w:rPr>
      </w:pPr>
      <w:r>
        <w:rPr>
          <w:rFonts w:hint="eastAsia" w:ascii="宋体" w:hAnsi="宋体" w:eastAsia="宋体"/>
          <w:b/>
          <w:color w:val="auto"/>
          <w:sz w:val="24"/>
          <w:highlight w:val="none"/>
        </w:rPr>
        <w:t>十二、税费</w:t>
      </w:r>
    </w:p>
    <w:p>
      <w:pPr>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本合同执行中相关的一切税费均由</w:t>
      </w:r>
      <w:r>
        <w:rPr>
          <w:rFonts w:ascii="宋体" w:hAnsi="宋体" w:eastAsia="宋体"/>
          <w:color w:val="auto"/>
          <w:sz w:val="24"/>
          <w:highlight w:val="none"/>
        </w:rPr>
        <w:t>乙</w:t>
      </w:r>
      <w:r>
        <w:rPr>
          <w:rFonts w:hint="eastAsia" w:ascii="宋体" w:hAnsi="宋体" w:eastAsia="宋体"/>
          <w:color w:val="auto"/>
          <w:sz w:val="24"/>
          <w:highlight w:val="none"/>
        </w:rPr>
        <w:t>方负担。</w:t>
      </w:r>
    </w:p>
    <w:p>
      <w:pPr>
        <w:pStyle w:val="11"/>
        <w:snapToGrid w:val="0"/>
        <w:spacing w:line="360" w:lineRule="auto"/>
        <w:ind w:firstLine="482" w:firstLineChars="200"/>
        <w:rPr>
          <w:rFonts w:ascii="宋体" w:hAnsi="宋体" w:eastAsia="宋体"/>
          <w:color w:val="auto"/>
          <w:sz w:val="24"/>
          <w:highlight w:val="none"/>
        </w:rPr>
      </w:pPr>
      <w:r>
        <w:rPr>
          <w:rFonts w:ascii="宋体" w:hAnsi="宋体" w:eastAsia="宋体"/>
          <w:b/>
          <w:color w:val="auto"/>
          <w:sz w:val="24"/>
          <w:highlight w:val="none"/>
        </w:rPr>
        <w:t>十</w:t>
      </w:r>
      <w:r>
        <w:rPr>
          <w:rFonts w:hint="eastAsia" w:ascii="宋体" w:hAnsi="宋体" w:eastAsia="宋体"/>
          <w:b/>
          <w:color w:val="auto"/>
          <w:sz w:val="24"/>
          <w:highlight w:val="none"/>
        </w:rPr>
        <w:t>三</w:t>
      </w:r>
      <w:r>
        <w:rPr>
          <w:rFonts w:ascii="宋体" w:hAnsi="宋体" w:eastAsia="宋体"/>
          <w:b/>
          <w:color w:val="auto"/>
          <w:sz w:val="24"/>
          <w:highlight w:val="none"/>
        </w:rPr>
        <w:t>、质量保证及后续服务</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乙方应按招标文件规定向甲方提供服务。</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（二）</w:t>
      </w:r>
      <w:r>
        <w:rPr>
          <w:rFonts w:ascii="宋体" w:hAnsi="宋体" w:eastAsia="宋体"/>
          <w:color w:val="auto"/>
          <w:sz w:val="24"/>
          <w:highlight w:val="none"/>
        </w:rPr>
        <w:t>乙方提供的服务成果在服务质量保证期内发生故障，乙方应负责免费提供后续服务。对达不到要求者，根据实际情况，经双方协商，可按以下办法处理：</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1.</w:t>
      </w:r>
      <w:r>
        <w:rPr>
          <w:rFonts w:ascii="宋体" w:hAnsi="宋体" w:eastAsia="宋体"/>
          <w:color w:val="auto"/>
          <w:sz w:val="24"/>
          <w:highlight w:val="none"/>
        </w:rPr>
        <w:t>重做：由乙方承担所发生的全部费用。</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2.</w:t>
      </w:r>
      <w:r>
        <w:rPr>
          <w:rFonts w:ascii="宋体" w:hAnsi="宋体" w:eastAsia="宋体"/>
          <w:color w:val="auto"/>
          <w:sz w:val="24"/>
          <w:highlight w:val="none"/>
        </w:rPr>
        <w:t>贬值处理：由甲乙双方合议定价。</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3.</w:t>
      </w:r>
      <w:r>
        <w:rPr>
          <w:rFonts w:ascii="宋体" w:hAnsi="宋体" w:eastAsia="宋体"/>
          <w:color w:val="auto"/>
          <w:sz w:val="24"/>
          <w:highlight w:val="none"/>
        </w:rPr>
        <w:t>解除合同。</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（三）</w:t>
      </w:r>
      <w:r>
        <w:rPr>
          <w:rFonts w:ascii="宋体" w:hAnsi="宋体" w:eastAsia="宋体"/>
          <w:color w:val="auto"/>
          <w:sz w:val="24"/>
          <w:highlight w:val="none"/>
        </w:rPr>
        <w:t>如在使用过程中发生问题，乙方在接到甲方通知后在</w:t>
      </w:r>
      <w:r>
        <w:rPr>
          <w:rFonts w:hint="eastAsia" w:ascii="宋体" w:hAnsi="宋体" w:eastAsia="宋体"/>
          <w:color w:val="auto"/>
          <w:sz w:val="24"/>
          <w:highlight w:val="none"/>
          <w:u w:val="single"/>
        </w:rPr>
        <w:t xml:space="preserve">   </w:t>
      </w:r>
      <w:r>
        <w:rPr>
          <w:rFonts w:ascii="宋体" w:hAnsi="宋体" w:eastAsia="宋体"/>
          <w:color w:val="auto"/>
          <w:sz w:val="24"/>
          <w:highlight w:val="none"/>
        </w:rPr>
        <w:t>小时内到达甲方现场。</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（四）</w:t>
      </w:r>
      <w:r>
        <w:rPr>
          <w:rFonts w:ascii="宋体" w:hAnsi="宋体" w:eastAsia="宋体"/>
          <w:color w:val="auto"/>
          <w:sz w:val="24"/>
          <w:highlight w:val="none"/>
        </w:rPr>
        <w:t>在</w:t>
      </w:r>
      <w:r>
        <w:rPr>
          <w:rFonts w:ascii="宋体" w:hAnsi="宋体" w:eastAsia="宋体"/>
          <w:b/>
          <w:color w:val="auto"/>
          <w:sz w:val="24"/>
          <w:highlight w:val="none"/>
        </w:rPr>
        <w:t>服务质量保证期</w:t>
      </w:r>
      <w:r>
        <w:rPr>
          <w:rFonts w:ascii="宋体" w:hAnsi="宋体" w:eastAsia="宋体"/>
          <w:color w:val="auto"/>
          <w:sz w:val="24"/>
          <w:highlight w:val="none"/>
        </w:rPr>
        <w:t>内，乙方应对出现的质量及安全问题负责处理解决并承担一切费用。</w:t>
      </w:r>
    </w:p>
    <w:p>
      <w:pPr>
        <w:pStyle w:val="11"/>
        <w:snapToGrid w:val="0"/>
        <w:spacing w:line="360" w:lineRule="auto"/>
        <w:ind w:firstLine="482" w:firstLineChars="200"/>
        <w:rPr>
          <w:rFonts w:ascii="宋体" w:hAnsi="宋体" w:eastAsia="宋体"/>
          <w:b/>
          <w:color w:val="auto"/>
          <w:sz w:val="24"/>
          <w:highlight w:val="none"/>
        </w:rPr>
      </w:pPr>
      <w:r>
        <w:rPr>
          <w:rFonts w:ascii="宋体" w:hAnsi="宋体" w:eastAsia="宋体"/>
          <w:b/>
          <w:color w:val="auto"/>
          <w:sz w:val="24"/>
          <w:highlight w:val="none"/>
        </w:rPr>
        <w:t>十</w:t>
      </w:r>
      <w:r>
        <w:rPr>
          <w:rFonts w:hint="eastAsia" w:ascii="宋体" w:hAnsi="宋体" w:eastAsia="宋体"/>
          <w:b/>
          <w:color w:val="auto"/>
          <w:sz w:val="24"/>
          <w:highlight w:val="none"/>
        </w:rPr>
        <w:t>四</w:t>
      </w:r>
      <w:r>
        <w:rPr>
          <w:rFonts w:ascii="宋体" w:hAnsi="宋体" w:eastAsia="宋体"/>
          <w:b/>
          <w:color w:val="auto"/>
          <w:sz w:val="24"/>
          <w:highlight w:val="none"/>
        </w:rPr>
        <w:t>、违约责任</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甲方无正当理由拒收接受服务的，甲方向乙方偿付合同款项</w:t>
      </w:r>
      <w:r>
        <w:rPr>
          <w:rFonts w:ascii="宋体" w:hAnsi="宋体" w:eastAsia="宋体"/>
          <w:color w:val="auto"/>
          <w:sz w:val="24"/>
          <w:highlight w:val="none"/>
          <w:u w:val="single"/>
        </w:rPr>
        <w:t>百分之五</w:t>
      </w:r>
      <w:r>
        <w:rPr>
          <w:rFonts w:ascii="宋体" w:hAnsi="宋体" w:eastAsia="宋体"/>
          <w:color w:val="auto"/>
          <w:sz w:val="24"/>
          <w:highlight w:val="none"/>
        </w:rPr>
        <w:t>作为违约金。</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（二）</w:t>
      </w:r>
      <w:r>
        <w:rPr>
          <w:rFonts w:ascii="宋体" w:hAnsi="宋体" w:eastAsia="宋体"/>
          <w:color w:val="auto"/>
          <w:sz w:val="24"/>
          <w:highlight w:val="none"/>
        </w:rPr>
        <w:t>甲方无故逾期验收和办理款项支付手续的,甲方应按逾期付款总额</w:t>
      </w:r>
      <w:r>
        <w:rPr>
          <w:rFonts w:ascii="宋体" w:hAnsi="宋体" w:eastAsia="宋体"/>
          <w:color w:val="auto"/>
          <w:sz w:val="24"/>
          <w:highlight w:val="none"/>
          <w:u w:val="single"/>
        </w:rPr>
        <w:t>每日万分之五</w:t>
      </w:r>
      <w:r>
        <w:rPr>
          <w:rFonts w:ascii="宋体" w:hAnsi="宋体" w:eastAsia="宋体"/>
          <w:color w:val="auto"/>
          <w:sz w:val="24"/>
          <w:highlight w:val="none"/>
        </w:rPr>
        <w:t>向乙方支付违约金。</w:t>
      </w:r>
    </w:p>
    <w:p>
      <w:pPr>
        <w:pStyle w:val="11"/>
        <w:snapToGrid w:val="0"/>
        <w:spacing w:line="360" w:lineRule="auto"/>
        <w:ind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rPr>
        <w:t>（三）</w:t>
      </w:r>
      <w:r>
        <w:rPr>
          <w:rFonts w:ascii="宋体" w:hAnsi="宋体" w:eastAsia="宋体"/>
          <w:color w:val="auto"/>
          <w:sz w:val="24"/>
          <w:highlight w:val="none"/>
        </w:rPr>
        <w:t>乙方</w:t>
      </w:r>
      <w:r>
        <w:rPr>
          <w:rFonts w:hint="eastAsia" w:ascii="宋体" w:hAnsi="宋体" w:eastAsia="宋体"/>
          <w:color w:val="auto"/>
          <w:sz w:val="24"/>
          <w:highlight w:val="none"/>
        </w:rPr>
        <w:t>未能如</w:t>
      </w:r>
      <w:r>
        <w:rPr>
          <w:rFonts w:ascii="宋体" w:hAnsi="宋体" w:eastAsia="宋体"/>
          <w:color w:val="auto"/>
          <w:sz w:val="24"/>
          <w:highlight w:val="none"/>
        </w:rPr>
        <w:t>期提供服务的，每日向甲方支付</w:t>
      </w:r>
      <w:r>
        <w:rPr>
          <w:rFonts w:hint="eastAsia" w:ascii="宋体" w:hAnsi="宋体" w:eastAsia="宋体"/>
          <w:color w:val="auto"/>
          <w:sz w:val="24"/>
          <w:highlight w:val="none"/>
        </w:rPr>
        <w:t>合同款项的</w:t>
      </w:r>
      <w:r>
        <w:rPr>
          <w:rFonts w:ascii="宋体" w:hAnsi="宋体" w:eastAsia="宋体"/>
          <w:color w:val="auto"/>
          <w:sz w:val="24"/>
          <w:highlight w:val="none"/>
          <w:u w:val="single"/>
        </w:rPr>
        <w:t>千分之六</w:t>
      </w:r>
      <w:r>
        <w:rPr>
          <w:rFonts w:hint="eastAsia" w:ascii="宋体" w:hAnsi="宋体" w:eastAsia="宋体"/>
          <w:color w:val="auto"/>
          <w:sz w:val="24"/>
          <w:highlight w:val="none"/>
        </w:rPr>
        <w:t>作为</w:t>
      </w:r>
      <w:r>
        <w:rPr>
          <w:rFonts w:ascii="宋体" w:hAnsi="宋体" w:eastAsia="宋体"/>
          <w:color w:val="auto"/>
          <w:sz w:val="24"/>
          <w:highlight w:val="none"/>
        </w:rPr>
        <w:t>违约金。乙方超过约定日期10个工作日</w:t>
      </w:r>
      <w:r>
        <w:rPr>
          <w:rFonts w:hint="eastAsia" w:ascii="宋体" w:hAnsi="宋体" w:eastAsia="宋体"/>
          <w:color w:val="auto"/>
          <w:sz w:val="24"/>
          <w:highlight w:val="none"/>
        </w:rPr>
        <w:t>仍</w:t>
      </w:r>
      <w:r>
        <w:rPr>
          <w:rFonts w:ascii="宋体" w:hAnsi="宋体" w:eastAsia="宋体"/>
          <w:color w:val="auto"/>
          <w:sz w:val="24"/>
          <w:highlight w:val="none"/>
        </w:rPr>
        <w:t>不能</w:t>
      </w:r>
      <w:r>
        <w:rPr>
          <w:rFonts w:hint="eastAsia" w:ascii="宋体" w:hAnsi="宋体" w:eastAsia="宋体"/>
          <w:color w:val="auto"/>
          <w:sz w:val="24"/>
          <w:highlight w:val="none"/>
        </w:rPr>
        <w:t>提供服务</w:t>
      </w:r>
      <w:r>
        <w:rPr>
          <w:rFonts w:ascii="宋体" w:hAnsi="宋体" w:eastAsia="宋体"/>
          <w:color w:val="auto"/>
          <w:sz w:val="24"/>
          <w:highlight w:val="none"/>
        </w:rPr>
        <w:t>的，甲方可解除本合同。</w:t>
      </w:r>
      <w:r>
        <w:rPr>
          <w:rFonts w:hint="eastAsia" w:ascii="宋体" w:hAnsi="宋体" w:eastAsia="宋体"/>
          <w:color w:val="auto"/>
          <w:sz w:val="24"/>
          <w:highlight w:val="none"/>
        </w:rPr>
        <w:t>乙方因未能如期提供服务导致甲方解除合同的，甲方不再支付后继合同款项，乙方除在解除合同后三十日内无条件原账户退还甲方已支付的合同款项外，还应向甲方支付合同总值5%的违约金，如造成甲方损失超过违约金的，超出部分由乙方继续承担赔偿责任。乙方因其他违约行为导致甲方中止合同的，甲方不再支付后继合同款项，服务费按服务期限重新核算（年服务费/365*已服务天数）。若甲方已支付金额超出重新核算的服务费，乙方需在合同中止后三十日内退回超出款项，同时甲方应退回同等金额的发票；若甲方已支付金额未达重新核算的服务费，甲方需在合同中止后三十日内支付剩余款项，同时乙方应需开具同等金额的发票，乙方还应向甲方支付合同总值5%的违约金，如造成甲方损失超过违约金的，超出部分由乙方继续承担赔偿责任。</w:t>
      </w:r>
    </w:p>
    <w:p>
      <w:pPr>
        <w:pStyle w:val="12"/>
        <w:ind w:left="0" w:leftChars="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乙方违反本合同第十三条条款的，每次向甲方支付合同款项的万分之五作为违约金。</w:t>
      </w:r>
    </w:p>
    <w:p>
      <w:pPr>
        <w:pStyle w:val="12"/>
        <w:ind w:left="0" w:leftChars="0" w:firstLine="0" w:firstLineChars="0"/>
        <w:rPr>
          <w:color w:val="auto"/>
          <w:highlight w:val="none"/>
        </w:rPr>
      </w:pPr>
    </w:p>
    <w:p>
      <w:pPr>
        <w:pStyle w:val="11"/>
        <w:snapToGrid w:val="0"/>
        <w:spacing w:line="360" w:lineRule="auto"/>
        <w:ind w:firstLine="482" w:firstLineChars="200"/>
        <w:rPr>
          <w:rFonts w:ascii="宋体" w:hAnsi="宋体" w:eastAsia="宋体"/>
          <w:b/>
          <w:color w:val="auto"/>
          <w:sz w:val="24"/>
          <w:highlight w:val="none"/>
        </w:rPr>
      </w:pPr>
      <w:r>
        <w:rPr>
          <w:rFonts w:ascii="宋体" w:hAnsi="宋体" w:eastAsia="宋体"/>
          <w:b/>
          <w:color w:val="auto"/>
          <w:sz w:val="24"/>
          <w:highlight w:val="none"/>
        </w:rPr>
        <w:t>十</w:t>
      </w:r>
      <w:r>
        <w:rPr>
          <w:rFonts w:hint="eastAsia" w:ascii="宋体" w:hAnsi="宋体" w:eastAsia="宋体"/>
          <w:b/>
          <w:color w:val="auto"/>
          <w:sz w:val="24"/>
          <w:highlight w:val="none"/>
        </w:rPr>
        <w:t>五</w:t>
      </w:r>
      <w:r>
        <w:rPr>
          <w:rFonts w:ascii="宋体" w:hAnsi="宋体" w:eastAsia="宋体"/>
          <w:b/>
          <w:color w:val="auto"/>
          <w:sz w:val="24"/>
          <w:highlight w:val="none"/>
        </w:rPr>
        <w:t>、不可抗力事件处理</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（一）</w:t>
      </w:r>
      <w:r>
        <w:rPr>
          <w:rFonts w:ascii="宋体" w:hAnsi="宋体" w:eastAsia="宋体"/>
          <w:color w:val="auto"/>
          <w:sz w:val="24"/>
          <w:highlight w:val="none"/>
        </w:rPr>
        <w:t>在合同有效期内，任何一方因不可抗力事件导致不能履行合同，则合同履行期可延长，其延长期与不可抗力影响期相同。</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（二）</w:t>
      </w:r>
      <w:r>
        <w:rPr>
          <w:rFonts w:ascii="宋体" w:hAnsi="宋体" w:eastAsia="宋体"/>
          <w:color w:val="auto"/>
          <w:sz w:val="24"/>
          <w:highlight w:val="none"/>
        </w:rPr>
        <w:t>不可抗力事件发生后，应立即通知对方，并寄送有关权威机构出具的证明。</w:t>
      </w:r>
    </w:p>
    <w:p>
      <w:pPr>
        <w:pStyle w:val="11"/>
        <w:snapToGrid w:val="0"/>
        <w:spacing w:line="360" w:lineRule="auto"/>
        <w:ind w:firstLine="480" w:firstLineChars="200"/>
        <w:rPr>
          <w:rFonts w:ascii="宋体" w:hAnsi="宋体" w:eastAsia="宋体"/>
          <w:color w:val="auto"/>
          <w:sz w:val="24"/>
          <w:highlight w:val="none"/>
        </w:rPr>
      </w:pPr>
      <w:r>
        <w:rPr>
          <w:rFonts w:hint="eastAsia" w:ascii="宋体" w:hAnsi="宋体" w:eastAsia="宋体"/>
          <w:color w:val="auto"/>
          <w:sz w:val="24"/>
          <w:highlight w:val="none"/>
        </w:rPr>
        <w:t>（三）</w:t>
      </w:r>
      <w:r>
        <w:rPr>
          <w:rFonts w:ascii="宋体" w:hAnsi="宋体" w:eastAsia="宋体"/>
          <w:color w:val="auto"/>
          <w:sz w:val="24"/>
          <w:highlight w:val="none"/>
        </w:rPr>
        <w:t>不可抗力事件延续120天以上，双方应通过友好协商，确定是否继续履行合同。</w:t>
      </w:r>
    </w:p>
    <w:p>
      <w:pPr>
        <w:pStyle w:val="11"/>
        <w:snapToGrid w:val="0"/>
        <w:spacing w:line="360" w:lineRule="auto"/>
        <w:ind w:firstLine="482" w:firstLineChars="200"/>
        <w:rPr>
          <w:rFonts w:ascii="宋体" w:hAnsi="宋体" w:eastAsia="宋体"/>
          <w:b/>
          <w:color w:val="auto"/>
          <w:sz w:val="24"/>
          <w:highlight w:val="none"/>
        </w:rPr>
      </w:pPr>
      <w:r>
        <w:rPr>
          <w:rFonts w:ascii="宋体" w:hAnsi="宋体" w:eastAsia="宋体"/>
          <w:b/>
          <w:color w:val="auto"/>
          <w:sz w:val="24"/>
          <w:highlight w:val="none"/>
        </w:rPr>
        <w:t>十</w:t>
      </w:r>
      <w:r>
        <w:rPr>
          <w:rFonts w:hint="eastAsia" w:ascii="宋体" w:hAnsi="宋体" w:eastAsia="宋体"/>
          <w:b/>
          <w:color w:val="auto"/>
          <w:sz w:val="24"/>
          <w:highlight w:val="none"/>
        </w:rPr>
        <w:t>六</w:t>
      </w:r>
      <w:r>
        <w:rPr>
          <w:rFonts w:ascii="宋体" w:hAnsi="宋体" w:eastAsia="宋体"/>
          <w:b/>
          <w:color w:val="auto"/>
          <w:sz w:val="24"/>
          <w:highlight w:val="none"/>
        </w:rPr>
        <w:t>、</w:t>
      </w:r>
      <w:r>
        <w:rPr>
          <w:rFonts w:hint="eastAsia" w:ascii="宋体" w:hAnsi="宋体" w:eastAsia="宋体"/>
          <w:b/>
          <w:color w:val="auto"/>
          <w:sz w:val="24"/>
          <w:highlight w:val="none"/>
        </w:rPr>
        <w:t>解决争议的方法</w:t>
      </w:r>
    </w:p>
    <w:p>
      <w:pPr>
        <w:widowControl/>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如双方在履行合同时发生纠纷，应协商解决；协商不成时，可提请政府采购管理部门调解；调解不成的向台州仲裁委员会提请仲裁。</w:t>
      </w:r>
    </w:p>
    <w:p>
      <w:pPr>
        <w:pStyle w:val="11"/>
        <w:snapToGrid w:val="0"/>
        <w:spacing w:line="360" w:lineRule="auto"/>
        <w:ind w:firstLine="482" w:firstLineChars="200"/>
        <w:rPr>
          <w:rFonts w:ascii="宋体" w:hAnsi="宋体" w:eastAsia="宋体"/>
          <w:b/>
          <w:color w:val="auto"/>
          <w:sz w:val="24"/>
          <w:highlight w:val="none"/>
        </w:rPr>
      </w:pPr>
      <w:r>
        <w:rPr>
          <w:rFonts w:ascii="宋体" w:hAnsi="宋体" w:eastAsia="宋体"/>
          <w:b/>
          <w:color w:val="auto"/>
          <w:sz w:val="24"/>
          <w:highlight w:val="none"/>
        </w:rPr>
        <w:t>十</w:t>
      </w:r>
      <w:r>
        <w:rPr>
          <w:rFonts w:hint="eastAsia" w:ascii="宋体" w:hAnsi="宋体" w:eastAsia="宋体"/>
          <w:b/>
          <w:color w:val="auto"/>
          <w:sz w:val="24"/>
          <w:highlight w:val="none"/>
        </w:rPr>
        <w:t>七</w:t>
      </w:r>
      <w:r>
        <w:rPr>
          <w:rFonts w:ascii="宋体" w:hAnsi="宋体" w:eastAsia="宋体"/>
          <w:b/>
          <w:color w:val="auto"/>
          <w:sz w:val="24"/>
          <w:highlight w:val="none"/>
        </w:rPr>
        <w:t>、合同生效及其它</w:t>
      </w:r>
    </w:p>
    <w:p>
      <w:pPr>
        <w:pStyle w:val="11"/>
        <w:snapToGrid w:val="0"/>
        <w:spacing w:line="360" w:lineRule="auto"/>
        <w:ind w:firstLine="480" w:firstLineChars="200"/>
        <w:rPr>
          <w:rFonts w:ascii="宋体" w:hAnsi="宋体" w:eastAsia="宋体"/>
          <w:color w:val="auto"/>
          <w:sz w:val="24"/>
          <w:highlight w:val="none"/>
        </w:rPr>
      </w:pPr>
      <w:r>
        <w:rPr>
          <w:rFonts w:ascii="宋体" w:hAnsi="宋体" w:eastAsia="宋体" w:cs="宋体"/>
          <w:color w:val="auto"/>
          <w:kern w:val="0"/>
          <w:sz w:val="24"/>
          <w:highlight w:val="none"/>
        </w:rPr>
        <w:t>（</w:t>
      </w:r>
      <w:r>
        <w:rPr>
          <w:rFonts w:hint="eastAsia" w:ascii="宋体" w:hAnsi="宋体" w:eastAsia="宋体" w:cs="宋体"/>
          <w:color w:val="auto"/>
          <w:kern w:val="0"/>
          <w:sz w:val="24"/>
          <w:highlight w:val="none"/>
        </w:rPr>
        <w:t>一</w:t>
      </w:r>
      <w:r>
        <w:rPr>
          <w:rFonts w:ascii="宋体" w:hAnsi="宋体" w:eastAsia="宋体" w:cs="宋体"/>
          <w:color w:val="auto"/>
          <w:kern w:val="0"/>
          <w:sz w:val="24"/>
          <w:highlight w:val="none"/>
        </w:rPr>
        <w:t>）</w:t>
      </w:r>
      <w:r>
        <w:rPr>
          <w:rFonts w:ascii="宋体" w:hAnsi="宋体" w:eastAsia="宋体"/>
          <w:color w:val="auto"/>
          <w:sz w:val="24"/>
          <w:highlight w:val="none"/>
        </w:rPr>
        <w:t>合同经双方法定代表人或授权代表</w:t>
      </w:r>
      <w:r>
        <w:rPr>
          <w:rFonts w:hint="eastAsia" w:ascii="宋体" w:hAnsi="宋体" w:eastAsia="宋体"/>
          <w:color w:val="auto"/>
          <w:sz w:val="24"/>
          <w:highlight w:val="none"/>
        </w:rPr>
        <w:t>签字</w:t>
      </w:r>
      <w:r>
        <w:rPr>
          <w:rFonts w:ascii="宋体" w:hAnsi="宋体" w:eastAsia="宋体"/>
          <w:color w:val="auto"/>
          <w:sz w:val="24"/>
          <w:highlight w:val="none"/>
        </w:rPr>
        <w:t>并加盖单位公章后生效。</w:t>
      </w:r>
    </w:p>
    <w:p>
      <w:pPr>
        <w:pStyle w:val="11"/>
        <w:snapToGrid w:val="0"/>
        <w:spacing w:line="360" w:lineRule="auto"/>
        <w:ind w:firstLine="480" w:firstLineChars="200"/>
        <w:rPr>
          <w:rFonts w:ascii="宋体" w:hAnsi="宋体" w:eastAsia="宋体"/>
          <w:color w:val="auto"/>
          <w:sz w:val="24"/>
          <w:highlight w:val="none"/>
        </w:rPr>
      </w:pPr>
      <w:r>
        <w:rPr>
          <w:rFonts w:ascii="宋体" w:hAnsi="宋体" w:eastAsia="宋体" w:cs="宋体"/>
          <w:color w:val="auto"/>
          <w:kern w:val="0"/>
          <w:sz w:val="24"/>
          <w:highlight w:val="none"/>
        </w:rPr>
        <w:t>（</w:t>
      </w:r>
      <w:r>
        <w:rPr>
          <w:rFonts w:hint="eastAsia" w:ascii="宋体" w:hAnsi="宋体" w:eastAsia="宋体" w:cs="宋体"/>
          <w:color w:val="auto"/>
          <w:kern w:val="0"/>
          <w:sz w:val="24"/>
          <w:highlight w:val="none"/>
        </w:rPr>
        <w:t>二</w:t>
      </w:r>
      <w:r>
        <w:rPr>
          <w:rFonts w:ascii="宋体" w:hAnsi="宋体" w:eastAsia="宋体" w:cs="宋体"/>
          <w:color w:val="auto"/>
          <w:kern w:val="0"/>
          <w:sz w:val="24"/>
          <w:highlight w:val="none"/>
        </w:rPr>
        <w:t>）</w:t>
      </w:r>
      <w:r>
        <w:rPr>
          <w:rFonts w:ascii="宋体" w:hAnsi="宋体" w:eastAsia="宋体"/>
          <w:color w:val="auto"/>
          <w:sz w:val="24"/>
          <w:highlight w:val="none"/>
        </w:rPr>
        <w:t>本合同未尽事宜，遵照《</w:t>
      </w:r>
      <w:r>
        <w:rPr>
          <w:rFonts w:hint="eastAsia" w:ascii="宋体" w:hAnsi="宋体" w:eastAsia="宋体"/>
          <w:color w:val="auto"/>
          <w:sz w:val="24"/>
          <w:highlight w:val="none"/>
        </w:rPr>
        <w:t>中华人民共和国民法典</w:t>
      </w:r>
      <w:r>
        <w:rPr>
          <w:rFonts w:ascii="宋体" w:hAnsi="宋体" w:eastAsia="宋体"/>
          <w:color w:val="auto"/>
          <w:sz w:val="24"/>
          <w:highlight w:val="none"/>
        </w:rPr>
        <w:t>》有关条文执行。</w:t>
      </w:r>
    </w:p>
    <w:p>
      <w:pPr>
        <w:widowControl/>
        <w:spacing w:line="360" w:lineRule="auto"/>
        <w:ind w:firstLine="480" w:firstLineChars="200"/>
        <w:rPr>
          <w:rFonts w:ascii="宋体" w:hAnsi="宋体" w:eastAsia="宋体"/>
          <w:color w:val="auto"/>
          <w:kern w:val="0"/>
          <w:sz w:val="24"/>
          <w:highlight w:val="none"/>
        </w:rPr>
      </w:pPr>
      <w:r>
        <w:rPr>
          <w:rFonts w:ascii="宋体" w:hAnsi="宋体" w:eastAsia="宋体" w:cs="宋体"/>
          <w:color w:val="auto"/>
          <w:kern w:val="0"/>
          <w:sz w:val="24"/>
          <w:highlight w:val="none"/>
        </w:rPr>
        <w:t>（</w:t>
      </w:r>
      <w:r>
        <w:rPr>
          <w:rFonts w:hint="eastAsia" w:ascii="宋体" w:hAnsi="宋体" w:eastAsia="宋体" w:cs="宋体"/>
          <w:color w:val="auto"/>
          <w:kern w:val="0"/>
          <w:sz w:val="24"/>
          <w:highlight w:val="none"/>
        </w:rPr>
        <w:t>三</w:t>
      </w:r>
      <w:r>
        <w:rPr>
          <w:rFonts w:ascii="宋体" w:hAnsi="宋体" w:eastAsia="宋体" w:cs="宋体"/>
          <w:color w:val="auto"/>
          <w:kern w:val="0"/>
          <w:sz w:val="24"/>
          <w:highlight w:val="none"/>
        </w:rPr>
        <w:t>）</w:t>
      </w:r>
      <w:r>
        <w:rPr>
          <w:rFonts w:hint="eastAsia" w:ascii="宋体" w:hAnsi="宋体" w:eastAsia="宋体" w:cs="宋体"/>
          <w:color w:val="auto"/>
          <w:kern w:val="0"/>
          <w:sz w:val="24"/>
          <w:highlight w:val="none"/>
        </w:rPr>
        <w:t>本合同一式五份。甲、乙双方各执二份。采购组织机构执一份，本项目未尽事宜以招标文件、投标文件及澄清文件等为准。</w:t>
      </w:r>
    </w:p>
    <w:p>
      <w:pPr>
        <w:widowControl/>
        <w:spacing w:line="360" w:lineRule="auto"/>
        <w:rPr>
          <w:rFonts w:ascii="宋体" w:hAnsi="宋体" w:eastAsia="宋体"/>
          <w:b/>
          <w:color w:val="auto"/>
          <w:sz w:val="24"/>
          <w:highlight w:val="none"/>
        </w:rPr>
      </w:pP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甲方（公章）                                     乙方（公章）</w:t>
      </w: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法定代表人：                                     法定代表人：</w:t>
      </w: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委托代理人：                                     委托代理人：</w:t>
      </w: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联系电话：                                       联系电话：</w:t>
      </w: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开户银行：                                       开户银行：</w:t>
      </w:r>
    </w:p>
    <w:p>
      <w:pPr>
        <w:spacing w:line="360" w:lineRule="auto"/>
        <w:rPr>
          <w:rFonts w:ascii="宋体" w:hAnsi="宋体" w:eastAsia="宋体"/>
          <w:color w:val="auto"/>
          <w:sz w:val="24"/>
          <w:highlight w:val="none"/>
        </w:rPr>
      </w:pPr>
      <w:r>
        <w:rPr>
          <w:rFonts w:hint="eastAsia" w:ascii="宋体" w:hAnsi="宋体" w:eastAsia="宋体"/>
          <w:color w:val="auto"/>
          <w:sz w:val="24"/>
          <w:highlight w:val="none"/>
        </w:rPr>
        <w:t>账号：                                           账号：</w:t>
      </w:r>
    </w:p>
    <w:p>
      <w:pPr>
        <w:rPr>
          <w:rFonts w:asciiTheme="minorEastAsia" w:hAnsiTheme="minorEastAsia" w:eastAsiaTheme="minorEastAsia"/>
          <w:b/>
          <w:color w:val="auto"/>
          <w:sz w:val="36"/>
          <w:szCs w:val="36"/>
          <w:highlight w:val="none"/>
        </w:rPr>
      </w:pPr>
      <w:r>
        <w:rPr>
          <w:rFonts w:hint="eastAsia" w:asciiTheme="minorEastAsia" w:hAnsiTheme="minorEastAsia" w:eastAsiaTheme="minorEastAsia"/>
          <w:b/>
          <w:color w:val="auto"/>
          <w:sz w:val="36"/>
          <w:szCs w:val="36"/>
          <w:highlight w:val="none"/>
        </w:rPr>
        <w:br w:type="page"/>
      </w:r>
    </w:p>
    <w:p>
      <w:pPr>
        <w:numPr>
          <w:ilvl w:val="0"/>
          <w:numId w:val="0"/>
        </w:numPr>
        <w:spacing w:line="360" w:lineRule="auto"/>
        <w:jc w:val="center"/>
        <w:rPr>
          <w:rFonts w:asciiTheme="minorEastAsia" w:hAnsiTheme="minorEastAsia" w:eastAsiaTheme="minorEastAsia"/>
          <w:b/>
          <w:color w:val="auto"/>
          <w:sz w:val="36"/>
          <w:szCs w:val="36"/>
          <w:highlight w:val="none"/>
        </w:rPr>
      </w:pPr>
      <w:bookmarkStart w:id="41" w:name="_Toc5481_WPSOffice_Level1"/>
      <w:r>
        <w:rPr>
          <w:rFonts w:hint="eastAsia" w:asciiTheme="minorEastAsia" w:hAnsiTheme="minorEastAsia" w:eastAsiaTheme="minorEastAsia"/>
          <w:b/>
          <w:color w:val="auto"/>
          <w:sz w:val="36"/>
          <w:szCs w:val="36"/>
          <w:highlight w:val="none"/>
          <w:lang w:val="en-US" w:eastAsia="zh-CN"/>
        </w:rPr>
        <w:t xml:space="preserve">第六章 </w:t>
      </w:r>
      <w:r>
        <w:rPr>
          <w:rFonts w:hint="eastAsia" w:asciiTheme="minorEastAsia" w:hAnsiTheme="minorEastAsia" w:eastAsiaTheme="minorEastAsia"/>
          <w:b/>
          <w:color w:val="auto"/>
          <w:sz w:val="36"/>
          <w:szCs w:val="36"/>
          <w:highlight w:val="none"/>
        </w:rPr>
        <w:t>投标文件格式</w:t>
      </w:r>
      <w:bookmarkEnd w:id="41"/>
    </w:p>
    <w:p>
      <w:pPr>
        <w:rPr>
          <w:rFonts w:ascii="宋体" w:hAnsi="宋体"/>
          <w:b/>
          <w:color w:val="auto"/>
          <w:kern w:val="0"/>
          <w:sz w:val="28"/>
          <w:szCs w:val="28"/>
          <w:highlight w:val="none"/>
        </w:rPr>
      </w:pPr>
      <w:r>
        <w:rPr>
          <w:rFonts w:hint="eastAsia" w:ascii="宋体" w:hAnsi="宋体"/>
          <w:b/>
          <w:color w:val="auto"/>
          <w:kern w:val="0"/>
          <w:sz w:val="28"/>
          <w:szCs w:val="28"/>
          <w:highlight w:val="none"/>
        </w:rPr>
        <w:t>附件1</w:t>
      </w:r>
      <w:r>
        <w:rPr>
          <w:rFonts w:hint="eastAsia" w:ascii="宋体" w:hAnsi="宋体"/>
          <w:b/>
          <w:color w:val="auto"/>
          <w:sz w:val="30"/>
          <w:szCs w:val="30"/>
          <w:highlight w:val="none"/>
        </w:rPr>
        <w:t xml:space="preserve">                             </w:t>
      </w:r>
      <w:r>
        <w:rPr>
          <w:rFonts w:hint="eastAsia" w:ascii="宋体" w:hAnsi="宋体"/>
          <w:color w:val="auto"/>
          <w:sz w:val="30"/>
          <w:szCs w:val="30"/>
          <w:highlight w:val="none"/>
        </w:rPr>
        <w:t xml:space="preserve"> 　　　</w:t>
      </w:r>
      <w:r>
        <w:rPr>
          <w:rFonts w:hint="eastAsia" w:ascii="宋体" w:hAnsi="宋体"/>
          <w:b/>
          <w:color w:val="auto"/>
          <w:sz w:val="28"/>
          <w:highlight w:val="none"/>
        </w:rPr>
        <w:t xml:space="preserve">        </w:t>
      </w:r>
    </w:p>
    <w:p>
      <w:pPr>
        <w:spacing w:line="360" w:lineRule="auto"/>
        <w:rPr>
          <w:rFonts w:asciiTheme="minorEastAsia" w:hAnsiTheme="minorEastAsia" w:eastAsiaTheme="minorEastAsia"/>
          <w:b/>
          <w:color w:val="auto"/>
          <w:sz w:val="30"/>
          <w:szCs w:val="30"/>
          <w:highlight w:val="none"/>
        </w:rPr>
      </w:pPr>
    </w:p>
    <w:p>
      <w:pPr>
        <w:jc w:val="center"/>
        <w:rPr>
          <w:color w:val="auto"/>
          <w:sz w:val="52"/>
          <w:szCs w:val="52"/>
          <w:highlight w:val="none"/>
        </w:rPr>
      </w:pPr>
      <w:bookmarkStart w:id="42" w:name="_Toc32372_WPSOffice_Level1"/>
      <w:bookmarkStart w:id="43" w:name="_Toc4956_WPSOffice_Level1"/>
      <w:bookmarkStart w:id="44" w:name="_Toc19093_WPSOffice_Level1"/>
      <w:r>
        <w:rPr>
          <w:rFonts w:hint="eastAsia"/>
          <w:color w:val="auto"/>
          <w:sz w:val="52"/>
          <w:szCs w:val="52"/>
          <w:highlight w:val="none"/>
        </w:rPr>
        <w:t>项目名称</w:t>
      </w:r>
      <w:bookmarkEnd w:id="42"/>
      <w:bookmarkEnd w:id="43"/>
      <w:bookmarkEnd w:id="44"/>
    </w:p>
    <w:p>
      <w:pPr>
        <w:spacing w:beforeLines="100" w:line="360" w:lineRule="auto"/>
        <w:ind w:right="-108"/>
        <w:jc w:val="center"/>
        <w:rPr>
          <w:rFonts w:hint="eastAsia" w:ascii="宋体" w:hAnsi="宋体"/>
          <w:color w:val="auto"/>
          <w:sz w:val="36"/>
          <w:szCs w:val="36"/>
          <w:highlight w:val="none"/>
        </w:rPr>
      </w:pPr>
      <w:r>
        <w:rPr>
          <w:rFonts w:hint="eastAsia" w:ascii="宋体" w:hAnsi="宋体"/>
          <w:color w:val="auto"/>
          <w:sz w:val="36"/>
          <w:szCs w:val="36"/>
          <w:highlight w:val="none"/>
        </w:rPr>
        <w:t>项目编号：（</w:t>
      </w:r>
      <w:r>
        <w:rPr>
          <w:rFonts w:hint="eastAsia" w:ascii="宋体" w:hAnsi="宋体"/>
          <w:color w:val="auto"/>
          <w:sz w:val="36"/>
          <w:szCs w:val="36"/>
          <w:highlight w:val="none"/>
          <w:lang w:eastAsia="zh-CN"/>
        </w:rPr>
        <w:t>标项</w:t>
      </w:r>
      <w:r>
        <w:rPr>
          <w:rFonts w:hint="eastAsia" w:ascii="宋体" w:hAnsi="宋体"/>
          <w:color w:val="auto"/>
          <w:sz w:val="36"/>
          <w:szCs w:val="36"/>
          <w:highlight w:val="none"/>
        </w:rPr>
        <w:t>）</w:t>
      </w:r>
    </w:p>
    <w:p>
      <w:pPr>
        <w:pStyle w:val="18"/>
        <w:rPr>
          <w:color w:val="auto"/>
          <w:highlight w:val="none"/>
        </w:rPr>
      </w:pPr>
    </w:p>
    <w:p>
      <w:pPr>
        <w:jc w:val="center"/>
        <w:rPr>
          <w:color w:val="auto"/>
          <w:sz w:val="84"/>
          <w:szCs w:val="84"/>
          <w:highlight w:val="none"/>
          <w:lang w:val="zh-CN"/>
        </w:rPr>
      </w:pPr>
      <w:r>
        <w:rPr>
          <w:rFonts w:hint="eastAsia"/>
          <w:color w:val="auto"/>
          <w:sz w:val="84"/>
          <w:szCs w:val="84"/>
          <w:highlight w:val="none"/>
          <w:lang w:val="zh-CN"/>
        </w:rPr>
        <w:t>投</w:t>
      </w:r>
    </w:p>
    <w:p>
      <w:pPr>
        <w:jc w:val="center"/>
        <w:rPr>
          <w:color w:val="auto"/>
          <w:sz w:val="84"/>
          <w:szCs w:val="84"/>
          <w:highlight w:val="none"/>
          <w:lang w:val="zh-CN"/>
        </w:rPr>
      </w:pPr>
      <w:r>
        <w:rPr>
          <w:rFonts w:hint="eastAsia"/>
          <w:color w:val="auto"/>
          <w:sz w:val="84"/>
          <w:szCs w:val="84"/>
          <w:highlight w:val="none"/>
          <w:lang w:val="zh-CN"/>
        </w:rPr>
        <w:t>标</w:t>
      </w:r>
    </w:p>
    <w:p>
      <w:pPr>
        <w:jc w:val="center"/>
        <w:rPr>
          <w:color w:val="auto"/>
          <w:sz w:val="84"/>
          <w:szCs w:val="84"/>
          <w:highlight w:val="none"/>
        </w:rPr>
      </w:pPr>
      <w:r>
        <w:rPr>
          <w:rFonts w:hint="eastAsia"/>
          <w:color w:val="auto"/>
          <w:sz w:val="84"/>
          <w:szCs w:val="84"/>
          <w:highlight w:val="none"/>
          <w:lang w:val="zh-CN"/>
        </w:rPr>
        <w:t>文</w:t>
      </w:r>
    </w:p>
    <w:p>
      <w:pPr>
        <w:jc w:val="center"/>
        <w:rPr>
          <w:color w:val="auto"/>
          <w:sz w:val="84"/>
          <w:szCs w:val="84"/>
          <w:highlight w:val="none"/>
          <w:lang w:val="zh-CN"/>
        </w:rPr>
      </w:pPr>
      <w:r>
        <w:rPr>
          <w:rFonts w:hint="eastAsia"/>
          <w:color w:val="auto"/>
          <w:sz w:val="84"/>
          <w:szCs w:val="84"/>
          <w:highlight w:val="none"/>
          <w:lang w:val="zh-CN"/>
        </w:rPr>
        <w:t>件</w:t>
      </w:r>
    </w:p>
    <w:p>
      <w:pPr>
        <w:spacing w:after="100" w:afterAutospacing="1" w:line="360" w:lineRule="auto"/>
        <w:ind w:right="-108"/>
        <w:jc w:val="center"/>
        <w:rPr>
          <w:rFonts w:hint="eastAsia"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z w:val="28"/>
          <w:szCs w:val="28"/>
          <w:highlight w:val="none"/>
        </w:rPr>
        <w:t>资格证明文件）</w:t>
      </w:r>
    </w:p>
    <w:p>
      <w:pPr>
        <w:pStyle w:val="18"/>
        <w:rPr>
          <w:color w:val="auto"/>
          <w:highlight w:val="none"/>
        </w:rPr>
      </w:pP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投标人全称（电子印章）：</w:t>
      </w: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地    址：</w:t>
      </w:r>
    </w:p>
    <w:p>
      <w:pPr>
        <w:spacing w:line="360" w:lineRule="auto"/>
        <w:ind w:right="532" w:firstLine="640" w:firstLineChars="200"/>
        <w:rPr>
          <w:rFonts w:ascii="宋体" w:hAnsi="宋体"/>
          <w:color w:val="auto"/>
          <w:sz w:val="32"/>
          <w:szCs w:val="32"/>
          <w:highlight w:val="none"/>
        </w:rPr>
      </w:pPr>
      <w:r>
        <w:rPr>
          <w:rFonts w:hint="eastAsia" w:ascii="宋体" w:hAnsi="宋体"/>
          <w:color w:val="auto"/>
          <w:sz w:val="32"/>
          <w:szCs w:val="32"/>
          <w:highlight w:val="none"/>
        </w:rPr>
        <w:t>时    间：</w:t>
      </w:r>
    </w:p>
    <w:p>
      <w:pPr>
        <w:snapToGrid w:val="0"/>
        <w:spacing w:before="50" w:after="50" w:line="360" w:lineRule="auto"/>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spacing w:line="360" w:lineRule="auto"/>
        <w:jc w:val="center"/>
        <w:rPr>
          <w:b/>
          <w:bCs/>
          <w:color w:val="auto"/>
          <w:sz w:val="32"/>
          <w:szCs w:val="40"/>
          <w:highlight w:val="none"/>
        </w:rPr>
      </w:pPr>
    </w:p>
    <w:p>
      <w:pPr>
        <w:spacing w:line="360" w:lineRule="auto"/>
        <w:jc w:val="center"/>
        <w:rPr>
          <w:b/>
          <w:bCs/>
          <w:color w:val="auto"/>
          <w:sz w:val="32"/>
          <w:szCs w:val="40"/>
          <w:highlight w:val="none"/>
        </w:rPr>
      </w:pPr>
      <w:r>
        <w:rPr>
          <w:rFonts w:hint="eastAsia"/>
          <w:b/>
          <w:bCs/>
          <w:color w:val="auto"/>
          <w:sz w:val="32"/>
          <w:szCs w:val="40"/>
          <w:highlight w:val="none"/>
        </w:rPr>
        <w:t>资格证明文件目录</w:t>
      </w:r>
    </w:p>
    <w:p>
      <w:pPr>
        <w:spacing w:line="360" w:lineRule="auto"/>
        <w:ind w:firstLine="420" w:firstLineChars="200"/>
        <w:rPr>
          <w:color w:val="auto"/>
          <w:highlight w:val="none"/>
        </w:rPr>
      </w:pP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（1）投标人情况介绍（附件</w:t>
      </w:r>
      <w:r>
        <w:rPr>
          <w:rFonts w:hint="eastAsia" w:ascii="宋体" w:hAnsi="宋体"/>
          <w:bCs/>
          <w:color w:val="auto"/>
          <w:sz w:val="24"/>
          <w:highlight w:val="none"/>
          <w:lang w:val="en-US" w:eastAsia="zh-CN"/>
        </w:rPr>
        <w:t>5</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（2）技术方案（</w:t>
      </w:r>
      <w:r>
        <w:rPr>
          <w:rFonts w:hint="eastAsia" w:ascii="宋体" w:hAnsi="宋体"/>
          <w:bCs/>
          <w:color w:val="auto"/>
          <w:sz w:val="24"/>
          <w:highlight w:val="none"/>
          <w:lang w:eastAsia="zh-CN"/>
        </w:rPr>
        <w:t>根据评分标准分章节自拟</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（3）项目负责人资格情况表（附件</w:t>
      </w:r>
      <w:r>
        <w:rPr>
          <w:rFonts w:hint="eastAsia" w:ascii="宋体" w:hAnsi="宋体"/>
          <w:bCs/>
          <w:color w:val="auto"/>
          <w:sz w:val="24"/>
          <w:highlight w:val="none"/>
          <w:lang w:val="en-US" w:eastAsia="zh-CN"/>
        </w:rPr>
        <w:t>6</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（4）项目实施人员一览表（附件</w:t>
      </w:r>
      <w:r>
        <w:rPr>
          <w:rFonts w:hint="eastAsia" w:ascii="宋体" w:hAnsi="宋体"/>
          <w:bCs/>
          <w:color w:val="auto"/>
          <w:sz w:val="24"/>
          <w:highlight w:val="none"/>
          <w:lang w:val="en-US" w:eastAsia="zh-CN"/>
        </w:rPr>
        <w:t>7</w:t>
      </w:r>
      <w:r>
        <w:rPr>
          <w:rFonts w:hint="eastAsia" w:ascii="宋体" w:hAnsi="宋体"/>
          <w:bCs/>
          <w:color w:val="auto"/>
          <w:sz w:val="24"/>
          <w:highlight w:val="none"/>
        </w:rPr>
        <w:t>）；</w:t>
      </w:r>
    </w:p>
    <w:p>
      <w:pPr>
        <w:snapToGrid w:val="0"/>
        <w:spacing w:line="360" w:lineRule="auto"/>
        <w:ind w:firstLine="480" w:firstLineChars="200"/>
        <w:rPr>
          <w:rFonts w:ascii="Calibri" w:hAnsi="Calibri" w:cs="Calibri"/>
          <w:color w:val="auto"/>
          <w:sz w:val="24"/>
          <w:highlight w:val="none"/>
        </w:rPr>
      </w:pPr>
      <w:r>
        <w:rPr>
          <w:rFonts w:hint="eastAsia" w:ascii="宋体" w:hAnsi="宋体"/>
          <w:bCs/>
          <w:color w:val="auto"/>
          <w:sz w:val="24"/>
          <w:highlight w:val="none"/>
        </w:rPr>
        <w:t>（5）</w:t>
      </w:r>
      <w:r>
        <w:rPr>
          <w:rFonts w:hint="eastAsia" w:ascii="Calibri" w:hAnsi="Calibri" w:cs="Calibri"/>
          <w:color w:val="auto"/>
          <w:sz w:val="24"/>
          <w:highlight w:val="none"/>
        </w:rPr>
        <w:t>服务条款响应表（附件</w:t>
      </w:r>
      <w:r>
        <w:rPr>
          <w:rFonts w:hint="eastAsia" w:ascii="Calibri" w:hAnsi="Calibri" w:cs="Calibri"/>
          <w:color w:val="auto"/>
          <w:sz w:val="24"/>
          <w:highlight w:val="none"/>
          <w:lang w:val="en-US" w:eastAsia="zh-CN"/>
        </w:rPr>
        <w:t>8</w:t>
      </w:r>
      <w:r>
        <w:rPr>
          <w:rFonts w:hint="eastAsia" w:ascii="Calibri" w:hAnsi="Calibri" w:cs="Calibri"/>
          <w:color w:val="auto"/>
          <w:sz w:val="24"/>
          <w:highlight w:val="none"/>
        </w:rPr>
        <w:t>）；</w:t>
      </w:r>
    </w:p>
    <w:p>
      <w:pPr>
        <w:pStyle w:val="7"/>
        <w:widowControl/>
        <w:numPr>
          <w:ilvl w:val="255"/>
          <w:numId w:val="0"/>
        </w:numPr>
        <w:adjustRightInd w:val="0"/>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（6）证书一览表（与本项目相关的认证证书或文件；附件</w:t>
      </w:r>
      <w:r>
        <w:rPr>
          <w:rFonts w:hint="eastAsia" w:ascii="宋体" w:hAnsi="宋体"/>
          <w:bCs/>
          <w:color w:val="auto"/>
          <w:sz w:val="24"/>
          <w:highlight w:val="none"/>
          <w:lang w:val="en-US" w:eastAsia="zh-CN"/>
        </w:rPr>
        <w:t>9</w:t>
      </w:r>
      <w:r>
        <w:rPr>
          <w:rFonts w:hint="eastAsia" w:ascii="宋体" w:hAnsi="宋体"/>
          <w:bCs/>
          <w:color w:val="auto"/>
          <w:sz w:val="24"/>
          <w:highlight w:val="none"/>
        </w:rPr>
        <w:t>）；</w:t>
      </w:r>
    </w:p>
    <w:p>
      <w:pPr>
        <w:pStyle w:val="7"/>
        <w:widowControl/>
        <w:numPr>
          <w:ilvl w:val="255"/>
          <w:numId w:val="0"/>
        </w:num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（7）投标人类似项目实施情况一览表（如有，附件1</w:t>
      </w:r>
      <w:r>
        <w:rPr>
          <w:rFonts w:hint="eastAsia" w:ascii="宋体" w:hAnsi="宋体"/>
          <w:bCs/>
          <w:color w:val="auto"/>
          <w:sz w:val="24"/>
          <w:highlight w:val="none"/>
          <w:lang w:val="en-US" w:eastAsia="zh-CN"/>
        </w:rPr>
        <w:t>0</w:t>
      </w:r>
      <w:r>
        <w:rPr>
          <w:rFonts w:hint="eastAsia" w:ascii="宋体" w:hAnsi="宋体"/>
          <w:bCs/>
          <w:color w:val="auto"/>
          <w:sz w:val="24"/>
          <w:highlight w:val="none"/>
        </w:rPr>
        <w:t>）；</w:t>
      </w:r>
    </w:p>
    <w:p>
      <w:pPr>
        <w:pStyle w:val="7"/>
        <w:spacing w:line="360" w:lineRule="auto"/>
        <w:ind w:firstLine="480" w:firstLineChars="200"/>
        <w:rPr>
          <w:rFonts w:hint="default" w:eastAsia="宋体"/>
          <w:color w:val="auto"/>
          <w:sz w:val="28"/>
          <w:szCs w:val="28"/>
          <w:highlight w:val="none"/>
          <w:lang w:val="en-US" w:eastAsia="zh-CN"/>
        </w:rPr>
      </w:pPr>
      <w:r>
        <w:rPr>
          <w:rFonts w:hint="eastAsia" w:ascii="宋体" w:hAnsi="宋体"/>
          <w:bCs/>
          <w:color w:val="auto"/>
          <w:sz w:val="24"/>
          <w:highlight w:val="none"/>
        </w:rPr>
        <w:t>（8）符合招标文件规定的其他证明文件及评分标准中涉及的其他材料</w:t>
      </w:r>
      <w:r>
        <w:rPr>
          <w:rFonts w:hint="eastAsia" w:ascii="宋体" w:hAnsi="宋体"/>
          <w:bCs/>
          <w:color w:val="auto"/>
          <w:sz w:val="24"/>
          <w:highlight w:val="none"/>
          <w:lang w:val="en-US" w:eastAsia="zh-CN"/>
        </w:rPr>
        <w:t>(如有)。</w:t>
      </w:r>
    </w:p>
    <w:p>
      <w:pPr>
        <w:spacing w:line="360" w:lineRule="auto"/>
        <w:rPr>
          <w:rFonts w:ascii="宋体" w:hAnsi="宋体"/>
          <w:b/>
          <w:color w:val="auto"/>
          <w:sz w:val="28"/>
          <w:highlight w:val="none"/>
        </w:rPr>
      </w:pPr>
    </w:p>
    <w:p>
      <w:pPr>
        <w:spacing w:line="360" w:lineRule="auto"/>
        <w:ind w:left="420"/>
        <w:rPr>
          <w:rFonts w:ascii="宋体" w:hAnsi="宋体"/>
          <w:b/>
          <w:color w:val="auto"/>
          <w:sz w:val="28"/>
          <w:highlight w:val="none"/>
        </w:rPr>
      </w:pPr>
    </w:p>
    <w:p>
      <w:pPr>
        <w:pStyle w:val="24"/>
        <w:rPr>
          <w:rFonts w:ascii="宋体" w:hAnsi="宋体"/>
          <w:b/>
          <w:color w:val="auto"/>
          <w:sz w:val="28"/>
          <w:highlight w:val="none"/>
        </w:rPr>
      </w:pPr>
    </w:p>
    <w:p>
      <w:pPr>
        <w:pStyle w:val="24"/>
        <w:rPr>
          <w:rFonts w:ascii="宋体" w:hAnsi="宋体"/>
          <w:b/>
          <w:color w:val="auto"/>
          <w:sz w:val="28"/>
          <w:highlight w:val="none"/>
        </w:rPr>
      </w:pPr>
    </w:p>
    <w:p>
      <w:pPr>
        <w:spacing w:line="360" w:lineRule="auto"/>
        <w:ind w:left="420"/>
        <w:rPr>
          <w:rFonts w:ascii="宋体" w:hAnsi="宋体"/>
          <w:b/>
          <w:color w:val="auto"/>
          <w:sz w:val="28"/>
          <w:highlight w:val="none"/>
        </w:rPr>
      </w:pPr>
    </w:p>
    <w:p>
      <w:pPr>
        <w:spacing w:line="360" w:lineRule="auto"/>
        <w:ind w:left="420"/>
        <w:rPr>
          <w:rFonts w:ascii="宋体" w:hAnsi="宋体"/>
          <w:b/>
          <w:color w:val="auto"/>
          <w:sz w:val="28"/>
          <w:highlight w:val="none"/>
        </w:rPr>
      </w:pPr>
    </w:p>
    <w:p>
      <w:pPr>
        <w:spacing w:line="360" w:lineRule="auto"/>
        <w:ind w:left="420"/>
        <w:rPr>
          <w:rFonts w:ascii="宋体" w:hAnsi="宋体"/>
          <w:b/>
          <w:color w:val="auto"/>
          <w:sz w:val="28"/>
          <w:highlight w:val="none"/>
        </w:rPr>
      </w:pPr>
    </w:p>
    <w:p>
      <w:pPr>
        <w:spacing w:line="360" w:lineRule="auto"/>
        <w:ind w:left="420"/>
        <w:rPr>
          <w:rFonts w:ascii="宋体" w:hAnsi="宋体"/>
          <w:b/>
          <w:color w:val="auto"/>
          <w:sz w:val="28"/>
          <w:highlight w:val="none"/>
        </w:rPr>
      </w:pPr>
    </w:p>
    <w:p>
      <w:pPr>
        <w:spacing w:line="360" w:lineRule="auto"/>
        <w:rPr>
          <w:rFonts w:ascii="宋体" w:hAnsi="宋体"/>
          <w:b/>
          <w:color w:val="auto"/>
          <w:sz w:val="28"/>
          <w:highlight w:val="none"/>
        </w:rPr>
      </w:pPr>
    </w:p>
    <w:p>
      <w:pPr>
        <w:spacing w:line="360" w:lineRule="auto"/>
        <w:ind w:left="420"/>
        <w:rPr>
          <w:rFonts w:ascii="宋体" w:hAnsi="宋体"/>
          <w:b/>
          <w:color w:val="auto"/>
          <w:sz w:val="28"/>
          <w:highlight w:val="none"/>
        </w:rPr>
      </w:pPr>
    </w:p>
    <w:p>
      <w:pPr>
        <w:pStyle w:val="7"/>
        <w:rPr>
          <w:rFonts w:ascii="宋体" w:hAnsi="宋体"/>
          <w:b/>
          <w:color w:val="auto"/>
          <w:sz w:val="28"/>
          <w:highlight w:val="none"/>
        </w:rPr>
      </w:pPr>
    </w:p>
    <w:p>
      <w:pPr>
        <w:pStyle w:val="7"/>
        <w:rPr>
          <w:rFonts w:ascii="宋体" w:hAnsi="宋体"/>
          <w:b/>
          <w:color w:val="auto"/>
          <w:sz w:val="28"/>
          <w:highlight w:val="none"/>
        </w:rPr>
      </w:pPr>
    </w:p>
    <w:p>
      <w:pPr>
        <w:pStyle w:val="7"/>
        <w:rPr>
          <w:rFonts w:ascii="宋体" w:hAnsi="宋体"/>
          <w:b/>
          <w:color w:val="auto"/>
          <w:sz w:val="28"/>
          <w:highlight w:val="none"/>
        </w:rPr>
      </w:pPr>
    </w:p>
    <w:p>
      <w:pPr>
        <w:pStyle w:val="7"/>
        <w:rPr>
          <w:rFonts w:ascii="宋体" w:hAnsi="宋体"/>
          <w:b/>
          <w:color w:val="auto"/>
          <w:sz w:val="28"/>
          <w:highlight w:val="none"/>
        </w:rPr>
      </w:pPr>
    </w:p>
    <w:p>
      <w:pPr>
        <w:pStyle w:val="7"/>
        <w:rPr>
          <w:rFonts w:ascii="宋体" w:hAnsi="宋体"/>
          <w:b/>
          <w:color w:val="auto"/>
          <w:sz w:val="28"/>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spacing w:line="312" w:lineRule="auto"/>
        <w:rPr>
          <w:rFonts w:ascii="宋体" w:hAnsi="宋体"/>
          <w:b/>
          <w:color w:val="auto"/>
          <w:sz w:val="28"/>
          <w:highlight w:val="none"/>
        </w:rPr>
      </w:pPr>
      <w:r>
        <w:rPr>
          <w:rFonts w:hint="eastAsia" w:ascii="宋体" w:hAnsi="宋体"/>
          <w:b/>
          <w:color w:val="auto"/>
          <w:sz w:val="28"/>
          <w:highlight w:val="none"/>
        </w:rPr>
        <w:t>附件2</w:t>
      </w:r>
    </w:p>
    <w:p>
      <w:pPr>
        <w:adjustRightInd w:val="0"/>
        <w:snapToGrid w:val="0"/>
        <w:spacing w:line="312" w:lineRule="auto"/>
        <w:ind w:right="480"/>
        <w:jc w:val="center"/>
        <w:rPr>
          <w:rFonts w:ascii="宋体" w:hAnsi="宋体"/>
          <w:b/>
          <w:color w:val="auto"/>
          <w:kern w:val="0"/>
          <w:sz w:val="32"/>
          <w:szCs w:val="32"/>
          <w:highlight w:val="none"/>
          <w:lang w:val="zh-CN"/>
        </w:rPr>
      </w:pPr>
      <w:bookmarkStart w:id="45" w:name="_Toc30723_WPSOffice_Level1"/>
      <w:bookmarkStart w:id="46" w:name="_Toc31708_WPSOffice_Level1"/>
      <w:r>
        <w:rPr>
          <w:rFonts w:hint="eastAsia" w:ascii="宋体" w:hAnsi="宋体"/>
          <w:b/>
          <w:color w:val="auto"/>
          <w:kern w:val="0"/>
          <w:sz w:val="32"/>
          <w:szCs w:val="32"/>
          <w:highlight w:val="none"/>
          <w:lang w:val="zh-CN"/>
        </w:rPr>
        <w:t>投标声明书</w:t>
      </w:r>
      <w:bookmarkEnd w:id="45"/>
      <w:bookmarkEnd w:id="46"/>
    </w:p>
    <w:p>
      <w:pPr>
        <w:snapToGrid w:val="0"/>
        <w:spacing w:beforeLines="50" w:after="50" w:line="312" w:lineRule="auto"/>
        <w:rPr>
          <w:rFonts w:ascii="宋体" w:hAnsi="宋体" w:cs="宋体"/>
          <w:color w:val="auto"/>
          <w:kern w:val="0"/>
          <w:sz w:val="24"/>
          <w:highlight w:val="none"/>
        </w:rPr>
      </w:pPr>
      <w:r>
        <w:rPr>
          <w:rFonts w:hint="eastAsia" w:ascii="宋体" w:hAnsi="宋体" w:cstheme="minorBidi"/>
          <w:color w:val="auto"/>
          <w:sz w:val="24"/>
          <w:highlight w:val="none"/>
          <w:u w:val="single"/>
        </w:rPr>
        <w:t>××</w:t>
      </w:r>
      <w:r>
        <w:rPr>
          <w:rFonts w:hint="eastAsia" w:ascii="宋体" w:hAnsi="宋体" w:cs="宋体"/>
          <w:color w:val="auto"/>
          <w:kern w:val="0"/>
          <w:sz w:val="24"/>
          <w:highlight w:val="none"/>
        </w:rPr>
        <w:t>（</w:t>
      </w:r>
      <w:r>
        <w:rPr>
          <w:rFonts w:hint="eastAsia" w:asciiTheme="minorEastAsia" w:hAnsiTheme="minorEastAsia" w:eastAsiaTheme="minorEastAsia"/>
          <w:color w:val="auto"/>
          <w:sz w:val="24"/>
          <w:highlight w:val="none"/>
        </w:rPr>
        <w:t>采购组织机构名称</w:t>
      </w:r>
      <w:r>
        <w:rPr>
          <w:rFonts w:hint="eastAsia" w:ascii="宋体" w:hAnsi="宋体" w:cs="宋体"/>
          <w:color w:val="auto"/>
          <w:kern w:val="0"/>
          <w:sz w:val="24"/>
          <w:highlight w:val="none"/>
        </w:rPr>
        <w:t>）：</w:t>
      </w:r>
    </w:p>
    <w:p>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（投标人名称）系中华人民共和国合法企业，经营地址。</w:t>
      </w:r>
    </w:p>
    <w:p>
      <w:pPr>
        <w:snapToGrid w:val="0"/>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u w:val="single"/>
        </w:rPr>
        <w:t xml:space="preserve"> 姓名 </w:t>
      </w:r>
      <w:r>
        <w:rPr>
          <w:rFonts w:hint="eastAsia" w:ascii="宋体" w:hAnsi="宋体" w:cs="宋体"/>
          <w:color w:val="auto"/>
          <w:kern w:val="0"/>
          <w:sz w:val="24"/>
          <w:highlight w:val="none"/>
        </w:rPr>
        <w:t>）系（</w:t>
      </w:r>
      <w:r>
        <w:rPr>
          <w:rFonts w:hint="eastAsia" w:ascii="宋体" w:hAnsi="宋体" w:cs="宋体"/>
          <w:color w:val="auto"/>
          <w:kern w:val="0"/>
          <w:sz w:val="24"/>
          <w:highlight w:val="none"/>
          <w:u w:val="single"/>
        </w:rPr>
        <w:t xml:space="preserve"> 投标人名称 </w:t>
      </w:r>
      <w:r>
        <w:rPr>
          <w:rFonts w:hint="eastAsia" w:ascii="宋体" w:hAnsi="宋体" w:cs="宋体"/>
          <w:color w:val="auto"/>
          <w:kern w:val="0"/>
          <w:sz w:val="24"/>
          <w:highlight w:val="none"/>
        </w:rPr>
        <w:t>）的法定代表人，我公司自愿参加贵方组织的（</w:t>
      </w:r>
      <w:r>
        <w:rPr>
          <w:rFonts w:hint="eastAsia" w:ascii="宋体" w:hAnsi="宋体" w:cs="宋体"/>
          <w:color w:val="auto"/>
          <w:kern w:val="0"/>
          <w:sz w:val="24"/>
          <w:highlight w:val="none"/>
          <w:u w:val="single"/>
        </w:rPr>
        <w:t>招标项目名称</w:t>
      </w:r>
      <w:r>
        <w:rPr>
          <w:rFonts w:hint="eastAsia" w:ascii="宋体" w:hAnsi="宋体" w:cs="宋体"/>
          <w:color w:val="auto"/>
          <w:kern w:val="0"/>
          <w:sz w:val="24"/>
          <w:highlight w:val="none"/>
        </w:rPr>
        <w:t>）（编号为）的投标，为此，我公司就本次投标有关事项郑重声明如下：</w:t>
      </w:r>
    </w:p>
    <w:p>
      <w:pPr>
        <w:numPr>
          <w:ilvl w:val="0"/>
          <w:numId w:val="16"/>
        </w:numPr>
        <w:snapToGrid w:val="0"/>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numPr>
          <w:ilvl w:val="0"/>
          <w:numId w:val="16"/>
        </w:numPr>
        <w:snapToGrid w:val="0"/>
        <w:spacing w:line="360" w:lineRule="auto"/>
        <w:ind w:firstLine="480" w:firstLineChars="200"/>
        <w:rPr>
          <w:rFonts w:hint="eastAsia" w:ascii="宋体" w:hAnsi="宋体" w:cs="宋体"/>
          <w:color w:val="auto"/>
          <w:kern w:val="0"/>
          <w:sz w:val="24"/>
          <w:highlight w:val="none"/>
          <w:lang w:eastAsia="zh-CN"/>
        </w:rPr>
      </w:pPr>
      <w:r>
        <w:rPr>
          <w:rFonts w:hint="eastAsia" w:ascii="宋体" w:hAnsi="宋体" w:cs="宋体"/>
          <w:color w:val="auto"/>
          <w:kern w:val="0"/>
          <w:sz w:val="24"/>
          <w:highlight w:val="none"/>
        </w:rPr>
        <w:t>我公司在参与投标前已详细审查了招标文件和所有相关资料，我方完全</w:t>
      </w:r>
      <w:r>
        <w:rPr>
          <w:rFonts w:hint="eastAsia" w:ascii="宋体" w:hAnsi="宋体" w:cs="宋体"/>
          <w:color w:val="auto"/>
          <w:kern w:val="0"/>
          <w:sz w:val="24"/>
          <w:highlight w:val="none"/>
          <w:lang w:eastAsia="zh-CN"/>
        </w:rPr>
        <w:t>知悉</w:t>
      </w:r>
      <w:r>
        <w:rPr>
          <w:rFonts w:hint="eastAsia" w:ascii="宋体" w:hAnsi="宋体" w:cs="宋体"/>
          <w:color w:val="auto"/>
          <w:kern w:val="0"/>
          <w:sz w:val="24"/>
          <w:highlight w:val="none"/>
        </w:rPr>
        <w:t>并认为此招标文件没有倾向性，也没有存在排斥潜在投标人的内容，我方</w:t>
      </w:r>
      <w:r>
        <w:rPr>
          <w:rFonts w:hint="eastAsia" w:ascii="宋体" w:hAnsi="宋体" w:cs="宋体"/>
          <w:color w:val="auto"/>
          <w:kern w:val="0"/>
          <w:sz w:val="24"/>
          <w:highlight w:val="none"/>
          <w:lang w:eastAsia="zh-CN"/>
        </w:rPr>
        <w:t>对招标文件的所有内容没有任何异议，不申请澄清和质疑。</w:t>
      </w:r>
    </w:p>
    <w:p>
      <w:pPr>
        <w:numPr>
          <w:ilvl w:val="0"/>
          <w:numId w:val="16"/>
        </w:numPr>
        <w:snapToGrid w:val="0"/>
        <w:spacing w:line="360" w:lineRule="auto"/>
        <w:ind w:firstLine="480" w:firstLineChars="200"/>
        <w:rPr>
          <w:rFonts w:ascii="宋体" w:hAnsi="宋体"/>
          <w:color w:val="auto"/>
          <w:sz w:val="24"/>
          <w:highlight w:val="none"/>
        </w:rPr>
      </w:pPr>
      <w:r>
        <w:rPr>
          <w:rFonts w:hint="eastAsia" w:ascii="宋体" w:hAnsi="宋体" w:cs="宋体"/>
          <w:color w:val="auto"/>
          <w:kern w:val="0"/>
          <w:sz w:val="24"/>
          <w:highlight w:val="none"/>
        </w:rPr>
        <w:t>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rPr>
        <w:t>不是采购人的附属机构；</w:t>
      </w:r>
      <w:r>
        <w:rPr>
          <w:rFonts w:hint="eastAsia" w:ascii="宋体" w:hAnsi="宋体"/>
          <w:color w:val="auto"/>
          <w:sz w:val="24"/>
          <w:highlight w:val="none"/>
        </w:rPr>
        <w:t>在获知本项目采购信息后，与采购人聘请的为此项目提供咨询服务的公司及其附属机构没有任何联系。</w:t>
      </w:r>
    </w:p>
    <w:p>
      <w:pPr>
        <w:snapToGrid w:val="0"/>
        <w:spacing w:line="360" w:lineRule="auto"/>
        <w:ind w:firstLine="480" w:firstLineChars="200"/>
        <w:rPr>
          <w:rFonts w:ascii="宋体" w:hAnsi="宋体"/>
          <w:color w:val="auto"/>
          <w:kern w:val="0"/>
          <w:sz w:val="24"/>
          <w:highlight w:val="none"/>
          <w:lang w:val="af-ZA"/>
        </w:rPr>
      </w:pPr>
      <w:r>
        <w:rPr>
          <w:rFonts w:hint="eastAsia" w:ascii="宋体" w:hAnsi="宋体"/>
          <w:color w:val="auto"/>
          <w:sz w:val="24"/>
          <w:highlight w:val="none"/>
        </w:rPr>
        <w:t>4、</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s="宋体"/>
          <w:color w:val="auto"/>
          <w:kern w:val="0"/>
          <w:sz w:val="24"/>
          <w:highlight w:val="none"/>
        </w:rPr>
        <w:t>保证，</w:t>
      </w:r>
      <w:r>
        <w:rPr>
          <w:rFonts w:hint="eastAsia" w:ascii="宋体" w:hAnsi="宋体"/>
          <w:color w:val="auto"/>
          <w:kern w:val="0"/>
          <w:sz w:val="24"/>
          <w:highlight w:val="none"/>
          <w:lang w:val="af-ZA"/>
        </w:rPr>
        <w:t>采购人在中华人民共和国境内使用</w:t>
      </w:r>
      <w:r>
        <w:rPr>
          <w:rFonts w:hint="eastAsia" w:ascii="宋体" w:hAnsi="宋体" w:cs="宋体"/>
          <w:color w:val="auto"/>
          <w:kern w:val="0"/>
          <w:sz w:val="24"/>
          <w:highlight w:val="none"/>
        </w:rPr>
        <w:t>我</w:t>
      </w:r>
      <w:r>
        <w:rPr>
          <w:rFonts w:hint="eastAsia" w:ascii="宋体" w:hAnsi="宋体" w:cs="仿宋_GB2312"/>
          <w:color w:val="auto"/>
          <w:kern w:val="0"/>
          <w:sz w:val="24"/>
          <w:highlight w:val="none"/>
          <w:lang w:val="zh-CN"/>
        </w:rPr>
        <w:t>公司</w:t>
      </w:r>
      <w:r>
        <w:rPr>
          <w:rFonts w:hint="eastAsia" w:ascii="宋体" w:hAnsi="宋体"/>
          <w:color w:val="auto"/>
          <w:kern w:val="0"/>
          <w:sz w:val="24"/>
          <w:highlight w:val="none"/>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highlight w:val="none"/>
          <w:lang w:val="af-ZA"/>
        </w:rPr>
        <w:t>我方</w:t>
      </w:r>
      <w:r>
        <w:rPr>
          <w:rFonts w:hint="eastAsia" w:ascii="宋体" w:hAnsi="宋体"/>
          <w:color w:val="auto"/>
          <w:kern w:val="0"/>
          <w:sz w:val="24"/>
          <w:highlight w:val="none"/>
          <w:lang w:val="af-ZA"/>
        </w:rPr>
        <w:t>承担。</w:t>
      </w:r>
      <w:r>
        <w:rPr>
          <w:rFonts w:hint="eastAsia" w:ascii="宋体" w:hAnsi="宋体" w:cs="宋体"/>
          <w:color w:val="auto"/>
          <w:kern w:val="0"/>
          <w:sz w:val="24"/>
          <w:highlight w:val="none"/>
          <w:lang w:val="af-ZA"/>
        </w:rPr>
        <w:t>我方的</w:t>
      </w:r>
      <w:r>
        <w:rPr>
          <w:rFonts w:hint="eastAsia" w:ascii="宋体" w:hAnsi="宋体"/>
          <w:color w:val="auto"/>
          <w:kern w:val="0"/>
          <w:sz w:val="24"/>
          <w:highlight w:val="none"/>
          <w:lang w:val="af-ZA"/>
        </w:rPr>
        <w:t>投标报价</w:t>
      </w:r>
      <w:r>
        <w:rPr>
          <w:rFonts w:hint="eastAsia" w:ascii="宋体" w:hAnsi="宋体" w:cs="宋体"/>
          <w:color w:val="auto"/>
          <w:kern w:val="0"/>
          <w:sz w:val="24"/>
          <w:highlight w:val="none"/>
          <w:lang w:val="af-ZA"/>
        </w:rPr>
        <w:t>已</w:t>
      </w:r>
      <w:r>
        <w:rPr>
          <w:rFonts w:hint="eastAsia" w:ascii="宋体" w:hAnsi="宋体"/>
          <w:color w:val="auto"/>
          <w:kern w:val="0"/>
          <w:sz w:val="24"/>
          <w:highlight w:val="none"/>
          <w:lang w:val="af-ZA"/>
        </w:rPr>
        <w:t>包含所有应向所有权人支付的专利权、商标权或其它知识产权的一切相关费用。</w:t>
      </w:r>
    </w:p>
    <w:p>
      <w:pPr>
        <w:snapToGrid w:val="0"/>
        <w:spacing w:line="360" w:lineRule="auto"/>
        <w:ind w:firstLine="480" w:firstLineChars="200"/>
        <w:rPr>
          <w:rFonts w:ascii="仿宋_GB2312" w:hAnsi="仿宋_GB2312" w:eastAsia="仿宋_GB2312" w:cs="仿宋_GB2312"/>
          <w:color w:val="auto"/>
          <w:sz w:val="24"/>
          <w:highlight w:val="none"/>
        </w:rPr>
      </w:pPr>
      <w:r>
        <w:rPr>
          <w:rFonts w:hint="eastAsia" w:ascii="宋体" w:hAnsi="宋体" w:cs="宋体"/>
          <w:color w:val="auto"/>
          <w:kern w:val="0"/>
          <w:sz w:val="24"/>
          <w:highlight w:val="none"/>
          <w:lang w:val="af-ZA"/>
        </w:rPr>
        <w:t>5、我</w:t>
      </w:r>
      <w:r>
        <w:rPr>
          <w:rFonts w:hint="eastAsia" w:ascii="宋体" w:hAnsi="宋体" w:cs="宋体"/>
          <w:color w:val="auto"/>
          <w:kern w:val="0"/>
          <w:sz w:val="24"/>
          <w:highlight w:val="none"/>
          <w:lang w:val="zh-CN"/>
        </w:rPr>
        <w:t>公司</w:t>
      </w:r>
      <w:r>
        <w:rPr>
          <w:rFonts w:hint="eastAsia" w:ascii="宋体" w:hAnsi="宋体" w:cs="宋体"/>
          <w:color w:val="auto"/>
          <w:kern w:val="0"/>
          <w:sz w:val="24"/>
          <w:highlight w:val="none"/>
          <w:lang w:val="af-ZA"/>
        </w:rPr>
        <w:t>严格履行政府采购合同，不降低合同约定的产品质量和服务，不擅自变更、中止、终止合同，或拒绝履行合同义务；</w:t>
      </w:r>
    </w:p>
    <w:p>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6、以上事项如有虚假或隐瞒，我</w:t>
      </w:r>
      <w:r>
        <w:rPr>
          <w:rFonts w:hint="eastAsia" w:ascii="宋体" w:hAnsi="宋体" w:cs="仿宋_GB2312"/>
          <w:color w:val="auto"/>
          <w:kern w:val="0"/>
          <w:sz w:val="24"/>
          <w:highlight w:val="none"/>
          <w:lang w:val="zh-CN"/>
        </w:rPr>
        <w:t>公司</w:t>
      </w:r>
      <w:r>
        <w:rPr>
          <w:rFonts w:hint="eastAsia" w:ascii="宋体" w:hAnsi="宋体"/>
          <w:color w:val="auto"/>
          <w:sz w:val="24"/>
          <w:highlight w:val="none"/>
        </w:rPr>
        <w:t>愿意承担一切后果，并不再寻求任何旨在减轻或免除法律责任的辩解。</w:t>
      </w:r>
    </w:p>
    <w:p>
      <w:pPr>
        <w:adjustRightInd w:val="0"/>
        <w:snapToGrid w:val="0"/>
        <w:spacing w:line="360" w:lineRule="auto"/>
        <w:ind w:firstLine="200"/>
        <w:rPr>
          <w:rFonts w:ascii="宋体" w:hAnsi="宋体" w:cs="仿宋_GB2312"/>
          <w:color w:val="auto"/>
          <w:kern w:val="0"/>
          <w:sz w:val="24"/>
          <w:highlight w:val="none"/>
        </w:rPr>
      </w:pPr>
    </w:p>
    <w:p>
      <w:pPr>
        <w:adjustRightInd w:val="0"/>
        <w:snapToGrid w:val="0"/>
        <w:spacing w:line="360" w:lineRule="auto"/>
        <w:ind w:firstLine="4680" w:firstLineChars="19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投标人名称(电子印章)：</w:t>
      </w:r>
    </w:p>
    <w:p>
      <w:pPr>
        <w:adjustRightInd w:val="0"/>
        <w:snapToGrid w:val="0"/>
        <w:spacing w:line="360" w:lineRule="auto"/>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法定代表人或授权委托人签字或电子印章：</w:t>
      </w:r>
    </w:p>
    <w:p>
      <w:pPr>
        <w:adjustRightInd w:val="0"/>
        <w:snapToGrid w:val="0"/>
        <w:spacing w:line="360" w:lineRule="auto"/>
        <w:ind w:firstLine="2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日期：</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年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月 </w:t>
      </w:r>
      <w:r>
        <w:rPr>
          <w:rFonts w:hint="eastAsia" w:ascii="宋体" w:hAnsi="宋体" w:cstheme="minorBidi"/>
          <w:color w:val="auto"/>
          <w:sz w:val="24"/>
          <w:highlight w:val="none"/>
        </w:rPr>
        <w:t>××</w:t>
      </w:r>
      <w:r>
        <w:rPr>
          <w:rFonts w:hint="eastAsia" w:ascii="宋体" w:hAnsi="宋体" w:cs="仿宋_GB2312"/>
          <w:color w:val="auto"/>
          <w:kern w:val="0"/>
          <w:sz w:val="24"/>
          <w:highlight w:val="none"/>
          <w:lang w:val="zh-CN"/>
        </w:rPr>
        <w:t xml:space="preserve"> 日</w:t>
      </w:r>
    </w:p>
    <w:p>
      <w:pPr>
        <w:rPr>
          <w:rFonts w:hint="eastAsia" w:ascii="宋体" w:hAnsi="宋体"/>
          <w:b/>
          <w:color w:val="auto"/>
          <w:sz w:val="28"/>
          <w:highlight w:val="none"/>
        </w:rPr>
      </w:pPr>
      <w:r>
        <w:rPr>
          <w:rFonts w:hint="eastAsia" w:ascii="宋体" w:hAnsi="宋体"/>
          <w:b/>
          <w:color w:val="auto"/>
          <w:sz w:val="28"/>
          <w:highlight w:val="none"/>
        </w:rPr>
        <w:br w:type="page"/>
      </w:r>
    </w:p>
    <w:p>
      <w:pPr>
        <w:adjustRightInd w:val="0"/>
        <w:snapToGrid w:val="0"/>
        <w:spacing w:line="360" w:lineRule="auto"/>
        <w:ind w:right="480"/>
        <w:rPr>
          <w:rFonts w:ascii="宋体"/>
          <w:b/>
          <w:color w:val="auto"/>
          <w:sz w:val="30"/>
          <w:szCs w:val="30"/>
          <w:highlight w:val="none"/>
        </w:rPr>
      </w:pPr>
      <w:r>
        <w:rPr>
          <w:rFonts w:hint="eastAsia" w:ascii="宋体" w:hAnsi="宋体"/>
          <w:b/>
          <w:color w:val="auto"/>
          <w:sz w:val="28"/>
          <w:highlight w:val="none"/>
        </w:rPr>
        <w:t>附件3</w:t>
      </w:r>
    </w:p>
    <w:p>
      <w:pPr>
        <w:spacing w:line="360" w:lineRule="auto"/>
        <w:ind w:firstLine="321" w:firstLineChars="100"/>
        <w:jc w:val="center"/>
        <w:rPr>
          <w:rFonts w:hAnsi="宋体"/>
          <w:b/>
          <w:color w:val="auto"/>
          <w:sz w:val="32"/>
          <w:szCs w:val="32"/>
          <w:highlight w:val="none"/>
          <w:u w:val="single"/>
        </w:rPr>
      </w:pPr>
      <w:bookmarkStart w:id="47" w:name="_Toc6870_WPSOffice_Level1"/>
      <w:bookmarkStart w:id="48" w:name="_Toc24373_WPSOffice_Level1"/>
      <w:r>
        <w:rPr>
          <w:b/>
          <w:color w:val="auto"/>
          <w:sz w:val="32"/>
          <w:szCs w:val="32"/>
          <w:highlight w:val="none"/>
        </w:rPr>
        <w:t>授权</w:t>
      </w:r>
      <w:r>
        <w:rPr>
          <w:rFonts w:hint="eastAsia"/>
          <w:b/>
          <w:color w:val="auto"/>
          <w:sz w:val="32"/>
          <w:szCs w:val="32"/>
          <w:highlight w:val="none"/>
        </w:rPr>
        <w:t>委托</w:t>
      </w:r>
      <w:r>
        <w:rPr>
          <w:b/>
          <w:color w:val="auto"/>
          <w:sz w:val="32"/>
          <w:szCs w:val="32"/>
          <w:highlight w:val="none"/>
        </w:rPr>
        <w:t>书</w:t>
      </w:r>
      <w:bookmarkEnd w:id="47"/>
      <w:bookmarkEnd w:id="48"/>
    </w:p>
    <w:p>
      <w:pPr>
        <w:snapToGrid w:val="0"/>
        <w:spacing w:beforeLines="50" w:after="50" w:line="360" w:lineRule="auto"/>
        <w:rPr>
          <w:rFonts w:ascii="宋体" w:hAnsi="宋体" w:cs="宋体"/>
          <w:color w:val="auto"/>
          <w:kern w:val="0"/>
          <w:sz w:val="24"/>
          <w:highlight w:val="none"/>
        </w:rPr>
      </w:pPr>
      <w:r>
        <w:rPr>
          <w:rFonts w:hint="eastAsia" w:ascii="宋体" w:hAnsi="宋体" w:cstheme="minorBidi"/>
          <w:color w:val="auto"/>
          <w:sz w:val="24"/>
          <w:highlight w:val="none"/>
          <w:u w:val="single"/>
        </w:rPr>
        <w:t>××</w:t>
      </w:r>
      <w:r>
        <w:rPr>
          <w:rFonts w:hint="eastAsia" w:ascii="宋体" w:hAnsi="宋体" w:cs="宋体"/>
          <w:color w:val="auto"/>
          <w:kern w:val="0"/>
          <w:sz w:val="24"/>
          <w:highlight w:val="none"/>
        </w:rPr>
        <w:t>（采购代理机构名称）：</w:t>
      </w:r>
    </w:p>
    <w:p>
      <w:pPr>
        <w:pStyle w:val="11"/>
        <w:spacing w:line="360" w:lineRule="auto"/>
        <w:ind w:firstLine="480" w:firstLineChars="200"/>
        <w:rPr>
          <w:rFonts w:hAnsi="宋体"/>
          <w:color w:val="auto"/>
          <w:sz w:val="24"/>
          <w:highlight w:val="none"/>
        </w:rPr>
      </w:pPr>
      <w:r>
        <w:rPr>
          <w:rFonts w:hAnsi="宋体"/>
          <w:color w:val="auto"/>
          <w:sz w:val="24"/>
          <w:highlight w:val="none"/>
          <w:u w:val="single"/>
        </w:rPr>
        <w:t xml:space="preserve">  （投标人全称）  </w:t>
      </w:r>
      <w:r>
        <w:rPr>
          <w:rFonts w:hAnsi="宋体"/>
          <w:color w:val="auto"/>
          <w:sz w:val="24"/>
          <w:highlight w:val="none"/>
        </w:rPr>
        <w:t>法定代表人</w:t>
      </w:r>
      <w:r>
        <w:rPr>
          <w:rFonts w:hint="eastAsia" w:ascii="Arial" w:hAnsi="Arial" w:cs="Arial"/>
          <w:color w:val="auto"/>
          <w:sz w:val="24"/>
          <w:highlight w:val="none"/>
        </w:rPr>
        <w:t>（或营业执照中单位负责人）</w:t>
      </w:r>
      <w:r>
        <w:rPr>
          <w:rFonts w:hAnsi="宋体"/>
          <w:color w:val="auto"/>
          <w:sz w:val="24"/>
          <w:highlight w:val="none"/>
          <w:u w:val="single"/>
        </w:rPr>
        <w:tab/>
      </w:r>
      <w:r>
        <w:rPr>
          <w:rFonts w:hAnsi="宋体"/>
          <w:color w:val="auto"/>
          <w:sz w:val="24"/>
          <w:highlight w:val="none"/>
          <w:u w:val="single"/>
        </w:rPr>
        <w:t>（法定代表</w:t>
      </w:r>
      <w:r>
        <w:rPr>
          <w:rFonts w:hint="eastAsia" w:hAnsi="宋体"/>
          <w:color w:val="auto"/>
          <w:sz w:val="24"/>
          <w:highlight w:val="none"/>
          <w:u w:val="single"/>
        </w:rPr>
        <w:t>人</w:t>
      </w:r>
      <w:r>
        <w:rPr>
          <w:rFonts w:hint="eastAsia" w:ascii="Arial" w:hAnsi="Arial" w:cs="Arial"/>
          <w:color w:val="auto"/>
          <w:sz w:val="24"/>
          <w:highlight w:val="none"/>
          <w:u w:val="single"/>
        </w:rPr>
        <w:t>或营业执照中单位负责人</w:t>
      </w:r>
      <w:r>
        <w:rPr>
          <w:rFonts w:hAnsi="宋体"/>
          <w:color w:val="auto"/>
          <w:sz w:val="24"/>
          <w:highlight w:val="none"/>
          <w:u w:val="single"/>
        </w:rPr>
        <w:t xml:space="preserve">姓名） </w:t>
      </w:r>
      <w:r>
        <w:rPr>
          <w:rFonts w:hAnsi="宋体"/>
          <w:color w:val="auto"/>
          <w:sz w:val="24"/>
          <w:highlight w:val="none"/>
        </w:rPr>
        <w:t>授权</w:t>
      </w:r>
      <w:r>
        <w:rPr>
          <w:rFonts w:hint="eastAsia" w:hAnsi="宋体"/>
          <w:color w:val="auto"/>
          <w:sz w:val="24"/>
          <w:highlight w:val="none"/>
          <w:u w:val="single"/>
        </w:rPr>
        <w:t xml:space="preserve">   （全权代表</w:t>
      </w:r>
      <w:r>
        <w:rPr>
          <w:rFonts w:hAnsi="宋体"/>
          <w:color w:val="auto"/>
          <w:sz w:val="24"/>
          <w:highlight w:val="none"/>
          <w:u w:val="single"/>
        </w:rPr>
        <w:t>姓名</w:t>
      </w:r>
      <w:r>
        <w:rPr>
          <w:rFonts w:hint="eastAsia" w:hAnsi="宋体"/>
          <w:color w:val="auto"/>
          <w:sz w:val="24"/>
          <w:highlight w:val="none"/>
          <w:u w:val="single"/>
        </w:rPr>
        <w:t xml:space="preserve">） </w:t>
      </w:r>
      <w:r>
        <w:rPr>
          <w:rFonts w:hAnsi="宋体"/>
          <w:color w:val="auto"/>
          <w:sz w:val="24"/>
          <w:highlight w:val="none"/>
        </w:rPr>
        <w:t>为</w:t>
      </w:r>
      <w:r>
        <w:rPr>
          <w:rFonts w:hint="eastAsia" w:hAnsi="宋体"/>
          <w:color w:val="auto"/>
          <w:sz w:val="24"/>
          <w:highlight w:val="none"/>
        </w:rPr>
        <w:t>全权代表</w:t>
      </w:r>
      <w:r>
        <w:rPr>
          <w:rFonts w:hAnsi="宋体"/>
          <w:color w:val="auto"/>
          <w:sz w:val="24"/>
          <w:highlight w:val="none"/>
        </w:rPr>
        <w:t>，参加贵单位组织的</w:t>
      </w:r>
      <w:r>
        <w:rPr>
          <w:rFonts w:hAnsi="宋体"/>
          <w:color w:val="auto"/>
          <w:sz w:val="24"/>
          <w:highlight w:val="none"/>
          <w:u w:val="single"/>
        </w:rPr>
        <w:tab/>
      </w:r>
      <w:r>
        <w:rPr>
          <w:rFonts w:hint="eastAsia" w:hAnsi="宋体"/>
          <w:color w:val="auto"/>
          <w:sz w:val="24"/>
          <w:highlight w:val="none"/>
          <w:u w:val="single"/>
        </w:rPr>
        <w:t xml:space="preserve">    </w:t>
      </w:r>
      <w:r>
        <w:rPr>
          <w:rFonts w:hAnsi="宋体"/>
          <w:color w:val="auto"/>
          <w:sz w:val="24"/>
          <w:highlight w:val="none"/>
        </w:rPr>
        <w:t>项目的采购活动，并代表我方全权办理针对上述项目的投标、开标、评标、签约等具体事务和签署相关文件。</w:t>
      </w:r>
      <w:r>
        <w:rPr>
          <w:rFonts w:hint="eastAsia" w:hAnsi="宋体"/>
          <w:color w:val="auto"/>
          <w:sz w:val="24"/>
          <w:highlight w:val="none"/>
        </w:rPr>
        <w:t>我方对全权代表的签字事项负全部责任。</w:t>
      </w:r>
    </w:p>
    <w:p>
      <w:pPr>
        <w:pStyle w:val="11"/>
        <w:spacing w:line="360" w:lineRule="auto"/>
        <w:ind w:firstLine="480" w:firstLineChars="200"/>
        <w:rPr>
          <w:rFonts w:hAnsi="宋体"/>
          <w:color w:val="auto"/>
          <w:sz w:val="24"/>
          <w:highlight w:val="none"/>
        </w:rPr>
      </w:pPr>
      <w:r>
        <w:rPr>
          <w:rFonts w:hint="eastAsia" w:hAnsi="宋体"/>
          <w:color w:val="auto"/>
          <w:sz w:val="24"/>
          <w:highlight w:val="none"/>
        </w:rPr>
        <w:t>在撤销授权的书面通知以前，本授权书一直有效。全权代表在授权委托书有效期内签署的所有文件不因授权的撤销而失效。</w:t>
      </w:r>
    </w:p>
    <w:p>
      <w:pPr>
        <w:pStyle w:val="11"/>
        <w:spacing w:line="360" w:lineRule="auto"/>
        <w:ind w:firstLine="480" w:firstLineChars="200"/>
        <w:rPr>
          <w:rFonts w:hAnsi="宋体"/>
          <w:color w:val="auto"/>
          <w:sz w:val="24"/>
          <w:highlight w:val="none"/>
        </w:rPr>
      </w:pPr>
      <w:r>
        <w:rPr>
          <w:rFonts w:hint="eastAsia" w:hAnsi="宋体"/>
          <w:color w:val="auto"/>
          <w:sz w:val="24"/>
          <w:highlight w:val="none"/>
        </w:rPr>
        <w:t>全权代表无转委托权，特此委托。</w:t>
      </w:r>
    </w:p>
    <w:p>
      <w:pPr>
        <w:spacing w:line="360" w:lineRule="auto"/>
        <w:rPr>
          <w:color w:val="auto"/>
          <w:sz w:val="24"/>
          <w:highlight w:val="none"/>
        </w:rPr>
      </w:pPr>
    </w:p>
    <w:p>
      <w:pPr>
        <w:spacing w:line="360" w:lineRule="auto"/>
        <w:rPr>
          <w:color w:val="auto"/>
          <w:sz w:val="24"/>
          <w:highlight w:val="none"/>
        </w:rPr>
      </w:pPr>
      <w:r>
        <w:rPr>
          <w:rFonts w:hint="eastAsia" w:ascii="宋体"/>
          <w:color w:val="auto"/>
          <w:sz w:val="24"/>
          <w:highlight w:val="none"/>
        </w:rPr>
        <w:t>法定代表人签字或盖章：</w:t>
      </w:r>
    </w:p>
    <w:p>
      <w:pPr>
        <w:spacing w:line="360" w:lineRule="auto"/>
        <w:rPr>
          <w:color w:val="auto"/>
          <w:sz w:val="24"/>
          <w:highlight w:val="none"/>
        </w:rPr>
      </w:pPr>
      <w:r>
        <w:rPr>
          <w:rFonts w:hint="eastAsia" w:ascii="宋体"/>
          <w:color w:val="auto"/>
          <w:sz w:val="24"/>
          <w:highlight w:val="none"/>
        </w:rPr>
        <w:t>投标人全称（电子印章）：                              日期：</w:t>
      </w:r>
    </w:p>
    <w:p>
      <w:pPr>
        <w:spacing w:line="360" w:lineRule="auto"/>
        <w:rPr>
          <w:color w:val="auto"/>
          <w:sz w:val="24"/>
          <w:highlight w:val="none"/>
        </w:rPr>
      </w:pPr>
    </w:p>
    <w:p>
      <w:pPr>
        <w:spacing w:line="360" w:lineRule="auto"/>
        <w:rPr>
          <w:b/>
          <w:color w:val="auto"/>
          <w:sz w:val="24"/>
          <w:highlight w:val="none"/>
        </w:rPr>
      </w:pPr>
      <w:r>
        <w:rPr>
          <w:rFonts w:hint="eastAsia" w:ascii="宋体"/>
          <w:b/>
          <w:color w:val="auto"/>
          <w:sz w:val="24"/>
          <w:highlight w:val="none"/>
        </w:rPr>
        <w:t>附：</w:t>
      </w:r>
    </w:p>
    <w:tbl>
      <w:tblPr>
        <w:tblStyle w:val="1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0" w:hRule="atLeast"/>
        </w:trPr>
        <w:tc>
          <w:tcPr>
            <w:tcW w:w="4080" w:type="dxa"/>
          </w:tcPr>
          <w:p>
            <w:pPr>
              <w:spacing w:line="360" w:lineRule="auto"/>
              <w:rPr>
                <w:rFonts w:ascii="宋体"/>
                <w:b/>
                <w:color w:val="auto"/>
                <w:sz w:val="24"/>
                <w:highlight w:val="none"/>
              </w:rPr>
            </w:pPr>
          </w:p>
          <w:p>
            <w:pPr>
              <w:spacing w:line="360" w:lineRule="auto"/>
              <w:ind w:firstLine="361" w:firstLineChars="150"/>
              <w:rPr>
                <w:rFonts w:ascii="宋体"/>
                <w:b/>
                <w:color w:val="auto"/>
                <w:sz w:val="24"/>
                <w:highlight w:val="none"/>
              </w:rPr>
            </w:pPr>
            <w:r>
              <w:rPr>
                <w:rFonts w:hint="eastAsia" w:ascii="宋体"/>
                <w:b/>
                <w:color w:val="auto"/>
                <w:sz w:val="24"/>
                <w:highlight w:val="none"/>
              </w:rPr>
              <w:t>法定代表身份证复印件粘贴处</w:t>
            </w:r>
          </w:p>
        </w:tc>
      </w:tr>
    </w:tbl>
    <w:p>
      <w:pPr>
        <w:spacing w:line="360" w:lineRule="auto"/>
        <w:rPr>
          <w:color w:val="auto"/>
          <w:sz w:val="24"/>
          <w:highlight w:val="none"/>
        </w:rPr>
      </w:pPr>
      <w:r>
        <w:rPr>
          <w:rFonts w:hint="eastAsia" w:ascii="宋体"/>
          <w:color w:val="auto"/>
          <w:sz w:val="24"/>
          <w:highlight w:val="none"/>
        </w:rPr>
        <w:t xml:space="preserve">法定代表人姓名：                                 </w:t>
      </w:r>
    </w:p>
    <w:p>
      <w:pPr>
        <w:spacing w:line="360" w:lineRule="auto"/>
        <w:rPr>
          <w:color w:val="auto"/>
          <w:sz w:val="24"/>
          <w:highlight w:val="none"/>
        </w:rPr>
      </w:pPr>
      <w:r>
        <w:rPr>
          <w:rFonts w:hint="eastAsia" w:ascii="宋体"/>
          <w:color w:val="auto"/>
          <w:sz w:val="24"/>
          <w:highlight w:val="none"/>
        </w:rPr>
        <w:t>传真：</w:t>
      </w:r>
    </w:p>
    <w:p>
      <w:pPr>
        <w:spacing w:line="360" w:lineRule="auto"/>
        <w:rPr>
          <w:rFonts w:ascii="宋体"/>
          <w:color w:val="auto"/>
          <w:sz w:val="24"/>
          <w:highlight w:val="none"/>
        </w:rPr>
      </w:pPr>
      <w:r>
        <w:rPr>
          <w:rFonts w:hint="eastAsia" w:ascii="宋体"/>
          <w:color w:val="auto"/>
          <w:sz w:val="24"/>
          <w:highlight w:val="none"/>
        </w:rPr>
        <w:t>电话：</w:t>
      </w:r>
    </w:p>
    <w:p>
      <w:pPr>
        <w:spacing w:line="360" w:lineRule="auto"/>
        <w:rPr>
          <w:color w:val="auto"/>
          <w:sz w:val="24"/>
          <w:highlight w:val="none"/>
        </w:rPr>
      </w:pPr>
      <w:r>
        <w:rPr>
          <w:rFonts w:hint="eastAsia" w:ascii="宋体"/>
          <w:color w:val="auto"/>
          <w:sz w:val="24"/>
          <w:highlight w:val="none"/>
        </w:rPr>
        <w:t>详细通讯地址：</w:t>
      </w:r>
    </w:p>
    <w:p>
      <w:pPr>
        <w:spacing w:line="360" w:lineRule="auto"/>
        <w:rPr>
          <w:rFonts w:ascii="宋体"/>
          <w:color w:val="auto"/>
          <w:sz w:val="24"/>
          <w:highlight w:val="none"/>
        </w:rPr>
      </w:pPr>
      <w:r>
        <w:rPr>
          <w:rFonts w:hint="eastAsia" w:ascii="宋体"/>
          <w:color w:val="auto"/>
          <w:sz w:val="24"/>
          <w:highlight w:val="none"/>
        </w:rPr>
        <w:t>邮政编码：</w:t>
      </w:r>
    </w:p>
    <w:p>
      <w:pPr>
        <w:spacing w:line="360" w:lineRule="auto"/>
        <w:rPr>
          <w:b/>
          <w:color w:val="auto"/>
          <w:sz w:val="24"/>
          <w:highlight w:val="none"/>
        </w:rPr>
      </w:pPr>
    </w:p>
    <w:tbl>
      <w:tblPr>
        <w:tblStyle w:val="19"/>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auto"/>
                <w:sz w:val="24"/>
                <w:highlight w:val="none"/>
              </w:rPr>
            </w:pPr>
          </w:p>
          <w:p>
            <w:pPr>
              <w:spacing w:line="360" w:lineRule="auto"/>
              <w:ind w:firstLine="361" w:firstLineChars="150"/>
              <w:rPr>
                <w:rFonts w:ascii="宋体"/>
                <w:b/>
                <w:color w:val="auto"/>
                <w:sz w:val="24"/>
                <w:highlight w:val="none"/>
              </w:rPr>
            </w:pPr>
            <w:r>
              <w:rPr>
                <w:rFonts w:hint="eastAsia" w:ascii="宋体"/>
                <w:b/>
                <w:color w:val="auto"/>
                <w:sz w:val="24"/>
                <w:highlight w:val="none"/>
              </w:rPr>
              <w:t>全权代表身份证复印件粘贴处</w:t>
            </w:r>
          </w:p>
        </w:tc>
      </w:tr>
    </w:tbl>
    <w:p>
      <w:pPr>
        <w:spacing w:line="360" w:lineRule="auto"/>
        <w:rPr>
          <w:rFonts w:ascii="宋体"/>
          <w:color w:val="auto"/>
          <w:sz w:val="24"/>
          <w:highlight w:val="none"/>
        </w:rPr>
      </w:pPr>
      <w:r>
        <w:rPr>
          <w:rFonts w:hint="eastAsia" w:ascii="宋体"/>
          <w:color w:val="auto"/>
          <w:sz w:val="24"/>
          <w:highlight w:val="none"/>
        </w:rPr>
        <w:t xml:space="preserve">全权代表姓名：       </w:t>
      </w:r>
    </w:p>
    <w:p>
      <w:pPr>
        <w:spacing w:line="360" w:lineRule="auto"/>
        <w:rPr>
          <w:color w:val="auto"/>
          <w:sz w:val="24"/>
          <w:highlight w:val="none"/>
        </w:rPr>
      </w:pPr>
      <w:r>
        <w:rPr>
          <w:rFonts w:hint="eastAsia" w:ascii="宋体"/>
          <w:color w:val="auto"/>
          <w:sz w:val="24"/>
          <w:highlight w:val="none"/>
        </w:rPr>
        <w:t xml:space="preserve">职务：                           </w:t>
      </w:r>
    </w:p>
    <w:p>
      <w:pPr>
        <w:spacing w:line="360" w:lineRule="auto"/>
        <w:rPr>
          <w:color w:val="auto"/>
          <w:sz w:val="24"/>
          <w:highlight w:val="none"/>
        </w:rPr>
      </w:pPr>
      <w:r>
        <w:rPr>
          <w:rFonts w:hint="eastAsia" w:ascii="宋体"/>
          <w:color w:val="auto"/>
          <w:sz w:val="24"/>
          <w:highlight w:val="none"/>
        </w:rPr>
        <w:t>传真：</w:t>
      </w:r>
    </w:p>
    <w:p>
      <w:pPr>
        <w:spacing w:line="360" w:lineRule="auto"/>
        <w:rPr>
          <w:rFonts w:ascii="宋体"/>
          <w:color w:val="auto"/>
          <w:sz w:val="24"/>
          <w:highlight w:val="none"/>
        </w:rPr>
      </w:pPr>
      <w:r>
        <w:rPr>
          <w:rFonts w:hint="eastAsia" w:ascii="宋体"/>
          <w:color w:val="auto"/>
          <w:sz w:val="24"/>
          <w:highlight w:val="none"/>
        </w:rPr>
        <w:t>电话：</w:t>
      </w:r>
    </w:p>
    <w:p>
      <w:pPr>
        <w:spacing w:line="360" w:lineRule="auto"/>
        <w:rPr>
          <w:color w:val="auto"/>
          <w:sz w:val="24"/>
          <w:highlight w:val="none"/>
        </w:rPr>
      </w:pPr>
      <w:r>
        <w:rPr>
          <w:rFonts w:hint="eastAsia" w:ascii="宋体"/>
          <w:color w:val="auto"/>
          <w:sz w:val="24"/>
          <w:highlight w:val="none"/>
        </w:rPr>
        <w:t>详细通讯地址：</w:t>
      </w:r>
    </w:p>
    <w:p>
      <w:pPr>
        <w:spacing w:line="360" w:lineRule="auto"/>
        <w:rPr>
          <w:rFonts w:ascii="宋体"/>
          <w:color w:val="auto"/>
          <w:sz w:val="24"/>
          <w:highlight w:val="none"/>
        </w:rPr>
      </w:pPr>
      <w:r>
        <w:rPr>
          <w:rFonts w:hint="eastAsia" w:ascii="宋体"/>
          <w:color w:val="auto"/>
          <w:sz w:val="24"/>
          <w:highlight w:val="none"/>
        </w:rPr>
        <w:t>邮政编码：</w:t>
      </w:r>
    </w:p>
    <w:p>
      <w:pPr>
        <w:rPr>
          <w:rFonts w:ascii="宋体" w:hAnsi="宋体"/>
          <w:b/>
          <w:color w:val="auto"/>
          <w:sz w:val="28"/>
          <w:highlight w:val="none"/>
        </w:rPr>
      </w:pPr>
      <w:r>
        <w:rPr>
          <w:rFonts w:hint="eastAsia" w:ascii="宋体" w:hAnsi="宋体"/>
          <w:b/>
          <w:color w:val="auto"/>
          <w:sz w:val="28"/>
          <w:highlight w:val="none"/>
        </w:rPr>
        <w:br w:type="page"/>
      </w:r>
    </w:p>
    <w:p>
      <w:pPr>
        <w:snapToGrid w:val="0"/>
        <w:spacing w:beforeLines="50" w:after="50" w:line="360" w:lineRule="auto"/>
        <w:rPr>
          <w:rFonts w:ascii="宋体" w:hAnsi="宋体"/>
          <w:color w:val="auto"/>
          <w:sz w:val="52"/>
          <w:szCs w:val="52"/>
          <w:highlight w:val="none"/>
        </w:rPr>
      </w:pPr>
      <w:bookmarkStart w:id="49" w:name="_Toc20519_WPSOffice_Level1"/>
      <w:bookmarkStart w:id="50" w:name="_Toc351_WPSOffice_Level1"/>
      <w:r>
        <w:rPr>
          <w:rFonts w:hint="eastAsia" w:ascii="宋体" w:hAnsi="宋体"/>
          <w:b/>
          <w:color w:val="auto"/>
          <w:sz w:val="28"/>
          <w:highlight w:val="none"/>
        </w:rPr>
        <w:t>附件4：</w:t>
      </w:r>
      <w:bookmarkEnd w:id="49"/>
      <w:bookmarkEnd w:id="50"/>
    </w:p>
    <w:p>
      <w:pPr>
        <w:jc w:val="center"/>
        <w:rPr>
          <w:color w:val="auto"/>
          <w:sz w:val="52"/>
          <w:szCs w:val="52"/>
          <w:highlight w:val="none"/>
        </w:rPr>
      </w:pPr>
      <w:bookmarkStart w:id="51" w:name="_Toc12331_WPSOffice_Level1"/>
      <w:bookmarkStart w:id="52" w:name="_Toc26389_WPSOffice_Level1"/>
      <w:bookmarkStart w:id="53" w:name="_Toc16825_WPSOffice_Level1"/>
      <w:r>
        <w:rPr>
          <w:rFonts w:hint="eastAsia"/>
          <w:color w:val="auto"/>
          <w:sz w:val="52"/>
          <w:szCs w:val="52"/>
          <w:highlight w:val="none"/>
        </w:rPr>
        <w:t>项目名称</w:t>
      </w:r>
      <w:bookmarkEnd w:id="51"/>
      <w:bookmarkEnd w:id="52"/>
      <w:bookmarkEnd w:id="53"/>
    </w:p>
    <w:p>
      <w:pPr>
        <w:spacing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w:t>
      </w:r>
      <w:r>
        <w:rPr>
          <w:rFonts w:hint="eastAsia" w:ascii="宋体" w:hAnsi="宋体"/>
          <w:color w:val="auto"/>
          <w:sz w:val="36"/>
          <w:szCs w:val="36"/>
          <w:highlight w:val="none"/>
          <w:lang w:eastAsia="zh-CN"/>
        </w:rPr>
        <w:t>标项</w:t>
      </w:r>
      <w:r>
        <w:rPr>
          <w:rFonts w:hint="eastAsia" w:ascii="宋体" w:hAnsi="宋体"/>
          <w:color w:val="auto"/>
          <w:sz w:val="36"/>
          <w:szCs w:val="36"/>
          <w:highlight w:val="none"/>
        </w:rPr>
        <w:t>）</w:t>
      </w:r>
    </w:p>
    <w:p>
      <w:pPr>
        <w:autoSpaceDE w:val="0"/>
        <w:autoSpaceDN w:val="0"/>
        <w:adjustRightInd w:val="0"/>
        <w:spacing w:line="360" w:lineRule="auto"/>
        <w:jc w:val="center"/>
        <w:rPr>
          <w:rFonts w:ascii="宋体" w:hAnsi="宋体" w:cs="宋体"/>
          <w:color w:val="auto"/>
          <w:sz w:val="24"/>
          <w:highlight w:val="none"/>
          <w:lang w:val="zh-CN"/>
        </w:rPr>
      </w:pPr>
    </w:p>
    <w:p>
      <w:pPr>
        <w:jc w:val="center"/>
        <w:rPr>
          <w:color w:val="auto"/>
          <w:sz w:val="84"/>
          <w:szCs w:val="84"/>
          <w:highlight w:val="none"/>
          <w:lang w:val="zh-CN"/>
        </w:rPr>
      </w:pPr>
      <w:r>
        <w:rPr>
          <w:rFonts w:hint="eastAsia"/>
          <w:color w:val="auto"/>
          <w:sz w:val="84"/>
          <w:szCs w:val="84"/>
          <w:highlight w:val="none"/>
          <w:lang w:val="zh-CN"/>
        </w:rPr>
        <w:t>投</w:t>
      </w:r>
    </w:p>
    <w:p>
      <w:pPr>
        <w:jc w:val="center"/>
        <w:rPr>
          <w:color w:val="auto"/>
          <w:sz w:val="84"/>
          <w:szCs w:val="84"/>
          <w:highlight w:val="none"/>
          <w:lang w:val="zh-CN"/>
        </w:rPr>
      </w:pPr>
      <w:r>
        <w:rPr>
          <w:rFonts w:hint="eastAsia"/>
          <w:color w:val="auto"/>
          <w:sz w:val="84"/>
          <w:szCs w:val="84"/>
          <w:highlight w:val="none"/>
          <w:lang w:val="zh-CN"/>
        </w:rPr>
        <w:t>标</w:t>
      </w:r>
    </w:p>
    <w:p>
      <w:pPr>
        <w:jc w:val="center"/>
        <w:rPr>
          <w:color w:val="auto"/>
          <w:sz w:val="84"/>
          <w:szCs w:val="84"/>
          <w:highlight w:val="none"/>
        </w:rPr>
      </w:pPr>
      <w:r>
        <w:rPr>
          <w:rFonts w:hint="eastAsia"/>
          <w:color w:val="auto"/>
          <w:sz w:val="84"/>
          <w:szCs w:val="84"/>
          <w:highlight w:val="none"/>
          <w:lang w:val="zh-CN"/>
        </w:rPr>
        <w:t>文</w:t>
      </w:r>
    </w:p>
    <w:p>
      <w:pPr>
        <w:jc w:val="center"/>
        <w:rPr>
          <w:color w:val="auto"/>
          <w:sz w:val="84"/>
          <w:szCs w:val="84"/>
          <w:highlight w:val="none"/>
          <w:lang w:val="zh-CN"/>
        </w:rPr>
      </w:pPr>
      <w:r>
        <w:rPr>
          <w:rFonts w:hint="eastAsia"/>
          <w:color w:val="auto"/>
          <w:sz w:val="84"/>
          <w:szCs w:val="84"/>
          <w:highlight w:val="none"/>
          <w:lang w:val="zh-CN"/>
        </w:rPr>
        <w:t>件</w:t>
      </w:r>
    </w:p>
    <w:p>
      <w:pPr>
        <w:spacing w:after="100" w:afterAutospacing="1" w:line="360" w:lineRule="auto"/>
        <w:ind w:right="-108"/>
        <w:jc w:val="center"/>
        <w:rPr>
          <w:rFonts w:hint="eastAsia" w:ascii="宋体" w:hAnsi="宋体"/>
          <w:b/>
          <w:color w:val="auto"/>
          <w:sz w:val="28"/>
          <w:szCs w:val="28"/>
          <w:highlight w:val="none"/>
        </w:rPr>
      </w:pPr>
      <w:r>
        <w:rPr>
          <w:rFonts w:hint="eastAsia" w:ascii="宋体" w:hAnsi="宋体" w:cs="宋体"/>
          <w:color w:val="auto"/>
          <w:sz w:val="28"/>
          <w:szCs w:val="28"/>
          <w:highlight w:val="none"/>
          <w:lang w:val="zh-CN"/>
        </w:rPr>
        <w:t>（</w:t>
      </w:r>
      <w:r>
        <w:rPr>
          <w:rFonts w:hint="eastAsia" w:ascii="宋体" w:hAnsi="宋体"/>
          <w:bCs/>
          <w:color w:val="auto"/>
          <w:sz w:val="24"/>
          <w:highlight w:val="none"/>
          <w:lang w:val="zh-CN"/>
        </w:rPr>
        <w:t>商务与技术文件</w:t>
      </w:r>
      <w:r>
        <w:rPr>
          <w:rFonts w:hint="eastAsia" w:ascii="宋体" w:hAnsi="宋体"/>
          <w:b/>
          <w:color w:val="auto"/>
          <w:sz w:val="28"/>
          <w:szCs w:val="28"/>
          <w:highlight w:val="none"/>
        </w:rPr>
        <w:t>）</w:t>
      </w:r>
    </w:p>
    <w:p>
      <w:pPr>
        <w:pStyle w:val="18"/>
        <w:rPr>
          <w:color w:val="auto"/>
          <w:highlight w:val="none"/>
        </w:rPr>
      </w:pPr>
    </w:p>
    <w:p>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投标人全称（电子印章）：</w:t>
      </w:r>
    </w:p>
    <w:p>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地    址：</w:t>
      </w:r>
    </w:p>
    <w:p>
      <w:pPr>
        <w:spacing w:line="360" w:lineRule="auto"/>
        <w:ind w:right="532" w:firstLine="720" w:firstLineChars="200"/>
        <w:rPr>
          <w:rFonts w:ascii="宋体" w:hAnsi="宋体"/>
          <w:color w:val="auto"/>
          <w:sz w:val="36"/>
          <w:szCs w:val="36"/>
          <w:highlight w:val="none"/>
        </w:rPr>
      </w:pPr>
      <w:r>
        <w:rPr>
          <w:rFonts w:hint="eastAsia" w:ascii="宋体" w:hAnsi="宋体"/>
          <w:color w:val="auto"/>
          <w:sz w:val="36"/>
          <w:szCs w:val="36"/>
          <w:highlight w:val="none"/>
        </w:rPr>
        <w:t>时    间：</w:t>
      </w:r>
    </w:p>
    <w:p>
      <w:pPr>
        <w:snapToGrid w:val="0"/>
        <w:spacing w:before="50" w:after="50" w:line="360" w:lineRule="auto"/>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hint="eastAsia"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pStyle w:val="7"/>
        <w:rPr>
          <w:rFonts w:ascii="仿宋_GB2312" w:hAnsi="宋体" w:eastAsia="仿宋_GB2312"/>
          <w:b/>
          <w:color w:val="auto"/>
          <w:sz w:val="36"/>
          <w:szCs w:val="36"/>
          <w:highlight w:val="none"/>
        </w:rPr>
      </w:pPr>
    </w:p>
    <w:p>
      <w:pPr>
        <w:jc w:val="center"/>
        <w:rPr>
          <w:b/>
          <w:bCs/>
          <w:color w:val="auto"/>
          <w:sz w:val="32"/>
          <w:szCs w:val="32"/>
          <w:highlight w:val="none"/>
          <w:lang w:val="zh-CN"/>
        </w:rPr>
      </w:pPr>
      <w:bookmarkStart w:id="54" w:name="_Toc5889_WPSOffice_Level1"/>
      <w:bookmarkStart w:id="55" w:name="_Toc11308_WPSOffice_Level1"/>
    </w:p>
    <w:bookmarkEnd w:id="54"/>
    <w:bookmarkEnd w:id="55"/>
    <w:p>
      <w:pPr>
        <w:jc w:val="center"/>
        <w:rPr>
          <w:b/>
          <w:bCs/>
          <w:color w:val="auto"/>
          <w:sz w:val="36"/>
          <w:szCs w:val="36"/>
          <w:highlight w:val="none"/>
        </w:rPr>
      </w:pPr>
      <w:r>
        <w:rPr>
          <w:rFonts w:hint="eastAsia"/>
          <w:b/>
          <w:bCs/>
          <w:color w:val="auto"/>
          <w:sz w:val="36"/>
          <w:szCs w:val="36"/>
          <w:highlight w:val="none"/>
          <w:lang w:val="zh-CN"/>
        </w:rPr>
        <w:t>商务与技术文件</w:t>
      </w:r>
      <w:r>
        <w:rPr>
          <w:rFonts w:hint="eastAsia"/>
          <w:b/>
          <w:bCs/>
          <w:color w:val="auto"/>
          <w:sz w:val="36"/>
          <w:szCs w:val="36"/>
          <w:highlight w:val="none"/>
        </w:rPr>
        <w:t>目录</w:t>
      </w:r>
    </w:p>
    <w:p>
      <w:pPr>
        <w:spacing w:line="360" w:lineRule="auto"/>
        <w:rPr>
          <w:color w:val="auto"/>
          <w:sz w:val="24"/>
          <w:highlight w:val="none"/>
        </w:rPr>
      </w:pP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（1）投标人情况介绍（附件</w:t>
      </w:r>
      <w:r>
        <w:rPr>
          <w:rFonts w:hint="eastAsia" w:ascii="宋体" w:hAnsi="宋体"/>
          <w:bCs/>
          <w:color w:val="auto"/>
          <w:sz w:val="24"/>
          <w:highlight w:val="none"/>
          <w:lang w:val="en-US" w:eastAsia="zh-CN"/>
        </w:rPr>
        <w:t>5</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（2）技术方案（</w:t>
      </w:r>
      <w:r>
        <w:rPr>
          <w:rFonts w:hint="eastAsia" w:ascii="宋体" w:hAnsi="宋体"/>
          <w:bCs/>
          <w:color w:val="auto"/>
          <w:sz w:val="24"/>
          <w:highlight w:val="none"/>
          <w:lang w:eastAsia="zh-CN"/>
        </w:rPr>
        <w:t>根据评分标准分章节自拟</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（3）项目负责人资格情况表（附件</w:t>
      </w:r>
      <w:r>
        <w:rPr>
          <w:rFonts w:hint="eastAsia" w:ascii="宋体" w:hAnsi="宋体"/>
          <w:bCs/>
          <w:color w:val="auto"/>
          <w:sz w:val="24"/>
          <w:highlight w:val="none"/>
          <w:lang w:val="en-US" w:eastAsia="zh-CN"/>
        </w:rPr>
        <w:t>6</w:t>
      </w:r>
      <w:r>
        <w:rPr>
          <w:rFonts w:hint="eastAsia" w:ascii="宋体" w:hAnsi="宋体"/>
          <w:bCs/>
          <w:color w:val="auto"/>
          <w:sz w:val="24"/>
          <w:highlight w:val="none"/>
        </w:rPr>
        <w:t>）；</w:t>
      </w:r>
    </w:p>
    <w:p>
      <w:p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（4）项目实施人员一览表（附件</w:t>
      </w:r>
      <w:r>
        <w:rPr>
          <w:rFonts w:hint="eastAsia" w:ascii="宋体" w:hAnsi="宋体"/>
          <w:bCs/>
          <w:color w:val="auto"/>
          <w:sz w:val="24"/>
          <w:highlight w:val="none"/>
          <w:lang w:val="en-US" w:eastAsia="zh-CN"/>
        </w:rPr>
        <w:t>7</w:t>
      </w:r>
      <w:r>
        <w:rPr>
          <w:rFonts w:hint="eastAsia" w:ascii="宋体" w:hAnsi="宋体"/>
          <w:bCs/>
          <w:color w:val="auto"/>
          <w:sz w:val="24"/>
          <w:highlight w:val="none"/>
        </w:rPr>
        <w:t>）；</w:t>
      </w:r>
    </w:p>
    <w:p>
      <w:pPr>
        <w:snapToGrid w:val="0"/>
        <w:spacing w:line="360" w:lineRule="auto"/>
        <w:ind w:firstLine="480" w:firstLineChars="200"/>
        <w:rPr>
          <w:rFonts w:ascii="Calibri" w:hAnsi="Calibri" w:cs="Calibri"/>
          <w:color w:val="auto"/>
          <w:sz w:val="24"/>
          <w:highlight w:val="none"/>
        </w:rPr>
      </w:pPr>
      <w:r>
        <w:rPr>
          <w:rFonts w:hint="eastAsia" w:ascii="宋体" w:hAnsi="宋体"/>
          <w:bCs/>
          <w:color w:val="auto"/>
          <w:sz w:val="24"/>
          <w:highlight w:val="none"/>
        </w:rPr>
        <w:t>（5）</w:t>
      </w:r>
      <w:r>
        <w:rPr>
          <w:rFonts w:hint="eastAsia" w:ascii="Calibri" w:hAnsi="Calibri" w:cs="Calibri"/>
          <w:color w:val="auto"/>
          <w:sz w:val="24"/>
          <w:highlight w:val="none"/>
        </w:rPr>
        <w:t>服务条款响应表（附件</w:t>
      </w:r>
      <w:r>
        <w:rPr>
          <w:rFonts w:hint="eastAsia" w:ascii="Calibri" w:hAnsi="Calibri" w:cs="Calibri"/>
          <w:color w:val="auto"/>
          <w:sz w:val="24"/>
          <w:highlight w:val="none"/>
          <w:lang w:val="en-US" w:eastAsia="zh-CN"/>
        </w:rPr>
        <w:t>8</w:t>
      </w:r>
      <w:r>
        <w:rPr>
          <w:rFonts w:hint="eastAsia" w:ascii="Calibri" w:hAnsi="Calibri" w:cs="Calibri"/>
          <w:color w:val="auto"/>
          <w:sz w:val="24"/>
          <w:highlight w:val="none"/>
        </w:rPr>
        <w:t>）；</w:t>
      </w:r>
    </w:p>
    <w:p>
      <w:pPr>
        <w:pStyle w:val="7"/>
        <w:widowControl/>
        <w:numPr>
          <w:ilvl w:val="255"/>
          <w:numId w:val="0"/>
        </w:numPr>
        <w:adjustRightInd w:val="0"/>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（6）证书一览表（与本项目相关的认证证书或文件；附件</w:t>
      </w:r>
      <w:r>
        <w:rPr>
          <w:rFonts w:hint="eastAsia" w:ascii="宋体" w:hAnsi="宋体"/>
          <w:bCs/>
          <w:color w:val="auto"/>
          <w:sz w:val="24"/>
          <w:highlight w:val="none"/>
          <w:lang w:val="en-US" w:eastAsia="zh-CN"/>
        </w:rPr>
        <w:t>9</w:t>
      </w:r>
      <w:r>
        <w:rPr>
          <w:rFonts w:hint="eastAsia" w:ascii="宋体" w:hAnsi="宋体"/>
          <w:bCs/>
          <w:color w:val="auto"/>
          <w:sz w:val="24"/>
          <w:highlight w:val="none"/>
        </w:rPr>
        <w:t>）；</w:t>
      </w:r>
    </w:p>
    <w:p>
      <w:pPr>
        <w:pStyle w:val="7"/>
        <w:widowControl/>
        <w:numPr>
          <w:ilvl w:val="255"/>
          <w:numId w:val="0"/>
        </w:numPr>
        <w:snapToGrid w:val="0"/>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（7）投标人类似项目实施情况一览表（如有，附件1</w:t>
      </w:r>
      <w:r>
        <w:rPr>
          <w:rFonts w:hint="eastAsia" w:ascii="宋体" w:hAnsi="宋体"/>
          <w:bCs/>
          <w:color w:val="auto"/>
          <w:sz w:val="24"/>
          <w:highlight w:val="none"/>
          <w:lang w:val="en-US" w:eastAsia="zh-CN"/>
        </w:rPr>
        <w:t>0</w:t>
      </w:r>
      <w:r>
        <w:rPr>
          <w:rFonts w:hint="eastAsia" w:ascii="宋体" w:hAnsi="宋体"/>
          <w:bCs/>
          <w:color w:val="auto"/>
          <w:sz w:val="24"/>
          <w:highlight w:val="none"/>
        </w:rPr>
        <w:t>）；</w:t>
      </w:r>
    </w:p>
    <w:p>
      <w:pPr>
        <w:pStyle w:val="7"/>
        <w:spacing w:line="360" w:lineRule="auto"/>
        <w:ind w:firstLine="480" w:firstLineChars="200"/>
        <w:rPr>
          <w:color w:val="auto"/>
          <w:sz w:val="24"/>
          <w:szCs w:val="24"/>
          <w:highlight w:val="none"/>
        </w:rPr>
      </w:pPr>
      <w:r>
        <w:rPr>
          <w:rFonts w:hint="eastAsia" w:ascii="宋体" w:hAnsi="宋体"/>
          <w:bCs/>
          <w:color w:val="auto"/>
          <w:sz w:val="24"/>
          <w:highlight w:val="none"/>
        </w:rPr>
        <w:t>（8）符合招标文件规定的其他证明文件及评分标准中涉及的其他材料</w:t>
      </w:r>
      <w:r>
        <w:rPr>
          <w:rFonts w:hint="eastAsia" w:ascii="宋体" w:hAnsi="宋体"/>
          <w:bCs/>
          <w:color w:val="auto"/>
          <w:sz w:val="24"/>
          <w:highlight w:val="none"/>
          <w:lang w:val="en-US" w:eastAsia="zh-CN"/>
        </w:rPr>
        <w:t>(如有)。</w:t>
      </w: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pStyle w:val="7"/>
        <w:ind w:firstLine="0"/>
        <w:rPr>
          <w:color w:val="auto"/>
          <w:sz w:val="28"/>
          <w:szCs w:val="28"/>
          <w:highlight w:val="none"/>
        </w:rPr>
      </w:pPr>
    </w:p>
    <w:p>
      <w:pPr>
        <w:rPr>
          <w:rFonts w:hint="eastAsia"/>
          <w:b/>
          <w:color w:val="auto"/>
          <w:sz w:val="28"/>
          <w:highlight w:val="none"/>
        </w:rPr>
      </w:pPr>
      <w:r>
        <w:rPr>
          <w:rFonts w:hint="eastAsia"/>
          <w:b/>
          <w:color w:val="auto"/>
          <w:sz w:val="28"/>
          <w:highlight w:val="none"/>
        </w:rPr>
        <w:br w:type="page"/>
      </w:r>
    </w:p>
    <w:p>
      <w:pPr>
        <w:pStyle w:val="28"/>
        <w:shd w:val="clear" w:color="auto" w:fill="FFFFFF"/>
        <w:spacing w:before="0" w:beforeAutospacing="0" w:after="0" w:afterAutospacing="0" w:line="360" w:lineRule="auto"/>
        <w:rPr>
          <w:rFonts w:hint="eastAsia" w:eastAsia="宋体"/>
          <w:b/>
          <w:color w:val="auto"/>
          <w:sz w:val="28"/>
          <w:highlight w:val="none"/>
          <w:lang w:eastAsia="zh-CN"/>
        </w:rPr>
      </w:pPr>
      <w:r>
        <w:rPr>
          <w:rFonts w:hint="eastAsia"/>
          <w:b/>
          <w:color w:val="auto"/>
          <w:sz w:val="28"/>
          <w:highlight w:val="none"/>
        </w:rPr>
        <w:t>附件</w:t>
      </w:r>
      <w:r>
        <w:rPr>
          <w:rFonts w:hint="eastAsia"/>
          <w:b/>
          <w:color w:val="auto"/>
          <w:sz w:val="28"/>
          <w:highlight w:val="none"/>
          <w:lang w:val="en-US" w:eastAsia="zh-CN"/>
        </w:rPr>
        <w:t>5</w:t>
      </w:r>
    </w:p>
    <w:p>
      <w:pPr>
        <w:pStyle w:val="28"/>
        <w:shd w:val="clear" w:color="auto" w:fill="FFFFFF"/>
        <w:spacing w:before="0" w:beforeAutospacing="0" w:after="0" w:afterAutospacing="0" w:line="360" w:lineRule="auto"/>
        <w:jc w:val="center"/>
        <w:rPr>
          <w:rFonts w:eastAsia="微软雅黑"/>
          <w:color w:val="auto"/>
          <w:sz w:val="36"/>
          <w:szCs w:val="36"/>
          <w:highlight w:val="none"/>
        </w:rPr>
      </w:pPr>
      <w:r>
        <w:rPr>
          <w:rFonts w:hint="eastAsia"/>
          <w:b/>
          <w:color w:val="auto"/>
          <w:sz w:val="32"/>
          <w:szCs w:val="32"/>
          <w:highlight w:val="none"/>
        </w:rPr>
        <w:t xml:space="preserve">  </w:t>
      </w:r>
      <w:bookmarkStart w:id="56" w:name="_Toc13307_WPSOffice_Level1"/>
      <w:bookmarkStart w:id="57" w:name="_Toc14261_WPSOffice_Level1"/>
      <w:r>
        <w:rPr>
          <w:rFonts w:hint="eastAsia"/>
          <w:b/>
          <w:color w:val="auto"/>
          <w:sz w:val="32"/>
          <w:szCs w:val="32"/>
          <w:highlight w:val="none"/>
        </w:rPr>
        <w:t>投标</w:t>
      </w:r>
      <w:r>
        <w:rPr>
          <w:rFonts w:hint="eastAsia"/>
          <w:b/>
          <w:bCs/>
          <w:color w:val="auto"/>
          <w:sz w:val="32"/>
          <w:szCs w:val="32"/>
          <w:highlight w:val="none"/>
        </w:rPr>
        <w:t>人基本情况表</w:t>
      </w:r>
      <w:bookmarkEnd w:id="56"/>
      <w:bookmarkEnd w:id="57"/>
    </w:p>
    <w:tbl>
      <w:tblPr>
        <w:tblStyle w:val="19"/>
        <w:tblpPr w:leftFromText="181" w:rightFromText="181" w:bottomFromText="170" w:vertAnchor="text" w:tblpXSpec="center" w:tblpY="1"/>
        <w:tblOverlap w:val="never"/>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01"/>
        <w:gridCol w:w="852"/>
        <w:gridCol w:w="58"/>
        <w:gridCol w:w="1163"/>
        <w:gridCol w:w="112"/>
        <w:gridCol w:w="1093"/>
        <w:gridCol w:w="325"/>
        <w:gridCol w:w="1276"/>
        <w:gridCol w:w="400"/>
        <w:gridCol w:w="12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23"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企业名称</w:t>
            </w:r>
          </w:p>
        </w:tc>
        <w:tc>
          <w:tcPr>
            <w:tcW w:w="3979" w:type="dxa"/>
            <w:gridSpan w:val="6"/>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2001" w:type="dxa"/>
            <w:gridSpan w:val="3"/>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法人代表</w:t>
            </w:r>
          </w:p>
        </w:tc>
        <w:tc>
          <w:tcPr>
            <w:tcW w:w="2151"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823"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地址</w:t>
            </w:r>
          </w:p>
        </w:tc>
        <w:tc>
          <w:tcPr>
            <w:tcW w:w="3979" w:type="dxa"/>
            <w:gridSpan w:val="6"/>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2001" w:type="dxa"/>
            <w:gridSpan w:val="3"/>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企业性质</w:t>
            </w:r>
          </w:p>
        </w:tc>
        <w:tc>
          <w:tcPr>
            <w:tcW w:w="2151"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823" w:type="dxa"/>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股东姓名</w:t>
            </w:r>
          </w:p>
        </w:tc>
        <w:tc>
          <w:tcPr>
            <w:tcW w:w="701" w:type="dxa"/>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910" w:type="dxa"/>
            <w:gridSpan w:val="2"/>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股权结构（%）</w:t>
            </w:r>
          </w:p>
        </w:tc>
        <w:tc>
          <w:tcPr>
            <w:tcW w:w="2368" w:type="dxa"/>
            <w:gridSpan w:val="3"/>
            <w:tcBorders>
              <w:bottom w:val="single" w:color="auto" w:sz="4" w:space="0"/>
            </w:tcBorders>
            <w:tcMar>
              <w:top w:w="57" w:type="dxa"/>
              <w:left w:w="85" w:type="dxa"/>
              <w:bottom w:w="0" w:type="dxa"/>
              <w:right w:w="85" w:type="dxa"/>
            </w:tcMar>
            <w:vAlign w:val="center"/>
          </w:tcPr>
          <w:p>
            <w:pPr>
              <w:widowControl/>
              <w:jc w:val="center"/>
              <w:rPr>
                <w:rFonts w:ascii="宋体" w:hAnsi="宋体" w:cs="宋体"/>
                <w:bCs/>
                <w:color w:val="auto"/>
                <w:kern w:val="0"/>
                <w:sz w:val="24"/>
                <w:highlight w:val="none"/>
              </w:rPr>
            </w:pPr>
          </w:p>
          <w:p>
            <w:pPr>
              <w:pStyle w:val="28"/>
              <w:shd w:val="clear" w:color="auto" w:fill="FFFFFF"/>
              <w:spacing w:before="0" w:beforeAutospacing="0" w:after="0" w:afterAutospacing="0"/>
              <w:jc w:val="center"/>
              <w:rPr>
                <w:bCs/>
                <w:color w:val="auto"/>
                <w:highlight w:val="none"/>
              </w:rPr>
            </w:pPr>
          </w:p>
        </w:tc>
        <w:tc>
          <w:tcPr>
            <w:tcW w:w="2001" w:type="dxa"/>
            <w:gridSpan w:val="3"/>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股东关系</w:t>
            </w:r>
          </w:p>
        </w:tc>
        <w:tc>
          <w:tcPr>
            <w:tcW w:w="2151"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823" w:type="dxa"/>
            <w:vMerge w:val="restart"/>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联系人姓名</w:t>
            </w:r>
          </w:p>
        </w:tc>
        <w:tc>
          <w:tcPr>
            <w:tcW w:w="701" w:type="dxa"/>
            <w:vMerge w:val="restart"/>
            <w:tcBorders>
              <w:top w:val="nil"/>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910" w:type="dxa"/>
            <w:gridSpan w:val="2"/>
            <w:tcBorders>
              <w:top w:val="nil"/>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固定电话</w:t>
            </w:r>
          </w:p>
        </w:tc>
        <w:tc>
          <w:tcPr>
            <w:tcW w:w="2368" w:type="dxa"/>
            <w:gridSpan w:val="3"/>
            <w:tcBorders>
              <w:top w:val="nil"/>
              <w:bottom w:val="single" w:color="auto" w:sz="4" w:space="0"/>
            </w:tcBorders>
            <w:tcMar>
              <w:top w:w="57" w:type="dxa"/>
              <w:left w:w="85" w:type="dxa"/>
              <w:bottom w:w="0" w:type="dxa"/>
              <w:right w:w="85" w:type="dxa"/>
            </w:tcMar>
            <w:vAlign w:val="center"/>
          </w:tcPr>
          <w:p>
            <w:pPr>
              <w:widowControl/>
              <w:jc w:val="center"/>
              <w:rPr>
                <w:rFonts w:ascii="宋体" w:hAnsi="宋体" w:cs="宋体"/>
                <w:bCs/>
                <w:color w:val="auto"/>
                <w:kern w:val="0"/>
                <w:sz w:val="24"/>
                <w:highlight w:val="none"/>
              </w:rPr>
            </w:pPr>
          </w:p>
          <w:p>
            <w:pPr>
              <w:pStyle w:val="28"/>
              <w:shd w:val="clear" w:color="auto" w:fill="FFFFFF"/>
              <w:spacing w:before="0" w:beforeAutospacing="0" w:after="0" w:afterAutospacing="0"/>
              <w:jc w:val="center"/>
              <w:rPr>
                <w:bCs/>
                <w:color w:val="auto"/>
                <w:highlight w:val="none"/>
              </w:rPr>
            </w:pPr>
          </w:p>
        </w:tc>
        <w:tc>
          <w:tcPr>
            <w:tcW w:w="2001" w:type="dxa"/>
            <w:gridSpan w:val="3"/>
            <w:vMerge w:val="restart"/>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传真</w:t>
            </w:r>
          </w:p>
        </w:tc>
        <w:tc>
          <w:tcPr>
            <w:tcW w:w="2151" w:type="dxa"/>
            <w:gridSpan w:val="2"/>
            <w:vMerge w:val="restart"/>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823" w:type="dxa"/>
            <w:vMerge w:val="continue"/>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701" w:type="dxa"/>
            <w:vMerge w:val="continue"/>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910" w:type="dxa"/>
            <w:gridSpan w:val="2"/>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手机</w:t>
            </w:r>
          </w:p>
        </w:tc>
        <w:tc>
          <w:tcPr>
            <w:tcW w:w="2368" w:type="dxa"/>
            <w:gridSpan w:val="3"/>
            <w:tcBorders>
              <w:bottom w:val="single" w:color="auto" w:sz="4" w:space="0"/>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2001" w:type="dxa"/>
            <w:gridSpan w:val="3"/>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2151" w:type="dxa"/>
            <w:gridSpan w:val="2"/>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823" w:type="dxa"/>
            <w:vMerge w:val="restart"/>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bCs/>
                <w:color w:val="auto"/>
                <w:highlight w:val="none"/>
              </w:rPr>
              <w:t>1</w:t>
            </w:r>
            <w:r>
              <w:rPr>
                <w:rFonts w:hint="eastAsia"/>
                <w:bCs/>
                <w:color w:val="auto"/>
                <w:highlight w:val="none"/>
              </w:rPr>
              <w:t>.</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企</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业</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概</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况</w:t>
            </w:r>
          </w:p>
        </w:tc>
        <w:tc>
          <w:tcPr>
            <w:tcW w:w="701" w:type="dxa"/>
            <w:tcBorders>
              <w:top w:val="nil"/>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职工人数</w:t>
            </w:r>
          </w:p>
        </w:tc>
        <w:tc>
          <w:tcPr>
            <w:tcW w:w="910" w:type="dxa"/>
            <w:gridSpan w:val="2"/>
            <w:tcBorders>
              <w:top w:val="nil"/>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1163" w:type="dxa"/>
            <w:tcBorders>
              <w:top w:val="nil"/>
            </w:tcBorders>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具备大专以上学历人数</w:t>
            </w:r>
          </w:p>
        </w:tc>
        <w:tc>
          <w:tcPr>
            <w:tcW w:w="1205" w:type="dxa"/>
            <w:gridSpan w:val="2"/>
            <w:tcBorders>
              <w:top w:val="nil"/>
            </w:tcBorders>
            <w:tcMar>
              <w:top w:w="57" w:type="dxa"/>
              <w:left w:w="85" w:type="dxa"/>
              <w:bottom w:w="0" w:type="dxa"/>
              <w:right w:w="85" w:type="dxa"/>
            </w:tcMar>
            <w:vAlign w:val="center"/>
          </w:tcPr>
          <w:p>
            <w:pPr>
              <w:widowControl/>
              <w:jc w:val="center"/>
              <w:rPr>
                <w:rFonts w:ascii="宋体" w:hAnsi="宋体" w:cs="宋体"/>
                <w:bCs/>
                <w:color w:val="auto"/>
                <w:kern w:val="0"/>
                <w:sz w:val="24"/>
                <w:highlight w:val="none"/>
              </w:rPr>
            </w:pPr>
          </w:p>
          <w:p>
            <w:pPr>
              <w:widowControl/>
              <w:jc w:val="center"/>
              <w:rPr>
                <w:rFonts w:ascii="宋体" w:hAnsi="宋体" w:cs="宋体"/>
                <w:bCs/>
                <w:color w:val="auto"/>
                <w:kern w:val="0"/>
                <w:sz w:val="24"/>
                <w:highlight w:val="none"/>
              </w:rPr>
            </w:pPr>
          </w:p>
          <w:p>
            <w:pPr>
              <w:pStyle w:val="28"/>
              <w:shd w:val="clear" w:color="auto" w:fill="FFFFFF"/>
              <w:spacing w:before="0" w:beforeAutospacing="0" w:after="0" w:afterAutospacing="0"/>
              <w:jc w:val="center"/>
              <w:rPr>
                <w:bCs/>
                <w:color w:val="auto"/>
                <w:highlight w:val="none"/>
              </w:rPr>
            </w:pPr>
          </w:p>
        </w:tc>
        <w:tc>
          <w:tcPr>
            <w:tcW w:w="2001" w:type="dxa"/>
            <w:gridSpan w:val="3"/>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国家授予技术职称人数</w:t>
            </w:r>
          </w:p>
        </w:tc>
        <w:tc>
          <w:tcPr>
            <w:tcW w:w="2151" w:type="dxa"/>
            <w:gridSpan w:val="2"/>
            <w:tcMar>
              <w:top w:w="57" w:type="dxa"/>
              <w:left w:w="85" w:type="dxa"/>
              <w:bottom w:w="0" w:type="dxa"/>
              <w:right w:w="85" w:type="dxa"/>
            </w:tcMar>
            <w:vAlign w:val="center"/>
          </w:tcPr>
          <w:p>
            <w:pPr>
              <w:widowControl/>
              <w:jc w:val="center"/>
              <w:rPr>
                <w:rFonts w:ascii="宋体" w:hAnsi="宋体" w:cs="宋体"/>
                <w:bCs/>
                <w:color w:val="auto"/>
                <w:kern w:val="0"/>
                <w:sz w:val="24"/>
                <w:highlight w:val="none"/>
              </w:rPr>
            </w:pPr>
          </w:p>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701"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占地面积</w:t>
            </w:r>
          </w:p>
        </w:tc>
        <w:tc>
          <w:tcPr>
            <w:tcW w:w="910"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1163"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建筑面积</w:t>
            </w:r>
          </w:p>
        </w:tc>
        <w:tc>
          <w:tcPr>
            <w:tcW w:w="1205"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平方米</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□自有</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□租赁</w:t>
            </w:r>
          </w:p>
        </w:tc>
        <w:tc>
          <w:tcPr>
            <w:tcW w:w="2001" w:type="dxa"/>
            <w:gridSpan w:val="3"/>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生产经营场所及场所的设施与设备</w:t>
            </w:r>
          </w:p>
        </w:tc>
        <w:tc>
          <w:tcPr>
            <w:tcW w:w="2151"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701"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注册资金</w:t>
            </w:r>
          </w:p>
        </w:tc>
        <w:tc>
          <w:tcPr>
            <w:tcW w:w="910"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1163"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注册发证机关</w:t>
            </w:r>
          </w:p>
        </w:tc>
        <w:tc>
          <w:tcPr>
            <w:tcW w:w="3206" w:type="dxa"/>
            <w:gridSpan w:val="5"/>
            <w:tcMar>
              <w:top w:w="57" w:type="dxa"/>
              <w:left w:w="85" w:type="dxa"/>
              <w:bottom w:w="0" w:type="dxa"/>
              <w:right w:w="85" w:type="dxa"/>
            </w:tcMar>
            <w:vAlign w:val="center"/>
          </w:tcPr>
          <w:p>
            <w:pPr>
              <w:widowControl/>
              <w:jc w:val="center"/>
              <w:rPr>
                <w:rFonts w:ascii="宋体" w:hAnsi="宋体" w:cs="宋体"/>
                <w:bCs/>
                <w:color w:val="auto"/>
                <w:kern w:val="0"/>
                <w:sz w:val="24"/>
                <w:highlight w:val="none"/>
              </w:rPr>
            </w:pPr>
          </w:p>
          <w:p>
            <w:pPr>
              <w:pStyle w:val="28"/>
              <w:shd w:val="clear" w:color="auto" w:fill="FFFFFF"/>
              <w:spacing w:before="0" w:beforeAutospacing="0" w:after="0" w:afterAutospacing="0"/>
              <w:jc w:val="center"/>
              <w:rPr>
                <w:bCs/>
                <w:color w:val="auto"/>
                <w:highlight w:val="none"/>
              </w:rPr>
            </w:pPr>
          </w:p>
        </w:tc>
        <w:tc>
          <w:tcPr>
            <w:tcW w:w="1218"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公司成立时间</w:t>
            </w:r>
          </w:p>
        </w:tc>
        <w:tc>
          <w:tcPr>
            <w:tcW w:w="933"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701" w:type="dxa"/>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核准经营范围</w:t>
            </w:r>
          </w:p>
        </w:tc>
        <w:tc>
          <w:tcPr>
            <w:tcW w:w="7430" w:type="dxa"/>
            <w:gridSpan w:val="10"/>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8131" w:type="dxa"/>
            <w:gridSpan w:val="11"/>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jc w:val="center"/>
        </w:trPr>
        <w:tc>
          <w:tcPr>
            <w:tcW w:w="823" w:type="dxa"/>
            <w:vMerge w:val="restart"/>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bCs/>
                <w:color w:val="auto"/>
                <w:highlight w:val="none"/>
              </w:rPr>
              <w:t>2</w:t>
            </w:r>
            <w:r>
              <w:rPr>
                <w:rFonts w:hint="eastAsia"/>
                <w:bCs/>
                <w:color w:val="auto"/>
                <w:highlight w:val="none"/>
              </w:rPr>
              <w:t>．</w:t>
            </w:r>
          </w:p>
          <w:p>
            <w:pPr>
              <w:pStyle w:val="28"/>
              <w:shd w:val="clear" w:color="auto" w:fill="FFFFFF"/>
              <w:spacing w:before="0" w:beforeAutospacing="0" w:after="0" w:afterAutospacing="0"/>
              <w:jc w:val="center"/>
              <w:rPr>
                <w:bCs/>
                <w:color w:val="auto"/>
                <w:highlight w:val="none"/>
              </w:rPr>
            </w:pPr>
            <w:r>
              <w:rPr>
                <w:rFonts w:hint="eastAsia"/>
                <w:bCs/>
                <w:color w:val="auto"/>
                <w:highlight w:val="none"/>
              </w:rPr>
              <w:t>企业有关资质获证情况</w:t>
            </w:r>
          </w:p>
        </w:tc>
        <w:tc>
          <w:tcPr>
            <w:tcW w:w="1553" w:type="dxa"/>
            <w:gridSpan w:val="2"/>
            <w:vMerge w:val="restart"/>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41"/>
                <w:highlight w:val="none"/>
              </w:rPr>
              <w:t>企业获得其他资质</w:t>
            </w:r>
            <w:r>
              <w:rPr>
                <w:rFonts w:hint="eastAsia"/>
                <w:bCs/>
                <w:color w:val="auto"/>
                <w:spacing w:val="11"/>
                <w:highlight w:val="none"/>
              </w:rPr>
              <w:t>认证情况</w:t>
            </w:r>
          </w:p>
        </w:tc>
        <w:tc>
          <w:tcPr>
            <w:tcW w:w="1333" w:type="dxa"/>
            <w:gridSpan w:val="3"/>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16"/>
                <w:highlight w:val="none"/>
              </w:rPr>
              <w:t>资质名称</w:t>
            </w:r>
          </w:p>
        </w:tc>
        <w:tc>
          <w:tcPr>
            <w:tcW w:w="1418" w:type="dxa"/>
            <w:gridSpan w:val="2"/>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16"/>
                <w:highlight w:val="none"/>
              </w:rPr>
              <w:t>发证机关</w:t>
            </w:r>
          </w:p>
        </w:tc>
        <w:tc>
          <w:tcPr>
            <w:tcW w:w="1276" w:type="dxa"/>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27"/>
                <w:highlight w:val="none"/>
              </w:rPr>
              <w:t>编号</w:t>
            </w:r>
          </w:p>
        </w:tc>
        <w:tc>
          <w:tcPr>
            <w:tcW w:w="1618" w:type="dxa"/>
            <w:gridSpan w:val="2"/>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16"/>
                <w:highlight w:val="none"/>
              </w:rPr>
              <w:t>发证时间</w:t>
            </w:r>
          </w:p>
        </w:tc>
        <w:tc>
          <w:tcPr>
            <w:tcW w:w="933" w:type="dxa"/>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r>
              <w:rPr>
                <w:rFonts w:hint="eastAsia"/>
                <w:bCs/>
                <w:color w:val="auto"/>
                <w:spacing w:val="27"/>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1553" w:type="dxa"/>
            <w:gridSpan w:val="2"/>
            <w:vMerge w:val="continue"/>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p>
        </w:tc>
        <w:tc>
          <w:tcPr>
            <w:tcW w:w="1333" w:type="dxa"/>
            <w:gridSpan w:val="3"/>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p>
        </w:tc>
        <w:tc>
          <w:tcPr>
            <w:tcW w:w="1418" w:type="dxa"/>
            <w:gridSpan w:val="2"/>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p>
        </w:tc>
        <w:tc>
          <w:tcPr>
            <w:tcW w:w="1276" w:type="dxa"/>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p>
        </w:tc>
        <w:tc>
          <w:tcPr>
            <w:tcW w:w="1618" w:type="dxa"/>
            <w:gridSpan w:val="2"/>
            <w:tcMar>
              <w:top w:w="57" w:type="dxa"/>
              <w:left w:w="85" w:type="dxa"/>
              <w:bottom w:w="0" w:type="dxa"/>
              <w:right w:w="85" w:type="dxa"/>
            </w:tcMar>
            <w:vAlign w:val="center"/>
          </w:tcPr>
          <w:p>
            <w:pPr>
              <w:pStyle w:val="28"/>
              <w:spacing w:before="0" w:beforeAutospacing="0" w:after="0" w:afterAutospacing="0"/>
              <w:jc w:val="center"/>
              <w:rPr>
                <w:bCs/>
                <w:color w:val="auto"/>
                <w:highlight w:val="none"/>
              </w:rPr>
            </w:pPr>
          </w:p>
        </w:tc>
        <w:tc>
          <w:tcPr>
            <w:tcW w:w="933" w:type="dxa"/>
            <w:tcMar>
              <w:top w:w="57" w:type="dxa"/>
              <w:left w:w="85" w:type="dxa"/>
              <w:bottom w:w="0" w:type="dxa"/>
              <w:right w:w="85" w:type="dxa"/>
            </w:tcMar>
            <w:vAlign w:val="center"/>
          </w:tcPr>
          <w:p>
            <w:pPr>
              <w:pStyle w:val="28"/>
              <w:spacing w:before="0" w:beforeAutospacing="0" w:after="0" w:afterAutospacing="0"/>
              <w:jc w:val="center"/>
              <w:rPr>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3" w:type="dxa"/>
            <w:vMerge w:val="continue"/>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c>
          <w:tcPr>
            <w:tcW w:w="1553" w:type="dxa"/>
            <w:gridSpan w:val="2"/>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r>
              <w:rPr>
                <w:rFonts w:hint="eastAsia"/>
                <w:bCs/>
                <w:color w:val="auto"/>
                <w:highlight w:val="none"/>
              </w:rPr>
              <w:t>企业获得专利情况</w:t>
            </w:r>
          </w:p>
        </w:tc>
        <w:tc>
          <w:tcPr>
            <w:tcW w:w="6578" w:type="dxa"/>
            <w:gridSpan w:val="9"/>
            <w:tcMar>
              <w:top w:w="57" w:type="dxa"/>
              <w:left w:w="85" w:type="dxa"/>
              <w:bottom w:w="0" w:type="dxa"/>
              <w:right w:w="85" w:type="dxa"/>
            </w:tcMar>
            <w:vAlign w:val="center"/>
          </w:tcPr>
          <w:p>
            <w:pPr>
              <w:pStyle w:val="28"/>
              <w:shd w:val="clear" w:color="auto" w:fill="FFFFFF"/>
              <w:spacing w:before="0" w:beforeAutospacing="0" w:after="0" w:afterAutospacing="0"/>
              <w:jc w:val="center"/>
              <w:rPr>
                <w:bCs/>
                <w:color w:val="auto"/>
                <w:highlight w:val="none"/>
              </w:rPr>
            </w:pPr>
          </w:p>
        </w:tc>
      </w:tr>
    </w:tbl>
    <w:p>
      <w:pPr>
        <w:pStyle w:val="28"/>
        <w:shd w:val="clear" w:color="auto" w:fill="FFFFFF"/>
        <w:spacing w:before="0" w:beforeAutospacing="0" w:after="0" w:afterAutospacing="0" w:line="360" w:lineRule="auto"/>
        <w:rPr>
          <w:b/>
          <w:color w:val="auto"/>
          <w:sz w:val="21"/>
          <w:szCs w:val="21"/>
          <w:highlight w:val="none"/>
        </w:rPr>
      </w:pPr>
      <w:r>
        <w:rPr>
          <w:rFonts w:hint="eastAsia"/>
          <w:b/>
          <w:color w:val="auto"/>
          <w:sz w:val="21"/>
          <w:szCs w:val="21"/>
          <w:highlight w:val="none"/>
        </w:rPr>
        <w:t>要求：</w:t>
      </w:r>
    </w:p>
    <w:p>
      <w:pPr>
        <w:pStyle w:val="28"/>
        <w:shd w:val="clear" w:color="auto" w:fill="FFFFFF"/>
        <w:spacing w:before="0" w:beforeAutospacing="0" w:after="0" w:afterAutospacing="0" w:line="360" w:lineRule="auto"/>
        <w:ind w:firstLine="424" w:firstLineChars="202"/>
        <w:rPr>
          <w:color w:val="auto"/>
          <w:sz w:val="21"/>
          <w:szCs w:val="21"/>
          <w:highlight w:val="none"/>
        </w:rPr>
      </w:pPr>
      <w:r>
        <w:rPr>
          <w:rFonts w:hint="eastAsia" w:ascii="仿宋_GB2312" w:eastAsia="仿宋_GB2312"/>
          <w:color w:val="auto"/>
          <w:sz w:val="21"/>
          <w:szCs w:val="21"/>
          <w:highlight w:val="none"/>
        </w:rPr>
        <w:t>1.</w:t>
      </w:r>
      <w:r>
        <w:rPr>
          <w:rFonts w:hint="eastAsia"/>
          <w:color w:val="auto"/>
          <w:sz w:val="21"/>
          <w:szCs w:val="21"/>
          <w:highlight w:val="none"/>
        </w:rPr>
        <w:t>姓名栏必须将所有股东都统计在内，若非股份公司此行（第三行）无需填写。</w:t>
      </w: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pStyle w:val="28"/>
        <w:shd w:val="clear" w:color="auto" w:fill="FFFFFF"/>
        <w:spacing w:before="0" w:beforeAutospacing="0" w:after="0" w:afterAutospacing="0" w:line="360" w:lineRule="auto"/>
        <w:ind w:firstLine="424" w:firstLineChars="177"/>
        <w:rPr>
          <w:b/>
          <w:bCs/>
          <w:color w:val="auto"/>
          <w:highlight w:val="none"/>
        </w:rPr>
      </w:pPr>
      <w:r>
        <w:rPr>
          <w:rFonts w:hint="eastAsia"/>
          <w:color w:val="auto"/>
          <w:highlight w:val="none"/>
        </w:rPr>
        <w:t>日        期：</w:t>
      </w:r>
    </w:p>
    <w:p>
      <w:pPr>
        <w:spacing w:line="360" w:lineRule="auto"/>
        <w:rPr>
          <w:rFonts w:ascii="宋体" w:hAnsi="宋体"/>
          <w:b/>
          <w:color w:val="auto"/>
          <w:sz w:val="24"/>
          <w:highlight w:val="none"/>
        </w:rPr>
      </w:pPr>
    </w:p>
    <w:p>
      <w:pPr>
        <w:spacing w:line="360" w:lineRule="auto"/>
        <w:rPr>
          <w:rFonts w:ascii="宋体" w:hAnsi="宋体"/>
          <w:b/>
          <w:color w:val="auto"/>
          <w:sz w:val="28"/>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spacing w:line="360" w:lineRule="auto"/>
        <w:rPr>
          <w:rFonts w:hint="eastAsia" w:ascii="宋体" w:hAnsi="宋体"/>
          <w:b/>
          <w:color w:val="auto"/>
          <w:sz w:val="28"/>
          <w:highlight w:val="none"/>
        </w:rPr>
      </w:pPr>
    </w:p>
    <w:p>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6</w:t>
      </w:r>
    </w:p>
    <w:p>
      <w:pPr>
        <w:spacing w:before="120" w:beforeLines="50" w:after="120" w:afterLines="50" w:line="360" w:lineRule="auto"/>
        <w:ind w:right="-10"/>
        <w:jc w:val="center"/>
        <w:rPr>
          <w:rFonts w:ascii="宋体" w:hAnsi="宋体"/>
          <w:b/>
          <w:bCs/>
          <w:color w:val="auto"/>
          <w:sz w:val="32"/>
          <w:szCs w:val="32"/>
          <w:highlight w:val="none"/>
        </w:rPr>
      </w:pPr>
      <w:r>
        <w:rPr>
          <w:rFonts w:hint="eastAsia" w:ascii="宋体" w:hAnsi="宋体"/>
          <w:b/>
          <w:bCs/>
          <w:color w:val="auto"/>
          <w:sz w:val="32"/>
          <w:szCs w:val="32"/>
          <w:highlight w:val="none"/>
        </w:rPr>
        <w:t>项目负责人资格情况表</w:t>
      </w:r>
    </w:p>
    <w:tbl>
      <w:tblPr>
        <w:tblStyle w:val="19"/>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40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restart"/>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rPr>
            </w:pPr>
            <w:r>
              <w:rPr>
                <w:rFonts w:hint="eastAsia" w:ascii="宋体" w:hAnsi="宋体"/>
                <w:color w:val="auto"/>
                <w:highlight w:val="none"/>
              </w:rPr>
              <w:t>注：业绩证明应提供旁证材料</w:t>
            </w:r>
          </w:p>
          <w:p>
            <w:pPr>
              <w:autoSpaceDE w:val="0"/>
              <w:autoSpaceDN w:val="0"/>
              <w:adjustRightInd w:val="0"/>
              <w:snapToGrid w:val="0"/>
              <w:spacing w:line="360" w:lineRule="auto"/>
              <w:jc w:val="center"/>
              <w:rPr>
                <w:rFonts w:ascii="宋体" w:hAnsi="宋体"/>
                <w:color w:val="auto"/>
                <w:highlight w:val="none"/>
                <w:lang w:val="zh-CN"/>
              </w:rPr>
            </w:pPr>
            <w:r>
              <w:rPr>
                <w:rFonts w:hint="eastAsia" w:ascii="宋体" w:hAnsi="宋体"/>
                <w:color w:val="auto"/>
                <w:highlight w:val="none"/>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auto"/>
                <w:highlight w:val="none"/>
                <w:lang w:val="zh-CN"/>
              </w:rPr>
            </w:pPr>
            <w:r>
              <w:rPr>
                <w:rFonts w:hint="eastAsia" w:ascii="宋体" w:hAnsi="宋体"/>
                <w:b/>
                <w:bCs/>
                <w:color w:val="auto"/>
                <w:highlight w:val="none"/>
                <w:lang w:val="zh-CN"/>
              </w:rPr>
              <w:t>拟在本项目中担任主要工作</w:t>
            </w:r>
          </w:p>
        </w:tc>
        <w:tc>
          <w:tcPr>
            <w:tcW w:w="7064" w:type="dxa"/>
            <w:gridSpan w:val="2"/>
            <w:tcBorders>
              <w:top w:val="single" w:color="auto" w:sz="4" w:space="0"/>
              <w:left w:val="single" w:color="auto" w:sz="4" w:space="0"/>
              <w:bottom w:val="single" w:color="auto" w:sz="12"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auto"/>
                <w:highlight w:val="none"/>
                <w:lang w:val="zh-CN"/>
              </w:rPr>
            </w:pPr>
          </w:p>
        </w:tc>
      </w:tr>
    </w:tbl>
    <w:p>
      <w:pPr>
        <w:spacing w:line="360" w:lineRule="auto"/>
        <w:ind w:left="420"/>
        <w:rPr>
          <w:rFonts w:ascii="宋体" w:hAnsi="宋体"/>
          <w:color w:val="auto"/>
          <w:sz w:val="24"/>
          <w:highlight w:val="none"/>
        </w:rPr>
      </w:pPr>
    </w:p>
    <w:p>
      <w:pPr>
        <w:spacing w:line="360" w:lineRule="auto"/>
        <w:ind w:firstLine="480" w:firstLineChars="200"/>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日        期：</w:t>
      </w:r>
    </w:p>
    <w:p>
      <w:pPr>
        <w:spacing w:line="360" w:lineRule="auto"/>
        <w:rPr>
          <w:rFonts w:ascii="宋体" w:hAnsi="宋体"/>
          <w:color w:val="auto"/>
          <w:sz w:val="24"/>
          <w:highlight w:val="none"/>
        </w:rPr>
      </w:pPr>
    </w:p>
    <w:p>
      <w:pPr>
        <w:jc w:val="left"/>
        <w:rPr>
          <w:rFonts w:hint="eastAsia" w:ascii="宋体" w:hAnsi="宋体" w:eastAsia="宋体"/>
          <w:b/>
          <w:bCs/>
          <w:color w:val="auto"/>
          <w:kern w:val="0"/>
          <w:sz w:val="32"/>
          <w:szCs w:val="32"/>
          <w:highlight w:val="none"/>
          <w:lang w:eastAsia="zh-CN"/>
        </w:rPr>
      </w:pPr>
      <w:r>
        <w:rPr>
          <w:rFonts w:hint="eastAsia" w:ascii="宋体" w:hAnsi="宋体"/>
          <w:b/>
          <w:bCs/>
          <w:color w:val="auto"/>
          <w:kern w:val="0"/>
          <w:sz w:val="32"/>
          <w:szCs w:val="32"/>
          <w:highlight w:val="none"/>
        </w:rPr>
        <w:t>附件</w:t>
      </w:r>
      <w:r>
        <w:rPr>
          <w:rFonts w:hint="eastAsia" w:ascii="宋体" w:hAnsi="宋体"/>
          <w:b/>
          <w:bCs/>
          <w:color w:val="auto"/>
          <w:kern w:val="0"/>
          <w:sz w:val="32"/>
          <w:szCs w:val="32"/>
          <w:highlight w:val="none"/>
          <w:lang w:val="en-US" w:eastAsia="zh-CN"/>
        </w:rPr>
        <w:t>7</w:t>
      </w:r>
    </w:p>
    <w:p>
      <w:pPr>
        <w:snapToGrid w:val="0"/>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项目实施人员一览表</w:t>
      </w:r>
    </w:p>
    <w:p>
      <w:pPr>
        <w:snapToGrid w:val="0"/>
        <w:spacing w:line="360" w:lineRule="auto"/>
        <w:jc w:val="center"/>
        <w:rPr>
          <w:rFonts w:ascii="宋体" w:hAnsi="宋体"/>
          <w:color w:val="auto"/>
          <w:sz w:val="24"/>
          <w:highlight w:val="none"/>
        </w:rPr>
      </w:pPr>
      <w:r>
        <w:rPr>
          <w:rFonts w:hint="eastAsia" w:ascii="宋体" w:hAnsi="宋体"/>
          <w:color w:val="auto"/>
          <w:sz w:val="24"/>
          <w:highlight w:val="none"/>
        </w:rPr>
        <w:t>（主要从业人员及其技术资格）</w:t>
      </w:r>
    </w:p>
    <w:tbl>
      <w:tblPr>
        <w:tblStyle w:val="19"/>
        <w:tblpPr w:leftFromText="181" w:rightFromText="181" w:bottomFromText="170" w:vertAnchor="text" w:tblpXSpec="center" w:tblpY="1"/>
        <w:tblOverlap w:val="never"/>
        <w:tblW w:w="91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序号</w:t>
            </w: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auto"/>
                <w:szCs w:val="21"/>
                <w:highlight w:val="none"/>
              </w:rPr>
            </w:pPr>
            <w:r>
              <w:rPr>
                <w:rFonts w:hint="eastAsia" w:ascii="宋体" w:hAnsi="宋体"/>
                <w:b/>
                <w:color w:val="auto"/>
                <w:szCs w:val="21"/>
                <w:highlight w:val="none"/>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bCs/>
                <w:color w:val="auto"/>
                <w:szCs w:val="21"/>
                <w:highlight w:val="none"/>
              </w:rPr>
            </w:pPr>
            <w:r>
              <w:rPr>
                <w:rFonts w:hint="eastAsia" w:ascii="宋体" w:hAnsi="宋体"/>
                <w:b/>
                <w:bCs/>
                <w:color w:val="auto"/>
                <w:szCs w:val="21"/>
                <w:highlight w:val="none"/>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bCs/>
                <w:color w:val="auto"/>
                <w:szCs w:val="21"/>
                <w:highlight w:val="none"/>
              </w:rPr>
            </w:pPr>
            <w:r>
              <w:rPr>
                <w:rFonts w:hint="eastAsia" w:ascii="宋体" w:hAnsi="宋体"/>
                <w:b/>
                <w:color w:val="auto"/>
                <w:szCs w:val="21"/>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2"/>
              <w:snapToGrid w:val="0"/>
              <w:spacing w:before="120" w:beforeLines="50" w:after="50" w:line="360" w:lineRule="auto"/>
              <w:ind w:left="5250"/>
              <w:rPr>
                <w:rFonts w:ascii="宋体" w:hAnsi="宋体" w:eastAsia="宋体"/>
                <w:b/>
                <w:color w:val="auto"/>
                <w:kern w:val="44"/>
                <w:sz w:val="21"/>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2"/>
              <w:snapToGrid w:val="0"/>
              <w:spacing w:before="120" w:beforeLines="50" w:after="50" w:line="360" w:lineRule="auto"/>
              <w:ind w:left="5250"/>
              <w:rPr>
                <w:rFonts w:ascii="宋体" w:hAnsi="宋体" w:eastAsia="宋体"/>
                <w:b/>
                <w:color w:val="auto"/>
                <w:kern w:val="44"/>
                <w:sz w:val="21"/>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2"/>
              <w:spacing w:line="360" w:lineRule="auto"/>
              <w:ind w:left="5250"/>
              <w:rPr>
                <w:rFonts w:ascii="宋体" w:hAnsi="宋体"/>
                <w:color w:val="auto"/>
                <w:sz w:val="21"/>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color w:val="auto"/>
                <w:szCs w:val="21"/>
                <w:highlight w:val="none"/>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120" w:beforeLines="50" w:after="50" w:line="360" w:lineRule="auto"/>
              <w:rPr>
                <w:rFonts w:ascii="宋体" w:hAnsi="宋体"/>
                <w:b/>
                <w:color w:val="auto"/>
                <w:kern w:val="44"/>
                <w:szCs w:val="21"/>
                <w:highlight w:val="none"/>
              </w:rPr>
            </w:pPr>
          </w:p>
        </w:tc>
      </w:tr>
    </w:tbl>
    <w:p>
      <w:pPr>
        <w:spacing w:line="360" w:lineRule="auto"/>
        <w:rPr>
          <w:rFonts w:ascii="宋体" w:hAnsi="宋体"/>
          <w:b/>
          <w:color w:val="auto"/>
          <w:szCs w:val="21"/>
          <w:highlight w:val="none"/>
        </w:rPr>
      </w:pPr>
      <w:r>
        <w:rPr>
          <w:rFonts w:hint="eastAsia" w:ascii="宋体" w:hAnsi="宋体"/>
          <w:b/>
          <w:color w:val="auto"/>
          <w:szCs w:val="21"/>
          <w:highlight w:val="none"/>
        </w:rPr>
        <w:t>要求：</w:t>
      </w:r>
    </w:p>
    <w:p>
      <w:pPr>
        <w:spacing w:line="360" w:lineRule="auto"/>
        <w:ind w:left="437"/>
        <w:rPr>
          <w:rFonts w:ascii="宋体" w:hAnsi="宋体"/>
          <w:color w:val="auto"/>
          <w:szCs w:val="21"/>
          <w:highlight w:val="none"/>
        </w:rPr>
      </w:pPr>
      <w:r>
        <w:rPr>
          <w:rFonts w:hint="eastAsia" w:ascii="宋体" w:hAnsi="宋体"/>
          <w:bCs/>
          <w:color w:val="auto"/>
          <w:szCs w:val="21"/>
          <w:highlight w:val="none"/>
        </w:rPr>
        <w:t>1.在填</w:t>
      </w:r>
      <w:r>
        <w:rPr>
          <w:rFonts w:hint="eastAsia" w:ascii="宋体" w:hAnsi="宋体"/>
          <w:color w:val="auto"/>
          <w:szCs w:val="21"/>
          <w:highlight w:val="none"/>
        </w:rPr>
        <w:t>写时，如本表格不适合投标单位的实际情况，可根据本表格式自行划表填写。</w:t>
      </w:r>
    </w:p>
    <w:p>
      <w:pPr>
        <w:pStyle w:val="29"/>
        <w:spacing w:line="360" w:lineRule="auto"/>
        <w:ind w:left="424" w:leftChars="202"/>
        <w:rPr>
          <w:rFonts w:ascii="宋体" w:hAnsi="宋体"/>
          <w:color w:val="auto"/>
          <w:szCs w:val="21"/>
          <w:highlight w:val="none"/>
        </w:rPr>
      </w:pPr>
      <w:r>
        <w:rPr>
          <w:rFonts w:hint="eastAsia" w:ascii="宋体" w:hAnsi="宋体"/>
          <w:color w:val="auto"/>
          <w:szCs w:val="21"/>
          <w:highlight w:val="none"/>
        </w:rPr>
        <w:t>2.附人员证书。</w:t>
      </w:r>
    </w:p>
    <w:p>
      <w:pPr>
        <w:pStyle w:val="29"/>
        <w:spacing w:line="360" w:lineRule="auto"/>
        <w:rPr>
          <w:rFonts w:ascii="宋体" w:hAnsi="宋体"/>
          <w:color w:val="auto"/>
          <w:szCs w:val="21"/>
          <w:highlight w:val="none"/>
        </w:rPr>
      </w:pPr>
      <w:r>
        <w:rPr>
          <w:rFonts w:hint="eastAsia" w:ascii="宋体" w:hAnsi="宋体"/>
          <w:color w:val="auto"/>
          <w:szCs w:val="21"/>
          <w:highlight w:val="none"/>
        </w:rPr>
        <w:t>　　3.出具上述人员在本单位服务的外部证明，如：</w:t>
      </w:r>
      <w:r>
        <w:rPr>
          <w:rFonts w:ascii="宋体" w:hAnsi="宋体"/>
          <w:color w:val="auto"/>
          <w:szCs w:val="21"/>
          <w:highlight w:val="none"/>
        </w:rPr>
        <w:t>投标截止日之前的</w:t>
      </w:r>
      <w:r>
        <w:rPr>
          <w:rFonts w:hint="eastAsia" w:ascii="宋体" w:hAnsi="宋体"/>
          <w:color w:val="auto"/>
          <w:szCs w:val="21"/>
          <w:highlight w:val="none"/>
        </w:rPr>
        <w:t>代缴个税税单、参加社会保险的《投保单》或《社会保险参保人员证明》等。</w:t>
      </w:r>
    </w:p>
    <w:p>
      <w:pPr>
        <w:snapToGrid w:val="0"/>
        <w:spacing w:before="50" w:after="120" w:afterLines="50" w:line="360" w:lineRule="auto"/>
        <w:jc w:val="left"/>
        <w:rPr>
          <w:rFonts w:ascii="宋体" w:hAnsi="宋体"/>
          <w:color w:val="auto"/>
          <w:sz w:val="24"/>
          <w:szCs w:val="20"/>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日        期：</w:t>
      </w: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jc w:val="left"/>
        <w:rPr>
          <w:rFonts w:hint="eastAsia" w:ascii="宋体" w:hAnsi="宋体" w:eastAsia="宋体"/>
          <w:b/>
          <w:bCs/>
          <w:color w:val="auto"/>
          <w:kern w:val="0"/>
          <w:sz w:val="32"/>
          <w:szCs w:val="32"/>
          <w:highlight w:val="none"/>
          <w:lang w:eastAsia="zh-CN"/>
        </w:rPr>
      </w:pPr>
      <w:r>
        <w:rPr>
          <w:rFonts w:hint="eastAsia" w:ascii="宋体" w:hAnsi="宋体"/>
          <w:b/>
          <w:bCs/>
          <w:color w:val="auto"/>
          <w:kern w:val="0"/>
          <w:sz w:val="32"/>
          <w:szCs w:val="32"/>
          <w:highlight w:val="none"/>
        </w:rPr>
        <w:t>附件</w:t>
      </w:r>
      <w:r>
        <w:rPr>
          <w:rFonts w:hint="eastAsia" w:ascii="宋体" w:hAnsi="宋体"/>
          <w:b/>
          <w:bCs/>
          <w:color w:val="auto"/>
          <w:kern w:val="0"/>
          <w:sz w:val="32"/>
          <w:szCs w:val="32"/>
          <w:highlight w:val="none"/>
          <w:lang w:val="en-US" w:eastAsia="zh-CN"/>
        </w:rPr>
        <w:t>8</w:t>
      </w:r>
    </w:p>
    <w:p>
      <w:pPr>
        <w:adjustRightInd w:val="0"/>
        <w:snapToGrid w:val="0"/>
        <w:ind w:firstLine="1205" w:firstLineChars="375"/>
        <w:jc w:val="center"/>
        <w:rPr>
          <w:rFonts w:ascii="宋体" w:hAnsi="宋体"/>
          <w:b/>
          <w:color w:val="auto"/>
          <w:kern w:val="0"/>
          <w:sz w:val="32"/>
          <w:szCs w:val="32"/>
          <w:highlight w:val="none"/>
        </w:rPr>
      </w:pPr>
      <w:r>
        <w:rPr>
          <w:rFonts w:ascii="宋体" w:hAnsi="宋体"/>
          <w:b/>
          <w:color w:val="auto"/>
          <w:kern w:val="0"/>
          <w:sz w:val="32"/>
          <w:szCs w:val="32"/>
          <w:highlight w:val="none"/>
        </w:rPr>
        <w:t>服务条款响应表</w:t>
      </w:r>
    </w:p>
    <w:p>
      <w:pPr>
        <w:adjustRightInd w:val="0"/>
        <w:snapToGrid w:val="0"/>
        <w:ind w:firstLine="1205" w:firstLineChars="375"/>
        <w:jc w:val="center"/>
        <w:rPr>
          <w:rFonts w:ascii="宋体" w:hAnsi="宋体"/>
          <w:b/>
          <w:color w:val="auto"/>
          <w:kern w:val="0"/>
          <w:sz w:val="32"/>
          <w:szCs w:val="32"/>
          <w:highlight w:val="none"/>
        </w:rPr>
      </w:pPr>
    </w:p>
    <w:tbl>
      <w:tblPr>
        <w:tblStyle w:val="19"/>
        <w:tblW w:w="521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3"/>
        <w:gridCol w:w="3870"/>
        <w:gridCol w:w="2707"/>
        <w:gridCol w:w="1349"/>
        <w:gridCol w:w="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序号</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u w:val="thick" w:color="FFFFFF"/>
              </w:rPr>
              <w:t>招标文件</w:t>
            </w:r>
            <w:r>
              <w:rPr>
                <w:rFonts w:ascii="宋体" w:hAnsi="宋体"/>
                <w:color w:val="auto"/>
                <w:sz w:val="24"/>
                <w:highlight w:val="none"/>
              </w:rPr>
              <w:t>要求</w:t>
            </w:r>
          </w:p>
        </w:tc>
        <w:tc>
          <w:tcPr>
            <w:tcW w:w="1401"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投标响应内容</w:t>
            </w:r>
          </w:p>
        </w:tc>
        <w:tc>
          <w:tcPr>
            <w:tcW w:w="698"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响应情况</w:t>
            </w:r>
          </w:p>
        </w:tc>
        <w:tc>
          <w:tcPr>
            <w:tcW w:w="400"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1</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（服务期）</w:t>
            </w: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2</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（付款方式）</w:t>
            </w: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3</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4</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5</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6</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7</w:t>
            </w: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2003" w:type="pct"/>
            <w:vAlign w:val="center"/>
          </w:tcPr>
          <w:p>
            <w:pPr>
              <w:adjustRightInd w:val="0"/>
              <w:snapToGrid w:val="0"/>
              <w:spacing w:before="100" w:beforeAutospacing="1" w:after="100" w:afterAutospacing="1"/>
              <w:jc w:val="center"/>
              <w:rPr>
                <w:rFonts w:ascii="宋体" w:hAnsi="宋体"/>
                <w:color w:val="auto"/>
                <w:sz w:val="24"/>
                <w:highlight w:val="none"/>
              </w:rPr>
            </w:pPr>
            <w:r>
              <w:rPr>
                <w:rFonts w:ascii="宋体" w:hAnsi="宋体"/>
                <w:color w:val="auto"/>
                <w:sz w:val="24"/>
                <w:highlight w:val="none"/>
              </w:rPr>
              <w:t>……</w:t>
            </w: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99" w:type="pct"/>
            <w:vAlign w:val="center"/>
          </w:tcPr>
          <w:p>
            <w:pPr>
              <w:adjustRightInd w:val="0"/>
              <w:snapToGrid w:val="0"/>
              <w:spacing w:before="100" w:beforeAutospacing="1" w:after="100" w:afterAutospacing="1"/>
              <w:jc w:val="center"/>
              <w:rPr>
                <w:rFonts w:ascii="宋体" w:hAnsi="宋体"/>
                <w:color w:val="auto"/>
                <w:sz w:val="24"/>
                <w:highlight w:val="none"/>
              </w:rPr>
            </w:pPr>
          </w:p>
        </w:tc>
        <w:tc>
          <w:tcPr>
            <w:tcW w:w="2003" w:type="pct"/>
            <w:vAlign w:val="center"/>
          </w:tcPr>
          <w:p>
            <w:pPr>
              <w:adjustRightInd w:val="0"/>
              <w:snapToGrid w:val="0"/>
              <w:spacing w:before="100" w:beforeAutospacing="1" w:after="100" w:afterAutospacing="1"/>
              <w:rPr>
                <w:rFonts w:ascii="宋体" w:hAnsi="宋体"/>
                <w:color w:val="auto"/>
                <w:sz w:val="24"/>
                <w:highlight w:val="none"/>
              </w:rPr>
            </w:pPr>
          </w:p>
        </w:tc>
        <w:tc>
          <w:tcPr>
            <w:tcW w:w="1401" w:type="pct"/>
            <w:vAlign w:val="center"/>
          </w:tcPr>
          <w:p>
            <w:pPr>
              <w:adjustRightInd w:val="0"/>
              <w:snapToGrid w:val="0"/>
              <w:spacing w:before="100" w:beforeAutospacing="1" w:after="100" w:afterAutospacing="1"/>
              <w:rPr>
                <w:rFonts w:ascii="宋体" w:hAnsi="宋体"/>
                <w:color w:val="auto"/>
                <w:sz w:val="24"/>
                <w:highlight w:val="none"/>
              </w:rPr>
            </w:pPr>
          </w:p>
        </w:tc>
        <w:tc>
          <w:tcPr>
            <w:tcW w:w="698" w:type="pct"/>
            <w:vAlign w:val="center"/>
          </w:tcPr>
          <w:p>
            <w:pPr>
              <w:adjustRightInd w:val="0"/>
              <w:snapToGrid w:val="0"/>
              <w:spacing w:before="100" w:beforeAutospacing="1" w:after="100" w:afterAutospacing="1"/>
              <w:rPr>
                <w:rFonts w:ascii="宋体" w:hAnsi="宋体"/>
                <w:color w:val="auto"/>
                <w:sz w:val="24"/>
                <w:highlight w:val="none"/>
              </w:rPr>
            </w:pPr>
          </w:p>
        </w:tc>
        <w:tc>
          <w:tcPr>
            <w:tcW w:w="400" w:type="pct"/>
            <w:vAlign w:val="center"/>
          </w:tcPr>
          <w:p>
            <w:pPr>
              <w:adjustRightInd w:val="0"/>
              <w:snapToGrid w:val="0"/>
              <w:spacing w:before="100" w:beforeAutospacing="1" w:after="100" w:afterAutospacing="1"/>
              <w:rPr>
                <w:rFonts w:ascii="宋体" w:hAnsi="宋体"/>
                <w:color w:val="auto"/>
                <w:sz w:val="24"/>
                <w:highlight w:val="none"/>
              </w:rPr>
            </w:pPr>
          </w:p>
        </w:tc>
      </w:tr>
    </w:tbl>
    <w:p>
      <w:pPr>
        <w:pStyle w:val="11"/>
        <w:adjustRightInd w:val="0"/>
        <w:snapToGrid w:val="0"/>
        <w:rPr>
          <w:rFonts w:hAnsi="宋体"/>
          <w:b/>
          <w:color w:val="auto"/>
          <w:szCs w:val="21"/>
          <w:highlight w:val="none"/>
        </w:rPr>
      </w:pPr>
      <w:r>
        <w:rPr>
          <w:rFonts w:hAnsi="宋体"/>
          <w:b/>
          <w:color w:val="auto"/>
          <w:szCs w:val="21"/>
          <w:highlight w:val="none"/>
        </w:rPr>
        <w:t>说明：1</w:t>
      </w:r>
      <w:r>
        <w:rPr>
          <w:rFonts w:hint="eastAsia" w:hAnsi="宋体"/>
          <w:b/>
          <w:color w:val="auto"/>
          <w:szCs w:val="21"/>
          <w:highlight w:val="none"/>
        </w:rPr>
        <w:t>、</w:t>
      </w:r>
      <w:r>
        <w:rPr>
          <w:rFonts w:hAnsi="宋体"/>
          <w:b/>
          <w:color w:val="auto"/>
          <w:szCs w:val="21"/>
          <w:highlight w:val="none"/>
        </w:rPr>
        <w:t>投标人若不填写</w:t>
      </w:r>
      <w:r>
        <w:rPr>
          <w:rFonts w:hint="eastAsia" w:hAnsi="宋体"/>
          <w:b/>
          <w:color w:val="auto"/>
          <w:szCs w:val="21"/>
          <w:highlight w:val="none"/>
        </w:rPr>
        <w:t>此表</w:t>
      </w:r>
      <w:r>
        <w:rPr>
          <w:rFonts w:hAnsi="宋体"/>
          <w:b/>
          <w:color w:val="auto"/>
          <w:szCs w:val="21"/>
          <w:highlight w:val="none"/>
        </w:rPr>
        <w:t>，则视为完全响应</w:t>
      </w:r>
      <w:r>
        <w:rPr>
          <w:rFonts w:hint="eastAsia" w:hAnsi="宋体"/>
          <w:b/>
          <w:color w:val="auto"/>
          <w:szCs w:val="21"/>
          <w:highlight w:val="none"/>
        </w:rPr>
        <w:t>招标</w:t>
      </w:r>
      <w:r>
        <w:rPr>
          <w:rFonts w:hAnsi="宋体"/>
          <w:b/>
          <w:color w:val="auto"/>
          <w:szCs w:val="21"/>
          <w:highlight w:val="none"/>
        </w:rPr>
        <w:t>文件要求</w:t>
      </w:r>
      <w:r>
        <w:rPr>
          <w:rFonts w:hint="eastAsia" w:hAnsi="宋体"/>
          <w:b/>
          <w:color w:val="auto"/>
          <w:szCs w:val="21"/>
          <w:highlight w:val="none"/>
        </w:rPr>
        <w:t>。</w:t>
      </w:r>
    </w:p>
    <w:p>
      <w:pPr>
        <w:pStyle w:val="11"/>
        <w:adjustRightInd w:val="0"/>
        <w:snapToGrid w:val="0"/>
        <w:rPr>
          <w:rFonts w:hAnsi="宋体"/>
          <w:b/>
          <w:color w:val="auto"/>
          <w:szCs w:val="21"/>
          <w:highlight w:val="none"/>
        </w:rPr>
      </w:pPr>
      <w:r>
        <w:rPr>
          <w:rFonts w:hint="eastAsia" w:hAnsi="宋体"/>
          <w:b/>
          <w:color w:val="auto"/>
          <w:szCs w:val="21"/>
          <w:highlight w:val="none"/>
        </w:rPr>
        <w:t xml:space="preserve">       2、</w:t>
      </w:r>
      <w:r>
        <w:rPr>
          <w:rFonts w:hAnsi="宋体"/>
          <w:b/>
          <w:color w:val="auto"/>
          <w:szCs w:val="21"/>
          <w:highlight w:val="none"/>
        </w:rPr>
        <w:t xml:space="preserve">投标人拟提供的服务承诺与招标文件中的要求不一致时，则必须在技术标《服务条款响应表》中予以明确。 </w:t>
      </w:r>
    </w:p>
    <w:p>
      <w:pPr>
        <w:adjustRightInd w:val="0"/>
        <w:snapToGrid w:val="0"/>
        <w:jc w:val="left"/>
        <w:rPr>
          <w:rFonts w:ascii="宋体" w:hAnsi="宋体"/>
          <w:b/>
          <w:color w:val="auto"/>
          <w:kern w:val="0"/>
          <w:szCs w:val="21"/>
          <w:highlight w:val="none"/>
        </w:rPr>
      </w:pPr>
      <w:r>
        <w:rPr>
          <w:rFonts w:hint="eastAsia" w:ascii="宋体" w:hAnsi="宋体"/>
          <w:b/>
          <w:color w:val="auto"/>
          <w:szCs w:val="21"/>
          <w:highlight w:val="none"/>
        </w:rPr>
        <w:t xml:space="preserve">       3</w:t>
      </w:r>
      <w:r>
        <w:rPr>
          <w:rFonts w:ascii="宋体" w:hAnsi="宋体"/>
          <w:b/>
          <w:color w:val="auto"/>
          <w:szCs w:val="21"/>
          <w:highlight w:val="none"/>
        </w:rPr>
        <w:t>、响应情况分别为：正偏离、响应或负偏离。投标人可在备注栏内就偏离原因进行简要说明。</w:t>
      </w:r>
    </w:p>
    <w:p>
      <w:pPr>
        <w:spacing w:line="360" w:lineRule="auto"/>
        <w:rPr>
          <w:rFonts w:ascii="宋体" w:hAnsi="宋体"/>
          <w:color w:val="auto"/>
          <w:sz w:val="24"/>
          <w:highlight w:val="none"/>
        </w:rPr>
      </w:pPr>
    </w:p>
    <w:p>
      <w:pPr>
        <w:pStyle w:val="18"/>
        <w:rPr>
          <w:color w:val="auto"/>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spacing w:line="360" w:lineRule="auto"/>
        <w:ind w:firstLine="435"/>
        <w:rPr>
          <w:rFonts w:ascii="宋体" w:hAnsi="宋体"/>
          <w:b/>
          <w:color w:val="auto"/>
          <w:sz w:val="28"/>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pStyle w:val="31"/>
        <w:spacing w:line="360" w:lineRule="auto"/>
        <w:jc w:val="left"/>
        <w:rPr>
          <w:rFonts w:hint="eastAsia" w:ascii="宋体" w:hAnsi="宋体" w:eastAsia="宋体"/>
          <w:b/>
          <w:color w:val="auto"/>
          <w:sz w:val="28"/>
          <w:highlight w:val="none"/>
          <w:lang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9</w:t>
      </w:r>
    </w:p>
    <w:p>
      <w:pPr>
        <w:pStyle w:val="32"/>
        <w:spacing w:line="360" w:lineRule="auto"/>
        <w:jc w:val="center"/>
        <w:rPr>
          <w:rFonts w:ascii="宋体" w:hAnsi="宋体" w:cs="Arial"/>
          <w:color w:val="auto"/>
          <w:sz w:val="28"/>
          <w:szCs w:val="28"/>
          <w:highlight w:val="none"/>
        </w:rPr>
      </w:pPr>
      <w:bookmarkStart w:id="58" w:name="_Toc11030_WPSOffice_Level1"/>
      <w:bookmarkStart w:id="59" w:name="_Toc17604_WPSOffice_Level1"/>
      <w:r>
        <w:rPr>
          <w:rFonts w:hint="eastAsia" w:ascii="宋体" w:hAnsi="宋体"/>
          <w:b/>
          <w:color w:val="auto"/>
          <w:sz w:val="32"/>
          <w:szCs w:val="32"/>
          <w:highlight w:val="none"/>
        </w:rPr>
        <w:t>证书一览表</w:t>
      </w:r>
      <w:bookmarkEnd w:id="58"/>
      <w:bookmarkEnd w:id="59"/>
    </w:p>
    <w:tbl>
      <w:tblPr>
        <w:tblStyle w:val="19"/>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tcPr>
          <w:p>
            <w:pPr>
              <w:pStyle w:val="32"/>
              <w:spacing w:line="360" w:lineRule="auto"/>
              <w:jc w:val="center"/>
              <w:rPr>
                <w:rFonts w:ascii="宋体" w:hAnsi="宋体" w:cs="Arial"/>
                <w:b/>
                <w:bCs/>
                <w:color w:val="auto"/>
                <w:szCs w:val="21"/>
                <w:highlight w:val="none"/>
              </w:rPr>
            </w:pPr>
            <w:r>
              <w:rPr>
                <w:rFonts w:hint="eastAsia" w:ascii="宋体" w:hAnsi="宋体" w:cs="Arial"/>
                <w:b/>
                <w:bCs/>
                <w:color w:val="auto"/>
                <w:szCs w:val="21"/>
                <w:highlight w:val="none"/>
              </w:rPr>
              <w:t>证书名称</w:t>
            </w:r>
          </w:p>
        </w:tc>
        <w:tc>
          <w:tcPr>
            <w:tcW w:w="2258" w:type="dxa"/>
            <w:tcBorders>
              <w:top w:val="single" w:color="auto" w:sz="4" w:space="0"/>
              <w:bottom w:val="single" w:color="auto" w:sz="4" w:space="0"/>
            </w:tcBorders>
            <w:tcMar>
              <w:top w:w="57" w:type="dxa"/>
              <w:left w:w="85" w:type="dxa"/>
              <w:bottom w:w="0" w:type="dxa"/>
              <w:right w:w="85" w:type="dxa"/>
            </w:tcMar>
          </w:tcPr>
          <w:p>
            <w:pPr>
              <w:pStyle w:val="32"/>
              <w:spacing w:line="360" w:lineRule="auto"/>
              <w:jc w:val="center"/>
              <w:rPr>
                <w:rFonts w:ascii="宋体" w:hAnsi="宋体" w:cs="Arial"/>
                <w:b/>
                <w:bCs/>
                <w:color w:val="auto"/>
                <w:szCs w:val="21"/>
                <w:highlight w:val="none"/>
              </w:rPr>
            </w:pPr>
            <w:r>
              <w:rPr>
                <w:rFonts w:hint="eastAsia" w:ascii="宋体" w:hAnsi="宋体" w:cs="Arial"/>
                <w:b/>
                <w:bCs/>
                <w:color w:val="auto"/>
                <w:szCs w:val="21"/>
                <w:highlight w:val="none"/>
              </w:rPr>
              <w:t>发证单位</w:t>
            </w:r>
          </w:p>
        </w:tc>
        <w:tc>
          <w:tcPr>
            <w:tcW w:w="2260" w:type="dxa"/>
            <w:tcBorders>
              <w:top w:val="single" w:color="auto" w:sz="4" w:space="0"/>
              <w:bottom w:val="single" w:color="auto" w:sz="4" w:space="0"/>
            </w:tcBorders>
            <w:tcMar>
              <w:top w:w="57" w:type="dxa"/>
              <w:left w:w="85" w:type="dxa"/>
              <w:bottom w:w="0" w:type="dxa"/>
              <w:right w:w="85" w:type="dxa"/>
            </w:tcMar>
          </w:tcPr>
          <w:p>
            <w:pPr>
              <w:pStyle w:val="32"/>
              <w:spacing w:line="360" w:lineRule="auto"/>
              <w:jc w:val="center"/>
              <w:rPr>
                <w:rFonts w:ascii="宋体" w:hAnsi="宋体" w:cs="Arial"/>
                <w:b/>
                <w:bCs/>
                <w:color w:val="auto"/>
                <w:szCs w:val="21"/>
                <w:highlight w:val="none"/>
              </w:rPr>
            </w:pPr>
            <w:r>
              <w:rPr>
                <w:rFonts w:hint="eastAsia" w:ascii="宋体" w:hAnsi="宋体" w:cs="Arial"/>
                <w:b/>
                <w:bCs/>
                <w:color w:val="auto"/>
                <w:szCs w:val="21"/>
                <w:highlight w:val="none"/>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tcPr>
          <w:p>
            <w:pPr>
              <w:pStyle w:val="32"/>
              <w:spacing w:line="360" w:lineRule="auto"/>
              <w:jc w:val="center"/>
              <w:rPr>
                <w:rFonts w:ascii="宋体" w:hAnsi="宋体" w:cs="Arial"/>
                <w:b/>
                <w:bCs/>
                <w:color w:val="auto"/>
                <w:szCs w:val="21"/>
                <w:highlight w:val="none"/>
              </w:rPr>
            </w:pPr>
            <w:r>
              <w:rPr>
                <w:rFonts w:hint="eastAsia" w:ascii="宋体" w:hAnsi="宋体" w:cs="Arial"/>
                <w:b/>
                <w:bCs/>
                <w:color w:val="auto"/>
                <w:szCs w:val="21"/>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top w:val="single" w:color="auto" w:sz="4" w:space="0"/>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Borders>
              <w:top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Borders>
              <w:top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top w:val="single" w:color="auto" w:sz="4" w:space="0"/>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bottom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58" w:type="dxa"/>
            <w:tcBorders>
              <w:bottom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60" w:type="dxa"/>
            <w:tcBorders>
              <w:bottom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c>
          <w:tcPr>
            <w:tcW w:w="2277" w:type="dxa"/>
            <w:tcBorders>
              <w:bottom w:val="single" w:color="auto" w:sz="4" w:space="0"/>
              <w:right w:val="single" w:color="auto" w:sz="4" w:space="0"/>
            </w:tcBorders>
            <w:tcMar>
              <w:top w:w="57" w:type="dxa"/>
              <w:left w:w="85" w:type="dxa"/>
              <w:bottom w:w="0" w:type="dxa"/>
              <w:right w:w="85" w:type="dxa"/>
            </w:tcMar>
          </w:tcPr>
          <w:p>
            <w:pPr>
              <w:pStyle w:val="32"/>
              <w:spacing w:line="360" w:lineRule="auto"/>
              <w:jc w:val="center"/>
              <w:rPr>
                <w:rFonts w:ascii="宋体" w:hAnsi="宋体" w:cs="Arial"/>
                <w:color w:val="auto"/>
                <w:szCs w:val="21"/>
                <w:highlight w:val="none"/>
              </w:rPr>
            </w:pPr>
          </w:p>
        </w:tc>
      </w:tr>
    </w:tbl>
    <w:p>
      <w:pPr>
        <w:pStyle w:val="32"/>
        <w:tabs>
          <w:tab w:val="left" w:pos="1050"/>
        </w:tabs>
        <w:spacing w:line="360" w:lineRule="auto"/>
        <w:rPr>
          <w:rFonts w:ascii="宋体" w:hAnsi="宋体"/>
          <w:color w:val="auto"/>
          <w:szCs w:val="21"/>
          <w:highlight w:val="none"/>
        </w:rPr>
      </w:pPr>
      <w:r>
        <w:rPr>
          <w:rFonts w:hint="eastAsia" w:ascii="宋体" w:hAnsi="宋体"/>
          <w:b/>
          <w:color w:val="auto"/>
          <w:szCs w:val="21"/>
          <w:highlight w:val="none"/>
        </w:rPr>
        <w:t>要求：</w:t>
      </w:r>
    </w:p>
    <w:p>
      <w:pPr>
        <w:pStyle w:val="32"/>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1.填写投标人获得资质、认证或企业信誉证书。</w:t>
      </w:r>
    </w:p>
    <w:p>
      <w:pPr>
        <w:pStyle w:val="32"/>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2.附所列证书或其他证明材料。</w:t>
      </w:r>
    </w:p>
    <w:p>
      <w:pPr>
        <w:pStyle w:val="32"/>
        <w:tabs>
          <w:tab w:val="left" w:pos="1050"/>
        </w:tabs>
        <w:spacing w:line="360" w:lineRule="auto"/>
        <w:rPr>
          <w:rFonts w:ascii="仿宋_GB2312" w:hAnsi="宋体" w:eastAsia="仿宋_GB2312"/>
          <w:color w:val="auto"/>
          <w:sz w:val="24"/>
          <w:highlight w:val="none"/>
        </w:rPr>
      </w:pPr>
    </w:p>
    <w:p>
      <w:pPr>
        <w:pStyle w:val="32"/>
        <w:tabs>
          <w:tab w:val="left" w:pos="1050"/>
        </w:tabs>
        <w:spacing w:line="360" w:lineRule="auto"/>
        <w:ind w:firstLine="720" w:firstLineChars="300"/>
        <w:rPr>
          <w:rFonts w:ascii="仿宋_GB2312" w:hAnsi="宋体" w:eastAsia="仿宋_GB2312"/>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24" w:firstLineChars="177"/>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24" w:firstLineChars="177"/>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pStyle w:val="28"/>
        <w:shd w:val="clear" w:color="auto" w:fill="FFFFFF"/>
        <w:spacing w:before="0" w:beforeAutospacing="0" w:after="0" w:afterAutospacing="0" w:line="360" w:lineRule="auto"/>
        <w:ind w:firstLine="424" w:firstLineChars="177"/>
        <w:rPr>
          <w:b/>
          <w:bCs/>
          <w:color w:val="auto"/>
          <w:highlight w:val="none"/>
        </w:rPr>
      </w:pPr>
      <w:r>
        <w:rPr>
          <w:rFonts w:hint="eastAsia"/>
          <w:color w:val="auto"/>
          <w:highlight w:val="none"/>
        </w:rPr>
        <w:t>日        期：：</w:t>
      </w:r>
    </w:p>
    <w:p>
      <w:pPr>
        <w:spacing w:line="360" w:lineRule="auto"/>
        <w:rPr>
          <w:rFonts w:ascii="宋体" w:hAnsi="宋体"/>
          <w:b/>
          <w:color w:val="auto"/>
          <w:sz w:val="28"/>
          <w:highlight w:val="none"/>
        </w:rPr>
      </w:pPr>
    </w:p>
    <w:p>
      <w:pPr>
        <w:spacing w:line="360" w:lineRule="auto"/>
        <w:rPr>
          <w:rFonts w:ascii="宋体" w:hAnsi="宋体"/>
          <w:b/>
          <w:color w:val="auto"/>
          <w:sz w:val="28"/>
          <w:highlight w:val="none"/>
        </w:rPr>
      </w:pPr>
    </w:p>
    <w:p>
      <w:pPr>
        <w:spacing w:line="360" w:lineRule="auto"/>
        <w:rPr>
          <w:rFonts w:ascii="宋体" w:hAnsi="宋体"/>
          <w:b/>
          <w:color w:val="auto"/>
          <w:sz w:val="28"/>
          <w:highlight w:val="none"/>
        </w:rPr>
      </w:pPr>
    </w:p>
    <w:p>
      <w:pPr>
        <w:spacing w:line="360" w:lineRule="auto"/>
        <w:rPr>
          <w:rFonts w:ascii="宋体" w:hAnsi="宋体"/>
          <w:b/>
          <w:color w:val="auto"/>
          <w:sz w:val="28"/>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附件1</w:t>
      </w:r>
      <w:r>
        <w:rPr>
          <w:rFonts w:hint="eastAsia" w:ascii="宋体" w:hAnsi="宋体"/>
          <w:b/>
          <w:color w:val="auto"/>
          <w:sz w:val="28"/>
          <w:highlight w:val="none"/>
          <w:lang w:val="en-US" w:eastAsia="zh-CN"/>
        </w:rPr>
        <w:t>0</w:t>
      </w:r>
    </w:p>
    <w:p>
      <w:pPr>
        <w:spacing w:line="360" w:lineRule="auto"/>
        <w:jc w:val="center"/>
        <w:rPr>
          <w:rFonts w:ascii="宋体" w:hAnsi="宋体"/>
          <w:b/>
          <w:bCs/>
          <w:color w:val="auto"/>
          <w:kern w:val="0"/>
          <w:sz w:val="32"/>
          <w:szCs w:val="32"/>
          <w:highlight w:val="none"/>
        </w:rPr>
      </w:pPr>
      <w:bookmarkStart w:id="60" w:name="_Toc7134_WPSOffice_Level1"/>
      <w:bookmarkStart w:id="61" w:name="_Toc19231_WPSOffice_Level1"/>
      <w:r>
        <w:rPr>
          <w:rFonts w:hint="eastAsia" w:ascii="宋体" w:hAnsi="宋体"/>
          <w:b/>
          <w:bCs/>
          <w:color w:val="auto"/>
          <w:kern w:val="0"/>
          <w:sz w:val="32"/>
          <w:szCs w:val="32"/>
          <w:highlight w:val="none"/>
        </w:rPr>
        <w:t>投标人类似项目实施情况一览表</w:t>
      </w:r>
      <w:bookmarkEnd w:id="60"/>
      <w:bookmarkEnd w:id="61"/>
    </w:p>
    <w:tbl>
      <w:tblPr>
        <w:tblStyle w:val="19"/>
        <w:tblpPr w:leftFromText="181" w:rightFromText="181" w:bottomFromText="170" w:vertAnchor="text" w:tblpXSpec="center" w:tblpY="1"/>
        <w:tblOverlap w:val="never"/>
        <w:tblW w:w="909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358"/>
        <w:gridCol w:w="1228"/>
        <w:gridCol w:w="18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序号</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项目名称</w:t>
            </w: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合同总价</w:t>
            </w: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实施时间</w:t>
            </w: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项目质量</w:t>
            </w: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31"/>
              <w:jc w:val="center"/>
              <w:rPr>
                <w:rFonts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1</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2</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jc w:val="center"/>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3</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31"/>
              <w:spacing w:line="360" w:lineRule="auto"/>
              <w:rPr>
                <w:rFonts w:asciiTheme="minorEastAsia" w:hAnsiTheme="minorEastAsia" w:eastAsiaTheme="minorEastAsia" w:cstheme="minorEastAsia"/>
                <w:color w:val="auto"/>
                <w:szCs w:val="21"/>
                <w:highlight w:val="none"/>
              </w:rPr>
            </w:pPr>
          </w:p>
        </w:tc>
      </w:tr>
    </w:tbl>
    <w:p>
      <w:pPr>
        <w:autoSpaceDE w:val="0"/>
        <w:autoSpaceDN w:val="0"/>
        <w:adjustRightInd w:val="0"/>
        <w:spacing w:before="120" w:beforeLines="50" w:line="360" w:lineRule="auto"/>
        <w:rPr>
          <w:rFonts w:ascii="宋体" w:hAnsi="宋体" w:cs="Arial"/>
          <w:b/>
          <w:color w:val="auto"/>
          <w:szCs w:val="21"/>
          <w:highlight w:val="none"/>
        </w:rPr>
      </w:pPr>
      <w:r>
        <w:rPr>
          <w:rFonts w:hint="eastAsia" w:ascii="宋体" w:hAnsi="宋体" w:cs="Arial"/>
          <w:b/>
          <w:color w:val="auto"/>
          <w:szCs w:val="21"/>
          <w:highlight w:val="none"/>
        </w:rPr>
        <w:t>要求</w:t>
      </w:r>
      <w:r>
        <w:rPr>
          <w:rFonts w:ascii="宋体" w:hAnsi="宋体" w:cs="Arial"/>
          <w:b/>
          <w:color w:val="auto"/>
          <w:szCs w:val="21"/>
          <w:highlight w:val="none"/>
        </w:rPr>
        <w:t>：</w:t>
      </w:r>
    </w:p>
    <w:p>
      <w:pPr>
        <w:autoSpaceDE w:val="0"/>
        <w:autoSpaceDN w:val="0"/>
        <w:adjustRightInd w:val="0"/>
        <w:spacing w:before="120" w:beforeLines="50" w:line="360" w:lineRule="auto"/>
        <w:ind w:firstLine="420" w:firstLineChars="200"/>
        <w:rPr>
          <w:rFonts w:ascii="宋体" w:hAnsi="宋体" w:cs="Arial"/>
          <w:b/>
          <w:color w:val="auto"/>
          <w:szCs w:val="21"/>
          <w:highlight w:val="none"/>
        </w:rPr>
      </w:pPr>
      <w:r>
        <w:rPr>
          <w:rFonts w:ascii="宋体" w:hAnsi="宋体" w:cs="Arial"/>
          <w:color w:val="auto"/>
          <w:szCs w:val="21"/>
          <w:highlight w:val="none"/>
        </w:rPr>
        <w:t>1</w:t>
      </w:r>
      <w:r>
        <w:rPr>
          <w:rFonts w:hint="eastAsia" w:ascii="宋体" w:hAnsi="宋体" w:cs="Arial"/>
          <w:color w:val="auto"/>
          <w:szCs w:val="21"/>
          <w:highlight w:val="none"/>
        </w:rPr>
        <w:t>.</w:t>
      </w:r>
      <w:r>
        <w:rPr>
          <w:rFonts w:ascii="宋体" w:hAnsi="宋体" w:cs="Arial"/>
          <w:color w:val="auto"/>
          <w:szCs w:val="21"/>
          <w:highlight w:val="none"/>
        </w:rPr>
        <w:t>业绩证明应提供证明材料（合同</w:t>
      </w:r>
      <w:r>
        <w:rPr>
          <w:rFonts w:hint="eastAsia" w:ascii="宋体" w:hAnsi="宋体" w:cs="Arial"/>
          <w:color w:val="auto"/>
          <w:szCs w:val="21"/>
          <w:highlight w:val="none"/>
        </w:rPr>
        <w:t>可只提供首页、含金额页、盖章页并加盖投标人公章</w:t>
      </w:r>
      <w:r>
        <w:rPr>
          <w:rFonts w:ascii="宋体" w:hAnsi="宋体" w:cs="Arial"/>
          <w:color w:val="auto"/>
          <w:szCs w:val="21"/>
          <w:highlight w:val="none"/>
        </w:rPr>
        <w:t>）</w:t>
      </w:r>
      <w:r>
        <w:rPr>
          <w:rFonts w:hint="eastAsia" w:ascii="宋体" w:hAnsi="宋体" w:cs="Arial"/>
          <w:color w:val="auto"/>
          <w:szCs w:val="21"/>
          <w:highlight w:val="none"/>
        </w:rPr>
        <w:t>。</w:t>
      </w:r>
    </w:p>
    <w:p>
      <w:pPr>
        <w:spacing w:line="360" w:lineRule="auto"/>
        <w:ind w:firstLine="424" w:firstLineChars="202"/>
        <w:jc w:val="left"/>
        <w:rPr>
          <w:rFonts w:ascii="宋体" w:hAnsi="宋体" w:cs="Arial"/>
          <w:color w:val="auto"/>
          <w:szCs w:val="21"/>
          <w:highlight w:val="none"/>
        </w:rPr>
      </w:pPr>
      <w:r>
        <w:rPr>
          <w:rFonts w:ascii="宋体" w:hAnsi="宋体" w:cs="Arial"/>
          <w:color w:val="auto"/>
          <w:szCs w:val="21"/>
          <w:highlight w:val="none"/>
        </w:rPr>
        <w:t>2</w:t>
      </w:r>
      <w:r>
        <w:rPr>
          <w:rFonts w:hint="eastAsia" w:ascii="宋体" w:hAnsi="宋体" w:cs="Arial"/>
          <w:color w:val="auto"/>
          <w:szCs w:val="21"/>
          <w:highlight w:val="none"/>
        </w:rPr>
        <w:t>.投标人</w:t>
      </w:r>
      <w:r>
        <w:rPr>
          <w:rFonts w:ascii="宋体" w:hAnsi="宋体" w:cs="Arial"/>
          <w:color w:val="auto"/>
          <w:szCs w:val="21"/>
          <w:highlight w:val="none"/>
        </w:rPr>
        <w:t>可按此表格式复制</w:t>
      </w:r>
      <w:r>
        <w:rPr>
          <w:rFonts w:hint="eastAsia" w:ascii="宋体" w:hAnsi="宋体" w:cs="Arial"/>
          <w:color w:val="auto"/>
          <w:szCs w:val="21"/>
          <w:highlight w:val="none"/>
        </w:rPr>
        <w:t>。</w:t>
      </w:r>
    </w:p>
    <w:p>
      <w:pPr>
        <w:spacing w:line="360" w:lineRule="auto"/>
        <w:rPr>
          <w:rFonts w:ascii="宋体" w:hAnsi="宋体"/>
          <w:color w:val="auto"/>
          <w:sz w:val="22"/>
          <w:szCs w:val="22"/>
          <w:highlight w:val="none"/>
        </w:rPr>
      </w:pPr>
    </w:p>
    <w:p>
      <w:pPr>
        <w:pStyle w:val="18"/>
        <w:rPr>
          <w:color w:val="auto"/>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u w:val="singl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jc w:val="center"/>
        <w:rPr>
          <w:rFonts w:ascii="仿宋" w:hAnsi="仿宋" w:eastAsia="仿宋"/>
          <w:snapToGrid w:val="0"/>
          <w:color w:val="auto"/>
          <w:kern w:val="0"/>
          <w:sz w:val="24"/>
          <w:highlight w:val="none"/>
        </w:rPr>
      </w:pPr>
    </w:p>
    <w:p>
      <w:pPr>
        <w:pStyle w:val="32"/>
        <w:tabs>
          <w:tab w:val="left" w:pos="1050"/>
        </w:tabs>
        <w:spacing w:line="360" w:lineRule="auto"/>
        <w:rPr>
          <w:rFonts w:ascii="宋体" w:hAnsi="宋体"/>
          <w:b/>
          <w:color w:val="auto"/>
          <w:sz w:val="28"/>
          <w:highlight w:val="none"/>
        </w:rPr>
      </w:pPr>
    </w:p>
    <w:p>
      <w:pPr>
        <w:pStyle w:val="32"/>
        <w:tabs>
          <w:tab w:val="left" w:pos="1050"/>
        </w:tabs>
        <w:spacing w:line="360" w:lineRule="auto"/>
        <w:rPr>
          <w:rFonts w:ascii="宋体" w:hAnsi="宋体"/>
          <w:b/>
          <w:color w:val="auto"/>
          <w:sz w:val="28"/>
          <w:highlight w:val="none"/>
        </w:rPr>
      </w:pPr>
    </w:p>
    <w:p>
      <w:pPr>
        <w:pStyle w:val="32"/>
        <w:tabs>
          <w:tab w:val="left" w:pos="1050"/>
        </w:tabs>
        <w:spacing w:line="360" w:lineRule="auto"/>
        <w:rPr>
          <w:rFonts w:ascii="宋体" w:hAnsi="宋体"/>
          <w:b/>
          <w:color w:val="auto"/>
          <w:sz w:val="28"/>
          <w:highlight w:val="none"/>
        </w:rPr>
      </w:pPr>
    </w:p>
    <w:p>
      <w:pPr>
        <w:pStyle w:val="18"/>
        <w:rPr>
          <w:color w:val="auto"/>
          <w:highlight w:val="none"/>
        </w:rPr>
      </w:pPr>
      <w:bookmarkStart w:id="62" w:name="_Toc21322_WPSOffice_Level1"/>
      <w:bookmarkStart w:id="63" w:name="_Toc4615_WPSOffice_Level1"/>
      <w:bookmarkStart w:id="64" w:name="_Toc30468_WPSOffice_Level1"/>
    </w:p>
    <w:p>
      <w:pPr>
        <w:jc w:val="center"/>
        <w:rPr>
          <w:color w:val="auto"/>
          <w:sz w:val="52"/>
          <w:szCs w:val="52"/>
          <w:highlight w:val="none"/>
        </w:rPr>
      </w:pPr>
    </w:p>
    <w:p>
      <w:pPr>
        <w:jc w:val="center"/>
        <w:rPr>
          <w:color w:val="auto"/>
          <w:sz w:val="52"/>
          <w:szCs w:val="52"/>
          <w:highlight w:val="none"/>
        </w:rPr>
      </w:pPr>
      <w:r>
        <w:rPr>
          <w:rFonts w:hint="eastAsia"/>
          <w:color w:val="auto"/>
          <w:sz w:val="52"/>
          <w:szCs w:val="52"/>
          <w:highlight w:val="none"/>
        </w:rPr>
        <w:t>项目名称</w:t>
      </w:r>
      <w:bookmarkEnd w:id="62"/>
      <w:bookmarkEnd w:id="63"/>
      <w:bookmarkEnd w:id="64"/>
    </w:p>
    <w:p>
      <w:pPr>
        <w:spacing w:before="240" w:beforeLines="100" w:line="360" w:lineRule="auto"/>
        <w:ind w:right="-108"/>
        <w:jc w:val="center"/>
        <w:rPr>
          <w:rFonts w:ascii="宋体" w:hAnsi="宋体"/>
          <w:color w:val="auto"/>
          <w:sz w:val="36"/>
          <w:szCs w:val="36"/>
          <w:highlight w:val="none"/>
        </w:rPr>
      </w:pPr>
      <w:r>
        <w:rPr>
          <w:rFonts w:hint="eastAsia" w:ascii="宋体" w:hAnsi="宋体"/>
          <w:color w:val="auto"/>
          <w:sz w:val="36"/>
          <w:szCs w:val="36"/>
          <w:highlight w:val="none"/>
        </w:rPr>
        <w:t>项目编号：（标项）</w:t>
      </w:r>
    </w:p>
    <w:p>
      <w:pPr>
        <w:pStyle w:val="18"/>
        <w:rPr>
          <w:color w:val="auto"/>
          <w:highlight w:val="none"/>
        </w:rPr>
      </w:pPr>
    </w:p>
    <w:p>
      <w:pPr>
        <w:jc w:val="center"/>
        <w:rPr>
          <w:color w:val="auto"/>
          <w:sz w:val="84"/>
          <w:szCs w:val="84"/>
          <w:highlight w:val="none"/>
        </w:rPr>
      </w:pPr>
      <w:bookmarkStart w:id="65" w:name="_Toc9453_WPSOffice_Level1"/>
      <w:bookmarkStart w:id="66" w:name="_Toc8885_WPSOffice_Level1"/>
      <w:r>
        <w:rPr>
          <w:rFonts w:hint="eastAsia"/>
          <w:color w:val="auto"/>
          <w:sz w:val="84"/>
          <w:szCs w:val="84"/>
          <w:highlight w:val="none"/>
        </w:rPr>
        <w:t>报</w:t>
      </w:r>
      <w:bookmarkEnd w:id="65"/>
      <w:bookmarkEnd w:id="66"/>
    </w:p>
    <w:p>
      <w:pPr>
        <w:jc w:val="center"/>
        <w:rPr>
          <w:color w:val="auto"/>
          <w:sz w:val="84"/>
          <w:szCs w:val="84"/>
          <w:highlight w:val="none"/>
        </w:rPr>
      </w:pPr>
      <w:bookmarkStart w:id="67" w:name="_Toc7485_WPSOffice_Level1"/>
      <w:bookmarkStart w:id="68" w:name="_Toc10910_WPSOffice_Level1"/>
      <w:r>
        <w:rPr>
          <w:rFonts w:hint="eastAsia"/>
          <w:color w:val="auto"/>
          <w:sz w:val="84"/>
          <w:szCs w:val="84"/>
          <w:highlight w:val="none"/>
        </w:rPr>
        <w:t>价</w:t>
      </w:r>
      <w:bookmarkEnd w:id="67"/>
      <w:bookmarkEnd w:id="68"/>
    </w:p>
    <w:p>
      <w:pPr>
        <w:jc w:val="center"/>
        <w:rPr>
          <w:color w:val="auto"/>
          <w:sz w:val="84"/>
          <w:szCs w:val="84"/>
          <w:highlight w:val="none"/>
        </w:rPr>
      </w:pPr>
      <w:bookmarkStart w:id="69" w:name="_Toc3932_WPSOffice_Level1"/>
      <w:bookmarkStart w:id="70" w:name="_Toc14572_WPSOffice_Level1"/>
      <w:r>
        <w:rPr>
          <w:rFonts w:hint="eastAsia"/>
          <w:color w:val="auto"/>
          <w:sz w:val="84"/>
          <w:szCs w:val="84"/>
          <w:highlight w:val="none"/>
        </w:rPr>
        <w:t>文</w:t>
      </w:r>
      <w:bookmarkEnd w:id="69"/>
      <w:bookmarkEnd w:id="70"/>
    </w:p>
    <w:p>
      <w:pPr>
        <w:jc w:val="center"/>
        <w:rPr>
          <w:color w:val="auto"/>
          <w:sz w:val="84"/>
          <w:szCs w:val="84"/>
          <w:highlight w:val="none"/>
        </w:rPr>
      </w:pPr>
      <w:bookmarkStart w:id="71" w:name="_Toc16973_WPSOffice_Level1"/>
      <w:bookmarkStart w:id="72" w:name="_Toc7562_WPSOffice_Level1"/>
      <w:r>
        <w:rPr>
          <w:rFonts w:hint="eastAsia"/>
          <w:color w:val="auto"/>
          <w:sz w:val="84"/>
          <w:szCs w:val="84"/>
          <w:highlight w:val="none"/>
        </w:rPr>
        <w:t>件</w:t>
      </w:r>
      <w:bookmarkEnd w:id="71"/>
      <w:bookmarkEnd w:id="72"/>
    </w:p>
    <w:p>
      <w:pPr>
        <w:spacing w:line="360" w:lineRule="auto"/>
        <w:ind w:right="532"/>
        <w:rPr>
          <w:rFonts w:ascii="宋体" w:hAnsi="宋体"/>
          <w:color w:val="auto"/>
          <w:sz w:val="36"/>
          <w:szCs w:val="36"/>
          <w:highlight w:val="none"/>
        </w:rPr>
      </w:pPr>
    </w:p>
    <w:p>
      <w:pPr>
        <w:spacing w:line="360" w:lineRule="auto"/>
        <w:ind w:right="532"/>
        <w:jc w:val="center"/>
        <w:rPr>
          <w:rFonts w:ascii="宋体" w:hAnsi="宋体"/>
          <w:color w:val="auto"/>
          <w:sz w:val="36"/>
          <w:szCs w:val="36"/>
          <w:highlight w:val="none"/>
        </w:rPr>
      </w:pPr>
    </w:p>
    <w:p>
      <w:pPr>
        <w:spacing w:line="360" w:lineRule="auto"/>
        <w:ind w:right="532" w:firstLine="720" w:firstLineChars="200"/>
        <w:rPr>
          <w:rFonts w:ascii="宋体" w:hAnsi="宋体"/>
          <w:color w:val="auto"/>
          <w:sz w:val="36"/>
          <w:szCs w:val="36"/>
          <w:highlight w:val="none"/>
        </w:rPr>
      </w:pPr>
      <w:bookmarkStart w:id="73" w:name="_Toc26700_WPSOffice_Level1"/>
      <w:bookmarkStart w:id="74" w:name="_Toc4603_WPSOffice_Level1"/>
      <w:r>
        <w:rPr>
          <w:rFonts w:hint="eastAsia" w:ascii="宋体" w:hAnsi="宋体"/>
          <w:color w:val="auto"/>
          <w:sz w:val="36"/>
          <w:szCs w:val="36"/>
          <w:highlight w:val="none"/>
        </w:rPr>
        <w:t>投标人全称（公章）：</w:t>
      </w:r>
      <w:bookmarkEnd w:id="73"/>
      <w:bookmarkEnd w:id="74"/>
    </w:p>
    <w:p>
      <w:pPr>
        <w:spacing w:line="360" w:lineRule="auto"/>
        <w:ind w:right="-108" w:firstLine="720" w:firstLineChars="200"/>
        <w:rPr>
          <w:rFonts w:ascii="宋体" w:hAnsi="宋体"/>
          <w:color w:val="auto"/>
          <w:sz w:val="36"/>
          <w:szCs w:val="36"/>
          <w:highlight w:val="none"/>
        </w:rPr>
      </w:pPr>
      <w:bookmarkStart w:id="75" w:name="_Toc32593_WPSOffice_Level1"/>
      <w:bookmarkStart w:id="76" w:name="_Toc1391_WPSOffice_Level1"/>
      <w:r>
        <w:rPr>
          <w:rFonts w:hint="eastAsia" w:ascii="宋体" w:hAnsi="宋体"/>
          <w:color w:val="auto"/>
          <w:sz w:val="36"/>
          <w:szCs w:val="36"/>
          <w:highlight w:val="none"/>
        </w:rPr>
        <w:t>地    址：</w:t>
      </w:r>
      <w:bookmarkEnd w:id="75"/>
      <w:bookmarkEnd w:id="76"/>
    </w:p>
    <w:p>
      <w:pPr>
        <w:spacing w:line="360" w:lineRule="auto"/>
        <w:ind w:right="-108" w:firstLine="720" w:firstLineChars="200"/>
        <w:rPr>
          <w:rFonts w:ascii="宋体" w:hAnsi="宋体"/>
          <w:color w:val="auto"/>
          <w:sz w:val="36"/>
          <w:szCs w:val="36"/>
          <w:highlight w:val="none"/>
        </w:rPr>
      </w:pPr>
      <w:bookmarkStart w:id="77" w:name="_Toc3791_WPSOffice_Level1"/>
      <w:bookmarkStart w:id="78" w:name="_Toc20938_WPSOffice_Level1"/>
      <w:r>
        <w:rPr>
          <w:rFonts w:hint="eastAsia" w:ascii="宋体" w:hAnsi="宋体"/>
          <w:color w:val="auto"/>
          <w:sz w:val="36"/>
          <w:szCs w:val="36"/>
          <w:highlight w:val="none"/>
        </w:rPr>
        <w:t>时    间：</w:t>
      </w:r>
      <w:bookmarkEnd w:id="77"/>
      <w:bookmarkEnd w:id="78"/>
    </w:p>
    <w:p>
      <w:pPr>
        <w:spacing w:line="360" w:lineRule="auto"/>
        <w:ind w:right="-108"/>
        <w:jc w:val="center"/>
        <w:rPr>
          <w:rFonts w:ascii="仿宋_GB2312" w:hAnsi="宋体" w:eastAsia="仿宋_GB2312"/>
          <w:b/>
          <w:color w:val="auto"/>
          <w:sz w:val="36"/>
          <w:szCs w:val="36"/>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18"/>
        <w:rPr>
          <w:color w:val="auto"/>
          <w:highlight w:val="none"/>
        </w:rPr>
      </w:pPr>
    </w:p>
    <w:p>
      <w:pPr>
        <w:pStyle w:val="7"/>
        <w:rPr>
          <w:rFonts w:ascii="仿宋_GB2312" w:hAnsi="宋体" w:eastAsia="仿宋_GB2312"/>
          <w:b/>
          <w:color w:val="auto"/>
          <w:sz w:val="36"/>
          <w:szCs w:val="36"/>
          <w:highlight w:val="none"/>
        </w:rPr>
      </w:pPr>
    </w:p>
    <w:p>
      <w:pPr>
        <w:spacing w:line="480" w:lineRule="auto"/>
        <w:jc w:val="center"/>
        <w:rPr>
          <w:rFonts w:ascii="宋体" w:hAnsi="宋体"/>
          <w:b/>
          <w:bCs/>
          <w:color w:val="auto"/>
          <w:sz w:val="36"/>
          <w:szCs w:val="36"/>
          <w:highlight w:val="none"/>
        </w:rPr>
      </w:pPr>
      <w:bookmarkStart w:id="79" w:name="_Toc29537_WPSOffice_Level1"/>
      <w:bookmarkStart w:id="80" w:name="_Toc19972_WPSOffice_Level1"/>
      <w:r>
        <w:rPr>
          <w:rFonts w:hint="eastAsia" w:ascii="宋体" w:hAnsi="宋体"/>
          <w:b/>
          <w:bCs/>
          <w:color w:val="auto"/>
          <w:sz w:val="36"/>
          <w:szCs w:val="36"/>
          <w:highlight w:val="none"/>
        </w:rPr>
        <w:t>报价文件目录</w:t>
      </w:r>
      <w:bookmarkEnd w:id="79"/>
      <w:bookmarkEnd w:id="80"/>
    </w:p>
    <w:p>
      <w:pPr>
        <w:pStyle w:val="18"/>
        <w:rPr>
          <w:color w:val="auto"/>
          <w:highlight w:val="none"/>
        </w:rPr>
      </w:pPr>
    </w:p>
    <w:p>
      <w:pPr>
        <w:rPr>
          <w:rFonts w:asciiTheme="minorEastAsia" w:hAnsiTheme="minorEastAsia" w:eastAsiaTheme="minorEastAsia" w:cstheme="minorEastAsia"/>
          <w:color w:val="auto"/>
          <w:sz w:val="28"/>
          <w:szCs w:val="28"/>
          <w:highlight w:val="none"/>
        </w:rPr>
      </w:pPr>
    </w:p>
    <w:p>
      <w:pPr>
        <w:autoSpaceDE w:val="0"/>
        <w:autoSpaceDN w:val="0"/>
        <w:adjustRightIn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rPr>
        <w:t>（1）开标一览表（附件1</w:t>
      </w:r>
      <w:r>
        <w:rPr>
          <w:rFonts w:hint="eastAsia" w:ascii="宋体" w:hAnsi="宋体"/>
          <w:color w:val="auto"/>
          <w:kern w:val="0"/>
          <w:sz w:val="24"/>
          <w:highlight w:val="none"/>
          <w:lang w:val="en-US" w:eastAsia="zh-CN"/>
        </w:rPr>
        <w:t>1</w:t>
      </w:r>
      <w:r>
        <w:rPr>
          <w:rFonts w:hint="eastAsia" w:ascii="宋体" w:hAnsi="宋体"/>
          <w:color w:val="auto"/>
          <w:kern w:val="0"/>
          <w:sz w:val="24"/>
          <w:highlight w:val="none"/>
        </w:rPr>
        <w:t>）；</w:t>
      </w:r>
    </w:p>
    <w:p>
      <w:pPr>
        <w:autoSpaceDE w:val="0"/>
        <w:autoSpaceDN w:val="0"/>
        <w:adjustRightInd w:val="0"/>
        <w:spacing w:line="360" w:lineRule="auto"/>
        <w:ind w:firstLine="480" w:firstLineChars="200"/>
        <w:rPr>
          <w:rFonts w:hint="eastAsia" w:ascii="宋体" w:hAnsi="宋体"/>
          <w:color w:val="auto"/>
          <w:kern w:val="0"/>
          <w:sz w:val="24"/>
          <w:highlight w:val="none"/>
          <w:lang w:eastAsia="zh-CN"/>
        </w:rPr>
      </w:pPr>
      <w:r>
        <w:rPr>
          <w:rFonts w:hint="eastAsia" w:ascii="宋体" w:hAnsi="宋体"/>
          <w:color w:val="auto"/>
          <w:kern w:val="0"/>
          <w:sz w:val="24"/>
          <w:highlight w:val="none"/>
        </w:rPr>
        <w:t>（</w:t>
      </w:r>
      <w:r>
        <w:rPr>
          <w:rFonts w:hint="eastAsia" w:ascii="宋体" w:hAnsi="宋体"/>
          <w:color w:val="auto"/>
          <w:kern w:val="0"/>
          <w:sz w:val="24"/>
          <w:highlight w:val="none"/>
          <w:lang w:val="en-US" w:eastAsia="zh-CN"/>
        </w:rPr>
        <w:t>2</w:t>
      </w:r>
      <w:r>
        <w:rPr>
          <w:rFonts w:hint="eastAsia" w:ascii="宋体" w:hAnsi="宋体"/>
          <w:color w:val="auto"/>
          <w:kern w:val="0"/>
          <w:sz w:val="24"/>
          <w:highlight w:val="none"/>
        </w:rPr>
        <w:t>）报价明细表</w:t>
      </w:r>
      <w:r>
        <w:rPr>
          <w:rFonts w:hint="eastAsia" w:ascii="宋体" w:hAnsi="宋体"/>
          <w:color w:val="auto"/>
          <w:kern w:val="0"/>
          <w:sz w:val="24"/>
          <w:highlight w:val="none"/>
          <w:lang w:eastAsia="zh-CN"/>
        </w:rPr>
        <w:t>（附件</w:t>
      </w:r>
      <w:r>
        <w:rPr>
          <w:rFonts w:hint="eastAsia" w:ascii="宋体" w:hAnsi="宋体"/>
          <w:color w:val="auto"/>
          <w:kern w:val="0"/>
          <w:sz w:val="24"/>
          <w:highlight w:val="none"/>
          <w:lang w:val="en-US" w:eastAsia="zh-CN"/>
        </w:rPr>
        <w:t>13</w:t>
      </w:r>
      <w:r>
        <w:rPr>
          <w:rFonts w:hint="eastAsia" w:ascii="宋体" w:hAnsi="宋体"/>
          <w:color w:val="auto"/>
          <w:kern w:val="0"/>
          <w:sz w:val="24"/>
          <w:highlight w:val="none"/>
          <w:lang w:eastAsia="zh-CN"/>
        </w:rPr>
        <w:t>）；</w:t>
      </w:r>
    </w:p>
    <w:p>
      <w:pPr>
        <w:autoSpaceDE w:val="0"/>
        <w:autoSpaceDN w:val="0"/>
        <w:adjustRightInd w:val="0"/>
        <w:spacing w:line="360" w:lineRule="auto"/>
        <w:ind w:firstLine="480" w:firstLineChars="200"/>
        <w:rPr>
          <w:rFonts w:ascii="宋体" w:hAnsi="宋体"/>
          <w:color w:val="auto"/>
          <w:kern w:val="0"/>
          <w:sz w:val="24"/>
          <w:highlight w:val="none"/>
        </w:rPr>
      </w:pPr>
      <w:r>
        <w:rPr>
          <w:rFonts w:hint="eastAsia" w:ascii="宋体" w:hAnsi="宋体"/>
          <w:color w:val="auto"/>
          <w:kern w:val="0"/>
          <w:sz w:val="24"/>
          <w:highlight w:val="none"/>
          <w:lang w:eastAsia="zh-CN"/>
        </w:rPr>
        <w:t>（</w:t>
      </w:r>
      <w:r>
        <w:rPr>
          <w:rFonts w:hint="eastAsia" w:ascii="宋体" w:hAnsi="宋体"/>
          <w:color w:val="auto"/>
          <w:kern w:val="0"/>
          <w:sz w:val="24"/>
          <w:highlight w:val="none"/>
          <w:lang w:val="en-US" w:eastAsia="zh-CN"/>
        </w:rPr>
        <w:t>3</w:t>
      </w:r>
      <w:r>
        <w:rPr>
          <w:rFonts w:hint="eastAsia" w:ascii="宋体" w:hAnsi="宋体"/>
          <w:color w:val="auto"/>
          <w:kern w:val="0"/>
          <w:sz w:val="24"/>
          <w:highlight w:val="none"/>
          <w:lang w:eastAsia="zh-CN"/>
        </w:rPr>
        <w:t>）</w:t>
      </w:r>
      <w:r>
        <w:rPr>
          <w:rFonts w:hint="eastAsia" w:ascii="宋体" w:hAnsi="宋体"/>
          <w:color w:val="auto"/>
          <w:kern w:val="0"/>
          <w:sz w:val="24"/>
          <w:highlight w:val="none"/>
        </w:rPr>
        <w:t>针对报价投标人认为其他需要说明的</w:t>
      </w:r>
      <w:r>
        <w:rPr>
          <w:rFonts w:hint="eastAsia" w:ascii="宋体" w:hAnsi="宋体"/>
          <w:color w:val="auto"/>
          <w:kern w:val="0"/>
          <w:sz w:val="24"/>
          <w:highlight w:val="none"/>
          <w:lang w:eastAsia="zh-CN"/>
        </w:rPr>
        <w:t>（</w:t>
      </w:r>
      <w:r>
        <w:rPr>
          <w:rFonts w:hint="eastAsia" w:ascii="宋体" w:hAnsi="宋体" w:eastAsia="宋体" w:cs="Times New Roman"/>
          <w:bCs/>
          <w:color w:val="auto"/>
          <w:kern w:val="2"/>
          <w:sz w:val="24"/>
          <w:szCs w:val="20"/>
          <w:highlight w:val="none"/>
          <w:lang w:val="en-US" w:eastAsia="zh-CN" w:bidi="ar-SA"/>
        </w:rPr>
        <w:t>如中小企业声明函（附件12）、残疾人福利性单位</w:t>
      </w:r>
      <w:r>
        <w:rPr>
          <w:rFonts w:hint="eastAsia" w:ascii="宋体" w:hAnsi="宋体" w:eastAsia="宋体"/>
          <w:color w:val="auto"/>
          <w:kern w:val="0"/>
          <w:sz w:val="24"/>
          <w:highlight w:val="none"/>
        </w:rPr>
        <w:t>声明函</w:t>
      </w:r>
      <w:r>
        <w:rPr>
          <w:rFonts w:hint="eastAsia" w:ascii="宋体" w:hAnsi="宋体" w:eastAsia="宋体"/>
          <w:color w:val="auto"/>
          <w:kern w:val="0"/>
          <w:sz w:val="24"/>
          <w:highlight w:val="none"/>
          <w:lang w:eastAsia="zh-CN"/>
        </w:rPr>
        <w:t>等</w:t>
      </w:r>
      <w:r>
        <w:rPr>
          <w:rFonts w:hint="eastAsia" w:ascii="宋体" w:hAnsi="宋体"/>
          <w:color w:val="auto"/>
          <w:kern w:val="0"/>
          <w:sz w:val="24"/>
          <w:highlight w:val="none"/>
          <w:lang w:eastAsia="zh-CN"/>
        </w:rPr>
        <w:t>）</w:t>
      </w:r>
      <w:r>
        <w:rPr>
          <w:rFonts w:hint="eastAsia" w:ascii="宋体" w:hAnsi="宋体"/>
          <w:color w:val="auto"/>
          <w:kern w:val="0"/>
          <w:sz w:val="24"/>
          <w:highlight w:val="none"/>
        </w:rPr>
        <w:t>。</w:t>
      </w:r>
    </w:p>
    <w:p>
      <w:pPr>
        <w:spacing w:line="360" w:lineRule="auto"/>
        <w:ind w:firstLine="480" w:firstLineChars="200"/>
        <w:rPr>
          <w:color w:val="auto"/>
          <w:sz w:val="24"/>
          <w:highlight w:val="none"/>
        </w:rPr>
      </w:pPr>
    </w:p>
    <w:p>
      <w:pPr>
        <w:spacing w:line="360" w:lineRule="auto"/>
        <w:ind w:firstLine="482" w:firstLineChars="200"/>
        <w:rPr>
          <w:rFonts w:ascii="宋体" w:hAnsi="宋体"/>
          <w:b/>
          <w:color w:val="auto"/>
          <w:sz w:val="24"/>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pStyle w:val="48"/>
        <w:ind w:firstLine="562"/>
        <w:rPr>
          <w:rFonts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spacing w:line="360" w:lineRule="auto"/>
        <w:ind w:left="480"/>
        <w:rPr>
          <w:rFonts w:ascii="宋体" w:hAnsi="宋体"/>
          <w:b/>
          <w:color w:val="auto"/>
          <w:sz w:val="28"/>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附件1</w:t>
      </w:r>
      <w:r>
        <w:rPr>
          <w:rFonts w:hint="eastAsia" w:ascii="宋体" w:hAnsi="宋体"/>
          <w:b/>
          <w:color w:val="auto"/>
          <w:sz w:val="28"/>
          <w:highlight w:val="none"/>
          <w:lang w:val="en-US" w:eastAsia="zh-CN"/>
        </w:rPr>
        <w:t>1</w:t>
      </w:r>
    </w:p>
    <w:p>
      <w:pPr>
        <w:spacing w:line="360" w:lineRule="auto"/>
        <w:ind w:left="-2" w:hanging="2"/>
        <w:jc w:val="center"/>
        <w:rPr>
          <w:rFonts w:ascii="宋体" w:hAnsi="宋体"/>
          <w:b/>
          <w:color w:val="auto"/>
          <w:sz w:val="32"/>
          <w:szCs w:val="32"/>
          <w:highlight w:val="none"/>
        </w:rPr>
      </w:pPr>
      <w:bookmarkStart w:id="81" w:name="_Toc30363_WPSOffice_Level1"/>
      <w:bookmarkStart w:id="82" w:name="_Toc16144_WPSOffice_Level1"/>
      <w:r>
        <w:rPr>
          <w:rFonts w:hint="eastAsia" w:ascii="宋体" w:hAnsi="宋体"/>
          <w:b/>
          <w:color w:val="auto"/>
          <w:sz w:val="32"/>
          <w:szCs w:val="32"/>
          <w:highlight w:val="none"/>
        </w:rPr>
        <w:t xml:space="preserve">开标一览表 </w:t>
      </w:r>
      <w:bookmarkEnd w:id="81"/>
      <w:bookmarkEnd w:id="82"/>
    </w:p>
    <w:p>
      <w:pPr>
        <w:spacing w:line="360" w:lineRule="auto"/>
        <w:ind w:left="-2" w:hanging="2"/>
        <w:jc w:val="center"/>
        <w:rPr>
          <w:rFonts w:ascii="宋体" w:hAnsi="宋体"/>
          <w:b/>
          <w:color w:val="auto"/>
          <w:sz w:val="32"/>
          <w:szCs w:val="32"/>
          <w:highlight w:val="none"/>
        </w:rPr>
      </w:pPr>
    </w:p>
    <w:p>
      <w:pPr>
        <w:pStyle w:val="11"/>
        <w:spacing w:line="360" w:lineRule="auto"/>
        <w:ind w:firstLine="482" w:firstLineChars="200"/>
        <w:rPr>
          <w:rFonts w:hAnsi="宋体"/>
          <w:b/>
          <w:color w:val="auto"/>
          <w:sz w:val="24"/>
          <w:highlight w:val="none"/>
        </w:rPr>
      </w:pPr>
      <w:r>
        <w:rPr>
          <w:rFonts w:hAnsi="宋体"/>
          <w:b/>
          <w:color w:val="auto"/>
          <w:sz w:val="24"/>
          <w:highlight w:val="none"/>
        </w:rPr>
        <w:t>项目编号：</w:t>
      </w:r>
    </w:p>
    <w:p>
      <w:pPr>
        <w:pStyle w:val="37"/>
        <w:spacing w:line="360" w:lineRule="auto"/>
        <w:ind w:right="480" w:firstLine="482" w:firstLineChars="200"/>
        <w:jc w:val="left"/>
        <w:rPr>
          <w:rFonts w:hAnsi="宋体"/>
          <w:color w:val="auto"/>
          <w:sz w:val="24"/>
          <w:highlight w:val="none"/>
        </w:rPr>
      </w:pPr>
      <w:r>
        <w:rPr>
          <w:rFonts w:hAnsi="宋体"/>
          <w:b/>
          <w:color w:val="auto"/>
          <w:sz w:val="24"/>
          <w:highlight w:val="none"/>
        </w:rPr>
        <w:t>项目名称：</w:t>
      </w:r>
      <w:r>
        <w:rPr>
          <w:rFonts w:hint="eastAsia" w:ascii="宋体" w:hAnsi="宋体"/>
          <w:color w:val="auto"/>
          <w:sz w:val="24"/>
          <w:highlight w:val="none"/>
        </w:rPr>
        <w:t xml:space="preserve">                                     [货币单位：人民币元]</w:t>
      </w:r>
    </w:p>
    <w:tbl>
      <w:tblPr>
        <w:tblStyle w:val="19"/>
        <w:tblpPr w:leftFromText="181" w:rightFromText="181" w:bottomFromText="170" w:vertAnchor="text" w:tblpXSpec="center" w:tblpY="1"/>
        <w:tblOverlap w:val="never"/>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投标总报价</w:t>
            </w:r>
          </w:p>
        </w:tc>
        <w:tc>
          <w:tcPr>
            <w:tcW w:w="1349" w:type="dxa"/>
            <w:tcBorders>
              <w:top w:val="single" w:color="auto" w:sz="12"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Cs w:val="21"/>
                <w:highlight w:val="none"/>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pPr>
              <w:rPr>
                <w:rFonts w:ascii="宋体" w:hAnsi="宋体"/>
                <w:color w:val="auto"/>
                <w:sz w:val="24"/>
                <w:highlight w:val="none"/>
              </w:rPr>
            </w:pPr>
          </w:p>
        </w:tc>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highlight w:val="none"/>
              </w:rPr>
            </w:pPr>
            <w:r>
              <w:rPr>
                <w:rFonts w:hint="eastAsia" w:ascii="宋体" w:hAnsi="宋体"/>
                <w:color w:val="auto"/>
                <w:sz w:val="24"/>
                <w:highlight w:val="none"/>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Cs w:val="21"/>
                <w:highlight w:val="none"/>
              </w:rPr>
            </w:pPr>
          </w:p>
        </w:tc>
      </w:tr>
    </w:tbl>
    <w:p>
      <w:pPr>
        <w:spacing w:line="360" w:lineRule="auto"/>
        <w:ind w:firstLine="422" w:firstLineChars="200"/>
        <w:rPr>
          <w:rFonts w:ascii="宋体" w:hAnsi="宋体"/>
          <w:color w:val="auto"/>
          <w:sz w:val="24"/>
          <w:highlight w:val="none"/>
        </w:rPr>
      </w:pPr>
      <w:r>
        <w:rPr>
          <w:rFonts w:hint="eastAsia" w:ascii="宋体" w:hAnsi="宋体"/>
          <w:b/>
          <w:color w:val="auto"/>
          <w:szCs w:val="21"/>
          <w:highlight w:val="none"/>
        </w:rPr>
        <w:t>填报要求：</w:t>
      </w:r>
      <w:r>
        <w:rPr>
          <w:rFonts w:hint="eastAsia" w:ascii="宋体" w:hAnsi="宋体"/>
          <w:color w:val="auto"/>
          <w:szCs w:val="21"/>
          <w:highlight w:val="none"/>
        </w:rPr>
        <w:t>投标报价包括本项目采购需求和投入使用的所有费用，包括但不限于</w:t>
      </w:r>
      <w:r>
        <w:rPr>
          <w:rFonts w:hint="eastAsia" w:ascii="宋体" w:hAnsi="宋体"/>
          <w:color w:val="auto"/>
          <w:szCs w:val="21"/>
          <w:highlight w:val="none"/>
          <w:lang w:val="en-US" w:eastAsia="zh-CN"/>
        </w:rPr>
        <w:t>服务费、运维费、验收费、税金、招标代理服务费等有关的一切费用和价款，在本合同履行期间乙方除甲方违约责任外不得再以任何理由向甲方计取任何其他费用</w:t>
      </w:r>
      <w:r>
        <w:rPr>
          <w:rFonts w:hint="eastAsia" w:ascii="宋体" w:hAnsi="宋体" w:eastAsia="宋体" w:cs="Times New Roman"/>
          <w:color w:val="auto"/>
          <w:szCs w:val="21"/>
          <w:highlight w:val="none"/>
          <w:lang w:eastAsia="zh-CN"/>
        </w:rPr>
        <w:t>。</w:t>
      </w:r>
    </w:p>
    <w:p>
      <w:pPr>
        <w:pStyle w:val="18"/>
        <w:ind w:left="0" w:leftChars="0" w:firstLine="0"/>
        <w:rPr>
          <w:rFonts w:ascii="宋体" w:hAnsi="宋体"/>
          <w:color w:val="auto"/>
          <w:sz w:val="24"/>
          <w:highlight w:val="none"/>
        </w:rPr>
      </w:pPr>
    </w:p>
    <w:p>
      <w:pPr>
        <w:pStyle w:val="18"/>
        <w:ind w:left="0" w:leftChars="0" w:firstLine="0"/>
        <w:rPr>
          <w:rFonts w:ascii="宋体" w:hAnsi="宋体"/>
          <w:color w:val="auto"/>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投标人名称（公章）：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p>
      <w:pPr>
        <w:spacing w:line="360" w:lineRule="auto"/>
        <w:rPr>
          <w:rFonts w:ascii="宋体" w:hAnsi="宋体"/>
          <w:b/>
          <w:color w:val="auto"/>
          <w:sz w:val="28"/>
          <w:highlight w:val="none"/>
        </w:rPr>
      </w:pPr>
    </w:p>
    <w:p>
      <w:pPr>
        <w:pStyle w:val="7"/>
        <w:rPr>
          <w:color w:val="auto"/>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snapToGrid w:val="0"/>
        <w:spacing w:before="120" w:beforeLines="50" w:after="50" w:line="360" w:lineRule="auto"/>
        <w:rPr>
          <w:rFonts w:hint="default" w:ascii="宋体" w:hAnsi="宋体" w:eastAsia="宋体"/>
          <w:b/>
          <w:color w:val="auto"/>
          <w:sz w:val="28"/>
          <w:szCs w:val="28"/>
          <w:highlight w:val="none"/>
          <w:lang w:val="en-US" w:eastAsia="zh-CN"/>
        </w:rPr>
      </w:pPr>
      <w:r>
        <w:rPr>
          <w:rFonts w:hint="eastAsia" w:ascii="宋体" w:hAnsi="宋体"/>
          <w:b/>
          <w:color w:val="auto"/>
          <w:sz w:val="28"/>
          <w:highlight w:val="none"/>
        </w:rPr>
        <w:t>附件</w:t>
      </w:r>
      <w:r>
        <w:rPr>
          <w:rFonts w:hint="eastAsia" w:ascii="宋体" w:hAnsi="宋体"/>
          <w:b/>
          <w:color w:val="auto"/>
          <w:sz w:val="28"/>
          <w:highlight w:val="none"/>
          <w:lang w:val="en-US" w:eastAsia="zh-CN"/>
        </w:rPr>
        <w:t>12</w:t>
      </w:r>
    </w:p>
    <w:p>
      <w:pPr>
        <w:pStyle w:val="38"/>
        <w:spacing w:line="360" w:lineRule="auto"/>
        <w:jc w:val="center"/>
        <w:rPr>
          <w:rFonts w:ascii="宋体" w:hAnsi="宋体"/>
          <w:b/>
          <w:color w:val="auto"/>
          <w:sz w:val="32"/>
          <w:szCs w:val="32"/>
          <w:highlight w:val="none"/>
          <w:lang w:val="en-GB"/>
        </w:rPr>
      </w:pPr>
      <w:r>
        <w:rPr>
          <w:rFonts w:hint="eastAsia" w:ascii="宋体" w:hAnsi="宋体"/>
          <w:b/>
          <w:color w:val="auto"/>
          <w:sz w:val="32"/>
          <w:szCs w:val="32"/>
          <w:highlight w:val="none"/>
          <w:lang w:val="en-GB"/>
        </w:rPr>
        <w:t>中小企业声明函</w:t>
      </w:r>
    </w:p>
    <w:p>
      <w:pPr>
        <w:pStyle w:val="38"/>
        <w:spacing w:line="360" w:lineRule="auto"/>
        <w:jc w:val="center"/>
        <w:rPr>
          <w:rFonts w:ascii="宋体" w:hAnsi="宋体"/>
          <w:b/>
          <w:color w:val="auto"/>
          <w:sz w:val="24"/>
          <w:highlight w:val="none"/>
          <w:lang w:val="en-GB"/>
        </w:rPr>
      </w:pPr>
    </w:p>
    <w:p>
      <w:pPr>
        <w:pStyle w:val="38"/>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pStyle w:val="38"/>
        <w:numPr>
          <w:ilvl w:val="0"/>
          <w:numId w:val="17"/>
        </w:numPr>
        <w:spacing w:line="360" w:lineRule="auto"/>
        <w:ind w:firstLine="480" w:firstLineChars="200"/>
        <w:rPr>
          <w:rFonts w:ascii="宋体" w:hAnsi="宋体"/>
          <w:color w:val="auto"/>
          <w:sz w:val="24"/>
          <w:highlight w:val="none"/>
        </w:rPr>
      </w:pPr>
      <w:r>
        <w:rPr>
          <w:rFonts w:hint="eastAsia" w:ascii="宋体" w:hAnsi="宋体"/>
          <w:color w:val="auto"/>
          <w:sz w:val="24"/>
          <w:highlight w:val="none"/>
          <w:u w:val="single"/>
        </w:rPr>
        <w:t>（标的名称）</w:t>
      </w:r>
      <w:r>
        <w:rPr>
          <w:rFonts w:hint="eastAsia" w:ascii="宋体" w:hAnsi="宋体"/>
          <w:color w:val="auto"/>
          <w:sz w:val="24"/>
          <w:highlight w:val="none"/>
        </w:rPr>
        <w:t>，属于</w:t>
      </w:r>
      <w:r>
        <w:rPr>
          <w:rFonts w:hint="eastAsia" w:ascii="宋体" w:hAnsi="宋体"/>
          <w:color w:val="auto"/>
          <w:sz w:val="24"/>
          <w:highlight w:val="none"/>
          <w:u w:val="single"/>
        </w:rPr>
        <w:t>（招标文件中明确的所属行业）</w:t>
      </w:r>
      <w:r>
        <w:rPr>
          <w:rFonts w:hint="eastAsia" w:ascii="宋体" w:hAnsi="宋体"/>
          <w:color w:val="auto"/>
          <w:sz w:val="24"/>
          <w:highlight w:val="none"/>
        </w:rPr>
        <w:t>；承建（承接）企业为</w:t>
      </w:r>
      <w:r>
        <w:rPr>
          <w:rFonts w:hint="eastAsia" w:ascii="宋体" w:hAnsi="宋体"/>
          <w:color w:val="auto"/>
          <w:sz w:val="24"/>
          <w:highlight w:val="none"/>
          <w:u w:val="single"/>
        </w:rPr>
        <w:t>（企业名称）</w:t>
      </w:r>
      <w:r>
        <w:rPr>
          <w:rFonts w:hint="eastAsia" w:ascii="宋体" w:hAnsi="宋体"/>
          <w:color w:val="auto"/>
          <w:sz w:val="24"/>
          <w:highlight w:val="none"/>
        </w:rPr>
        <w:t>，从业人员</w:t>
      </w:r>
      <w:r>
        <w:rPr>
          <w:rFonts w:hint="eastAsia" w:ascii="宋体" w:hAnsi="宋体"/>
          <w:color w:val="auto"/>
          <w:sz w:val="24"/>
          <w:highlight w:val="none"/>
          <w:u w:val="single"/>
        </w:rPr>
        <w:t xml:space="preserve">   </w:t>
      </w:r>
      <w:r>
        <w:rPr>
          <w:rFonts w:hint="eastAsia" w:ascii="宋体" w:hAnsi="宋体"/>
          <w:color w:val="auto"/>
          <w:sz w:val="24"/>
          <w:highlight w:val="none"/>
        </w:rPr>
        <w:t>人，营业收入为</w:t>
      </w:r>
      <w:r>
        <w:rPr>
          <w:rFonts w:hint="eastAsia" w:ascii="宋体" w:hAnsi="宋体"/>
          <w:color w:val="auto"/>
          <w:sz w:val="24"/>
          <w:highlight w:val="none"/>
          <w:u w:val="single"/>
        </w:rPr>
        <w:t xml:space="preserve">    </w:t>
      </w:r>
      <w:r>
        <w:rPr>
          <w:rFonts w:hint="eastAsia" w:ascii="宋体" w:hAnsi="宋体"/>
          <w:color w:val="auto"/>
          <w:sz w:val="24"/>
          <w:highlight w:val="none"/>
        </w:rPr>
        <w:t>万元，资产总额为</w:t>
      </w:r>
      <w:r>
        <w:rPr>
          <w:rFonts w:hint="eastAsia" w:ascii="宋体" w:hAnsi="宋体"/>
          <w:color w:val="auto"/>
          <w:sz w:val="24"/>
          <w:highlight w:val="none"/>
          <w:u w:val="single"/>
        </w:rPr>
        <w:t xml:space="preserve">    </w:t>
      </w:r>
      <w:r>
        <w:rPr>
          <w:rFonts w:hint="eastAsia" w:ascii="宋体" w:hAnsi="宋体"/>
          <w:color w:val="auto"/>
          <w:sz w:val="24"/>
          <w:highlight w:val="none"/>
        </w:rPr>
        <w:t>万元</w:t>
      </w: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olor w:val="auto"/>
          <w:sz w:val="24"/>
          <w:highlight w:val="none"/>
        </w:rPr>
        <w:t>，属于（中型企业、小型企业、微型企业）；</w:t>
      </w:r>
    </w:p>
    <w:p>
      <w:pPr>
        <w:pStyle w:val="38"/>
        <w:spacing w:line="360" w:lineRule="auto"/>
        <w:ind w:firstLine="480" w:firstLineChars="200"/>
        <w:rPr>
          <w:rFonts w:ascii="宋体" w:hAnsi="宋体"/>
          <w:color w:val="auto"/>
          <w:sz w:val="24"/>
          <w:highlight w:val="none"/>
        </w:rPr>
      </w:pPr>
      <w:r>
        <w:rPr>
          <w:rFonts w:hint="eastAsia" w:ascii="宋体" w:hAnsi="宋体"/>
          <w:color w:val="auto"/>
          <w:sz w:val="24"/>
          <w:highlight w:val="none"/>
        </w:rPr>
        <w:t>2.</w:t>
      </w:r>
      <w:r>
        <w:rPr>
          <w:rFonts w:hint="eastAsia" w:ascii="宋体" w:hAnsi="宋体"/>
          <w:color w:val="auto"/>
          <w:sz w:val="24"/>
          <w:highlight w:val="none"/>
          <w:u w:val="single"/>
        </w:rPr>
        <w:t>（标的名称）</w:t>
      </w:r>
      <w:r>
        <w:rPr>
          <w:rFonts w:hint="eastAsia" w:ascii="宋体" w:hAnsi="宋体"/>
          <w:color w:val="auto"/>
          <w:sz w:val="24"/>
          <w:highlight w:val="none"/>
        </w:rPr>
        <w:t>，属于</w:t>
      </w:r>
      <w:r>
        <w:rPr>
          <w:rFonts w:hint="eastAsia" w:ascii="宋体" w:hAnsi="宋体"/>
          <w:color w:val="auto"/>
          <w:sz w:val="24"/>
          <w:highlight w:val="none"/>
          <w:u w:val="single"/>
        </w:rPr>
        <w:t>（招标文件中明确的所属行业）</w:t>
      </w:r>
      <w:r>
        <w:rPr>
          <w:rFonts w:hint="eastAsia" w:ascii="宋体" w:hAnsi="宋体"/>
          <w:color w:val="auto"/>
          <w:sz w:val="24"/>
          <w:highlight w:val="none"/>
        </w:rPr>
        <w:t>；承建（承接）企业为</w:t>
      </w:r>
      <w:r>
        <w:rPr>
          <w:rFonts w:hint="eastAsia" w:ascii="宋体" w:hAnsi="宋体"/>
          <w:color w:val="auto"/>
          <w:sz w:val="24"/>
          <w:highlight w:val="none"/>
          <w:u w:val="single"/>
        </w:rPr>
        <w:t>（企业名称）</w:t>
      </w:r>
      <w:r>
        <w:rPr>
          <w:rFonts w:hint="eastAsia" w:ascii="宋体" w:hAnsi="宋体"/>
          <w:color w:val="auto"/>
          <w:sz w:val="24"/>
          <w:highlight w:val="none"/>
        </w:rPr>
        <w:t>，从业人员</w:t>
      </w:r>
      <w:r>
        <w:rPr>
          <w:rFonts w:hint="eastAsia" w:ascii="宋体" w:hAnsi="宋体"/>
          <w:color w:val="auto"/>
          <w:sz w:val="24"/>
          <w:highlight w:val="none"/>
          <w:u w:val="single"/>
        </w:rPr>
        <w:t xml:space="preserve">   </w:t>
      </w:r>
      <w:r>
        <w:rPr>
          <w:rFonts w:hint="eastAsia" w:ascii="宋体" w:hAnsi="宋体"/>
          <w:color w:val="auto"/>
          <w:sz w:val="24"/>
          <w:highlight w:val="none"/>
        </w:rPr>
        <w:t>人，营业收入为</w:t>
      </w:r>
      <w:r>
        <w:rPr>
          <w:rFonts w:hint="eastAsia" w:ascii="宋体" w:hAnsi="宋体"/>
          <w:color w:val="auto"/>
          <w:sz w:val="24"/>
          <w:highlight w:val="none"/>
          <w:u w:val="single"/>
        </w:rPr>
        <w:t xml:space="preserve">    </w:t>
      </w:r>
      <w:r>
        <w:rPr>
          <w:rFonts w:hint="eastAsia" w:ascii="宋体" w:hAnsi="宋体"/>
          <w:color w:val="auto"/>
          <w:sz w:val="24"/>
          <w:highlight w:val="none"/>
        </w:rPr>
        <w:t>万元，资产总额为</w:t>
      </w:r>
      <w:r>
        <w:rPr>
          <w:rFonts w:hint="eastAsia" w:ascii="宋体" w:hAnsi="宋体"/>
          <w:color w:val="auto"/>
          <w:sz w:val="24"/>
          <w:highlight w:val="none"/>
          <w:u w:val="single"/>
        </w:rPr>
        <w:t xml:space="preserve">    </w:t>
      </w:r>
      <w:r>
        <w:rPr>
          <w:rFonts w:hint="eastAsia" w:ascii="宋体" w:hAnsi="宋体"/>
          <w:color w:val="auto"/>
          <w:sz w:val="24"/>
          <w:highlight w:val="none"/>
        </w:rPr>
        <w:t>万元，属于（中型企业、小型企业、微型企业）；</w:t>
      </w:r>
    </w:p>
    <w:p>
      <w:pPr>
        <w:pStyle w:val="38"/>
        <w:spacing w:line="360" w:lineRule="auto"/>
        <w:ind w:firstLine="480" w:firstLineChars="200"/>
        <w:rPr>
          <w:rFonts w:ascii="宋体" w:hAnsi="宋体"/>
          <w:color w:val="auto"/>
          <w:sz w:val="24"/>
          <w:highlight w:val="none"/>
        </w:rPr>
      </w:pPr>
      <w:r>
        <w:rPr>
          <w:rFonts w:hint="eastAsia" w:ascii="宋体" w:hAnsi="宋体"/>
          <w:color w:val="auto"/>
          <w:sz w:val="24"/>
          <w:highlight w:val="none"/>
        </w:rPr>
        <w:t>……以上企业，不属于大企业的分支机构，不存在控股股东为大企业的情形，也不存在与大企业的负责人为同一人的情形。</w:t>
      </w:r>
    </w:p>
    <w:p>
      <w:pPr>
        <w:pStyle w:val="38"/>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本企业对上述声明内容的真实性负责。如有虚假，将依法承担相应责任。</w:t>
      </w:r>
    </w:p>
    <w:p>
      <w:pPr>
        <w:pStyle w:val="38"/>
        <w:spacing w:line="360" w:lineRule="auto"/>
        <w:ind w:firstLine="480" w:firstLineChars="200"/>
        <w:rPr>
          <w:rFonts w:ascii="宋体" w:hAnsi="宋体" w:cs="Arial"/>
          <w:bCs/>
          <w:color w:val="auto"/>
          <w:sz w:val="24"/>
          <w:highlight w:val="none"/>
        </w:rPr>
      </w:pPr>
      <w:r>
        <w:rPr>
          <w:rFonts w:ascii="宋体" w:hAnsi="宋体" w:cs="Arial"/>
          <w:bCs/>
          <w:color w:val="auto"/>
          <w:sz w:val="24"/>
          <w:highlight w:val="none"/>
        </w:rPr>
        <w:t>信息查询</w:t>
      </w:r>
      <w:r>
        <w:rPr>
          <w:rFonts w:hint="eastAsia" w:ascii="宋体" w:hAnsi="宋体" w:cs="Arial"/>
          <w:bCs/>
          <w:color w:val="auto"/>
          <w:sz w:val="24"/>
          <w:highlight w:val="none"/>
        </w:rPr>
        <w:t>网址为：</w:t>
      </w:r>
    </w:p>
    <w:p>
      <w:pPr>
        <w:spacing w:line="360" w:lineRule="auto"/>
        <w:rPr>
          <w:rFonts w:ascii="宋体" w:hAnsi="宋体"/>
          <w:color w:val="auto"/>
          <w:spacing w:val="6"/>
          <w:sz w:val="24"/>
          <w:highlight w:val="none"/>
        </w:rPr>
      </w:pPr>
    </w:p>
    <w:p>
      <w:pPr>
        <w:pStyle w:val="38"/>
        <w:spacing w:line="360" w:lineRule="auto"/>
        <w:ind w:firstLine="480" w:firstLineChars="200"/>
        <w:rPr>
          <w:rFonts w:ascii="宋体" w:hAnsi="宋体" w:cs="Arial"/>
          <w:bCs/>
          <w:color w:val="auto"/>
          <w:sz w:val="24"/>
          <w:highlight w:val="none"/>
        </w:rPr>
      </w:pPr>
    </w:p>
    <w:p>
      <w:pPr>
        <w:pStyle w:val="38"/>
        <w:spacing w:line="360" w:lineRule="auto"/>
        <w:rPr>
          <w:rFonts w:ascii="宋体" w:hAnsi="宋体"/>
          <w:color w:val="auto"/>
          <w:sz w:val="24"/>
          <w:highlight w:val="none"/>
        </w:rPr>
      </w:pPr>
    </w:p>
    <w:p>
      <w:pPr>
        <w:pStyle w:val="38"/>
        <w:spacing w:line="360" w:lineRule="auto"/>
        <w:ind w:firstLine="4800" w:firstLineChars="2000"/>
        <w:rPr>
          <w:rFonts w:ascii="宋体" w:hAnsi="宋体"/>
          <w:color w:val="auto"/>
          <w:sz w:val="24"/>
          <w:highlight w:val="none"/>
        </w:rPr>
      </w:pPr>
      <w:r>
        <w:rPr>
          <w:rFonts w:hint="eastAsia" w:ascii="宋体" w:hAnsi="宋体"/>
          <w:color w:val="auto"/>
          <w:sz w:val="24"/>
          <w:highlight w:val="none"/>
        </w:rPr>
        <w:t xml:space="preserve">企业名称（盖章）：              </w:t>
      </w:r>
    </w:p>
    <w:p>
      <w:pPr>
        <w:pStyle w:val="38"/>
        <w:spacing w:line="360" w:lineRule="auto"/>
        <w:ind w:firstLine="4800" w:firstLineChars="2000"/>
        <w:rPr>
          <w:rFonts w:ascii="宋体" w:hAnsi="宋体"/>
          <w:color w:val="auto"/>
          <w:sz w:val="24"/>
          <w:highlight w:val="none"/>
        </w:rPr>
      </w:pPr>
      <w:r>
        <w:rPr>
          <w:rFonts w:hint="eastAsia" w:ascii="宋体" w:hAnsi="宋体"/>
          <w:color w:val="auto"/>
          <w:sz w:val="24"/>
          <w:highlight w:val="none"/>
        </w:rPr>
        <w:t>日 期：</w:t>
      </w:r>
    </w:p>
    <w:p>
      <w:pPr>
        <w:pStyle w:val="7"/>
        <w:rPr>
          <w:rFonts w:ascii="宋体" w:hAnsi="宋体" w:cs="宋体"/>
          <w:color w:val="auto"/>
          <w:sz w:val="24"/>
          <w:szCs w:val="24"/>
          <w:highlight w:val="none"/>
        </w:rPr>
      </w:pPr>
    </w:p>
    <w:p>
      <w:pPr>
        <w:pStyle w:val="7"/>
        <w:rPr>
          <w:rFonts w:ascii="宋体" w:hAnsi="宋体" w:cs="宋体"/>
          <w:color w:val="auto"/>
          <w:sz w:val="24"/>
          <w:szCs w:val="24"/>
          <w:highlight w:val="none"/>
        </w:rPr>
      </w:pPr>
    </w:p>
    <w:p>
      <w:pPr>
        <w:spacing w:line="360" w:lineRule="auto"/>
        <w:rPr>
          <w:rFonts w:ascii="宋体" w:hAnsi="宋体" w:cs="宋体"/>
          <w:color w:val="auto"/>
          <w:sz w:val="24"/>
          <w:highlight w:val="none"/>
        </w:rPr>
      </w:pPr>
      <w:r>
        <w:rPr>
          <w:rFonts w:ascii="宋体" w:hAnsi="宋体" w:cs="宋体"/>
          <w:color w:val="auto"/>
          <w:sz w:val="24"/>
          <w:highlight w:val="none"/>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pPr>
        <w:spacing w:line="360" w:lineRule="auto"/>
        <w:rPr>
          <w:rFonts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 1 \* GB3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①</w:t>
      </w:r>
      <w:r>
        <w:rPr>
          <w:rFonts w:hint="eastAsia" w:ascii="宋体" w:hAnsi="宋体" w:cs="宋体"/>
          <w:color w:val="auto"/>
          <w:sz w:val="24"/>
          <w:highlight w:val="none"/>
        </w:rPr>
        <w:fldChar w:fldCharType="end"/>
      </w:r>
      <w:r>
        <w:rPr>
          <w:rFonts w:hint="eastAsia" w:ascii="宋体" w:hAnsi="宋体" w:cs="宋体"/>
          <w:color w:val="auto"/>
          <w:sz w:val="24"/>
          <w:highlight w:val="none"/>
        </w:rPr>
        <w:t>从业人员、营业收入、资产总额填报上一年度数据，无上一年度数据的新成立企业可不填报。</w:t>
      </w:r>
    </w:p>
    <w:p>
      <w:pPr>
        <w:rPr>
          <w:rFonts w:ascii="宋体" w:hAnsi="宋体" w:cs="宋体"/>
          <w:color w:val="auto"/>
          <w:sz w:val="24"/>
          <w:highlight w:val="none"/>
        </w:rPr>
        <w:sectPr>
          <w:headerReference r:id="rId3" w:type="default"/>
          <w:footerReference r:id="rId4" w:type="default"/>
          <w:pgSz w:w="11906" w:h="16838"/>
          <w:pgMar w:top="1701" w:right="1448" w:bottom="1531" w:left="1418" w:header="851" w:footer="851" w:gutter="0"/>
          <w:cols w:space="720" w:num="1"/>
          <w:docGrid w:linePitch="312" w:charSpace="0"/>
        </w:sectPr>
      </w:pPr>
      <w:r>
        <w:rPr>
          <w:rFonts w:hint="eastAsia" w:ascii="宋体" w:hAnsi="宋体" w:cs="宋体"/>
          <w:color w:val="auto"/>
          <w:sz w:val="24"/>
          <w:highlight w:val="none"/>
        </w:rPr>
        <w:t>②本声明函将随中标结果公开，接受社会监督。</w:t>
      </w:r>
    </w:p>
    <w:p>
      <w:pPr>
        <w:pStyle w:val="11"/>
        <w:spacing w:line="360" w:lineRule="auto"/>
        <w:jc w:val="center"/>
        <w:outlineLvl w:val="1"/>
        <w:rPr>
          <w:rFonts w:hAnsi="宋体" w:cs="宋体"/>
          <w:b/>
          <w:color w:val="auto"/>
          <w:sz w:val="32"/>
          <w:szCs w:val="32"/>
          <w:highlight w:val="none"/>
          <w:lang w:val="en-GB"/>
        </w:rPr>
      </w:pPr>
      <w:bookmarkStart w:id="83" w:name="_Toc17646_WPSOffice_Level1"/>
      <w:bookmarkStart w:id="84" w:name="_Toc27483_WPSOffice_Level1"/>
      <w:r>
        <w:rPr>
          <w:rFonts w:hint="eastAsia" w:hAnsi="宋体" w:cs="宋体"/>
          <w:b/>
          <w:color w:val="auto"/>
          <w:sz w:val="32"/>
          <w:szCs w:val="32"/>
          <w:highlight w:val="none"/>
          <w:lang w:val="en-GB"/>
        </w:rPr>
        <w:t>残疾人福利性单位声明函</w:t>
      </w:r>
      <w:bookmarkEnd w:id="83"/>
      <w:bookmarkEnd w:id="84"/>
    </w:p>
    <w:p>
      <w:pPr>
        <w:spacing w:line="360" w:lineRule="auto"/>
        <w:ind w:firstLine="480" w:firstLineChars="200"/>
        <w:rPr>
          <w:rFonts w:ascii="宋体" w:hAnsi="宋体" w:cs="宋体"/>
          <w:color w:val="auto"/>
          <w:sz w:val="24"/>
          <w:highlight w:val="none"/>
        </w:rPr>
      </w:pP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单位的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pPr>
        <w:pStyle w:val="18"/>
        <w:rPr>
          <w:color w:val="auto"/>
          <w:highlight w:val="none"/>
        </w:rPr>
      </w:pPr>
    </w:p>
    <w:p>
      <w:pPr>
        <w:tabs>
          <w:tab w:val="left" w:pos="4860"/>
        </w:tabs>
        <w:spacing w:line="588" w:lineRule="exact"/>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p>
    <w:p>
      <w:pPr>
        <w:pStyle w:val="38"/>
        <w:spacing w:line="360" w:lineRule="auto"/>
        <w:ind w:left="4788" w:leftChars="2280"/>
        <w:rPr>
          <w:rFonts w:ascii="宋体" w:hAnsi="宋体" w:cs="宋体"/>
          <w:color w:val="auto"/>
          <w:sz w:val="24"/>
          <w:highlight w:val="none"/>
        </w:rPr>
      </w:pPr>
      <w:r>
        <w:rPr>
          <w:rFonts w:hint="eastAsia" w:ascii="宋体" w:hAnsi="宋体" w:cs="宋体"/>
          <w:color w:val="auto"/>
          <w:sz w:val="24"/>
          <w:highlight w:val="none"/>
        </w:rPr>
        <w:t xml:space="preserve">       </w:t>
      </w:r>
    </w:p>
    <w:p>
      <w:pPr>
        <w:pStyle w:val="38"/>
        <w:spacing w:line="360" w:lineRule="auto"/>
        <w:ind w:left="4788" w:leftChars="2280"/>
        <w:rPr>
          <w:rFonts w:ascii="宋体" w:hAnsi="宋体"/>
          <w:color w:val="auto"/>
          <w:sz w:val="24"/>
          <w:highlight w:val="none"/>
        </w:rPr>
      </w:pPr>
      <w:r>
        <w:rPr>
          <w:rFonts w:hint="eastAsia" w:ascii="宋体" w:hAnsi="宋体"/>
          <w:color w:val="auto"/>
          <w:sz w:val="24"/>
          <w:highlight w:val="none"/>
        </w:rPr>
        <w:t>单位名称（盖章）：</w:t>
      </w:r>
    </w:p>
    <w:p>
      <w:pPr>
        <w:pStyle w:val="38"/>
        <w:spacing w:line="360" w:lineRule="auto"/>
        <w:ind w:left="3591" w:leftChars="1710" w:firstLine="1200" w:firstLineChars="500"/>
        <w:rPr>
          <w:rFonts w:hint="eastAsia" w:ascii="宋体" w:hAnsi="宋体"/>
          <w:color w:val="auto"/>
          <w:sz w:val="24"/>
          <w:highlight w:val="none"/>
        </w:rPr>
      </w:pPr>
      <w:r>
        <w:rPr>
          <w:rFonts w:hint="eastAsia" w:ascii="宋体" w:hAnsi="宋体"/>
          <w:color w:val="auto"/>
          <w:sz w:val="24"/>
          <w:highlight w:val="none"/>
        </w:rPr>
        <w:t>日  期  ：</w:t>
      </w:r>
    </w:p>
    <w:p>
      <w:pPr>
        <w:pStyle w:val="38"/>
        <w:spacing w:line="360" w:lineRule="auto"/>
        <w:ind w:left="3591" w:leftChars="1710" w:firstLine="1200" w:firstLineChars="500"/>
        <w:rPr>
          <w:rFonts w:hint="eastAsia" w:ascii="宋体" w:hAnsi="宋体"/>
          <w:color w:val="auto"/>
          <w:sz w:val="24"/>
          <w:highlight w:val="none"/>
        </w:rPr>
      </w:pPr>
    </w:p>
    <w:p>
      <w:pPr>
        <w:pStyle w:val="38"/>
        <w:spacing w:line="360" w:lineRule="auto"/>
        <w:ind w:left="3591" w:leftChars="1710" w:firstLine="1200" w:firstLineChars="500"/>
        <w:rPr>
          <w:rFonts w:hint="eastAsia" w:ascii="宋体" w:hAnsi="宋体"/>
          <w:color w:val="auto"/>
          <w:sz w:val="24"/>
          <w:highlight w:val="none"/>
        </w:rPr>
      </w:pPr>
    </w:p>
    <w:p>
      <w:pPr>
        <w:rPr>
          <w:rFonts w:hint="eastAsia" w:ascii="宋体" w:hAnsi="宋体"/>
          <w:b/>
          <w:color w:val="auto"/>
          <w:sz w:val="28"/>
          <w:highlight w:val="none"/>
        </w:rPr>
      </w:pPr>
      <w:r>
        <w:rPr>
          <w:rFonts w:hint="eastAsia" w:ascii="宋体" w:hAnsi="宋体"/>
          <w:b/>
          <w:color w:val="auto"/>
          <w:sz w:val="28"/>
          <w:highlight w:val="none"/>
        </w:rPr>
        <w:br w:type="page"/>
      </w:r>
    </w:p>
    <w:p>
      <w:pPr>
        <w:spacing w:line="360" w:lineRule="auto"/>
        <w:rPr>
          <w:rFonts w:hint="eastAsia" w:ascii="宋体" w:hAnsi="宋体" w:eastAsia="宋体"/>
          <w:b/>
          <w:color w:val="auto"/>
          <w:sz w:val="28"/>
          <w:highlight w:val="none"/>
          <w:lang w:eastAsia="zh-CN"/>
        </w:rPr>
      </w:pPr>
      <w:r>
        <w:rPr>
          <w:rFonts w:hint="eastAsia" w:ascii="宋体" w:hAnsi="宋体"/>
          <w:b/>
          <w:color w:val="auto"/>
          <w:sz w:val="28"/>
          <w:highlight w:val="none"/>
        </w:rPr>
        <w:t>附件1</w:t>
      </w:r>
      <w:r>
        <w:rPr>
          <w:rFonts w:hint="eastAsia" w:ascii="宋体" w:hAnsi="宋体"/>
          <w:b/>
          <w:color w:val="auto"/>
          <w:sz w:val="28"/>
          <w:highlight w:val="none"/>
          <w:lang w:val="en-US" w:eastAsia="zh-CN"/>
        </w:rPr>
        <w:t>3</w:t>
      </w:r>
    </w:p>
    <w:p>
      <w:pPr>
        <w:spacing w:line="360" w:lineRule="auto"/>
        <w:ind w:left="480"/>
        <w:jc w:val="center"/>
        <w:rPr>
          <w:rFonts w:ascii="宋体" w:hAnsi="宋体"/>
          <w:color w:val="auto"/>
          <w:highlight w:val="none"/>
        </w:rPr>
      </w:pPr>
      <w:r>
        <w:rPr>
          <w:rFonts w:hint="eastAsia" w:ascii="宋体" w:hAnsi="宋体"/>
          <w:b/>
          <w:color w:val="auto"/>
          <w:sz w:val="32"/>
          <w:szCs w:val="32"/>
          <w:highlight w:val="none"/>
        </w:rPr>
        <w:t xml:space="preserve">报价明细表 </w:t>
      </w:r>
      <w:r>
        <w:rPr>
          <w:rFonts w:hint="eastAsia" w:ascii="宋体" w:hAnsi="宋体"/>
          <w:color w:val="auto"/>
          <w:sz w:val="24"/>
          <w:highlight w:val="none"/>
        </w:rPr>
        <w:t xml:space="preserve">                                                                                                                                        </w:t>
      </w:r>
    </w:p>
    <w:p>
      <w:pPr>
        <w:spacing w:line="360" w:lineRule="auto"/>
        <w:rPr>
          <w:rFonts w:ascii="宋体" w:hAnsi="宋体"/>
          <w:color w:val="auto"/>
          <w:sz w:val="24"/>
          <w:highlight w:val="none"/>
        </w:rPr>
      </w:pPr>
      <w:r>
        <w:rPr>
          <w:rFonts w:hint="eastAsia" w:ascii="宋体" w:hAnsi="宋体"/>
          <w:color w:val="auto"/>
          <w:sz w:val="24"/>
          <w:highlight w:val="none"/>
        </w:rPr>
        <w:t xml:space="preserve">  项目编号：</w:t>
      </w:r>
      <w:r>
        <w:rPr>
          <w:rFonts w:hint="eastAsia" w:ascii="宋体" w:hAnsi="宋体"/>
          <w:color w:val="auto"/>
          <w:sz w:val="24"/>
          <w:highlight w:val="none"/>
          <w:u w:val="single"/>
        </w:rPr>
        <w:t xml:space="preserve">             </w:t>
      </w:r>
    </w:p>
    <w:p>
      <w:pPr>
        <w:pStyle w:val="37"/>
        <w:spacing w:line="360" w:lineRule="auto"/>
        <w:ind w:right="480"/>
        <w:jc w:val="right"/>
        <w:rPr>
          <w:rFonts w:ascii="宋体" w:hAnsi="宋体"/>
          <w:color w:val="auto"/>
          <w:sz w:val="24"/>
          <w:highlight w:val="none"/>
        </w:rPr>
      </w:pPr>
      <w:r>
        <w:rPr>
          <w:rFonts w:hint="eastAsia" w:ascii="宋体" w:hAnsi="宋体"/>
          <w:color w:val="auto"/>
          <w:sz w:val="24"/>
          <w:highlight w:val="none"/>
        </w:rPr>
        <w:t>[货币单位：人民币元]</w:t>
      </w:r>
    </w:p>
    <w:tbl>
      <w:tblPr>
        <w:tblStyle w:val="19"/>
        <w:tblW w:w="890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921"/>
        <w:gridCol w:w="1405"/>
        <w:gridCol w:w="2101"/>
        <w:gridCol w:w="1473"/>
        <w:gridCol w:w="1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22" w:hRule="atLeast"/>
        </w:trPr>
        <w:tc>
          <w:tcPr>
            <w:tcW w:w="734" w:type="dxa"/>
            <w:vAlign w:val="center"/>
          </w:tcPr>
          <w:p>
            <w:pPr>
              <w:spacing w:line="360" w:lineRule="auto"/>
              <w:rPr>
                <w:rFonts w:ascii="宋体" w:hAnsi="宋体"/>
                <w:b/>
                <w:color w:val="auto"/>
                <w:sz w:val="24"/>
                <w:highlight w:val="none"/>
              </w:rPr>
            </w:pPr>
            <w:r>
              <w:rPr>
                <w:rFonts w:hint="eastAsia" w:ascii="宋体" w:hAnsi="宋体"/>
                <w:b/>
                <w:color w:val="auto"/>
                <w:sz w:val="24"/>
                <w:highlight w:val="none"/>
              </w:rPr>
              <w:t>序号</w:t>
            </w:r>
          </w:p>
        </w:tc>
        <w:tc>
          <w:tcPr>
            <w:tcW w:w="1921" w:type="dxa"/>
            <w:vAlign w:val="center"/>
          </w:tcPr>
          <w:p>
            <w:pPr>
              <w:spacing w:line="360" w:lineRule="auto"/>
              <w:rPr>
                <w:rFonts w:ascii="宋体" w:hAnsi="宋体"/>
                <w:b/>
                <w:color w:val="auto"/>
                <w:sz w:val="24"/>
                <w:highlight w:val="none"/>
              </w:rPr>
            </w:pPr>
            <w:r>
              <w:rPr>
                <w:rFonts w:hint="eastAsia" w:ascii="宋体" w:hAnsi="宋体"/>
                <w:b/>
                <w:color w:val="auto"/>
                <w:sz w:val="24"/>
                <w:highlight w:val="none"/>
              </w:rPr>
              <w:t>报价名称（成本组成内容）</w:t>
            </w:r>
          </w:p>
        </w:tc>
        <w:tc>
          <w:tcPr>
            <w:tcW w:w="1405" w:type="dxa"/>
            <w:vAlign w:val="center"/>
          </w:tcPr>
          <w:p>
            <w:pPr>
              <w:spacing w:line="360" w:lineRule="auto"/>
              <w:ind w:left="152"/>
              <w:jc w:val="center"/>
              <w:rPr>
                <w:rFonts w:ascii="宋体" w:hAnsi="宋体"/>
                <w:b/>
                <w:color w:val="auto"/>
                <w:sz w:val="24"/>
                <w:highlight w:val="none"/>
              </w:rPr>
            </w:pPr>
            <w:r>
              <w:rPr>
                <w:rFonts w:hint="eastAsia" w:ascii="宋体" w:hAnsi="宋体"/>
                <w:b/>
                <w:color w:val="auto"/>
                <w:sz w:val="24"/>
                <w:highlight w:val="none"/>
              </w:rPr>
              <w:t>数量</w:t>
            </w:r>
          </w:p>
        </w:tc>
        <w:tc>
          <w:tcPr>
            <w:tcW w:w="2101"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单价</w:t>
            </w:r>
          </w:p>
        </w:tc>
        <w:tc>
          <w:tcPr>
            <w:tcW w:w="1473"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小计</w:t>
            </w:r>
          </w:p>
        </w:tc>
        <w:tc>
          <w:tcPr>
            <w:tcW w:w="1266" w:type="dxa"/>
            <w:vAlign w:val="center"/>
          </w:tcPr>
          <w:p>
            <w:pPr>
              <w:spacing w:line="360" w:lineRule="auto"/>
              <w:jc w:val="center"/>
              <w:rPr>
                <w:rFonts w:ascii="宋体" w:hAnsi="宋体"/>
                <w:b/>
                <w:color w:val="auto"/>
                <w:sz w:val="24"/>
                <w:highlight w:val="none"/>
              </w:rPr>
            </w:pPr>
            <w:r>
              <w:rPr>
                <w:rFonts w:hint="eastAsia" w:ascii="宋体" w:hAnsi="宋体"/>
                <w:b/>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trPr>
        <w:tc>
          <w:tcPr>
            <w:tcW w:w="734" w:type="dxa"/>
          </w:tcPr>
          <w:p>
            <w:pPr>
              <w:pStyle w:val="46"/>
              <w:spacing w:line="360" w:lineRule="auto"/>
              <w:jc w:val="center"/>
              <w:rPr>
                <w:rFonts w:ascii="仿宋_GB2312" w:hAnsi="仿宋" w:eastAsia="仿宋_GB2312"/>
                <w:color w:val="auto"/>
                <w:sz w:val="30"/>
                <w:szCs w:val="30"/>
                <w:highlight w:val="none"/>
              </w:rPr>
            </w:pPr>
            <w:r>
              <w:rPr>
                <w:rFonts w:hint="eastAsia" w:ascii="仿宋_GB2312" w:hAnsi="仿宋" w:eastAsia="仿宋_GB2312"/>
                <w:color w:val="auto"/>
                <w:sz w:val="30"/>
                <w:szCs w:val="30"/>
                <w:highlight w:val="none"/>
              </w:rPr>
              <w:t>1</w:t>
            </w:r>
          </w:p>
        </w:tc>
        <w:tc>
          <w:tcPr>
            <w:tcW w:w="1921" w:type="dxa"/>
            <w:vAlign w:val="center"/>
          </w:tcPr>
          <w:p>
            <w:pPr>
              <w:spacing w:line="360" w:lineRule="auto"/>
              <w:rPr>
                <w:rFonts w:ascii="仿宋_GB2312" w:hAnsi="仿宋" w:eastAsia="仿宋_GB2312"/>
                <w:color w:val="auto"/>
                <w:sz w:val="28"/>
                <w:szCs w:val="28"/>
                <w:highlight w:val="none"/>
              </w:rPr>
            </w:pPr>
          </w:p>
        </w:tc>
        <w:tc>
          <w:tcPr>
            <w:tcW w:w="1405" w:type="dxa"/>
            <w:vAlign w:val="center"/>
          </w:tcPr>
          <w:p>
            <w:pPr>
              <w:spacing w:line="360" w:lineRule="auto"/>
              <w:rPr>
                <w:rFonts w:ascii="宋体" w:hAnsi="宋体"/>
                <w:color w:val="auto"/>
                <w:sz w:val="24"/>
                <w:highlight w:val="none"/>
              </w:rPr>
            </w:pPr>
          </w:p>
        </w:tc>
        <w:tc>
          <w:tcPr>
            <w:tcW w:w="2101" w:type="dxa"/>
            <w:vAlign w:val="center"/>
          </w:tcPr>
          <w:p>
            <w:pPr>
              <w:spacing w:line="360" w:lineRule="auto"/>
              <w:rPr>
                <w:rFonts w:ascii="宋体" w:hAnsi="宋体"/>
                <w:color w:val="auto"/>
                <w:sz w:val="24"/>
                <w:highlight w:val="none"/>
              </w:rPr>
            </w:pPr>
          </w:p>
        </w:tc>
        <w:tc>
          <w:tcPr>
            <w:tcW w:w="1473" w:type="dxa"/>
            <w:vAlign w:val="center"/>
          </w:tcPr>
          <w:p>
            <w:pPr>
              <w:spacing w:line="360" w:lineRule="auto"/>
              <w:rPr>
                <w:rFonts w:ascii="宋体" w:hAnsi="宋体"/>
                <w:color w:val="auto"/>
                <w:sz w:val="24"/>
                <w:highlight w:val="none"/>
              </w:rPr>
            </w:pPr>
          </w:p>
        </w:tc>
        <w:tc>
          <w:tcPr>
            <w:tcW w:w="1266" w:type="dxa"/>
            <w:vAlign w:val="center"/>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trPr>
        <w:tc>
          <w:tcPr>
            <w:tcW w:w="734" w:type="dxa"/>
          </w:tcPr>
          <w:p>
            <w:pPr>
              <w:pStyle w:val="46"/>
              <w:spacing w:line="360" w:lineRule="auto"/>
              <w:jc w:val="center"/>
              <w:rPr>
                <w:rFonts w:ascii="仿宋_GB2312" w:hAnsi="仿宋" w:eastAsia="仿宋_GB2312"/>
                <w:color w:val="auto"/>
                <w:sz w:val="30"/>
                <w:szCs w:val="30"/>
                <w:highlight w:val="none"/>
              </w:rPr>
            </w:pPr>
            <w:r>
              <w:rPr>
                <w:rFonts w:hint="eastAsia" w:ascii="仿宋_GB2312" w:hAnsi="仿宋" w:eastAsia="仿宋_GB2312"/>
                <w:color w:val="auto"/>
                <w:sz w:val="30"/>
                <w:szCs w:val="30"/>
                <w:highlight w:val="none"/>
              </w:rPr>
              <w:t>2</w:t>
            </w:r>
          </w:p>
        </w:tc>
        <w:tc>
          <w:tcPr>
            <w:tcW w:w="1921" w:type="dxa"/>
            <w:vAlign w:val="center"/>
          </w:tcPr>
          <w:p>
            <w:pPr>
              <w:spacing w:line="360" w:lineRule="auto"/>
              <w:rPr>
                <w:rFonts w:ascii="仿宋_GB2312" w:hAnsi="仿宋" w:eastAsia="仿宋_GB2312"/>
                <w:color w:val="auto"/>
                <w:sz w:val="28"/>
                <w:szCs w:val="28"/>
                <w:highlight w:val="none"/>
              </w:rPr>
            </w:pPr>
          </w:p>
        </w:tc>
        <w:tc>
          <w:tcPr>
            <w:tcW w:w="1405" w:type="dxa"/>
            <w:vAlign w:val="center"/>
          </w:tcPr>
          <w:p>
            <w:pPr>
              <w:spacing w:line="360" w:lineRule="auto"/>
              <w:rPr>
                <w:rFonts w:ascii="宋体" w:hAnsi="宋体"/>
                <w:color w:val="auto"/>
                <w:sz w:val="24"/>
                <w:highlight w:val="none"/>
              </w:rPr>
            </w:pPr>
          </w:p>
        </w:tc>
        <w:tc>
          <w:tcPr>
            <w:tcW w:w="2101" w:type="dxa"/>
            <w:vAlign w:val="center"/>
          </w:tcPr>
          <w:p>
            <w:pPr>
              <w:spacing w:line="360" w:lineRule="auto"/>
              <w:rPr>
                <w:rFonts w:ascii="宋体" w:hAnsi="宋体"/>
                <w:color w:val="auto"/>
                <w:sz w:val="24"/>
                <w:highlight w:val="none"/>
              </w:rPr>
            </w:pPr>
          </w:p>
        </w:tc>
        <w:tc>
          <w:tcPr>
            <w:tcW w:w="1473" w:type="dxa"/>
            <w:vAlign w:val="center"/>
          </w:tcPr>
          <w:p>
            <w:pPr>
              <w:spacing w:line="360" w:lineRule="auto"/>
              <w:rPr>
                <w:rFonts w:ascii="宋体" w:hAnsi="宋体"/>
                <w:color w:val="auto"/>
                <w:sz w:val="24"/>
                <w:highlight w:val="none"/>
              </w:rPr>
            </w:pPr>
          </w:p>
        </w:tc>
        <w:tc>
          <w:tcPr>
            <w:tcW w:w="1266" w:type="dxa"/>
            <w:vAlign w:val="center"/>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trPr>
        <w:tc>
          <w:tcPr>
            <w:tcW w:w="734" w:type="dxa"/>
            <w:vAlign w:val="center"/>
          </w:tcPr>
          <w:p>
            <w:pPr>
              <w:spacing w:line="360" w:lineRule="auto"/>
              <w:jc w:val="center"/>
              <w:rPr>
                <w:rFonts w:ascii="宋体" w:hAnsi="宋体"/>
                <w:color w:val="auto"/>
                <w:sz w:val="24"/>
                <w:highlight w:val="none"/>
              </w:rPr>
            </w:pPr>
            <w:r>
              <w:rPr>
                <w:rFonts w:hint="eastAsia" w:ascii="仿宋_GB2312" w:hAnsi="仿宋" w:eastAsia="仿宋_GB2312"/>
                <w:color w:val="auto"/>
                <w:sz w:val="30"/>
                <w:szCs w:val="30"/>
                <w:highlight w:val="none"/>
              </w:rPr>
              <w:t>3</w:t>
            </w:r>
          </w:p>
        </w:tc>
        <w:tc>
          <w:tcPr>
            <w:tcW w:w="1921" w:type="dxa"/>
            <w:vAlign w:val="center"/>
          </w:tcPr>
          <w:p>
            <w:pPr>
              <w:spacing w:line="360" w:lineRule="auto"/>
              <w:rPr>
                <w:rFonts w:ascii="宋体" w:hAnsi="宋体"/>
                <w:color w:val="auto"/>
                <w:sz w:val="24"/>
                <w:highlight w:val="none"/>
              </w:rPr>
            </w:pPr>
          </w:p>
        </w:tc>
        <w:tc>
          <w:tcPr>
            <w:tcW w:w="1405" w:type="dxa"/>
            <w:vAlign w:val="center"/>
          </w:tcPr>
          <w:p>
            <w:pPr>
              <w:spacing w:line="360" w:lineRule="auto"/>
              <w:rPr>
                <w:rFonts w:ascii="宋体" w:hAnsi="宋体"/>
                <w:color w:val="auto"/>
                <w:sz w:val="24"/>
                <w:highlight w:val="none"/>
              </w:rPr>
            </w:pPr>
          </w:p>
        </w:tc>
        <w:tc>
          <w:tcPr>
            <w:tcW w:w="2101" w:type="dxa"/>
            <w:vAlign w:val="center"/>
          </w:tcPr>
          <w:p>
            <w:pPr>
              <w:spacing w:line="360" w:lineRule="auto"/>
              <w:rPr>
                <w:rFonts w:ascii="宋体" w:hAnsi="宋体"/>
                <w:color w:val="auto"/>
                <w:sz w:val="24"/>
                <w:highlight w:val="none"/>
              </w:rPr>
            </w:pPr>
          </w:p>
        </w:tc>
        <w:tc>
          <w:tcPr>
            <w:tcW w:w="1473" w:type="dxa"/>
            <w:vAlign w:val="center"/>
          </w:tcPr>
          <w:p>
            <w:pPr>
              <w:spacing w:line="360" w:lineRule="auto"/>
              <w:rPr>
                <w:rFonts w:ascii="宋体" w:hAnsi="宋体"/>
                <w:color w:val="auto"/>
                <w:sz w:val="24"/>
                <w:highlight w:val="none"/>
              </w:rPr>
            </w:pPr>
          </w:p>
        </w:tc>
        <w:tc>
          <w:tcPr>
            <w:tcW w:w="1266" w:type="dxa"/>
            <w:vAlign w:val="center"/>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80" w:hRule="atLeast"/>
        </w:trPr>
        <w:tc>
          <w:tcPr>
            <w:tcW w:w="734" w:type="dxa"/>
            <w:vAlign w:val="center"/>
          </w:tcPr>
          <w:p>
            <w:pPr>
              <w:spacing w:line="360" w:lineRule="auto"/>
              <w:rPr>
                <w:rFonts w:ascii="宋体" w:hAnsi="宋体"/>
                <w:color w:val="auto"/>
                <w:sz w:val="24"/>
                <w:highlight w:val="none"/>
              </w:rPr>
            </w:pPr>
            <w:r>
              <w:rPr>
                <w:rFonts w:hint="eastAsia" w:ascii="仿宋_GB2312" w:hAnsi="仿宋" w:eastAsia="仿宋_GB2312"/>
                <w:color w:val="auto"/>
                <w:sz w:val="30"/>
                <w:szCs w:val="30"/>
                <w:highlight w:val="none"/>
              </w:rPr>
              <w:t>……</w:t>
            </w:r>
          </w:p>
        </w:tc>
        <w:tc>
          <w:tcPr>
            <w:tcW w:w="1921" w:type="dxa"/>
            <w:vAlign w:val="center"/>
          </w:tcPr>
          <w:p>
            <w:pPr>
              <w:spacing w:line="360" w:lineRule="auto"/>
              <w:rPr>
                <w:rFonts w:ascii="宋体" w:hAnsi="宋体"/>
                <w:color w:val="auto"/>
                <w:sz w:val="24"/>
                <w:highlight w:val="none"/>
              </w:rPr>
            </w:pPr>
          </w:p>
        </w:tc>
        <w:tc>
          <w:tcPr>
            <w:tcW w:w="1405" w:type="dxa"/>
            <w:vAlign w:val="center"/>
          </w:tcPr>
          <w:p>
            <w:pPr>
              <w:spacing w:line="360" w:lineRule="auto"/>
              <w:rPr>
                <w:rFonts w:ascii="宋体" w:hAnsi="宋体"/>
                <w:color w:val="auto"/>
                <w:sz w:val="24"/>
                <w:highlight w:val="none"/>
              </w:rPr>
            </w:pPr>
          </w:p>
        </w:tc>
        <w:tc>
          <w:tcPr>
            <w:tcW w:w="2101" w:type="dxa"/>
            <w:vAlign w:val="center"/>
          </w:tcPr>
          <w:p>
            <w:pPr>
              <w:spacing w:line="360" w:lineRule="auto"/>
              <w:rPr>
                <w:rFonts w:ascii="宋体" w:hAnsi="宋体"/>
                <w:color w:val="auto"/>
                <w:sz w:val="24"/>
                <w:highlight w:val="none"/>
              </w:rPr>
            </w:pPr>
          </w:p>
        </w:tc>
        <w:tc>
          <w:tcPr>
            <w:tcW w:w="1473" w:type="dxa"/>
            <w:vAlign w:val="center"/>
          </w:tcPr>
          <w:p>
            <w:pPr>
              <w:spacing w:line="360" w:lineRule="auto"/>
              <w:rPr>
                <w:rFonts w:ascii="宋体" w:hAnsi="宋体"/>
                <w:color w:val="auto"/>
                <w:sz w:val="24"/>
                <w:highlight w:val="none"/>
              </w:rPr>
            </w:pPr>
          </w:p>
        </w:tc>
        <w:tc>
          <w:tcPr>
            <w:tcW w:w="1266" w:type="dxa"/>
            <w:vAlign w:val="center"/>
          </w:tcPr>
          <w:p>
            <w:pPr>
              <w:spacing w:line="360" w:lineRule="auto"/>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07" w:hRule="atLeast"/>
        </w:trPr>
        <w:tc>
          <w:tcPr>
            <w:tcW w:w="8900" w:type="dxa"/>
            <w:gridSpan w:val="6"/>
            <w:vAlign w:val="center"/>
          </w:tcPr>
          <w:p>
            <w:pPr>
              <w:spacing w:line="360" w:lineRule="auto"/>
              <w:rPr>
                <w:rFonts w:ascii="宋体" w:hAnsi="宋体"/>
                <w:color w:val="auto"/>
                <w:sz w:val="24"/>
                <w:highlight w:val="none"/>
              </w:rPr>
            </w:pPr>
            <w:r>
              <w:rPr>
                <w:rFonts w:hint="eastAsia" w:ascii="宋体" w:hAnsi="宋体"/>
                <w:b/>
                <w:color w:val="auto"/>
                <w:sz w:val="24"/>
                <w:highlight w:val="none"/>
              </w:rPr>
              <w:t>合计人民币：大写                              小写</w:t>
            </w:r>
          </w:p>
        </w:tc>
      </w:tr>
    </w:tbl>
    <w:p>
      <w:pPr>
        <w:spacing w:line="360" w:lineRule="auto"/>
        <w:rPr>
          <w:rFonts w:ascii="宋体" w:hAnsi="宋体"/>
          <w:b/>
          <w:color w:val="auto"/>
          <w:szCs w:val="21"/>
          <w:highlight w:val="none"/>
        </w:rPr>
      </w:pPr>
      <w:r>
        <w:rPr>
          <w:rFonts w:hint="eastAsia" w:ascii="宋体" w:hAnsi="宋体"/>
          <w:b/>
          <w:color w:val="auto"/>
          <w:szCs w:val="21"/>
          <w:highlight w:val="none"/>
        </w:rPr>
        <w:t>要求：</w:t>
      </w:r>
    </w:p>
    <w:p>
      <w:pPr>
        <w:spacing w:line="360" w:lineRule="auto"/>
        <w:ind w:left="435"/>
        <w:rPr>
          <w:rFonts w:ascii="宋体" w:hAnsi="宋体"/>
          <w:color w:val="auto"/>
          <w:szCs w:val="21"/>
          <w:highlight w:val="none"/>
        </w:rPr>
      </w:pPr>
      <w:r>
        <w:rPr>
          <w:rFonts w:hint="eastAsia" w:ascii="宋体" w:hAnsi="宋体"/>
          <w:color w:val="auto"/>
          <w:szCs w:val="21"/>
          <w:highlight w:val="none"/>
        </w:rPr>
        <w:t>1. 本表为《开标一览表》的报价明细表，如有缺项、漏项，视为投标报价中已包含相关费用，采购人无需另外支付任何费用。</w:t>
      </w:r>
    </w:p>
    <w:p>
      <w:pPr>
        <w:spacing w:line="360" w:lineRule="auto"/>
        <w:ind w:left="435"/>
        <w:rPr>
          <w:rFonts w:ascii="宋体"/>
          <w:color w:val="auto"/>
          <w:szCs w:val="21"/>
          <w:highlight w:val="none"/>
          <w:lang w:val="zh-CN"/>
        </w:rPr>
      </w:pPr>
      <w:r>
        <w:rPr>
          <w:rFonts w:hint="eastAsia" w:ascii="宋体" w:hAnsi="宋体"/>
          <w:color w:val="auto"/>
          <w:szCs w:val="21"/>
          <w:highlight w:val="none"/>
        </w:rPr>
        <w:t>2.</w:t>
      </w:r>
      <w:r>
        <w:rPr>
          <w:rFonts w:hint="eastAsia" w:ascii="宋体"/>
          <w:color w:val="auto"/>
          <w:szCs w:val="21"/>
          <w:highlight w:val="none"/>
          <w:lang w:val="zh-CN"/>
        </w:rPr>
        <w:t>“报价明细表”中的报价合计应与“开标一览表”中的投标总报价相一致，不一致时，以开标一览表为准。</w:t>
      </w:r>
    </w:p>
    <w:p>
      <w:pPr>
        <w:spacing w:line="360" w:lineRule="auto"/>
        <w:ind w:left="435"/>
        <w:rPr>
          <w:rFonts w:ascii="宋体"/>
          <w:color w:val="auto"/>
          <w:szCs w:val="21"/>
          <w:highlight w:val="none"/>
          <w:lang w:val="zh-CN"/>
        </w:rPr>
      </w:pPr>
    </w:p>
    <w:p>
      <w:pPr>
        <w:spacing w:line="360" w:lineRule="auto"/>
        <w:rPr>
          <w:rFonts w:ascii="宋体" w:hAnsi="宋体" w:cs="宋体"/>
          <w:color w:val="auto"/>
          <w:kern w:val="0"/>
          <w:sz w:val="24"/>
          <w:highlight w:val="none"/>
        </w:rPr>
      </w:pPr>
    </w:p>
    <w:p>
      <w:pPr>
        <w:spacing w:line="360" w:lineRule="auto"/>
        <w:ind w:left="420"/>
        <w:rPr>
          <w:rFonts w:ascii="宋体" w:hAnsi="宋体"/>
          <w:color w:val="auto"/>
          <w:sz w:val="24"/>
          <w:highlight w:val="none"/>
          <w:u w:val="single"/>
        </w:rPr>
      </w:pPr>
      <w:r>
        <w:rPr>
          <w:rFonts w:hint="eastAsia" w:ascii="宋体" w:hAnsi="宋体"/>
          <w:color w:val="auto"/>
          <w:sz w:val="24"/>
          <w:highlight w:val="none"/>
        </w:rPr>
        <w:t>投标人名称（电子印章）：</w:t>
      </w:r>
    </w:p>
    <w:p>
      <w:pPr>
        <w:spacing w:line="360" w:lineRule="auto"/>
        <w:ind w:left="420"/>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投标人代表签字或电子印章：</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职        务：</w:t>
      </w:r>
    </w:p>
    <w:p>
      <w:pPr>
        <w:spacing w:line="360" w:lineRule="auto"/>
        <w:ind w:firstLine="435"/>
        <w:rPr>
          <w:rFonts w:ascii="宋体" w:hAnsi="宋体"/>
          <w:color w:val="auto"/>
          <w:sz w:val="24"/>
          <w:highlight w:val="none"/>
        </w:rPr>
      </w:pPr>
    </w:p>
    <w:p>
      <w:pPr>
        <w:spacing w:line="360" w:lineRule="auto"/>
        <w:ind w:firstLine="435"/>
        <w:rPr>
          <w:rFonts w:ascii="宋体" w:hAnsi="宋体"/>
          <w:color w:val="auto"/>
          <w:sz w:val="24"/>
          <w:highlight w:val="none"/>
        </w:rPr>
      </w:pPr>
      <w:r>
        <w:rPr>
          <w:rFonts w:hint="eastAsia" w:ascii="宋体" w:hAnsi="宋体"/>
          <w:color w:val="auto"/>
          <w:sz w:val="24"/>
          <w:highlight w:val="none"/>
        </w:rPr>
        <w:t>日        期：</w:t>
      </w:r>
    </w:p>
    <w:sectPr>
      <w:headerReference r:id="rId5" w:type="default"/>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themeColor="text1"/>
        <w:sz w:val="10"/>
        <w:u w:val="single"/>
        <w14:textFill>
          <w14:solidFill>
            <w14:schemeClr w14:val="tx1"/>
          </w14:solidFill>
        </w14:textFill>
      </w:rPr>
    </w:pPr>
    <w:r>
      <w:rPr>
        <w:rFonts w:hint="eastAsia"/>
        <w:b/>
        <w:i/>
        <w:color w:val="000000" w:themeColor="text1"/>
        <w:kern w:val="0"/>
        <w:sz w:val="18"/>
        <w:u w:val="single"/>
        <w14:textFill>
          <w14:solidFill>
            <w14:schemeClr w14:val="tx1"/>
          </w14:solidFill>
        </w14:textFill>
      </w:rPr>
      <w:t xml:space="preserve">                                             </w:t>
    </w:r>
    <w:r>
      <w:rPr>
        <w:rFonts w:hint="eastAsia"/>
        <w:b/>
        <w:i/>
        <w:color w:val="000000" w:themeColor="text1"/>
        <w:kern w:val="0"/>
        <w:sz w:val="18"/>
        <w:u w:val="single"/>
        <w:lang w:val="en-US" w:eastAsia="zh-CN"/>
        <w14:textFill>
          <w14:solidFill>
            <w14:schemeClr w14:val="tx1"/>
          </w14:solidFill>
        </w14:textFill>
      </w:rPr>
      <w:t xml:space="preserve">                                      </w:t>
    </w:r>
    <w:r>
      <w:rPr>
        <w:rFonts w:hint="eastAsia"/>
        <w:b/>
        <w:i/>
        <w:color w:val="000000" w:themeColor="text1"/>
        <w:kern w:val="0"/>
        <w:sz w:val="18"/>
        <w:u w:val="single"/>
        <w14:textFill>
          <w14:solidFill>
            <w14:schemeClr w14:val="tx1"/>
          </w14:solidFill>
        </w14:textFill>
      </w:rPr>
      <w:t xml:space="preserve"> </w:t>
    </w:r>
    <w:r>
      <w:rPr>
        <w:rFonts w:hint="eastAsia"/>
        <w:b/>
        <w:i/>
        <w:color w:val="000000" w:themeColor="text1"/>
        <w:spacing w:val="-20"/>
        <w:kern w:val="0"/>
        <w:sz w:val="18"/>
        <w:u w:val="single"/>
        <w14:textFill>
          <w14:solidFill>
            <w14:schemeClr w14:val="tx1"/>
          </w14:solidFill>
        </w14:textFill>
      </w:rPr>
      <w:t xml:space="preserve">第  </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31</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 xml:space="preserve">页 共 </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45</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 xml:space="preserve"> 页</w:t>
    </w:r>
  </w:p>
  <w:p>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themeColor="text1"/>
        <w:sz w:val="10"/>
        <w:u w:val="single"/>
        <w14:textFill>
          <w14:solidFill>
            <w14:schemeClr w14:val="tx1"/>
          </w14:solidFill>
        </w14:textFill>
      </w:rPr>
    </w:pPr>
    <w:r>
      <w:rPr>
        <w:rFonts w:hint="eastAsia"/>
        <w:b/>
        <w:i/>
        <w:color w:val="000000" w:themeColor="text1"/>
        <w:kern w:val="0"/>
        <w:sz w:val="18"/>
        <w:u w:val="single"/>
        <w14:textFill>
          <w14:solidFill>
            <w14:schemeClr w14:val="tx1"/>
          </w14:solidFill>
        </w14:textFill>
      </w:rPr>
      <w:t xml:space="preserve">台州市政府采购招标文件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45</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45</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p>
    <w:pPr>
      <w:pStyle w:val="1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CFA382"/>
    <w:multiLevelType w:val="singleLevel"/>
    <w:tmpl w:val="95CFA382"/>
    <w:lvl w:ilvl="0" w:tentative="0">
      <w:start w:val="1"/>
      <w:numFmt w:val="decimal"/>
      <w:suff w:val="nothing"/>
      <w:lvlText w:val="%1、"/>
      <w:lvlJc w:val="left"/>
    </w:lvl>
  </w:abstractNum>
  <w:abstractNum w:abstractNumId="1">
    <w:nsid w:val="DF48CB86"/>
    <w:multiLevelType w:val="singleLevel"/>
    <w:tmpl w:val="DF48CB86"/>
    <w:lvl w:ilvl="0" w:tentative="0">
      <w:start w:val="1"/>
      <w:numFmt w:val="chineseCounting"/>
      <w:suff w:val="nothing"/>
      <w:lvlText w:val="（%1）"/>
      <w:lvlJc w:val="left"/>
      <w:rPr>
        <w:rFonts w:hint="eastAsia"/>
      </w:rPr>
    </w:lvl>
  </w:abstractNum>
  <w:abstractNum w:abstractNumId="2">
    <w:nsid w:val="E63F51F9"/>
    <w:multiLevelType w:val="singleLevel"/>
    <w:tmpl w:val="E63F51F9"/>
    <w:lvl w:ilvl="0" w:tentative="0">
      <w:start w:val="1"/>
      <w:numFmt w:val="decimal"/>
      <w:suff w:val="nothing"/>
      <w:lvlText w:val="%1、"/>
      <w:lvlJc w:val="left"/>
    </w:lvl>
  </w:abstractNum>
  <w:abstractNum w:abstractNumId="3">
    <w:nsid w:val="0ED2C79B"/>
    <w:multiLevelType w:val="singleLevel"/>
    <w:tmpl w:val="0ED2C79B"/>
    <w:lvl w:ilvl="0" w:tentative="0">
      <w:start w:val="1"/>
      <w:numFmt w:val="decimal"/>
      <w:pStyle w:val="6"/>
      <w:lvlText w:val="%1."/>
      <w:lvlJc w:val="left"/>
      <w:pPr>
        <w:tabs>
          <w:tab w:val="left" w:pos="360"/>
        </w:tabs>
        <w:ind w:left="360" w:hanging="360"/>
      </w:pPr>
    </w:lvl>
  </w:abstractNum>
  <w:abstractNum w:abstractNumId="4">
    <w:nsid w:val="23B6356B"/>
    <w:multiLevelType w:val="multilevel"/>
    <w:tmpl w:val="23B6356B"/>
    <w:lvl w:ilvl="0" w:tentative="0">
      <w:start w:val="1"/>
      <w:numFmt w:val="lowerLetter"/>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29304C2D"/>
    <w:multiLevelType w:val="multilevel"/>
    <w:tmpl w:val="29304C2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9FE02B4"/>
    <w:multiLevelType w:val="multilevel"/>
    <w:tmpl w:val="39FE02B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3C2C21FF"/>
    <w:multiLevelType w:val="multilevel"/>
    <w:tmpl w:val="3C2C21FF"/>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3DE240FB"/>
    <w:multiLevelType w:val="multilevel"/>
    <w:tmpl w:val="3DE240FB"/>
    <w:lvl w:ilvl="0" w:tentative="0">
      <w:start w:val="1"/>
      <w:numFmt w:val="lowerLetter"/>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9">
    <w:nsid w:val="461E5E94"/>
    <w:multiLevelType w:val="singleLevel"/>
    <w:tmpl w:val="461E5E94"/>
    <w:lvl w:ilvl="0" w:tentative="0">
      <w:start w:val="2"/>
      <w:numFmt w:val="chineseCounting"/>
      <w:suff w:val="space"/>
      <w:lvlText w:val="第%1章"/>
      <w:lvlJc w:val="left"/>
      <w:rPr>
        <w:rFonts w:hint="eastAsia"/>
      </w:rPr>
    </w:lvl>
  </w:abstractNum>
  <w:abstractNum w:abstractNumId="10">
    <w:nsid w:val="53F985B4"/>
    <w:multiLevelType w:val="singleLevel"/>
    <w:tmpl w:val="53F985B4"/>
    <w:lvl w:ilvl="0" w:tentative="0">
      <w:start w:val="1"/>
      <w:numFmt w:val="decimal"/>
      <w:lvlText w:val="%1."/>
      <w:lvlJc w:val="left"/>
      <w:pPr>
        <w:tabs>
          <w:tab w:val="left" w:pos="312"/>
        </w:tabs>
      </w:pPr>
    </w:lvl>
  </w:abstractNum>
  <w:abstractNum w:abstractNumId="11">
    <w:nsid w:val="5678CBF3"/>
    <w:multiLevelType w:val="singleLevel"/>
    <w:tmpl w:val="5678CBF3"/>
    <w:lvl w:ilvl="0" w:tentative="0">
      <w:start w:val="2"/>
      <w:numFmt w:val="decimal"/>
      <w:suff w:val="nothing"/>
      <w:lvlText w:val="%1、"/>
      <w:lvlJc w:val="left"/>
    </w:lvl>
  </w:abstractNum>
  <w:abstractNum w:abstractNumId="12">
    <w:nsid w:val="58AF03D3"/>
    <w:multiLevelType w:val="multilevel"/>
    <w:tmpl w:val="58AF03D3"/>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62B206EB"/>
    <w:multiLevelType w:val="multilevel"/>
    <w:tmpl w:val="62B206EB"/>
    <w:lvl w:ilvl="0" w:tentative="0">
      <w:start w:val="1"/>
      <w:numFmt w:val="decimal"/>
      <w:lvlText w:val="%1)"/>
      <w:lvlJc w:val="left"/>
      <w:pPr>
        <w:ind w:left="1702" w:hanging="420"/>
      </w:pPr>
    </w:lvl>
    <w:lvl w:ilvl="1" w:tentative="0">
      <w:start w:val="1"/>
      <w:numFmt w:val="lowerLetter"/>
      <w:lvlText w:val="%2)"/>
      <w:lvlJc w:val="left"/>
      <w:pPr>
        <w:ind w:left="2122" w:hanging="420"/>
      </w:pPr>
    </w:lvl>
    <w:lvl w:ilvl="2" w:tentative="0">
      <w:start w:val="1"/>
      <w:numFmt w:val="lowerRoman"/>
      <w:lvlText w:val="%3."/>
      <w:lvlJc w:val="right"/>
      <w:pPr>
        <w:ind w:left="2542" w:hanging="420"/>
      </w:pPr>
    </w:lvl>
    <w:lvl w:ilvl="3" w:tentative="0">
      <w:start w:val="1"/>
      <w:numFmt w:val="decimal"/>
      <w:lvlText w:val="%4."/>
      <w:lvlJc w:val="left"/>
      <w:pPr>
        <w:ind w:left="2962" w:hanging="420"/>
      </w:pPr>
    </w:lvl>
    <w:lvl w:ilvl="4" w:tentative="0">
      <w:start w:val="1"/>
      <w:numFmt w:val="lowerLetter"/>
      <w:lvlText w:val="%5)"/>
      <w:lvlJc w:val="left"/>
      <w:pPr>
        <w:ind w:left="3382" w:hanging="420"/>
      </w:pPr>
    </w:lvl>
    <w:lvl w:ilvl="5" w:tentative="0">
      <w:start w:val="1"/>
      <w:numFmt w:val="lowerRoman"/>
      <w:lvlText w:val="%6."/>
      <w:lvlJc w:val="right"/>
      <w:pPr>
        <w:ind w:left="3802" w:hanging="420"/>
      </w:pPr>
    </w:lvl>
    <w:lvl w:ilvl="6" w:tentative="0">
      <w:start w:val="1"/>
      <w:numFmt w:val="decimal"/>
      <w:lvlText w:val="%7."/>
      <w:lvlJc w:val="left"/>
      <w:pPr>
        <w:ind w:left="4222" w:hanging="420"/>
      </w:pPr>
    </w:lvl>
    <w:lvl w:ilvl="7" w:tentative="0">
      <w:start w:val="1"/>
      <w:numFmt w:val="lowerLetter"/>
      <w:lvlText w:val="%8)"/>
      <w:lvlJc w:val="left"/>
      <w:pPr>
        <w:ind w:left="4642" w:hanging="420"/>
      </w:pPr>
    </w:lvl>
    <w:lvl w:ilvl="8" w:tentative="0">
      <w:start w:val="1"/>
      <w:numFmt w:val="lowerRoman"/>
      <w:lvlText w:val="%9."/>
      <w:lvlJc w:val="right"/>
      <w:pPr>
        <w:ind w:left="5062" w:hanging="420"/>
      </w:pPr>
    </w:lvl>
  </w:abstractNum>
  <w:abstractNum w:abstractNumId="14">
    <w:nsid w:val="636567A2"/>
    <w:multiLevelType w:val="multilevel"/>
    <w:tmpl w:val="636567A2"/>
    <w:lvl w:ilvl="0" w:tentative="0">
      <w:start w:val="1"/>
      <w:numFmt w:val="decimal"/>
      <w:pStyle w:val="3"/>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5">
    <w:nsid w:val="66DDD653"/>
    <w:multiLevelType w:val="singleLevel"/>
    <w:tmpl w:val="66DDD653"/>
    <w:lvl w:ilvl="0" w:tentative="0">
      <w:start w:val="1"/>
      <w:numFmt w:val="chineseCounting"/>
      <w:suff w:val="space"/>
      <w:lvlText w:val="第%1章"/>
      <w:lvlJc w:val="left"/>
      <w:rPr>
        <w:rFonts w:hint="eastAsia"/>
      </w:rPr>
    </w:lvl>
  </w:abstractNum>
  <w:abstractNum w:abstractNumId="16">
    <w:nsid w:val="772E00CB"/>
    <w:multiLevelType w:val="multilevel"/>
    <w:tmpl w:val="772E00CB"/>
    <w:lvl w:ilvl="0" w:tentative="0">
      <w:start w:val="1"/>
      <w:numFmt w:val="decimal"/>
      <w:lvlText w:val="%1)"/>
      <w:lvlJc w:val="left"/>
      <w:pPr>
        <w:ind w:left="1140" w:hanging="420"/>
      </w:pPr>
    </w:lvl>
    <w:lvl w:ilvl="1" w:tentative="0">
      <w:start w:val="1"/>
      <w:numFmt w:val="lowerLetter"/>
      <w:lvlText w:val="%2)"/>
      <w:lvlJc w:val="left"/>
      <w:pPr>
        <w:ind w:left="1560" w:hanging="420"/>
      </w:pPr>
    </w:lvl>
    <w:lvl w:ilvl="2" w:tentative="0">
      <w:start w:val="1"/>
      <w:numFmt w:val="lowerRoman"/>
      <w:lvlText w:val="%3."/>
      <w:lvlJc w:val="right"/>
      <w:pPr>
        <w:ind w:left="1980" w:hanging="420"/>
      </w:pPr>
    </w:lvl>
    <w:lvl w:ilvl="3" w:tentative="0">
      <w:start w:val="1"/>
      <w:numFmt w:val="decimal"/>
      <w:lvlText w:val="%4."/>
      <w:lvlJc w:val="left"/>
      <w:pPr>
        <w:ind w:left="2400" w:hanging="420"/>
      </w:pPr>
    </w:lvl>
    <w:lvl w:ilvl="4" w:tentative="0">
      <w:start w:val="1"/>
      <w:numFmt w:val="lowerLetter"/>
      <w:lvlText w:val="%5)"/>
      <w:lvlJc w:val="left"/>
      <w:pPr>
        <w:ind w:left="2820" w:hanging="420"/>
      </w:pPr>
    </w:lvl>
    <w:lvl w:ilvl="5" w:tentative="0">
      <w:start w:val="1"/>
      <w:numFmt w:val="lowerRoman"/>
      <w:lvlText w:val="%6."/>
      <w:lvlJc w:val="right"/>
      <w:pPr>
        <w:ind w:left="3240" w:hanging="420"/>
      </w:pPr>
    </w:lvl>
    <w:lvl w:ilvl="6" w:tentative="0">
      <w:start w:val="1"/>
      <w:numFmt w:val="decimal"/>
      <w:lvlText w:val="%7."/>
      <w:lvlJc w:val="left"/>
      <w:pPr>
        <w:ind w:left="3660" w:hanging="420"/>
      </w:pPr>
    </w:lvl>
    <w:lvl w:ilvl="7" w:tentative="0">
      <w:start w:val="1"/>
      <w:numFmt w:val="lowerLetter"/>
      <w:lvlText w:val="%8)"/>
      <w:lvlJc w:val="left"/>
      <w:pPr>
        <w:ind w:left="4080" w:hanging="420"/>
      </w:pPr>
    </w:lvl>
    <w:lvl w:ilvl="8" w:tentative="0">
      <w:start w:val="1"/>
      <w:numFmt w:val="lowerRoman"/>
      <w:lvlText w:val="%9."/>
      <w:lvlJc w:val="right"/>
      <w:pPr>
        <w:ind w:left="4500" w:hanging="420"/>
      </w:pPr>
    </w:lvl>
  </w:abstractNum>
  <w:num w:numId="1">
    <w:abstractNumId w:val="14"/>
  </w:num>
  <w:num w:numId="2">
    <w:abstractNumId w:val="3"/>
  </w:num>
  <w:num w:numId="3">
    <w:abstractNumId w:val="15"/>
  </w:num>
  <w:num w:numId="4">
    <w:abstractNumId w:val="9"/>
  </w:num>
  <w:num w:numId="5">
    <w:abstractNumId w:val="1"/>
  </w:num>
  <w:num w:numId="6">
    <w:abstractNumId w:val="11"/>
  </w:num>
  <w:num w:numId="7">
    <w:abstractNumId w:val="12"/>
  </w:num>
  <w:num w:numId="8">
    <w:abstractNumId w:val="13"/>
  </w:num>
  <w:num w:numId="9">
    <w:abstractNumId w:val="16"/>
  </w:num>
  <w:num w:numId="10">
    <w:abstractNumId w:val="5"/>
  </w:num>
  <w:num w:numId="11">
    <w:abstractNumId w:val="8"/>
  </w:num>
  <w:num w:numId="12">
    <w:abstractNumId w:val="4"/>
  </w:num>
  <w:num w:numId="13">
    <w:abstractNumId w:val="7"/>
  </w:num>
  <w:num w:numId="14">
    <w:abstractNumId w:val="6"/>
  </w:num>
  <w:num w:numId="15">
    <w:abstractNumId w:val="2"/>
  </w:num>
  <w:num w:numId="16">
    <w:abstractNumId w:val="0"/>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0ZmIwZjJkYjc4ZmIwNTJlMTMxYmUxNTQwZjBlMWEifQ=="/>
  </w:docVars>
  <w:rsids>
    <w:rsidRoot w:val="685F2B0C"/>
    <w:rsid w:val="00030D77"/>
    <w:rsid w:val="00071BA1"/>
    <w:rsid w:val="000A2B60"/>
    <w:rsid w:val="00165EE9"/>
    <w:rsid w:val="00291503"/>
    <w:rsid w:val="00315916"/>
    <w:rsid w:val="005D0DD1"/>
    <w:rsid w:val="00667357"/>
    <w:rsid w:val="006D5C96"/>
    <w:rsid w:val="007477AD"/>
    <w:rsid w:val="00905DA1"/>
    <w:rsid w:val="00987EDA"/>
    <w:rsid w:val="009D46C4"/>
    <w:rsid w:val="009D6A9E"/>
    <w:rsid w:val="00A85AC9"/>
    <w:rsid w:val="00A921FD"/>
    <w:rsid w:val="00AB072A"/>
    <w:rsid w:val="00AB49B7"/>
    <w:rsid w:val="00C061A0"/>
    <w:rsid w:val="00C50B60"/>
    <w:rsid w:val="00D14AD5"/>
    <w:rsid w:val="00D81728"/>
    <w:rsid w:val="00E42018"/>
    <w:rsid w:val="00FC1E7F"/>
    <w:rsid w:val="00FF7A94"/>
    <w:rsid w:val="010742D5"/>
    <w:rsid w:val="010F7B98"/>
    <w:rsid w:val="01270A4D"/>
    <w:rsid w:val="01851778"/>
    <w:rsid w:val="01A729ED"/>
    <w:rsid w:val="01AE11E6"/>
    <w:rsid w:val="01B729F0"/>
    <w:rsid w:val="01E96BCD"/>
    <w:rsid w:val="01F53A09"/>
    <w:rsid w:val="02222883"/>
    <w:rsid w:val="02A01370"/>
    <w:rsid w:val="02C62BA9"/>
    <w:rsid w:val="034C79A8"/>
    <w:rsid w:val="035E327D"/>
    <w:rsid w:val="03624C71"/>
    <w:rsid w:val="037171B2"/>
    <w:rsid w:val="03723D7D"/>
    <w:rsid w:val="03A55E37"/>
    <w:rsid w:val="04071573"/>
    <w:rsid w:val="040D666A"/>
    <w:rsid w:val="04357EE7"/>
    <w:rsid w:val="043E0AAC"/>
    <w:rsid w:val="044F2C90"/>
    <w:rsid w:val="04604D98"/>
    <w:rsid w:val="04762FE4"/>
    <w:rsid w:val="048361AE"/>
    <w:rsid w:val="048962DE"/>
    <w:rsid w:val="04C403D8"/>
    <w:rsid w:val="04DA625A"/>
    <w:rsid w:val="04EF476C"/>
    <w:rsid w:val="0528054A"/>
    <w:rsid w:val="05287815"/>
    <w:rsid w:val="052D2D41"/>
    <w:rsid w:val="0538232A"/>
    <w:rsid w:val="0552233D"/>
    <w:rsid w:val="05782C43"/>
    <w:rsid w:val="05903056"/>
    <w:rsid w:val="05B01B1D"/>
    <w:rsid w:val="05E17C80"/>
    <w:rsid w:val="05E55725"/>
    <w:rsid w:val="05E5760D"/>
    <w:rsid w:val="06066F04"/>
    <w:rsid w:val="062C15A0"/>
    <w:rsid w:val="0639353C"/>
    <w:rsid w:val="06474E34"/>
    <w:rsid w:val="06484055"/>
    <w:rsid w:val="065949DD"/>
    <w:rsid w:val="06653EC4"/>
    <w:rsid w:val="0699402C"/>
    <w:rsid w:val="069C64C8"/>
    <w:rsid w:val="06A0112C"/>
    <w:rsid w:val="06A81BEC"/>
    <w:rsid w:val="06DC60DB"/>
    <w:rsid w:val="06F44F8B"/>
    <w:rsid w:val="06F84851"/>
    <w:rsid w:val="06FB0045"/>
    <w:rsid w:val="077B362D"/>
    <w:rsid w:val="079A6E72"/>
    <w:rsid w:val="079F3EE7"/>
    <w:rsid w:val="07AA1AB7"/>
    <w:rsid w:val="07DF5164"/>
    <w:rsid w:val="07E50580"/>
    <w:rsid w:val="07EE133F"/>
    <w:rsid w:val="08065B86"/>
    <w:rsid w:val="08274ACF"/>
    <w:rsid w:val="08310251"/>
    <w:rsid w:val="084703F0"/>
    <w:rsid w:val="08696EDC"/>
    <w:rsid w:val="08705B4A"/>
    <w:rsid w:val="087A7753"/>
    <w:rsid w:val="08814CE3"/>
    <w:rsid w:val="08884C10"/>
    <w:rsid w:val="08986544"/>
    <w:rsid w:val="08BB6846"/>
    <w:rsid w:val="08D55A74"/>
    <w:rsid w:val="08DC3175"/>
    <w:rsid w:val="08E052CE"/>
    <w:rsid w:val="08F04266"/>
    <w:rsid w:val="08FD3C48"/>
    <w:rsid w:val="09161D47"/>
    <w:rsid w:val="093D3ABC"/>
    <w:rsid w:val="09CE19BC"/>
    <w:rsid w:val="09E70A54"/>
    <w:rsid w:val="09E84CCD"/>
    <w:rsid w:val="0A051115"/>
    <w:rsid w:val="0A3A5C5D"/>
    <w:rsid w:val="0A8528D5"/>
    <w:rsid w:val="0A8A0A3A"/>
    <w:rsid w:val="0AB52BD8"/>
    <w:rsid w:val="0AD56F1F"/>
    <w:rsid w:val="0AEA3C8C"/>
    <w:rsid w:val="0B1E0CF0"/>
    <w:rsid w:val="0B1E2894"/>
    <w:rsid w:val="0B3A637F"/>
    <w:rsid w:val="0BCE1370"/>
    <w:rsid w:val="0BCF240A"/>
    <w:rsid w:val="0BD806FB"/>
    <w:rsid w:val="0BD84E5C"/>
    <w:rsid w:val="0BE34CD8"/>
    <w:rsid w:val="0BE83010"/>
    <w:rsid w:val="0BF47D4E"/>
    <w:rsid w:val="0BF86799"/>
    <w:rsid w:val="0C377F1F"/>
    <w:rsid w:val="0C516743"/>
    <w:rsid w:val="0C5D1BDB"/>
    <w:rsid w:val="0C774C9E"/>
    <w:rsid w:val="0C7E2237"/>
    <w:rsid w:val="0CA34118"/>
    <w:rsid w:val="0CA758F8"/>
    <w:rsid w:val="0CCD457A"/>
    <w:rsid w:val="0CED2959"/>
    <w:rsid w:val="0CEF3BF8"/>
    <w:rsid w:val="0D000761"/>
    <w:rsid w:val="0D3F7F2E"/>
    <w:rsid w:val="0D5F2F89"/>
    <w:rsid w:val="0D6344EC"/>
    <w:rsid w:val="0D705EC6"/>
    <w:rsid w:val="0D7446FA"/>
    <w:rsid w:val="0DB14507"/>
    <w:rsid w:val="0DB53D50"/>
    <w:rsid w:val="0DB757B9"/>
    <w:rsid w:val="0DE545F3"/>
    <w:rsid w:val="0DE7555E"/>
    <w:rsid w:val="0E072513"/>
    <w:rsid w:val="0F0D0D2C"/>
    <w:rsid w:val="0F385060"/>
    <w:rsid w:val="0F58781F"/>
    <w:rsid w:val="0F5D7625"/>
    <w:rsid w:val="0F6147A2"/>
    <w:rsid w:val="0F6E0A0B"/>
    <w:rsid w:val="0F86061B"/>
    <w:rsid w:val="0FC27645"/>
    <w:rsid w:val="0FD4645C"/>
    <w:rsid w:val="1007199F"/>
    <w:rsid w:val="101A3630"/>
    <w:rsid w:val="102C199B"/>
    <w:rsid w:val="105576A8"/>
    <w:rsid w:val="10BE1B05"/>
    <w:rsid w:val="10C64B9C"/>
    <w:rsid w:val="10CB7C05"/>
    <w:rsid w:val="10CF3933"/>
    <w:rsid w:val="10EF6FB0"/>
    <w:rsid w:val="10FD1FE7"/>
    <w:rsid w:val="111120FD"/>
    <w:rsid w:val="115B5C4F"/>
    <w:rsid w:val="118A244C"/>
    <w:rsid w:val="11A2124C"/>
    <w:rsid w:val="11C20C82"/>
    <w:rsid w:val="11D0460B"/>
    <w:rsid w:val="11DE5C79"/>
    <w:rsid w:val="12101447"/>
    <w:rsid w:val="12215961"/>
    <w:rsid w:val="125F1817"/>
    <w:rsid w:val="128D04EC"/>
    <w:rsid w:val="12AA2320"/>
    <w:rsid w:val="12DB53B1"/>
    <w:rsid w:val="12E81B94"/>
    <w:rsid w:val="13257C63"/>
    <w:rsid w:val="133236CD"/>
    <w:rsid w:val="133707C2"/>
    <w:rsid w:val="13441C72"/>
    <w:rsid w:val="134C77A5"/>
    <w:rsid w:val="13731B39"/>
    <w:rsid w:val="13732205"/>
    <w:rsid w:val="137F0CE3"/>
    <w:rsid w:val="13C30E6E"/>
    <w:rsid w:val="13DA6019"/>
    <w:rsid w:val="141B13D5"/>
    <w:rsid w:val="141C741E"/>
    <w:rsid w:val="14234B06"/>
    <w:rsid w:val="142A1649"/>
    <w:rsid w:val="149D3DC9"/>
    <w:rsid w:val="149E1778"/>
    <w:rsid w:val="14AD4839"/>
    <w:rsid w:val="14B3073C"/>
    <w:rsid w:val="14EA3450"/>
    <w:rsid w:val="14F767B6"/>
    <w:rsid w:val="15287486"/>
    <w:rsid w:val="15840A84"/>
    <w:rsid w:val="15AF033B"/>
    <w:rsid w:val="15CC2666"/>
    <w:rsid w:val="16031113"/>
    <w:rsid w:val="160C1329"/>
    <w:rsid w:val="16332D75"/>
    <w:rsid w:val="16502A53"/>
    <w:rsid w:val="16725D01"/>
    <w:rsid w:val="16777B9F"/>
    <w:rsid w:val="168F227C"/>
    <w:rsid w:val="16964167"/>
    <w:rsid w:val="169A575C"/>
    <w:rsid w:val="16AD5C51"/>
    <w:rsid w:val="16AE1DF9"/>
    <w:rsid w:val="16C11894"/>
    <w:rsid w:val="16C377D3"/>
    <w:rsid w:val="171F0861"/>
    <w:rsid w:val="1731374B"/>
    <w:rsid w:val="173B1F0E"/>
    <w:rsid w:val="173D243C"/>
    <w:rsid w:val="17534ECF"/>
    <w:rsid w:val="17DC7BF0"/>
    <w:rsid w:val="180053F0"/>
    <w:rsid w:val="181011F1"/>
    <w:rsid w:val="185F5F75"/>
    <w:rsid w:val="1862379E"/>
    <w:rsid w:val="188227EF"/>
    <w:rsid w:val="189220EE"/>
    <w:rsid w:val="189E4B47"/>
    <w:rsid w:val="18E36CFC"/>
    <w:rsid w:val="19000C71"/>
    <w:rsid w:val="19172FD4"/>
    <w:rsid w:val="192A06DB"/>
    <w:rsid w:val="193028F8"/>
    <w:rsid w:val="19800DAF"/>
    <w:rsid w:val="198218DD"/>
    <w:rsid w:val="198D1B84"/>
    <w:rsid w:val="198E4D52"/>
    <w:rsid w:val="19923F06"/>
    <w:rsid w:val="19AF2729"/>
    <w:rsid w:val="19E51688"/>
    <w:rsid w:val="19EE2A8B"/>
    <w:rsid w:val="19EE41FA"/>
    <w:rsid w:val="1A1830B1"/>
    <w:rsid w:val="1A2F4589"/>
    <w:rsid w:val="1A4C1D4A"/>
    <w:rsid w:val="1A587B66"/>
    <w:rsid w:val="1A5A6066"/>
    <w:rsid w:val="1A5B78E2"/>
    <w:rsid w:val="1A617D79"/>
    <w:rsid w:val="1A647FAE"/>
    <w:rsid w:val="1A777345"/>
    <w:rsid w:val="1A813E1F"/>
    <w:rsid w:val="1A8357FC"/>
    <w:rsid w:val="1A84309D"/>
    <w:rsid w:val="1A9F2503"/>
    <w:rsid w:val="1AA3486A"/>
    <w:rsid w:val="1ACE692C"/>
    <w:rsid w:val="1AE124BF"/>
    <w:rsid w:val="1AE33064"/>
    <w:rsid w:val="1AF357C2"/>
    <w:rsid w:val="1B3B15AA"/>
    <w:rsid w:val="1B6A3FBF"/>
    <w:rsid w:val="1B8C6B7B"/>
    <w:rsid w:val="1B9E29B4"/>
    <w:rsid w:val="1BBF65FB"/>
    <w:rsid w:val="1BC2281C"/>
    <w:rsid w:val="1BF657FB"/>
    <w:rsid w:val="1C374515"/>
    <w:rsid w:val="1C4235A6"/>
    <w:rsid w:val="1C4F222F"/>
    <w:rsid w:val="1CA3450A"/>
    <w:rsid w:val="1CA86A15"/>
    <w:rsid w:val="1CBB4247"/>
    <w:rsid w:val="1CDD5179"/>
    <w:rsid w:val="1CFA1DAE"/>
    <w:rsid w:val="1CFA7EEF"/>
    <w:rsid w:val="1CFB1146"/>
    <w:rsid w:val="1D1338EC"/>
    <w:rsid w:val="1D37062D"/>
    <w:rsid w:val="1D3B199E"/>
    <w:rsid w:val="1D5B6D2E"/>
    <w:rsid w:val="1D7C6690"/>
    <w:rsid w:val="1DC84F72"/>
    <w:rsid w:val="1DEC270F"/>
    <w:rsid w:val="1DF10281"/>
    <w:rsid w:val="1E0672A1"/>
    <w:rsid w:val="1E0D3D46"/>
    <w:rsid w:val="1E331E3B"/>
    <w:rsid w:val="1E370C0B"/>
    <w:rsid w:val="1E4E212D"/>
    <w:rsid w:val="1E561B49"/>
    <w:rsid w:val="1E5A2895"/>
    <w:rsid w:val="1E5B5B74"/>
    <w:rsid w:val="1E5B7F7C"/>
    <w:rsid w:val="1E71779F"/>
    <w:rsid w:val="1E847B39"/>
    <w:rsid w:val="1E860C88"/>
    <w:rsid w:val="1EAD27E8"/>
    <w:rsid w:val="1ED462A6"/>
    <w:rsid w:val="1ED734FA"/>
    <w:rsid w:val="1EDB21B2"/>
    <w:rsid w:val="1EE21D29"/>
    <w:rsid w:val="1EE72005"/>
    <w:rsid w:val="1F2F246F"/>
    <w:rsid w:val="1F3E1D5D"/>
    <w:rsid w:val="1F6E3177"/>
    <w:rsid w:val="1F6F04BA"/>
    <w:rsid w:val="1F8129BD"/>
    <w:rsid w:val="1FD840FD"/>
    <w:rsid w:val="20027E74"/>
    <w:rsid w:val="2024650C"/>
    <w:rsid w:val="204663FA"/>
    <w:rsid w:val="20624FA2"/>
    <w:rsid w:val="206A1137"/>
    <w:rsid w:val="20835E3C"/>
    <w:rsid w:val="20AA1825"/>
    <w:rsid w:val="20B305CB"/>
    <w:rsid w:val="20BB1EB1"/>
    <w:rsid w:val="21144C23"/>
    <w:rsid w:val="212A75E7"/>
    <w:rsid w:val="21593740"/>
    <w:rsid w:val="215C6880"/>
    <w:rsid w:val="2163612C"/>
    <w:rsid w:val="217039C6"/>
    <w:rsid w:val="21754AF5"/>
    <w:rsid w:val="217E7700"/>
    <w:rsid w:val="218158E0"/>
    <w:rsid w:val="218F0080"/>
    <w:rsid w:val="21BA53F5"/>
    <w:rsid w:val="220B781D"/>
    <w:rsid w:val="2220525E"/>
    <w:rsid w:val="224449F5"/>
    <w:rsid w:val="225D16C1"/>
    <w:rsid w:val="2266010D"/>
    <w:rsid w:val="226E674C"/>
    <w:rsid w:val="22712A0D"/>
    <w:rsid w:val="22734646"/>
    <w:rsid w:val="22861407"/>
    <w:rsid w:val="22B609EC"/>
    <w:rsid w:val="22C23296"/>
    <w:rsid w:val="22CF4727"/>
    <w:rsid w:val="23207FBB"/>
    <w:rsid w:val="23280561"/>
    <w:rsid w:val="2330019D"/>
    <w:rsid w:val="235E2799"/>
    <w:rsid w:val="23666663"/>
    <w:rsid w:val="23693289"/>
    <w:rsid w:val="23795972"/>
    <w:rsid w:val="239147E1"/>
    <w:rsid w:val="23B23EE6"/>
    <w:rsid w:val="23BB34F7"/>
    <w:rsid w:val="23CB333E"/>
    <w:rsid w:val="23F91B39"/>
    <w:rsid w:val="243A5F83"/>
    <w:rsid w:val="244702BD"/>
    <w:rsid w:val="247E0687"/>
    <w:rsid w:val="24A20628"/>
    <w:rsid w:val="24B45D14"/>
    <w:rsid w:val="24FE0E05"/>
    <w:rsid w:val="25171BA0"/>
    <w:rsid w:val="251B18C1"/>
    <w:rsid w:val="25222461"/>
    <w:rsid w:val="25501E67"/>
    <w:rsid w:val="25524FA6"/>
    <w:rsid w:val="25532EC3"/>
    <w:rsid w:val="25925077"/>
    <w:rsid w:val="25985BC5"/>
    <w:rsid w:val="25AF3989"/>
    <w:rsid w:val="25B24E51"/>
    <w:rsid w:val="25C73339"/>
    <w:rsid w:val="25C86149"/>
    <w:rsid w:val="25CE2AD2"/>
    <w:rsid w:val="25D62822"/>
    <w:rsid w:val="25F16B68"/>
    <w:rsid w:val="260663DB"/>
    <w:rsid w:val="26546373"/>
    <w:rsid w:val="26841C6E"/>
    <w:rsid w:val="26934343"/>
    <w:rsid w:val="26B424FB"/>
    <w:rsid w:val="26B73D93"/>
    <w:rsid w:val="26E62133"/>
    <w:rsid w:val="273D4A27"/>
    <w:rsid w:val="277F68D2"/>
    <w:rsid w:val="27870FB2"/>
    <w:rsid w:val="278F0AAA"/>
    <w:rsid w:val="27B84345"/>
    <w:rsid w:val="27CB7A47"/>
    <w:rsid w:val="27CF31D6"/>
    <w:rsid w:val="27D32B97"/>
    <w:rsid w:val="27E53B63"/>
    <w:rsid w:val="27E707C8"/>
    <w:rsid w:val="27F52A10"/>
    <w:rsid w:val="280E4470"/>
    <w:rsid w:val="283E405F"/>
    <w:rsid w:val="28D9203E"/>
    <w:rsid w:val="295E1181"/>
    <w:rsid w:val="29B00B02"/>
    <w:rsid w:val="29B661A7"/>
    <w:rsid w:val="29DB1483"/>
    <w:rsid w:val="29DC3277"/>
    <w:rsid w:val="29FA460F"/>
    <w:rsid w:val="2A0B6D48"/>
    <w:rsid w:val="2A397DF9"/>
    <w:rsid w:val="2A7C5019"/>
    <w:rsid w:val="2A8E3410"/>
    <w:rsid w:val="2AC017A8"/>
    <w:rsid w:val="2AFF283A"/>
    <w:rsid w:val="2B3677A4"/>
    <w:rsid w:val="2B7F5D7B"/>
    <w:rsid w:val="2B9073EB"/>
    <w:rsid w:val="2BAD682D"/>
    <w:rsid w:val="2BCC4267"/>
    <w:rsid w:val="2BEE5A9C"/>
    <w:rsid w:val="2C4C2F40"/>
    <w:rsid w:val="2C6B41B7"/>
    <w:rsid w:val="2CAA4940"/>
    <w:rsid w:val="2CAC5291"/>
    <w:rsid w:val="2CAF7AE9"/>
    <w:rsid w:val="2CB550EC"/>
    <w:rsid w:val="2CD324BB"/>
    <w:rsid w:val="2CE41F2E"/>
    <w:rsid w:val="2CF947D9"/>
    <w:rsid w:val="2CFA06CC"/>
    <w:rsid w:val="2D3F090C"/>
    <w:rsid w:val="2D473273"/>
    <w:rsid w:val="2D5B633D"/>
    <w:rsid w:val="2D8167C0"/>
    <w:rsid w:val="2D9C1D44"/>
    <w:rsid w:val="2DAB174B"/>
    <w:rsid w:val="2DAC3053"/>
    <w:rsid w:val="2DB40F04"/>
    <w:rsid w:val="2DB55317"/>
    <w:rsid w:val="2DD04A2C"/>
    <w:rsid w:val="2E1A2D69"/>
    <w:rsid w:val="2E1C2312"/>
    <w:rsid w:val="2E372F00"/>
    <w:rsid w:val="2E587386"/>
    <w:rsid w:val="2E617376"/>
    <w:rsid w:val="2ED13170"/>
    <w:rsid w:val="2EE824AB"/>
    <w:rsid w:val="2F011E82"/>
    <w:rsid w:val="2F415E64"/>
    <w:rsid w:val="2F6858EF"/>
    <w:rsid w:val="2F7674B4"/>
    <w:rsid w:val="2F873A10"/>
    <w:rsid w:val="2FC51659"/>
    <w:rsid w:val="2FCB2DE8"/>
    <w:rsid w:val="30082C17"/>
    <w:rsid w:val="301A6B35"/>
    <w:rsid w:val="301C571D"/>
    <w:rsid w:val="30385048"/>
    <w:rsid w:val="30400DE6"/>
    <w:rsid w:val="3046030C"/>
    <w:rsid w:val="30577166"/>
    <w:rsid w:val="30A8450A"/>
    <w:rsid w:val="30B147B2"/>
    <w:rsid w:val="30FE64F4"/>
    <w:rsid w:val="310D00D7"/>
    <w:rsid w:val="314A5A0E"/>
    <w:rsid w:val="31682139"/>
    <w:rsid w:val="319957F6"/>
    <w:rsid w:val="31C036D0"/>
    <w:rsid w:val="31D953B1"/>
    <w:rsid w:val="31EC1741"/>
    <w:rsid w:val="31EF6CF0"/>
    <w:rsid w:val="31F7619B"/>
    <w:rsid w:val="321F0CAE"/>
    <w:rsid w:val="321F3505"/>
    <w:rsid w:val="322B0318"/>
    <w:rsid w:val="32494369"/>
    <w:rsid w:val="324C0B81"/>
    <w:rsid w:val="32517D1E"/>
    <w:rsid w:val="329B0438"/>
    <w:rsid w:val="32B63AAA"/>
    <w:rsid w:val="33091096"/>
    <w:rsid w:val="33232830"/>
    <w:rsid w:val="3341533E"/>
    <w:rsid w:val="33843CA1"/>
    <w:rsid w:val="344D764F"/>
    <w:rsid w:val="345B5E6A"/>
    <w:rsid w:val="34690455"/>
    <w:rsid w:val="34AA1765"/>
    <w:rsid w:val="34D7618A"/>
    <w:rsid w:val="34FE589B"/>
    <w:rsid w:val="3529493E"/>
    <w:rsid w:val="35330B48"/>
    <w:rsid w:val="35357BC0"/>
    <w:rsid w:val="353B29E7"/>
    <w:rsid w:val="355D4407"/>
    <w:rsid w:val="3562042D"/>
    <w:rsid w:val="35850AE6"/>
    <w:rsid w:val="358B0CEF"/>
    <w:rsid w:val="35A74497"/>
    <w:rsid w:val="35A74E2B"/>
    <w:rsid w:val="35A94199"/>
    <w:rsid w:val="35B05630"/>
    <w:rsid w:val="35C33EC5"/>
    <w:rsid w:val="35C81BD5"/>
    <w:rsid w:val="35CF6801"/>
    <w:rsid w:val="35DE1818"/>
    <w:rsid w:val="35ED404E"/>
    <w:rsid w:val="36243C2B"/>
    <w:rsid w:val="36475152"/>
    <w:rsid w:val="365674EF"/>
    <w:rsid w:val="367134DE"/>
    <w:rsid w:val="36787E34"/>
    <w:rsid w:val="3692435D"/>
    <w:rsid w:val="369C324C"/>
    <w:rsid w:val="36FC06E4"/>
    <w:rsid w:val="370B0055"/>
    <w:rsid w:val="374976F8"/>
    <w:rsid w:val="37533A9C"/>
    <w:rsid w:val="37821544"/>
    <w:rsid w:val="3787676D"/>
    <w:rsid w:val="37953793"/>
    <w:rsid w:val="37A53093"/>
    <w:rsid w:val="37E702EC"/>
    <w:rsid w:val="38727414"/>
    <w:rsid w:val="38AF4648"/>
    <w:rsid w:val="38B3392D"/>
    <w:rsid w:val="38B37C06"/>
    <w:rsid w:val="38E50A97"/>
    <w:rsid w:val="391E370A"/>
    <w:rsid w:val="392C0004"/>
    <w:rsid w:val="392F5095"/>
    <w:rsid w:val="393C7ED6"/>
    <w:rsid w:val="39465433"/>
    <w:rsid w:val="39581B4E"/>
    <w:rsid w:val="395B6912"/>
    <w:rsid w:val="39A56F77"/>
    <w:rsid w:val="39BE4A11"/>
    <w:rsid w:val="3A187D60"/>
    <w:rsid w:val="3A27520A"/>
    <w:rsid w:val="3A3F6C87"/>
    <w:rsid w:val="3A465FD4"/>
    <w:rsid w:val="3A956A72"/>
    <w:rsid w:val="3AD70862"/>
    <w:rsid w:val="3AE76311"/>
    <w:rsid w:val="3B1109C9"/>
    <w:rsid w:val="3B2552D7"/>
    <w:rsid w:val="3B3F7D03"/>
    <w:rsid w:val="3B970D6B"/>
    <w:rsid w:val="3BE51125"/>
    <w:rsid w:val="3BE90506"/>
    <w:rsid w:val="3BEB6832"/>
    <w:rsid w:val="3BF178CC"/>
    <w:rsid w:val="3BFA2E9E"/>
    <w:rsid w:val="3C40766B"/>
    <w:rsid w:val="3C476B61"/>
    <w:rsid w:val="3C583A62"/>
    <w:rsid w:val="3C813EBD"/>
    <w:rsid w:val="3CB702EA"/>
    <w:rsid w:val="3CBD35C8"/>
    <w:rsid w:val="3CCF0F73"/>
    <w:rsid w:val="3CE437F4"/>
    <w:rsid w:val="3D386985"/>
    <w:rsid w:val="3D3906B1"/>
    <w:rsid w:val="3D584E9B"/>
    <w:rsid w:val="3D880E45"/>
    <w:rsid w:val="3D9C69C1"/>
    <w:rsid w:val="3DA0424A"/>
    <w:rsid w:val="3DA419D7"/>
    <w:rsid w:val="3DDA6370"/>
    <w:rsid w:val="3DDD2C1B"/>
    <w:rsid w:val="3DFF5060"/>
    <w:rsid w:val="3E136870"/>
    <w:rsid w:val="3E5D5F3B"/>
    <w:rsid w:val="3E615282"/>
    <w:rsid w:val="3E8429B9"/>
    <w:rsid w:val="3EA451FF"/>
    <w:rsid w:val="3EBE7D18"/>
    <w:rsid w:val="3EC9278A"/>
    <w:rsid w:val="3ECC547A"/>
    <w:rsid w:val="3EE01AD6"/>
    <w:rsid w:val="3F1A1718"/>
    <w:rsid w:val="3F4E5041"/>
    <w:rsid w:val="3F506818"/>
    <w:rsid w:val="3FE36C1C"/>
    <w:rsid w:val="3FEB19D5"/>
    <w:rsid w:val="400164ED"/>
    <w:rsid w:val="40340044"/>
    <w:rsid w:val="40661E5E"/>
    <w:rsid w:val="406E45AD"/>
    <w:rsid w:val="407C0CAD"/>
    <w:rsid w:val="40924D64"/>
    <w:rsid w:val="40963A57"/>
    <w:rsid w:val="40D16C5D"/>
    <w:rsid w:val="410A3110"/>
    <w:rsid w:val="41310CA2"/>
    <w:rsid w:val="417E2272"/>
    <w:rsid w:val="41893506"/>
    <w:rsid w:val="419915A4"/>
    <w:rsid w:val="41A82FD1"/>
    <w:rsid w:val="41C35995"/>
    <w:rsid w:val="41CF7D38"/>
    <w:rsid w:val="41FC4A89"/>
    <w:rsid w:val="420F1D94"/>
    <w:rsid w:val="422C362E"/>
    <w:rsid w:val="423E5ED2"/>
    <w:rsid w:val="424441F1"/>
    <w:rsid w:val="425E0F00"/>
    <w:rsid w:val="426D5149"/>
    <w:rsid w:val="427E3E3A"/>
    <w:rsid w:val="428917B7"/>
    <w:rsid w:val="430B7DA4"/>
    <w:rsid w:val="430D4AC0"/>
    <w:rsid w:val="431E047F"/>
    <w:rsid w:val="431E65EF"/>
    <w:rsid w:val="435A4BBF"/>
    <w:rsid w:val="43617533"/>
    <w:rsid w:val="436A6565"/>
    <w:rsid w:val="437A019F"/>
    <w:rsid w:val="43891F34"/>
    <w:rsid w:val="43B21221"/>
    <w:rsid w:val="43C63987"/>
    <w:rsid w:val="43FB7AE7"/>
    <w:rsid w:val="4400649E"/>
    <w:rsid w:val="441426C6"/>
    <w:rsid w:val="441466E5"/>
    <w:rsid w:val="4421734C"/>
    <w:rsid w:val="44437D45"/>
    <w:rsid w:val="44460A9F"/>
    <w:rsid w:val="4478624B"/>
    <w:rsid w:val="4493367B"/>
    <w:rsid w:val="44A72843"/>
    <w:rsid w:val="44AB74B4"/>
    <w:rsid w:val="44B2771E"/>
    <w:rsid w:val="44B8368E"/>
    <w:rsid w:val="450E21C1"/>
    <w:rsid w:val="452905F3"/>
    <w:rsid w:val="4531085A"/>
    <w:rsid w:val="456A35B3"/>
    <w:rsid w:val="45A45439"/>
    <w:rsid w:val="45CA7348"/>
    <w:rsid w:val="45CB72CE"/>
    <w:rsid w:val="461F4864"/>
    <w:rsid w:val="462B6DAB"/>
    <w:rsid w:val="46977D08"/>
    <w:rsid w:val="469B5592"/>
    <w:rsid w:val="46A5400A"/>
    <w:rsid w:val="46C67C71"/>
    <w:rsid w:val="46DB6342"/>
    <w:rsid w:val="46F207EA"/>
    <w:rsid w:val="46F40267"/>
    <w:rsid w:val="46F87058"/>
    <w:rsid w:val="46FE55F0"/>
    <w:rsid w:val="47283388"/>
    <w:rsid w:val="4750618B"/>
    <w:rsid w:val="477A20CD"/>
    <w:rsid w:val="47C35102"/>
    <w:rsid w:val="47C90408"/>
    <w:rsid w:val="47CA3491"/>
    <w:rsid w:val="47DE0285"/>
    <w:rsid w:val="47EA0372"/>
    <w:rsid w:val="47F77566"/>
    <w:rsid w:val="48131737"/>
    <w:rsid w:val="481C1F20"/>
    <w:rsid w:val="482932B2"/>
    <w:rsid w:val="48452D6C"/>
    <w:rsid w:val="48490177"/>
    <w:rsid w:val="48734131"/>
    <w:rsid w:val="48801F0A"/>
    <w:rsid w:val="489C4879"/>
    <w:rsid w:val="489C7EA5"/>
    <w:rsid w:val="49276E58"/>
    <w:rsid w:val="492F386E"/>
    <w:rsid w:val="494B4338"/>
    <w:rsid w:val="497C5511"/>
    <w:rsid w:val="49B65DC9"/>
    <w:rsid w:val="4A131AB1"/>
    <w:rsid w:val="4A34760C"/>
    <w:rsid w:val="4A452AA9"/>
    <w:rsid w:val="4A64259A"/>
    <w:rsid w:val="4AA4128B"/>
    <w:rsid w:val="4AAA7028"/>
    <w:rsid w:val="4AD50D4A"/>
    <w:rsid w:val="4ADC75C4"/>
    <w:rsid w:val="4B2977E3"/>
    <w:rsid w:val="4B3A3263"/>
    <w:rsid w:val="4B404F96"/>
    <w:rsid w:val="4B5F395F"/>
    <w:rsid w:val="4BB73A13"/>
    <w:rsid w:val="4BE22955"/>
    <w:rsid w:val="4C60411D"/>
    <w:rsid w:val="4C9743B6"/>
    <w:rsid w:val="4CA56DBD"/>
    <w:rsid w:val="4CCD70EB"/>
    <w:rsid w:val="4CD15334"/>
    <w:rsid w:val="4CDC2AC2"/>
    <w:rsid w:val="4CEF194A"/>
    <w:rsid w:val="4D123D13"/>
    <w:rsid w:val="4D4473CA"/>
    <w:rsid w:val="4D594184"/>
    <w:rsid w:val="4D670A85"/>
    <w:rsid w:val="4D80617B"/>
    <w:rsid w:val="4D806473"/>
    <w:rsid w:val="4DB87F6B"/>
    <w:rsid w:val="4DC061AA"/>
    <w:rsid w:val="4DF85FC0"/>
    <w:rsid w:val="4E1074C8"/>
    <w:rsid w:val="4E2B1D2E"/>
    <w:rsid w:val="4E527CB0"/>
    <w:rsid w:val="4E6F1EF6"/>
    <w:rsid w:val="4E7B029B"/>
    <w:rsid w:val="4E9C2A45"/>
    <w:rsid w:val="4ECB07EA"/>
    <w:rsid w:val="4EDA18B9"/>
    <w:rsid w:val="4F216F20"/>
    <w:rsid w:val="4F573543"/>
    <w:rsid w:val="4F6D467A"/>
    <w:rsid w:val="4FED507D"/>
    <w:rsid w:val="4FFB62E9"/>
    <w:rsid w:val="501C4E89"/>
    <w:rsid w:val="502B325D"/>
    <w:rsid w:val="505D795E"/>
    <w:rsid w:val="50630959"/>
    <w:rsid w:val="50742764"/>
    <w:rsid w:val="50DD3BA3"/>
    <w:rsid w:val="50E61CAB"/>
    <w:rsid w:val="510A19FA"/>
    <w:rsid w:val="5132754D"/>
    <w:rsid w:val="513564CC"/>
    <w:rsid w:val="513D338D"/>
    <w:rsid w:val="514E3A09"/>
    <w:rsid w:val="517C3AF1"/>
    <w:rsid w:val="51915B3D"/>
    <w:rsid w:val="519F5121"/>
    <w:rsid w:val="5229273F"/>
    <w:rsid w:val="52377A08"/>
    <w:rsid w:val="52547228"/>
    <w:rsid w:val="529128EC"/>
    <w:rsid w:val="529432E6"/>
    <w:rsid w:val="52A8026E"/>
    <w:rsid w:val="532C197B"/>
    <w:rsid w:val="534C6115"/>
    <w:rsid w:val="53561F88"/>
    <w:rsid w:val="536B5C40"/>
    <w:rsid w:val="53BC34C4"/>
    <w:rsid w:val="53CE29B7"/>
    <w:rsid w:val="53E93F16"/>
    <w:rsid w:val="53F04BF7"/>
    <w:rsid w:val="540337E7"/>
    <w:rsid w:val="54142032"/>
    <w:rsid w:val="54143B82"/>
    <w:rsid w:val="542362A5"/>
    <w:rsid w:val="54451376"/>
    <w:rsid w:val="54776BE8"/>
    <w:rsid w:val="547B2C44"/>
    <w:rsid w:val="547F7066"/>
    <w:rsid w:val="548C0083"/>
    <w:rsid w:val="54BC10AE"/>
    <w:rsid w:val="54DE257B"/>
    <w:rsid w:val="54F82DE2"/>
    <w:rsid w:val="55091415"/>
    <w:rsid w:val="5533415E"/>
    <w:rsid w:val="553D5A1E"/>
    <w:rsid w:val="555B4C1C"/>
    <w:rsid w:val="55665E4B"/>
    <w:rsid w:val="557C6AE7"/>
    <w:rsid w:val="55A0704C"/>
    <w:rsid w:val="55A923B9"/>
    <w:rsid w:val="55DD38ED"/>
    <w:rsid w:val="561A3EA2"/>
    <w:rsid w:val="56434C8D"/>
    <w:rsid w:val="568A68D9"/>
    <w:rsid w:val="56A438D4"/>
    <w:rsid w:val="56BA5C7F"/>
    <w:rsid w:val="56EA1F97"/>
    <w:rsid w:val="56EA7ADF"/>
    <w:rsid w:val="570F0FFB"/>
    <w:rsid w:val="574E065D"/>
    <w:rsid w:val="575B7C13"/>
    <w:rsid w:val="576E7E03"/>
    <w:rsid w:val="578A5B09"/>
    <w:rsid w:val="579770DC"/>
    <w:rsid w:val="57AA5D1A"/>
    <w:rsid w:val="57BE32DB"/>
    <w:rsid w:val="57D631F8"/>
    <w:rsid w:val="58082218"/>
    <w:rsid w:val="581028EA"/>
    <w:rsid w:val="58344161"/>
    <w:rsid w:val="585D0DF7"/>
    <w:rsid w:val="587316C8"/>
    <w:rsid w:val="58AD641D"/>
    <w:rsid w:val="58B420E4"/>
    <w:rsid w:val="59135C67"/>
    <w:rsid w:val="593C1329"/>
    <w:rsid w:val="595A34E9"/>
    <w:rsid w:val="595B7937"/>
    <w:rsid w:val="597C7365"/>
    <w:rsid w:val="597F7369"/>
    <w:rsid w:val="59997155"/>
    <w:rsid w:val="59A2414B"/>
    <w:rsid w:val="59B111E2"/>
    <w:rsid w:val="59FE08FA"/>
    <w:rsid w:val="5A060D86"/>
    <w:rsid w:val="5A886394"/>
    <w:rsid w:val="5A963B0E"/>
    <w:rsid w:val="5A9F6060"/>
    <w:rsid w:val="5ACF7403"/>
    <w:rsid w:val="5B0E1B97"/>
    <w:rsid w:val="5B46719F"/>
    <w:rsid w:val="5B5B100D"/>
    <w:rsid w:val="5B737DCF"/>
    <w:rsid w:val="5BA42A14"/>
    <w:rsid w:val="5BB47CCC"/>
    <w:rsid w:val="5BCD1726"/>
    <w:rsid w:val="5BD05B9D"/>
    <w:rsid w:val="5BD343E6"/>
    <w:rsid w:val="5BE00F61"/>
    <w:rsid w:val="5BFB5206"/>
    <w:rsid w:val="5CB65A64"/>
    <w:rsid w:val="5CD26BB3"/>
    <w:rsid w:val="5CEB063E"/>
    <w:rsid w:val="5D0B0214"/>
    <w:rsid w:val="5D1A0A42"/>
    <w:rsid w:val="5D4F1710"/>
    <w:rsid w:val="5D71045F"/>
    <w:rsid w:val="5DA55EAC"/>
    <w:rsid w:val="5DAC626B"/>
    <w:rsid w:val="5E146811"/>
    <w:rsid w:val="5E3F1ED0"/>
    <w:rsid w:val="5E4A015A"/>
    <w:rsid w:val="5E4E1E2F"/>
    <w:rsid w:val="5E7E280E"/>
    <w:rsid w:val="5EA343F9"/>
    <w:rsid w:val="5F164D5E"/>
    <w:rsid w:val="5F2D2E3D"/>
    <w:rsid w:val="5F511649"/>
    <w:rsid w:val="5F741C71"/>
    <w:rsid w:val="5F884475"/>
    <w:rsid w:val="5F940261"/>
    <w:rsid w:val="5FBE713C"/>
    <w:rsid w:val="5FDA399F"/>
    <w:rsid w:val="5FFA79ED"/>
    <w:rsid w:val="606D0EF6"/>
    <w:rsid w:val="60730B79"/>
    <w:rsid w:val="60806A99"/>
    <w:rsid w:val="60B442A8"/>
    <w:rsid w:val="60FD7810"/>
    <w:rsid w:val="61013040"/>
    <w:rsid w:val="610E310A"/>
    <w:rsid w:val="611C35B8"/>
    <w:rsid w:val="611D1C0E"/>
    <w:rsid w:val="61A25580"/>
    <w:rsid w:val="61AE7556"/>
    <w:rsid w:val="61C55F7F"/>
    <w:rsid w:val="61D10EBD"/>
    <w:rsid w:val="61D41854"/>
    <w:rsid w:val="61F46458"/>
    <w:rsid w:val="62282B27"/>
    <w:rsid w:val="625A6442"/>
    <w:rsid w:val="62C31135"/>
    <w:rsid w:val="62C76106"/>
    <w:rsid w:val="62CC474C"/>
    <w:rsid w:val="63062286"/>
    <w:rsid w:val="637B0B27"/>
    <w:rsid w:val="63874046"/>
    <w:rsid w:val="638B4892"/>
    <w:rsid w:val="63BB45AD"/>
    <w:rsid w:val="63C73E6D"/>
    <w:rsid w:val="63DD4529"/>
    <w:rsid w:val="63FC0611"/>
    <w:rsid w:val="641222ED"/>
    <w:rsid w:val="64123AA6"/>
    <w:rsid w:val="64156B21"/>
    <w:rsid w:val="642B5582"/>
    <w:rsid w:val="644878A5"/>
    <w:rsid w:val="64507CAB"/>
    <w:rsid w:val="64516BFF"/>
    <w:rsid w:val="64643953"/>
    <w:rsid w:val="64963CFA"/>
    <w:rsid w:val="64B31A3E"/>
    <w:rsid w:val="64BB7086"/>
    <w:rsid w:val="64DF720B"/>
    <w:rsid w:val="64FB2F8F"/>
    <w:rsid w:val="6502750F"/>
    <w:rsid w:val="655769D7"/>
    <w:rsid w:val="658C66C4"/>
    <w:rsid w:val="65B76CC0"/>
    <w:rsid w:val="65C86337"/>
    <w:rsid w:val="65DC6542"/>
    <w:rsid w:val="65FE3124"/>
    <w:rsid w:val="66475BEE"/>
    <w:rsid w:val="664B7EA3"/>
    <w:rsid w:val="66921396"/>
    <w:rsid w:val="669A00A1"/>
    <w:rsid w:val="669A0A1D"/>
    <w:rsid w:val="66C77EC3"/>
    <w:rsid w:val="66CD32EE"/>
    <w:rsid w:val="66EF31C1"/>
    <w:rsid w:val="67286643"/>
    <w:rsid w:val="67340A1D"/>
    <w:rsid w:val="67415D12"/>
    <w:rsid w:val="67645CC5"/>
    <w:rsid w:val="679D0438"/>
    <w:rsid w:val="679F14A6"/>
    <w:rsid w:val="67A7594A"/>
    <w:rsid w:val="67F71CAA"/>
    <w:rsid w:val="68374646"/>
    <w:rsid w:val="6851003F"/>
    <w:rsid w:val="68532F31"/>
    <w:rsid w:val="685F2B0C"/>
    <w:rsid w:val="686A5890"/>
    <w:rsid w:val="686E4CA0"/>
    <w:rsid w:val="68CD56D6"/>
    <w:rsid w:val="68CE0878"/>
    <w:rsid w:val="68DF3F07"/>
    <w:rsid w:val="68E14DD2"/>
    <w:rsid w:val="68FF17F8"/>
    <w:rsid w:val="691F6273"/>
    <w:rsid w:val="6938799E"/>
    <w:rsid w:val="69875626"/>
    <w:rsid w:val="69A773FE"/>
    <w:rsid w:val="69AC4EE2"/>
    <w:rsid w:val="69B15060"/>
    <w:rsid w:val="69B72806"/>
    <w:rsid w:val="69C21FC2"/>
    <w:rsid w:val="69CB7528"/>
    <w:rsid w:val="69CC5602"/>
    <w:rsid w:val="69DE1C53"/>
    <w:rsid w:val="69DF0F70"/>
    <w:rsid w:val="69F431E5"/>
    <w:rsid w:val="69FB05D9"/>
    <w:rsid w:val="6A21429B"/>
    <w:rsid w:val="6A317FEC"/>
    <w:rsid w:val="6A395739"/>
    <w:rsid w:val="6A667351"/>
    <w:rsid w:val="6A690452"/>
    <w:rsid w:val="6AC86B5F"/>
    <w:rsid w:val="6AD5470C"/>
    <w:rsid w:val="6AF1512E"/>
    <w:rsid w:val="6B372870"/>
    <w:rsid w:val="6B4C78DC"/>
    <w:rsid w:val="6B6D4BD4"/>
    <w:rsid w:val="6B736C65"/>
    <w:rsid w:val="6B884223"/>
    <w:rsid w:val="6BCC6A33"/>
    <w:rsid w:val="6BE94680"/>
    <w:rsid w:val="6C1648A2"/>
    <w:rsid w:val="6C223B05"/>
    <w:rsid w:val="6C2B5B56"/>
    <w:rsid w:val="6C405A24"/>
    <w:rsid w:val="6C4C1DDE"/>
    <w:rsid w:val="6C7360A2"/>
    <w:rsid w:val="6C98271E"/>
    <w:rsid w:val="6CB357D4"/>
    <w:rsid w:val="6CC843C0"/>
    <w:rsid w:val="6CD6095A"/>
    <w:rsid w:val="6D09664F"/>
    <w:rsid w:val="6D1A3ED2"/>
    <w:rsid w:val="6D1C5D45"/>
    <w:rsid w:val="6D2052F1"/>
    <w:rsid w:val="6D2A1AE4"/>
    <w:rsid w:val="6D2C0363"/>
    <w:rsid w:val="6D4556BC"/>
    <w:rsid w:val="6D693377"/>
    <w:rsid w:val="6D7C6B86"/>
    <w:rsid w:val="6D886D51"/>
    <w:rsid w:val="6D98425A"/>
    <w:rsid w:val="6D9C4CB2"/>
    <w:rsid w:val="6DAC52D8"/>
    <w:rsid w:val="6DCC4C0D"/>
    <w:rsid w:val="6DE52F24"/>
    <w:rsid w:val="6E0D5193"/>
    <w:rsid w:val="6E257913"/>
    <w:rsid w:val="6E2B38B7"/>
    <w:rsid w:val="6E42100A"/>
    <w:rsid w:val="6E4341AC"/>
    <w:rsid w:val="6E9D5BDB"/>
    <w:rsid w:val="6ED8064A"/>
    <w:rsid w:val="6F436F8F"/>
    <w:rsid w:val="6F4D5562"/>
    <w:rsid w:val="6F663712"/>
    <w:rsid w:val="6F6D69E8"/>
    <w:rsid w:val="6F8B29B5"/>
    <w:rsid w:val="6F9B0752"/>
    <w:rsid w:val="6FD156E3"/>
    <w:rsid w:val="6FED75FB"/>
    <w:rsid w:val="70041560"/>
    <w:rsid w:val="703467FC"/>
    <w:rsid w:val="7040732E"/>
    <w:rsid w:val="706A7EB6"/>
    <w:rsid w:val="7086364B"/>
    <w:rsid w:val="70A42103"/>
    <w:rsid w:val="710B27AB"/>
    <w:rsid w:val="712C6F85"/>
    <w:rsid w:val="71320E55"/>
    <w:rsid w:val="71321C7C"/>
    <w:rsid w:val="71340B64"/>
    <w:rsid w:val="71546F0E"/>
    <w:rsid w:val="7170146E"/>
    <w:rsid w:val="717268C8"/>
    <w:rsid w:val="71802D0E"/>
    <w:rsid w:val="718F5890"/>
    <w:rsid w:val="71902E88"/>
    <w:rsid w:val="719323BF"/>
    <w:rsid w:val="71BF5087"/>
    <w:rsid w:val="71C23C59"/>
    <w:rsid w:val="71C57971"/>
    <w:rsid w:val="71EC11CD"/>
    <w:rsid w:val="720506A4"/>
    <w:rsid w:val="72143E26"/>
    <w:rsid w:val="722B6EAC"/>
    <w:rsid w:val="7235573F"/>
    <w:rsid w:val="723629FF"/>
    <w:rsid w:val="726C56B8"/>
    <w:rsid w:val="7288771C"/>
    <w:rsid w:val="728D4961"/>
    <w:rsid w:val="72911F34"/>
    <w:rsid w:val="72A458E1"/>
    <w:rsid w:val="72B312A9"/>
    <w:rsid w:val="72CE592F"/>
    <w:rsid w:val="72F838AA"/>
    <w:rsid w:val="73134385"/>
    <w:rsid w:val="731726EC"/>
    <w:rsid w:val="73197AE0"/>
    <w:rsid w:val="73221860"/>
    <w:rsid w:val="7338174B"/>
    <w:rsid w:val="733A4EF6"/>
    <w:rsid w:val="733D0234"/>
    <w:rsid w:val="733E33D3"/>
    <w:rsid w:val="733F0360"/>
    <w:rsid w:val="73773239"/>
    <w:rsid w:val="73835DC4"/>
    <w:rsid w:val="73C761B5"/>
    <w:rsid w:val="73C97C37"/>
    <w:rsid w:val="73D872D7"/>
    <w:rsid w:val="73FA14E3"/>
    <w:rsid w:val="740A7F35"/>
    <w:rsid w:val="742D4CA1"/>
    <w:rsid w:val="74336AF3"/>
    <w:rsid w:val="74613585"/>
    <w:rsid w:val="747D3462"/>
    <w:rsid w:val="74812030"/>
    <w:rsid w:val="74886161"/>
    <w:rsid w:val="74A039B1"/>
    <w:rsid w:val="74E66F49"/>
    <w:rsid w:val="74EB245C"/>
    <w:rsid w:val="753C15BB"/>
    <w:rsid w:val="75585493"/>
    <w:rsid w:val="755E6626"/>
    <w:rsid w:val="75841DF5"/>
    <w:rsid w:val="758C4CA2"/>
    <w:rsid w:val="75D40046"/>
    <w:rsid w:val="75D96E3B"/>
    <w:rsid w:val="762F29E5"/>
    <w:rsid w:val="764374F1"/>
    <w:rsid w:val="76944E76"/>
    <w:rsid w:val="769A26CA"/>
    <w:rsid w:val="76C34928"/>
    <w:rsid w:val="76D17FE1"/>
    <w:rsid w:val="76DC5C43"/>
    <w:rsid w:val="76DF15B8"/>
    <w:rsid w:val="76FB601C"/>
    <w:rsid w:val="7708778F"/>
    <w:rsid w:val="770B7BD2"/>
    <w:rsid w:val="778364BE"/>
    <w:rsid w:val="77937E9B"/>
    <w:rsid w:val="7799548D"/>
    <w:rsid w:val="77ED1FBE"/>
    <w:rsid w:val="787764A6"/>
    <w:rsid w:val="78867CFB"/>
    <w:rsid w:val="78D06FA5"/>
    <w:rsid w:val="78F044C0"/>
    <w:rsid w:val="793D3D59"/>
    <w:rsid w:val="795F47C4"/>
    <w:rsid w:val="795F4B87"/>
    <w:rsid w:val="799447B2"/>
    <w:rsid w:val="79993DEC"/>
    <w:rsid w:val="79D33A4B"/>
    <w:rsid w:val="79DE0D20"/>
    <w:rsid w:val="79EA1578"/>
    <w:rsid w:val="79F9227E"/>
    <w:rsid w:val="7A03141B"/>
    <w:rsid w:val="7A2F68CB"/>
    <w:rsid w:val="7A532F6D"/>
    <w:rsid w:val="7A9E603E"/>
    <w:rsid w:val="7AA163B3"/>
    <w:rsid w:val="7AB01F3D"/>
    <w:rsid w:val="7ACE4950"/>
    <w:rsid w:val="7ADB04CF"/>
    <w:rsid w:val="7ADD1DF2"/>
    <w:rsid w:val="7AFE0D18"/>
    <w:rsid w:val="7B4B5341"/>
    <w:rsid w:val="7B5B1A0B"/>
    <w:rsid w:val="7B70050C"/>
    <w:rsid w:val="7B856E03"/>
    <w:rsid w:val="7BB31608"/>
    <w:rsid w:val="7BD95DD9"/>
    <w:rsid w:val="7BE50BC8"/>
    <w:rsid w:val="7BF9716D"/>
    <w:rsid w:val="7C077508"/>
    <w:rsid w:val="7C17089F"/>
    <w:rsid w:val="7C1F4334"/>
    <w:rsid w:val="7C42078B"/>
    <w:rsid w:val="7C5713BA"/>
    <w:rsid w:val="7C695398"/>
    <w:rsid w:val="7C6D2C5C"/>
    <w:rsid w:val="7C867073"/>
    <w:rsid w:val="7C8D2D58"/>
    <w:rsid w:val="7CB302CB"/>
    <w:rsid w:val="7D1948FD"/>
    <w:rsid w:val="7D2C6F9F"/>
    <w:rsid w:val="7D543264"/>
    <w:rsid w:val="7D567401"/>
    <w:rsid w:val="7D6D7156"/>
    <w:rsid w:val="7D7115AD"/>
    <w:rsid w:val="7DA10DF3"/>
    <w:rsid w:val="7DAE4568"/>
    <w:rsid w:val="7DC85A4E"/>
    <w:rsid w:val="7DF550BA"/>
    <w:rsid w:val="7E531FFF"/>
    <w:rsid w:val="7E5E764B"/>
    <w:rsid w:val="7ECB55B8"/>
    <w:rsid w:val="7EE626A2"/>
    <w:rsid w:val="7EF54C4F"/>
    <w:rsid w:val="7EFB3937"/>
    <w:rsid w:val="7F020EC4"/>
    <w:rsid w:val="7F381A2F"/>
    <w:rsid w:val="7F5957B0"/>
    <w:rsid w:val="7F9846AE"/>
    <w:rsid w:val="7F9A7F46"/>
    <w:rsid w:val="7FAD0277"/>
    <w:rsid w:val="7FBD28C5"/>
    <w:rsid w:val="7FC50214"/>
    <w:rsid w:val="7FE00E75"/>
    <w:rsid w:val="7FEF71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numPr>
        <w:ilvl w:val="0"/>
        <w:numId w:val="1"/>
      </w:numPr>
      <w:spacing w:before="60" w:after="60"/>
      <w:ind w:firstLine="0"/>
      <w:jc w:val="center"/>
      <w:outlineLvl w:val="0"/>
    </w:pPr>
    <w:rPr>
      <w:b/>
      <w:bCs/>
      <w:kern w:val="44"/>
      <w:sz w:val="44"/>
      <w:szCs w:val="44"/>
    </w:rPr>
  </w:style>
  <w:style w:type="paragraph" w:styleId="4">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5">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uiPriority w:val="99"/>
    <w:pPr>
      <w:widowControl/>
      <w:jc w:val="center"/>
    </w:pPr>
    <w:rPr>
      <w:rFonts w:ascii="宋体"/>
      <w:kern w:val="0"/>
      <w:sz w:val="40"/>
    </w:rPr>
  </w:style>
  <w:style w:type="paragraph" w:styleId="6">
    <w:name w:val="List Number"/>
    <w:basedOn w:val="1"/>
    <w:qFormat/>
    <w:uiPriority w:val="0"/>
    <w:pPr>
      <w:numPr>
        <w:ilvl w:val="0"/>
        <w:numId w:val="2"/>
      </w:numPr>
    </w:pPr>
  </w:style>
  <w:style w:type="paragraph" w:styleId="7">
    <w:name w:val="Normal Indent"/>
    <w:basedOn w:val="1"/>
    <w:next w:val="1"/>
    <w:qFormat/>
    <w:uiPriority w:val="0"/>
    <w:pPr>
      <w:ind w:firstLine="420"/>
    </w:pPr>
    <w:rPr>
      <w:szCs w:val="20"/>
    </w:rPr>
  </w:style>
  <w:style w:type="paragraph" w:styleId="8">
    <w:name w:val="annotation text"/>
    <w:basedOn w:val="1"/>
    <w:qFormat/>
    <w:uiPriority w:val="0"/>
    <w:pPr>
      <w:jc w:val="left"/>
    </w:pPr>
  </w:style>
  <w:style w:type="paragraph" w:styleId="9">
    <w:name w:val="Body Text"/>
    <w:basedOn w:val="1"/>
    <w:qFormat/>
    <w:uiPriority w:val="0"/>
    <w:pPr>
      <w:spacing w:line="360" w:lineRule="exact"/>
    </w:pPr>
    <w:rPr>
      <w:sz w:val="24"/>
    </w:rPr>
  </w:style>
  <w:style w:type="paragraph" w:styleId="10">
    <w:name w:val="Body Text Indent"/>
    <w:basedOn w:val="1"/>
    <w:next w:val="1"/>
    <w:qFormat/>
    <w:uiPriority w:val="0"/>
    <w:pPr>
      <w:spacing w:after="120"/>
      <w:ind w:left="420" w:leftChars="200"/>
    </w:pPr>
  </w:style>
  <w:style w:type="paragraph" w:styleId="11">
    <w:name w:val="Plain Text"/>
    <w:basedOn w:val="1"/>
    <w:next w:val="12"/>
    <w:qFormat/>
    <w:uiPriority w:val="0"/>
    <w:rPr>
      <w:rFonts w:ascii="宋体" w:hAnsi="Courier New" w:cstheme="minorBidi"/>
    </w:rPr>
  </w:style>
  <w:style w:type="paragraph" w:styleId="12">
    <w:name w:val="Date"/>
    <w:basedOn w:val="1"/>
    <w:next w:val="1"/>
    <w:qFormat/>
    <w:uiPriority w:val="0"/>
    <w:pPr>
      <w:ind w:left="2500" w:leftChars="2500"/>
    </w:pPr>
    <w:rPr>
      <w:rFonts w:eastAsia="楷体_GB2312" w:asciiTheme="minorHAnsi" w:hAnsiTheme="minorHAnsi" w:cstheme="minorBidi"/>
      <w:sz w:val="32"/>
      <w:szCs w:val="22"/>
    </w:rPr>
  </w:style>
  <w:style w:type="paragraph" w:styleId="13">
    <w:name w:val="Balloon Text"/>
    <w:basedOn w:val="1"/>
    <w:link w:val="47"/>
    <w:qFormat/>
    <w:uiPriority w:val="0"/>
    <w:rPr>
      <w:sz w:val="18"/>
      <w:szCs w:val="18"/>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17">
    <w:name w:val="Body Text First Indent"/>
    <w:basedOn w:val="1"/>
    <w:qFormat/>
    <w:uiPriority w:val="0"/>
    <w:pPr>
      <w:ind w:firstLine="200" w:firstLineChars="200"/>
    </w:pPr>
  </w:style>
  <w:style w:type="paragraph" w:styleId="18">
    <w:name w:val="Body Text First Indent 2"/>
    <w:basedOn w:val="10"/>
    <w:next w:val="1"/>
    <w:qFormat/>
    <w:uiPriority w:val="0"/>
    <w:pPr>
      <w:ind w:firstLine="420"/>
    </w:pPr>
  </w:style>
  <w:style w:type="table" w:styleId="20">
    <w:name w:val="Table Grid"/>
    <w:basedOn w:val="19"/>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2">
    <w:name w:val="Hyperlink"/>
    <w:qFormat/>
    <w:uiPriority w:val="0"/>
    <w:rPr>
      <w:color w:val="0000FF"/>
      <w:u w:val="single"/>
    </w:rPr>
  </w:style>
  <w:style w:type="character" w:styleId="23">
    <w:name w:val="annotation reference"/>
    <w:basedOn w:val="21"/>
    <w:qFormat/>
    <w:uiPriority w:val="0"/>
    <w:rPr>
      <w:sz w:val="21"/>
      <w:szCs w:val="21"/>
    </w:rPr>
  </w:style>
  <w:style w:type="paragraph" w:customStyle="1" w:styleId="24">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25">
    <w:name w:val="List Paragraph"/>
    <w:basedOn w:val="1"/>
    <w:qFormat/>
    <w:uiPriority w:val="34"/>
    <w:pPr>
      <w:ind w:firstLine="420" w:firstLineChars="200"/>
    </w:pPr>
    <w:rPr>
      <w:rFonts w:ascii="Calibri" w:hAnsi="Calibri"/>
      <w:szCs w:val="22"/>
    </w:rPr>
  </w:style>
  <w:style w:type="paragraph" w:customStyle="1" w:styleId="26">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27">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2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正文_14"/>
    <w:qFormat/>
    <w:uiPriority w:val="0"/>
    <w:rPr>
      <w:rFonts w:ascii="Times New Roman" w:hAnsi="Times New Roman" w:eastAsia="宋体" w:cs="Times New Roman"/>
      <w:sz w:val="21"/>
      <w:szCs w:val="22"/>
      <w:lang w:val="en-US" w:eastAsia="zh-CN" w:bidi="ar-SA"/>
    </w:rPr>
  </w:style>
  <w:style w:type="paragraph" w:customStyle="1" w:styleId="31">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纯文本_3"/>
    <w:basedOn w:val="33"/>
    <w:qFormat/>
    <w:uiPriority w:val="0"/>
    <w:pPr>
      <w:widowControl/>
      <w:jc w:val="left"/>
    </w:pPr>
    <w:rPr>
      <w:rFonts w:ascii="宋体" w:hAnsi="Courier New" w:eastAsiaTheme="minorEastAsia" w:cstheme="minorBidi"/>
      <w:szCs w:val="21"/>
    </w:rPr>
  </w:style>
  <w:style w:type="paragraph" w:customStyle="1" w:styleId="35">
    <w:name w:val="纯文本_0_1"/>
    <w:basedOn w:val="1"/>
    <w:qFormat/>
    <w:uiPriority w:val="0"/>
    <w:pPr>
      <w:widowControl/>
      <w:jc w:val="left"/>
    </w:pPr>
    <w:rPr>
      <w:rFonts w:ascii="宋体" w:hAnsi="Courier New" w:eastAsiaTheme="minorEastAsia" w:cstheme="minorBidi"/>
      <w:szCs w:val="21"/>
    </w:rPr>
  </w:style>
  <w:style w:type="paragraph" w:customStyle="1" w:styleId="3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40">
    <w:name w:val="font21"/>
    <w:basedOn w:val="21"/>
    <w:qFormat/>
    <w:uiPriority w:val="0"/>
    <w:rPr>
      <w:rFonts w:hint="default" w:ascii="Arial" w:hAnsi="Arial" w:cs="Arial"/>
      <w:color w:val="000000"/>
      <w:sz w:val="20"/>
      <w:szCs w:val="20"/>
      <w:u w:val="none"/>
    </w:rPr>
  </w:style>
  <w:style w:type="character" w:customStyle="1" w:styleId="41">
    <w:name w:val="font01"/>
    <w:basedOn w:val="21"/>
    <w:qFormat/>
    <w:uiPriority w:val="0"/>
    <w:rPr>
      <w:rFonts w:hint="eastAsia" w:ascii="宋体" w:hAnsi="宋体" w:eastAsia="宋体" w:cs="宋体"/>
      <w:color w:val="000000"/>
      <w:sz w:val="20"/>
      <w:szCs w:val="20"/>
      <w:u w:val="none"/>
    </w:rPr>
  </w:style>
  <w:style w:type="paragraph" w:customStyle="1" w:styleId="42">
    <w:name w:val="纯文本1"/>
    <w:basedOn w:val="43"/>
    <w:qFormat/>
    <w:uiPriority w:val="0"/>
    <w:pPr>
      <w:widowControl/>
      <w:jc w:val="left"/>
    </w:pPr>
    <w:rPr>
      <w:rFonts w:ascii="宋体" w:hAnsi="Courier New"/>
    </w:rPr>
  </w:style>
  <w:style w:type="paragraph" w:customStyle="1" w:styleId="4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44">
    <w:name w:val="Table Paragraph"/>
    <w:basedOn w:val="1"/>
    <w:qFormat/>
    <w:uiPriority w:val="1"/>
    <w:rPr>
      <w:rFonts w:ascii="宋体" w:hAnsi="宋体" w:cs="宋体"/>
    </w:rPr>
  </w:style>
  <w:style w:type="paragraph" w:customStyle="1" w:styleId="45">
    <w:name w:val="WPSOffice手动目录 1"/>
    <w:qFormat/>
    <w:uiPriority w:val="0"/>
    <w:rPr>
      <w:rFonts w:ascii="Times New Roman" w:hAnsi="Times New Roman" w:eastAsia="宋体" w:cs="Times New Roman"/>
      <w:lang w:val="en-US" w:eastAsia="zh-CN" w:bidi="ar-SA"/>
    </w:rPr>
  </w:style>
  <w:style w:type="paragraph" w:customStyle="1" w:styleId="46">
    <w:name w:val="默认段落字体 Para Char Char Char Char Char Char Char Char Char1 Char Char Char Char"/>
    <w:basedOn w:val="1"/>
    <w:qFormat/>
    <w:uiPriority w:val="0"/>
    <w:rPr>
      <w:rFonts w:ascii="Tahoma" w:hAnsi="Tahoma"/>
      <w:sz w:val="24"/>
      <w:szCs w:val="20"/>
    </w:rPr>
  </w:style>
  <w:style w:type="character" w:customStyle="1" w:styleId="47">
    <w:name w:val="批注框文本 Char"/>
    <w:basedOn w:val="21"/>
    <w:link w:val="13"/>
    <w:qFormat/>
    <w:uiPriority w:val="0"/>
    <w:rPr>
      <w:kern w:val="2"/>
      <w:sz w:val="18"/>
      <w:szCs w:val="18"/>
    </w:rPr>
  </w:style>
  <w:style w:type="paragraph" w:customStyle="1" w:styleId="48">
    <w:name w:val="4、正文"/>
    <w:basedOn w:val="1"/>
    <w:qFormat/>
    <w:uiPriority w:val="0"/>
    <w:pPr>
      <w:ind w:firstLine="200" w:firstLineChars="200"/>
    </w:pPr>
    <w:rPr>
      <w:rFonts w:ascii="宋体"/>
      <w:sz w:val="24"/>
      <w:szCs w:val="28"/>
    </w:rPr>
  </w:style>
  <w:style w:type="paragraph" w:customStyle="1" w:styleId="4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54</Pages>
  <Words>23812</Words>
  <Characters>25374</Characters>
  <Lines>151</Lines>
  <Paragraphs>42</Paragraphs>
  <TotalTime>7</TotalTime>
  <ScaleCrop>false</ScaleCrop>
  <LinksUpToDate>false</LinksUpToDate>
  <CharactersWithSpaces>26690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2021-02-05T09:06:00Z</dcterms:created>
  <dc:creator>Thorpe521</dc:creator>
  <cp:lastModifiedBy>洗尽铅华</cp:lastModifiedBy>
  <dcterms:modified xsi:type="dcterms:W3CDTF">2022-06-20T01:30:18Z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614C9F0063604A118BEA6D269CA62BE5</vt:lpwstr>
  </property>
</Properties>
</file>