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hint="eastAsia" w:ascii="宋体" w:hAnsi="宋体" w:eastAsia="宋体" w:cs="Calibri Light"/>
          <w:color w:val="auto"/>
          <w:kern w:val="0"/>
          <w:sz w:val="28"/>
          <w:szCs w:val="28"/>
          <w:highlight w:val="none"/>
          <w:lang w:eastAsia="zh-CN"/>
        </w:rPr>
      </w:pPr>
      <w:r>
        <w:rPr>
          <w:rFonts w:hint="eastAsia" w:ascii="宋体" w:hAnsi="宋体" w:cs="Calibri Light"/>
          <w:color w:val="auto"/>
          <w:kern w:val="0"/>
          <w:sz w:val="28"/>
          <w:szCs w:val="28"/>
          <w:highlight w:val="none"/>
        </w:rPr>
        <w:t>采购编号：</w:t>
      </w:r>
      <w:bookmarkStart w:id="8" w:name="_GoBack"/>
      <w:r>
        <w:rPr>
          <w:rFonts w:hint="eastAsia" w:ascii="宋体" w:hAnsi="宋体" w:cs="Calibri Light"/>
          <w:color w:val="auto"/>
          <w:kern w:val="0"/>
          <w:sz w:val="28"/>
          <w:szCs w:val="28"/>
          <w:highlight w:val="none"/>
          <w:lang w:eastAsia="zh-CN"/>
        </w:rPr>
        <w:t>台财采确</w:t>
      </w:r>
      <w:r>
        <w:rPr>
          <w:rFonts w:hint="eastAsia" w:ascii="宋体" w:hAnsi="宋体" w:cs="Calibri Light"/>
          <w:color w:val="auto"/>
          <w:kern w:val="0"/>
          <w:sz w:val="28"/>
          <w:szCs w:val="28"/>
          <w:highlight w:val="none"/>
          <w:lang w:eastAsia="zh-CN"/>
        </w:rPr>
        <w:t>临[2021]</w:t>
      </w:r>
      <w:r>
        <w:rPr>
          <w:rFonts w:hint="eastAsia" w:ascii="宋体" w:hAnsi="宋体" w:cs="Calibri Light"/>
          <w:color w:val="auto"/>
          <w:kern w:val="0"/>
          <w:sz w:val="28"/>
          <w:szCs w:val="28"/>
          <w:highlight w:val="none"/>
          <w:lang w:val="en-US" w:eastAsia="zh-CN"/>
        </w:rPr>
        <w:t>8168</w:t>
      </w:r>
      <w:r>
        <w:rPr>
          <w:rFonts w:hint="eastAsia" w:ascii="宋体" w:hAnsi="宋体" w:cs="Calibri Light"/>
          <w:color w:val="auto"/>
          <w:kern w:val="0"/>
          <w:sz w:val="28"/>
          <w:szCs w:val="28"/>
          <w:highlight w:val="none"/>
          <w:lang w:eastAsia="zh-CN"/>
        </w:rPr>
        <w:t>号</w:t>
      </w:r>
      <w:bookmarkEnd w:id="8"/>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color w:val="auto"/>
          <w:kern w:val="0"/>
          <w:sz w:val="32"/>
          <w:highlight w:val="none"/>
        </w:rPr>
      </w:pPr>
      <w:r>
        <w:rPr>
          <w:rFonts w:hint="eastAsia" w:ascii="宋体" w:hAnsi="宋体"/>
          <w:b/>
          <w:color w:val="auto"/>
          <w:sz w:val="36"/>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jc w:val="left"/>
        <w:rPr>
          <w:rFonts w:ascii="宋体"/>
          <w:color w:val="auto"/>
          <w:kern w:val="0"/>
          <w:sz w:val="28"/>
          <w:highlight w:val="none"/>
        </w:rPr>
      </w:pPr>
    </w:p>
    <w:p>
      <w:pPr>
        <w:autoSpaceDE w:val="0"/>
        <w:autoSpaceDN w:val="0"/>
        <w:adjustRightInd w:val="0"/>
        <w:spacing w:line="360" w:lineRule="auto"/>
        <w:jc w:val="left"/>
        <w:rPr>
          <w:rFonts w:ascii="宋体"/>
          <w:color w:val="auto"/>
          <w:kern w:val="0"/>
          <w:sz w:val="28"/>
          <w:highlight w:val="none"/>
        </w:rPr>
      </w:pPr>
    </w:p>
    <w:p>
      <w:pPr>
        <w:autoSpaceDE w:val="0"/>
        <w:autoSpaceDN w:val="0"/>
        <w:adjustRightInd w:val="0"/>
        <w:spacing w:line="360" w:lineRule="auto"/>
        <w:jc w:val="left"/>
        <w:rPr>
          <w:rFonts w:ascii="宋体"/>
          <w:color w:val="auto"/>
          <w:kern w:val="0"/>
          <w:sz w:val="28"/>
          <w:highlight w:val="none"/>
        </w:rPr>
      </w:pPr>
    </w:p>
    <w:p>
      <w:pPr>
        <w:autoSpaceDE w:val="0"/>
        <w:autoSpaceDN w:val="0"/>
        <w:adjustRightInd w:val="0"/>
        <w:spacing w:line="360" w:lineRule="auto"/>
        <w:ind w:right="-197" w:rightChars="-94"/>
        <w:jc w:val="center"/>
        <w:rPr>
          <w:rFonts w:hint="default" w:ascii="宋体" w:eastAsia="宋体"/>
          <w:color w:val="auto"/>
          <w:kern w:val="0"/>
          <w:sz w:val="28"/>
          <w:highlight w:val="none"/>
          <w:lang w:val="en-US" w:eastAsia="zh-CN"/>
        </w:rPr>
      </w:pPr>
      <w:r>
        <w:rPr>
          <w:rFonts w:hint="eastAsia" w:ascii="宋体"/>
          <w:color w:val="auto"/>
          <w:kern w:val="0"/>
          <w:sz w:val="28"/>
          <w:highlight w:val="none"/>
        </w:rPr>
        <w:t>采购项目：</w:t>
      </w:r>
      <w:r>
        <w:rPr>
          <w:rFonts w:hint="eastAsia" w:ascii="宋体"/>
          <w:color w:val="auto"/>
          <w:kern w:val="0"/>
          <w:sz w:val="28"/>
          <w:highlight w:val="none"/>
          <w:lang w:val="en-US" w:eastAsia="zh-CN"/>
        </w:rPr>
        <w:t>台州学院一流课程建设及运行服务项目</w:t>
      </w: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采购人：台州学院</w:t>
      </w: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台州市建设咨询有限公司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color w:val="auto"/>
          <w:kern w:val="0"/>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021</w:t>
      </w:r>
      <w:r>
        <w:rPr>
          <w:rFonts w:hint="eastAsia" w:ascii="宋体" w:hAnsi="宋体" w:cs="宋体"/>
          <w:color w:val="auto"/>
          <w:kern w:val="0"/>
          <w:sz w:val="28"/>
          <w:szCs w:val="28"/>
          <w:highlight w:val="none"/>
        </w:rPr>
        <w:t>年</w:t>
      </w:r>
      <w:r>
        <w:rPr>
          <w:rFonts w:hint="eastAsia" w:ascii="宋体" w:hAnsi="宋体"/>
          <w:color w:val="auto"/>
          <w:sz w:val="28"/>
          <w:szCs w:val="28"/>
          <w:highlight w:val="none"/>
          <w:lang w:val="en-US" w:eastAsia="zh-CN"/>
        </w:rPr>
        <w:t>12</w:t>
      </w:r>
      <w:r>
        <w:rPr>
          <w:rFonts w:hint="eastAsia" w:ascii="宋体" w:hAnsi="宋体" w:cs="宋体"/>
          <w:color w:val="auto"/>
          <w:kern w:val="0"/>
          <w:sz w:val="28"/>
          <w:szCs w:val="28"/>
          <w:highlight w:val="none"/>
        </w:rPr>
        <w:t>月</w:t>
      </w:r>
    </w:p>
    <w:p>
      <w:pPr>
        <w:spacing w:line="360" w:lineRule="auto"/>
        <w:rPr>
          <w:color w:val="auto"/>
          <w:highlight w:val="none"/>
        </w:rPr>
      </w:pPr>
    </w:p>
    <w:p>
      <w:pPr>
        <w:jc w:val="center"/>
        <w:rPr>
          <w:rFonts w:ascii="宋体" w:hAnsi="宋体" w:cs="Arial"/>
          <w:b/>
          <w:bCs/>
          <w:color w:val="auto"/>
          <w:sz w:val="36"/>
          <w:szCs w:val="36"/>
          <w:highlight w:val="none"/>
        </w:rPr>
        <w:sectPr>
          <w:headerReference r:id="rId3" w:type="default"/>
          <w:pgSz w:w="11906" w:h="16838"/>
          <w:pgMar w:top="1440" w:right="1800" w:bottom="1440" w:left="1800" w:header="851" w:footer="992" w:gutter="0"/>
          <w:cols w:space="425" w:num="1"/>
          <w:docGrid w:type="lines" w:linePitch="312" w:charSpace="0"/>
        </w:sectPr>
      </w:pPr>
    </w:p>
    <w:p>
      <w:pPr>
        <w:pStyle w:val="14"/>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sz w:val="24"/>
          <w:highlight w:val="none"/>
          <w:u w:val="single"/>
        </w:rPr>
        <w:t>台州学院</w:t>
      </w:r>
      <w:r>
        <w:rPr>
          <w:rFonts w:hint="eastAsia" w:asciiTheme="minorEastAsia" w:hAnsiTheme="minorEastAsia" w:eastAsiaTheme="minorEastAsia"/>
          <w:color w:val="auto"/>
          <w:sz w:val="24"/>
          <w:highlight w:val="none"/>
        </w:rPr>
        <w:t>（单位</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的</w:t>
      </w:r>
      <w:r>
        <w:rPr>
          <w:rFonts w:hint="eastAsia" w:asciiTheme="minorEastAsia" w:hAnsiTheme="minorEastAsia" w:eastAsiaTheme="minorEastAsia"/>
          <w:color w:val="auto"/>
          <w:sz w:val="24"/>
          <w:highlight w:val="none"/>
          <w:u w:val="single"/>
          <w:lang w:val="en-US" w:eastAsia="zh-CN"/>
        </w:rPr>
        <w:t>台州学院一流课程建设及运行服务项目</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color w:val="auto"/>
          <w:kern w:val="0"/>
          <w:sz w:val="24"/>
          <w:highlight w:val="none"/>
          <w:lang w:eastAsia="zh-CN"/>
        </w:rPr>
        <w:t>台财采确[2021]</w:t>
      </w:r>
      <w:r>
        <w:rPr>
          <w:rFonts w:hint="eastAsia" w:asciiTheme="minorEastAsia" w:hAnsiTheme="minorEastAsia" w:eastAsiaTheme="minorEastAsia"/>
          <w:color w:val="auto"/>
          <w:kern w:val="0"/>
          <w:sz w:val="24"/>
          <w:highlight w:val="none"/>
          <w:lang w:eastAsia="zh-CN"/>
        </w:rPr>
        <w:t>临[2021]8168号</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34"/>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99"/>
        <w:gridCol w:w="2165"/>
        <w:gridCol w:w="1052"/>
        <w:gridCol w:w="728"/>
        <w:gridCol w:w="70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62"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标段号</w:t>
            </w:r>
          </w:p>
        </w:tc>
        <w:tc>
          <w:tcPr>
            <w:tcW w:w="2199" w:type="dxa"/>
            <w:shd w:val="clear" w:color="auto" w:fill="EEECE1"/>
            <w:noWrap w:val="0"/>
            <w:vAlign w:val="center"/>
          </w:tcPr>
          <w:p>
            <w:pPr>
              <w:tabs>
                <w:tab w:val="left" w:pos="8280"/>
              </w:tabs>
              <w:autoSpaceDE w:val="0"/>
              <w:autoSpaceDN w:val="0"/>
              <w:adjustRightInd w:val="0"/>
              <w:spacing w:line="360" w:lineRule="auto"/>
              <w:ind w:right="25" w:firstLine="120" w:firstLineChars="50"/>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2165" w:type="dxa"/>
            <w:shd w:val="clear" w:color="auto" w:fill="EEECE1"/>
            <w:noWrap w:val="0"/>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相关学院</w:t>
            </w:r>
          </w:p>
        </w:tc>
        <w:tc>
          <w:tcPr>
            <w:tcW w:w="1052" w:type="dxa"/>
            <w:shd w:val="clear" w:color="auto" w:fill="EEECE1"/>
            <w:noWrap w:val="0"/>
            <w:vAlign w:val="center"/>
          </w:tcPr>
          <w:p>
            <w:pPr>
              <w:tabs>
                <w:tab w:val="left" w:pos="8280"/>
              </w:tabs>
              <w:autoSpaceDE w:val="0"/>
              <w:autoSpaceDN w:val="0"/>
              <w:adjustRightInd w:val="0"/>
              <w:spacing w:line="360" w:lineRule="auto"/>
              <w:ind w:right="25"/>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要求</w:t>
            </w:r>
          </w:p>
        </w:tc>
        <w:tc>
          <w:tcPr>
            <w:tcW w:w="728"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708"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1383"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62" w:type="dxa"/>
            <w:noWrap w:val="0"/>
            <w:vAlign w:val="center"/>
          </w:tcPr>
          <w:p>
            <w:pPr>
              <w:tabs>
                <w:tab w:val="left" w:pos="8280"/>
              </w:tabs>
              <w:autoSpaceDE w:val="0"/>
              <w:autoSpaceDN w:val="0"/>
              <w:adjustRightInd w:val="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2199" w:type="dxa"/>
            <w:noWrap w:val="0"/>
            <w:vAlign w:val="center"/>
          </w:tcPr>
          <w:p>
            <w:pPr>
              <w:widowControl/>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台州学院一流课程建设及运行服务（一）</w:t>
            </w:r>
          </w:p>
          <w:p>
            <w:pPr>
              <w:widowControl/>
              <w:jc w:val="center"/>
              <w:rPr>
                <w:rFonts w:ascii="宋体" w:hAnsi="宋体" w:eastAsia="宋体"/>
                <w:color w:val="auto"/>
                <w:sz w:val="24"/>
                <w:highlight w:val="none"/>
              </w:rPr>
            </w:pPr>
          </w:p>
        </w:tc>
        <w:tc>
          <w:tcPr>
            <w:tcW w:w="2165"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szCs w:val="21"/>
                <w:highlight w:val="none"/>
                <w:lang w:val="en-US" w:eastAsia="zh-CN"/>
              </w:rPr>
              <w:t>人文、外语、教育、艺术、创业、建工等等</w:t>
            </w:r>
          </w:p>
        </w:tc>
        <w:tc>
          <w:tcPr>
            <w:tcW w:w="1052" w:type="dxa"/>
            <w:noWrap w:val="0"/>
            <w:vAlign w:val="center"/>
          </w:tcPr>
          <w:p>
            <w:pPr>
              <w:widowControl/>
              <w:jc w:val="center"/>
              <w:rPr>
                <w:rFonts w:ascii="宋体" w:hAnsi="宋体" w:eastAsia="宋体"/>
                <w:color w:val="auto"/>
                <w:sz w:val="24"/>
                <w:highlight w:val="none"/>
              </w:rPr>
            </w:pPr>
            <w:r>
              <w:rPr>
                <w:rFonts w:hint="eastAsia" w:ascii="宋体" w:hAnsi="宋体" w:cs="宋体"/>
                <w:color w:val="auto"/>
                <w:kern w:val="0"/>
                <w:sz w:val="24"/>
                <w:highlight w:val="none"/>
              </w:rPr>
              <w:t>详见技术需求</w:t>
            </w:r>
          </w:p>
        </w:tc>
        <w:tc>
          <w:tcPr>
            <w:tcW w:w="728" w:type="dxa"/>
            <w:noWrap w:val="0"/>
            <w:vAlign w:val="center"/>
          </w:tcPr>
          <w:p>
            <w:pPr>
              <w:widowControl/>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w:t>
            </w:r>
          </w:p>
        </w:tc>
        <w:tc>
          <w:tcPr>
            <w:tcW w:w="708" w:type="dxa"/>
            <w:noWrap w:val="0"/>
            <w:vAlign w:val="center"/>
          </w:tcPr>
          <w:p>
            <w:pPr>
              <w:widowControl/>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门</w:t>
            </w:r>
          </w:p>
        </w:tc>
        <w:tc>
          <w:tcPr>
            <w:tcW w:w="1383" w:type="dxa"/>
            <w:noWrap w:val="0"/>
            <w:vAlign w:val="center"/>
          </w:tcPr>
          <w:p>
            <w:pPr>
              <w:tabs>
                <w:tab w:val="left" w:pos="8280"/>
              </w:tabs>
              <w:autoSpaceDE w:val="0"/>
              <w:autoSpaceDN w:val="0"/>
              <w:adjustRightInd w:val="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62" w:type="dxa"/>
            <w:noWrap w:val="0"/>
            <w:vAlign w:val="center"/>
          </w:tcPr>
          <w:p>
            <w:pPr>
              <w:tabs>
                <w:tab w:val="left" w:pos="8280"/>
              </w:tabs>
              <w:autoSpaceDE w:val="0"/>
              <w:autoSpaceDN w:val="0"/>
              <w:adjustRightInd w:val="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2199" w:type="dxa"/>
            <w:noWrap w:val="0"/>
            <w:vAlign w:val="center"/>
          </w:tcPr>
          <w:p>
            <w:pPr>
              <w:widowControl/>
              <w:spacing w:line="240" w:lineRule="auto"/>
              <w:jc w:val="center"/>
              <w:rPr>
                <w:rFonts w:hAnsi="宋体"/>
                <w:color w:val="auto"/>
                <w:sz w:val="24"/>
                <w:szCs w:val="22"/>
                <w:highlight w:val="none"/>
              </w:rPr>
            </w:pPr>
            <w:r>
              <w:rPr>
                <w:rFonts w:hint="eastAsia" w:ascii="宋体" w:hAnsi="宋体" w:cs="宋体"/>
                <w:color w:val="auto"/>
                <w:szCs w:val="21"/>
                <w:highlight w:val="none"/>
                <w:lang w:val="en-US" w:eastAsia="zh-CN"/>
              </w:rPr>
              <w:t>台州学院一流课程建设及运行服务（二）</w:t>
            </w:r>
          </w:p>
        </w:tc>
        <w:tc>
          <w:tcPr>
            <w:tcW w:w="2165"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szCs w:val="21"/>
                <w:highlight w:val="none"/>
                <w:lang w:val="en-US" w:eastAsia="zh-CN"/>
              </w:rPr>
              <w:t>商学院、医学院、电信、医化、生命、航空等</w:t>
            </w:r>
          </w:p>
        </w:tc>
        <w:tc>
          <w:tcPr>
            <w:tcW w:w="105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728" w:type="dxa"/>
            <w:noWrap w:val="0"/>
            <w:vAlign w:val="center"/>
          </w:tcPr>
          <w:p>
            <w:pPr>
              <w:widowControl/>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w:t>
            </w:r>
          </w:p>
        </w:tc>
        <w:tc>
          <w:tcPr>
            <w:tcW w:w="708" w:type="dxa"/>
            <w:noWrap w:val="0"/>
            <w:vAlign w:val="center"/>
          </w:tcPr>
          <w:p>
            <w:pPr>
              <w:widowControl/>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门</w:t>
            </w:r>
          </w:p>
        </w:tc>
        <w:tc>
          <w:tcPr>
            <w:tcW w:w="1383" w:type="dxa"/>
            <w:noWrap w:val="0"/>
            <w:vAlign w:val="center"/>
          </w:tcPr>
          <w:p>
            <w:pPr>
              <w:tabs>
                <w:tab w:val="left" w:pos="8280"/>
              </w:tabs>
              <w:autoSpaceDE w:val="0"/>
              <w:autoSpaceDN w:val="0"/>
              <w:adjustRightInd w:val="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250</w:t>
            </w:r>
          </w:p>
        </w:tc>
      </w:tr>
    </w:tbl>
    <w:p>
      <w:pPr>
        <w:widowControl/>
        <w:spacing w:line="240" w:lineRule="auto"/>
        <w:jc w:val="both"/>
        <w:rPr>
          <w:rFonts w:hint="eastAsia" w:ascii="宋体" w:hAnsi="宋体" w:eastAsia="宋体" w:cs="宋体"/>
          <w:color w:val="auto"/>
          <w:szCs w:val="21"/>
          <w:highlight w:val="none"/>
          <w:lang w:val="zh-CN" w:eastAsia="zh-CN"/>
        </w:rPr>
      </w:pPr>
    </w:p>
    <w:p>
      <w:pPr>
        <w:widowControl/>
        <w:spacing w:line="240" w:lineRule="auto"/>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注：</w:t>
      </w:r>
    </w:p>
    <w:p>
      <w:pPr>
        <w:widowControl/>
        <w:spacing w:line="240" w:lineRule="auto"/>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以上标项不得兼中。如投标单位在标项一中标，不得参加标项二的竞标。</w:t>
      </w:r>
    </w:p>
    <w:p>
      <w:pPr>
        <w:tabs>
          <w:tab w:val="left" w:pos="180"/>
          <w:tab w:val="left" w:pos="360"/>
          <w:tab w:val="left" w:pos="540"/>
          <w:tab w:val="left" w:pos="8280"/>
        </w:tabs>
        <w:autoSpaceDE w:val="0"/>
        <w:autoSpaceDN w:val="0"/>
        <w:adjustRightInd w:val="0"/>
        <w:spacing w:before="100" w:line="360" w:lineRule="auto"/>
        <w:ind w:right="23"/>
        <w:jc w:val="left"/>
        <w:rPr>
          <w:rFonts w:hint="eastAsia"/>
          <w:color w:val="auto"/>
          <w:highlight w:val="none"/>
          <w:lang w:val="en-US" w:eastAsia="zh-CN"/>
        </w:rPr>
      </w:pPr>
      <w:r>
        <w:rPr>
          <w:rFonts w:hint="eastAsia"/>
          <w:color w:val="auto"/>
          <w:highlight w:val="none"/>
          <w:lang w:val="en-US" w:eastAsia="zh-CN"/>
        </w:rPr>
        <w:t>2.</w:t>
      </w:r>
      <w:r>
        <w:rPr>
          <w:rFonts w:hint="eastAsia" w:asciiTheme="minorEastAsia" w:hAnsiTheme="minorEastAsia" w:eastAsiaTheme="minorEastAsia"/>
          <w:color w:val="auto"/>
          <w:kern w:val="0"/>
          <w:sz w:val="22"/>
          <w:szCs w:val="22"/>
          <w:highlight w:val="none"/>
          <w:lang w:val="en-US" w:eastAsia="zh-CN"/>
        </w:rPr>
        <w:t>拟立项共50门课程，</w:t>
      </w:r>
      <w:r>
        <w:rPr>
          <w:rFonts w:hint="eastAsia"/>
          <w:color w:val="auto"/>
          <w:highlight w:val="none"/>
          <w:lang w:val="en-US" w:eastAsia="zh-CN"/>
        </w:rPr>
        <w:t>课程以学院划分标项，最终数目根据发文确定。</w:t>
      </w:r>
    </w:p>
    <w:p>
      <w:pPr>
        <w:tabs>
          <w:tab w:val="left" w:pos="180"/>
          <w:tab w:val="left" w:pos="360"/>
          <w:tab w:val="left" w:pos="540"/>
          <w:tab w:val="left" w:pos="8280"/>
        </w:tabs>
        <w:autoSpaceDE w:val="0"/>
        <w:autoSpaceDN w:val="0"/>
        <w:adjustRightInd w:val="0"/>
        <w:spacing w:before="100" w:line="360" w:lineRule="auto"/>
        <w:ind w:right="23"/>
        <w:jc w:val="left"/>
        <w:rPr>
          <w:rFonts w:hint="eastAsia"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lang w:val="en-US" w:eastAsia="zh-CN"/>
        </w:rPr>
        <w:t>3.每门课程不超过2学分，完整课程制作1学分不少于240分钟。</w:t>
      </w:r>
    </w:p>
    <w:p>
      <w:pPr>
        <w:pStyle w:val="2"/>
        <w:rPr>
          <w:rFonts w:hint="eastAsia"/>
          <w:color w:val="auto"/>
          <w:highlight w:val="none"/>
        </w:rPr>
      </w:pP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pStyle w:val="43"/>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pPr>
        <w:pStyle w:val="43"/>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（二）未被“信用中国”（www.creditchina.gov.cn）、中国政府采购网（www.ccgp.gov.cn）列入失信被执行人、重大税收违法案件当事人名单、政府采购严重违法失信行为记录名单。</w:t>
      </w:r>
    </w:p>
    <w:p>
      <w:pPr>
        <w:pStyle w:val="43"/>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（三）</w:t>
      </w:r>
      <w:r>
        <w:rPr>
          <w:rFonts w:hint="eastAsia" w:asciiTheme="minorEastAsia" w:hAnsiTheme="minorEastAsia" w:eastAsiaTheme="minorEastAsia"/>
          <w:color w:val="auto"/>
          <w:sz w:val="24"/>
          <w:highlight w:val="none"/>
        </w:rPr>
        <w:t>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olor w:val="auto"/>
          <w:sz w:val="24"/>
          <w:highlight w:val="none"/>
        </w:rPr>
      </w:pPr>
      <w:r>
        <w:rPr>
          <w:rFonts w:hint="eastAsia" w:asciiTheme="minorEastAsia" w:hAnsiTheme="minorEastAsia" w:eastAsiaTheme="minorEastAsia"/>
          <w:color w:val="auto"/>
          <w:sz w:val="24"/>
          <w:highlight w:val="none"/>
        </w:rPr>
        <w:t>1、本项目不接受联合体投标</w:t>
      </w:r>
      <w:r>
        <w:rPr>
          <w:rFonts w:hint="eastAsia" w:ascii="宋体" w:hAnsi="宋体"/>
          <w:color w:val="auto"/>
          <w:sz w:val="24"/>
          <w:highlight w:val="none"/>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pPr>
        <w:widowControl/>
        <w:spacing w:before="100" w:beforeAutospacing="1" w:after="100" w:afterAutospacing="1" w:line="360" w:lineRule="auto"/>
        <w:ind w:firstLine="42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1、本项目招标文件实行“政府采购云平台”在线获取，不提供招标文件纸质版。供应商获取招标文件前应先完成“政府采购云平台”的账号注册；</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2、地点：</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（1）政采云平台（http://zfcg.czt.zj.gov.cn）；</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（2）供应商网上报名操作指南：“浙江政府采购网-办事指南-省采中心-网上报名”（http://zfcg.czt.zj.gov.cn/bs_other/2018-03-30/12002.html）。</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highlight w:val="none"/>
          <w:u w:val="single"/>
        </w:rPr>
        <w:t>仅需浏览招标文件的供应商可点击“游客，浏览招标文件”直接下载招标文件浏览</w:t>
      </w:r>
      <w:r>
        <w:rPr>
          <w:rFonts w:hint="eastAsia" w:ascii="宋体" w:hAnsi="宋体" w:cs="宋体"/>
          <w:color w:val="auto"/>
          <w:kern w:val="0"/>
          <w:sz w:val="24"/>
          <w:highlight w:val="none"/>
        </w:rPr>
        <w:t>）；</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4、供应商获取招标文件时须提交的文件资料：无；</w:t>
      </w:r>
    </w:p>
    <w:p>
      <w:pPr>
        <w:widowControl/>
        <w:spacing w:before="100" w:beforeAutospacing="1" w:after="100" w:afterAutospacing="1"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仿宋"/>
          <w:color w:val="auto"/>
          <w:sz w:val="24"/>
          <w:highlight w:val="none"/>
        </w:rPr>
      </w:pPr>
      <w:r>
        <w:rPr>
          <w:rFonts w:hint="eastAsia" w:ascii="宋体" w:hAnsi="宋体" w:cs="宋体"/>
          <w:color w:val="auto"/>
          <w:kern w:val="0"/>
          <w:sz w:val="24"/>
          <w:highlight w:val="none"/>
        </w:rPr>
        <w:t>注：请供应商按上述要求获取招标文件，如未在“政采云”系统内完成相关流程，引起的投标无效责任自负。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auto"/>
          <w:kern w:val="0"/>
          <w:sz w:val="24"/>
          <w:highlight w:val="none"/>
        </w:rPr>
      </w:pPr>
      <w:r>
        <w:rPr>
          <w:rFonts w:hint="eastAsia" w:ascii="宋体" w:hAnsi="宋体" w:cs="Calibri Light"/>
          <w:b/>
          <w:color w:val="auto"/>
          <w:sz w:val="24"/>
          <w:highlight w:val="none"/>
        </w:rPr>
        <w:t>五、电子</w:t>
      </w:r>
      <w:r>
        <w:rPr>
          <w:rFonts w:hint="eastAsia" w:ascii="宋体" w:hAnsi="宋体"/>
          <w:b/>
          <w:color w:val="auto"/>
          <w:kern w:val="0"/>
          <w:sz w:val="24"/>
          <w:highlight w:val="none"/>
        </w:rPr>
        <w:t>投标文件递交截止时间及开标时间、地点：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auto"/>
          <w:sz w:val="24"/>
          <w:highlight w:val="none"/>
        </w:rPr>
      </w:pPr>
      <w:r>
        <w:rPr>
          <w:rFonts w:hint="eastAsia" w:ascii="宋体" w:hAnsi="宋体" w:cs="仿宋"/>
          <w:color w:val="auto"/>
          <w:sz w:val="24"/>
          <w:highlight w:val="none"/>
        </w:rPr>
        <w:t>1、电子投标文件递交截止时间及开标时间：</w:t>
      </w:r>
      <w:r>
        <w:rPr>
          <w:rFonts w:hint="eastAsia" w:ascii="宋体" w:hAnsi="宋体" w:cs="仿宋"/>
          <w:color w:val="auto"/>
          <w:sz w:val="24"/>
          <w:highlight w:val="none"/>
          <w:u w:val="single"/>
        </w:rPr>
        <w:t>详见浙江政府采购网招标公告</w:t>
      </w:r>
      <w:r>
        <w:rPr>
          <w:rFonts w:hint="eastAsia" w:ascii="宋体" w:hAnsi="宋体" w:cs="仿宋"/>
          <w:color w:val="auto"/>
          <w:sz w:val="24"/>
          <w:highlight w:val="none"/>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、电子投标文件提交：通过“政府采购云平台（www.zcygov.cn）”实行在线投标响应；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hAnsi="宋体" w:cs="Calibri Light"/>
          <w:color w:val="auto"/>
          <w:kern w:val="0"/>
          <w:sz w:val="24"/>
          <w:highlight w:val="none"/>
        </w:rPr>
      </w:pPr>
      <w:r>
        <w:rPr>
          <w:rFonts w:hint="eastAsia" w:ascii="宋体" w:hAnsi="宋体" w:cs="Calibri Light"/>
          <w:b/>
          <w:bCs/>
          <w:color w:val="auto"/>
          <w:sz w:val="24"/>
          <w:highlight w:val="none"/>
        </w:rPr>
        <w:t>六、投标保证金</w:t>
      </w:r>
      <w:r>
        <w:rPr>
          <w:rFonts w:hint="eastAsia" w:ascii="宋体" w:hAnsi="宋体" w:cs="Calibri Light"/>
          <w:b/>
          <w:color w:val="auto"/>
          <w:sz w:val="24"/>
          <w:highlight w:val="none"/>
        </w:rPr>
        <w:t>：</w:t>
      </w:r>
      <w:r>
        <w:rPr>
          <w:rFonts w:hint="eastAsia" w:ascii="宋体" w:hAnsi="宋体" w:cs="Calibri Light"/>
          <w:color w:val="auto"/>
          <w:kern w:val="0"/>
          <w:sz w:val="24"/>
          <w:highlight w:val="none"/>
        </w:rPr>
        <w:t xml:space="preserve"> </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无</w:t>
      </w:r>
    </w:p>
    <w:p>
      <w:pPr>
        <w:snapToGrid w:val="0"/>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七、在线投标响应（电子投标）说明：</w:t>
      </w:r>
    </w:p>
    <w:p>
      <w:pP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3、投标供应商应当在投标截止时间前，将生成的“电子加密投标文件”上传递交至“政府采购云平台”。投标截止时间以后上传递交的投标文件将被“政府采购云平台”拒收。</w:t>
      </w:r>
    </w:p>
    <w:p>
      <w:pPr>
        <w:snapToGrid w:val="0"/>
        <w:spacing w:line="360" w:lineRule="auto"/>
        <w:ind w:firstLine="480" w:firstLineChars="200"/>
        <w:rPr>
          <w:rFonts w:ascii="宋体" w:hAnsi="宋体" w:cs="Calibri Light"/>
          <w:color w:val="auto"/>
          <w:kern w:val="0"/>
          <w:sz w:val="24"/>
          <w:highlight w:val="none"/>
          <w:lang w:bidi="ar"/>
        </w:rPr>
      </w:pPr>
      <w:r>
        <w:rPr>
          <w:rFonts w:hint="eastAsia" w:ascii="宋体" w:hAnsi="宋体" w:cs="Calibri Light"/>
          <w:color w:val="auto"/>
          <w:kern w:val="0"/>
          <w:sz w:val="24"/>
          <w:highlight w:val="none"/>
          <w:lang w:bidi="ar"/>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ascii="宋体" w:hAnsi="宋体" w:cs="Calibri Light"/>
          <w:color w:val="auto"/>
          <w:kern w:val="0"/>
          <w:sz w:val="24"/>
          <w:highlight w:val="none"/>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九</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ascii="宋体" w:hAnsi="宋体" w:eastAsia="宋体" w:cs="Calibri Light"/>
          <w:color w:val="auto"/>
          <w:kern w:val="0"/>
          <w:sz w:val="24"/>
          <w:highlight w:val="none"/>
          <w:lang w:eastAsia="zh-CN"/>
        </w:rPr>
      </w:pPr>
      <w:r>
        <w:rPr>
          <w:rFonts w:hint="eastAsia" w:ascii="宋体" w:hAnsi="宋体" w:cs="Calibri Light"/>
          <w:color w:val="auto"/>
          <w:kern w:val="0"/>
          <w:sz w:val="24"/>
          <w:highlight w:val="none"/>
        </w:rPr>
        <w:t>招标</w:t>
      </w:r>
      <w:r>
        <w:rPr>
          <w:rFonts w:ascii="宋体" w:hAnsi="宋体" w:cs="Calibri Light"/>
          <w:color w:val="auto"/>
          <w:kern w:val="0"/>
          <w:sz w:val="24"/>
          <w:highlight w:val="none"/>
        </w:rPr>
        <w:t>代理机构</w:t>
      </w:r>
      <w:r>
        <w:rPr>
          <w:rFonts w:hint="eastAsia" w:ascii="宋体" w:hAnsi="宋体" w:cs="Calibri Light"/>
          <w:color w:val="auto"/>
          <w:kern w:val="0"/>
          <w:sz w:val="24"/>
          <w:highlight w:val="none"/>
        </w:rPr>
        <w:t>书面质疑接收人：</w:t>
      </w:r>
      <w:r>
        <w:rPr>
          <w:rFonts w:hint="eastAsia" w:ascii="宋体" w:hAnsi="宋体" w:cs="Calibri Light"/>
          <w:color w:val="auto"/>
          <w:kern w:val="0"/>
          <w:sz w:val="24"/>
          <w:highlight w:val="none"/>
          <w:lang w:eastAsia="zh-CN"/>
        </w:rPr>
        <w:t>徐瑜</w:t>
      </w:r>
    </w:p>
    <w:p>
      <w:pPr>
        <w:snapToGrid w:val="0"/>
        <w:spacing w:line="360" w:lineRule="auto"/>
        <w:ind w:firstLine="480" w:firstLineChars="200"/>
        <w:rPr>
          <w:rFonts w:hint="default" w:ascii="宋体" w:hAnsi="宋体" w:cs="Calibri Light"/>
          <w:color w:val="auto"/>
          <w:kern w:val="0"/>
          <w:sz w:val="24"/>
          <w:highlight w:val="none"/>
          <w:lang w:val="en-US"/>
        </w:rPr>
      </w:pPr>
      <w:r>
        <w:rPr>
          <w:rFonts w:hint="eastAsia" w:ascii="宋体" w:hAnsi="宋体" w:cs="Calibri Light"/>
          <w:color w:val="auto"/>
          <w:kern w:val="0"/>
          <w:sz w:val="24"/>
          <w:highlight w:val="none"/>
        </w:rPr>
        <w:t>联系电话：</w:t>
      </w:r>
      <w:r>
        <w:rPr>
          <w:rFonts w:hint="eastAsia" w:ascii="宋体" w:hAnsi="宋体" w:cs="仿宋"/>
          <w:color w:val="auto"/>
          <w:sz w:val="24"/>
          <w:highlight w:val="none"/>
          <w:lang w:eastAsia="zh-CN"/>
        </w:rPr>
        <w:t>0576-8851</w:t>
      </w:r>
      <w:r>
        <w:rPr>
          <w:rFonts w:hint="eastAsia" w:ascii="宋体" w:hAnsi="宋体" w:cs="仿宋"/>
          <w:color w:val="auto"/>
          <w:sz w:val="24"/>
          <w:highlight w:val="none"/>
          <w:lang w:val="en-US" w:eastAsia="zh-CN"/>
        </w:rPr>
        <w:t>7786</w:t>
      </w:r>
    </w:p>
    <w:p>
      <w:pP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书面质疑接收地址：</w:t>
      </w:r>
      <w:r>
        <w:rPr>
          <w:rFonts w:hint="eastAsia" w:ascii="宋体" w:hAnsi="宋体" w:cs="仿宋"/>
          <w:color w:val="auto"/>
          <w:sz w:val="24"/>
          <w:highlight w:val="none"/>
        </w:rPr>
        <w:t>台州市</w:t>
      </w:r>
      <w:r>
        <w:rPr>
          <w:rFonts w:hint="eastAsia" w:ascii="宋体" w:hAnsi="宋体" w:cs="仿宋"/>
          <w:color w:val="auto"/>
          <w:sz w:val="24"/>
          <w:highlight w:val="none"/>
          <w:lang w:eastAsia="zh-CN"/>
        </w:rPr>
        <w:t>椒江区工人西路</w:t>
      </w:r>
      <w:r>
        <w:rPr>
          <w:rFonts w:hint="eastAsia" w:ascii="宋体" w:hAnsi="宋体" w:cs="仿宋"/>
          <w:color w:val="auto"/>
          <w:sz w:val="24"/>
          <w:highlight w:val="none"/>
          <w:lang w:val="en-US" w:eastAsia="zh-CN"/>
        </w:rPr>
        <w:t>427号</w:t>
      </w:r>
    </w:p>
    <w:p>
      <w:pP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采购人</w:t>
      </w:r>
      <w:r>
        <w:rPr>
          <w:rFonts w:ascii="宋体" w:hAnsi="宋体" w:cs="Calibri Light"/>
          <w:color w:val="auto"/>
          <w:kern w:val="0"/>
          <w:sz w:val="24"/>
          <w:highlight w:val="none"/>
        </w:rPr>
        <w:t>书面质疑接收人：</w:t>
      </w:r>
      <w:r>
        <w:rPr>
          <w:rFonts w:hint="eastAsia" w:ascii="宋体" w:hAnsi="宋体" w:cs="Calibri Light"/>
          <w:color w:val="auto"/>
          <w:kern w:val="0"/>
          <w:sz w:val="24"/>
          <w:highlight w:val="none"/>
        </w:rPr>
        <w:t>夏</w:t>
      </w:r>
      <w:r>
        <w:rPr>
          <w:rFonts w:ascii="宋体" w:hAnsi="宋体" w:cs="Calibri Light"/>
          <w:color w:val="auto"/>
          <w:kern w:val="0"/>
          <w:sz w:val="24"/>
          <w:highlight w:val="none"/>
        </w:rPr>
        <w:t>老师</w:t>
      </w:r>
    </w:p>
    <w:p>
      <w:pPr>
        <w:snapToGrid w:val="0"/>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联系电话：</w:t>
      </w:r>
      <w:r>
        <w:rPr>
          <w:rFonts w:ascii="宋体" w:hAnsi="宋体" w:cs="Calibri Light"/>
          <w:color w:val="auto"/>
          <w:kern w:val="0"/>
          <w:sz w:val="24"/>
          <w:highlight w:val="none"/>
        </w:rPr>
        <w:t>0576-88660896</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ascii="宋体" w:hAnsi="宋体" w:cs="Calibri Light"/>
          <w:color w:val="auto"/>
          <w:kern w:val="0"/>
          <w:sz w:val="24"/>
          <w:highlight w:val="none"/>
        </w:rPr>
        <w:t>书面质疑接收地址：浙江省台州市椒江区市府大道1139号台州学院</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napToGrid w:val="0"/>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项目联系人：</w:t>
      </w:r>
      <w:r>
        <w:rPr>
          <w:rFonts w:hint="eastAsia" w:ascii="宋体" w:hAnsi="宋体" w:cs="仿宋"/>
          <w:color w:val="auto"/>
          <w:sz w:val="24"/>
          <w:highlight w:val="none"/>
          <w:lang w:eastAsia="zh-CN"/>
        </w:rPr>
        <w:t>陈先生</w:t>
      </w:r>
      <w:r>
        <w:rPr>
          <w:rFonts w:hint="eastAsia" w:ascii="宋体" w:hAnsi="宋体" w:cs="仿宋"/>
          <w:color w:val="auto"/>
          <w:sz w:val="24"/>
          <w:highlight w:val="none"/>
        </w:rPr>
        <w:t>　</w:t>
      </w:r>
    </w:p>
    <w:p>
      <w:pPr>
        <w:snapToGrid w:val="0"/>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联系电话：</w:t>
      </w:r>
      <w:r>
        <w:rPr>
          <w:rFonts w:hint="eastAsia" w:ascii="宋体" w:hAnsi="宋体" w:cs="仿宋"/>
          <w:color w:val="auto"/>
          <w:sz w:val="24"/>
          <w:highlight w:val="none"/>
          <w:lang w:eastAsia="zh-CN"/>
        </w:rPr>
        <w:t>0576-88519890</w:t>
      </w:r>
      <w:r>
        <w:rPr>
          <w:rFonts w:hint="eastAsia" w:ascii="宋体" w:hAnsi="宋体" w:cs="仿宋"/>
          <w:color w:val="auto"/>
          <w:sz w:val="24"/>
          <w:highlight w:val="none"/>
        </w:rPr>
        <w:t xml:space="preserve">     </w:t>
      </w:r>
    </w:p>
    <w:p>
      <w:pPr>
        <w:spacing w:line="360" w:lineRule="auto"/>
        <w:ind w:firstLine="600" w:firstLineChars="250"/>
        <w:rPr>
          <w:rFonts w:hint="default" w:eastAsia="宋体" w:cs="Arial" w:asciiTheme="minorEastAsia" w:hAnsiTheme="minorEastAsia"/>
          <w:color w:val="auto"/>
          <w:sz w:val="24"/>
          <w:highlight w:val="none"/>
          <w:lang w:val="en-US" w:eastAsia="zh-CN"/>
        </w:rPr>
      </w:pPr>
      <w:r>
        <w:rPr>
          <w:rFonts w:hint="eastAsia" w:ascii="宋体" w:hAnsi="宋体" w:cs="仿宋"/>
          <w:color w:val="auto"/>
          <w:sz w:val="24"/>
          <w:highlight w:val="none"/>
        </w:rPr>
        <w:t>地址：台州市</w:t>
      </w:r>
      <w:r>
        <w:rPr>
          <w:rFonts w:hint="eastAsia" w:ascii="宋体" w:hAnsi="宋体" w:cs="仿宋"/>
          <w:color w:val="auto"/>
          <w:sz w:val="24"/>
          <w:highlight w:val="none"/>
          <w:lang w:eastAsia="zh-CN"/>
        </w:rPr>
        <w:t>椒江区工人西路</w:t>
      </w:r>
      <w:r>
        <w:rPr>
          <w:rFonts w:hint="eastAsia" w:ascii="宋体" w:hAnsi="宋体" w:cs="仿宋"/>
          <w:color w:val="auto"/>
          <w:sz w:val="24"/>
          <w:highlight w:val="none"/>
          <w:lang w:val="en-US" w:eastAsia="zh-CN"/>
        </w:rPr>
        <w:t>427号</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台州学院</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       联系电话：</w:t>
      </w:r>
      <w:r>
        <w:rPr>
          <w:rFonts w:cs="Arial" w:asciiTheme="minorEastAsia" w:hAnsiTheme="minorEastAsia" w:eastAsiaTheme="minorEastAsia"/>
          <w:color w:val="auto"/>
          <w:sz w:val="24"/>
          <w:highlight w:val="none"/>
        </w:rPr>
        <w:t>0576-88660897</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rPr>
        <w:t>浙江省台州市椒江区市府大道1139号</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snapToGrid w:val="0"/>
        <w:spacing w:line="360" w:lineRule="auto"/>
        <w:ind w:left="525" w:leftChars="250"/>
        <w:rPr>
          <w:rFonts w:ascii="宋体" w:hAnsi="宋体" w:cs="仿宋"/>
          <w:color w:val="auto"/>
          <w:sz w:val="24"/>
          <w:highlight w:val="none"/>
        </w:rPr>
      </w:pPr>
      <w:r>
        <w:rPr>
          <w:rFonts w:hint="eastAsia" w:ascii="宋体" w:hAnsi="宋体" w:cs="仿宋"/>
          <w:color w:val="auto"/>
          <w:sz w:val="24"/>
          <w:highlight w:val="none"/>
        </w:rPr>
        <w:t>名称：台州市财政局政府采购监管处</w:t>
      </w:r>
    </w:p>
    <w:p>
      <w:pPr>
        <w:snapToGrid w:val="0"/>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联系人：</w:t>
      </w:r>
      <w:r>
        <w:rPr>
          <w:rFonts w:hint="eastAsia" w:ascii="宋体" w:hAnsi="宋体" w:cs="宋体"/>
          <w:color w:val="auto"/>
          <w:sz w:val="24"/>
          <w:highlight w:val="none"/>
          <w:lang w:eastAsia="zh-CN"/>
        </w:rPr>
        <w:t>陈工、李工</w:t>
      </w:r>
      <w:r>
        <w:rPr>
          <w:rFonts w:hint="eastAsia" w:ascii="宋体" w:hAnsi="宋体" w:cs="仿宋"/>
          <w:color w:val="auto"/>
          <w:sz w:val="24"/>
          <w:highlight w:val="none"/>
        </w:rPr>
        <w:t xml:space="preserve">                    </w:t>
      </w:r>
    </w:p>
    <w:p>
      <w:pPr>
        <w:snapToGrid w:val="0"/>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监督投诉电话：</w:t>
      </w:r>
      <w:r>
        <w:rPr>
          <w:rFonts w:hint="eastAsia" w:ascii="宋体" w:hAnsi="宋体" w:cs="宋体"/>
          <w:color w:val="auto"/>
          <w:sz w:val="24"/>
          <w:highlight w:val="none"/>
        </w:rPr>
        <w:t>0576-88206705</w:t>
      </w:r>
      <w:r>
        <w:rPr>
          <w:rFonts w:hint="eastAsia" w:ascii="宋体" w:hAnsi="宋体" w:cs="宋体"/>
          <w:color w:val="auto"/>
          <w:sz w:val="24"/>
          <w:highlight w:val="none"/>
          <w:lang w:eastAsia="zh-CN"/>
        </w:rPr>
        <w:t>、0576-88206731</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600" w:firstLineChars="250"/>
        <w:rPr>
          <w:rFonts w:ascii="宋体" w:hAnsi="宋体" w:cs="仿宋"/>
          <w:color w:val="auto"/>
          <w:sz w:val="24"/>
          <w:highlight w:val="none"/>
        </w:rPr>
      </w:pPr>
      <w:r>
        <w:rPr>
          <w:rFonts w:hint="eastAsia" w:ascii="宋体" w:hAnsi="宋体" w:cs="仿宋"/>
          <w:color w:val="auto"/>
          <w:sz w:val="24"/>
          <w:highlight w:val="none"/>
        </w:rPr>
        <w:t>地址：台州市椒江区纬一路66号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600" w:firstLineChars="250"/>
        <w:rPr>
          <w:rFonts w:ascii="宋体" w:hAnsi="宋体" w:cs="仿宋"/>
          <w:color w:val="auto"/>
          <w:sz w:val="24"/>
          <w:highlight w:val="none"/>
        </w:rPr>
      </w:pP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right="386" w:firstLine="600" w:firstLineChars="250"/>
        <w:rPr>
          <w:rFonts w:cs="Arial" w:asciiTheme="minorEastAsia" w:hAnsiTheme="minorEastAsia" w:eastAsiaTheme="minorEastAsia"/>
          <w:color w:val="auto"/>
          <w:sz w:val="24"/>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highlight w:val="none"/>
        </w:rPr>
      </w:pPr>
    </w:p>
    <w:p>
      <w:pPr>
        <w:rPr>
          <w:color w:val="auto"/>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numPr>
          <w:ilvl w:val="0"/>
          <w:numId w:val="3"/>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3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49"/>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投标文件的编制</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4</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宋体"/>
                <w:color w:val="auto"/>
                <w:sz w:val="24"/>
                <w:highlight w:val="none"/>
              </w:rPr>
              <w:t>投标文件的签章</w:t>
            </w:r>
          </w:p>
        </w:tc>
        <w:tc>
          <w:tcPr>
            <w:tcW w:w="6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auto"/>
                <w:sz w:val="24"/>
                <w:highlight w:val="none"/>
              </w:rPr>
            </w:pPr>
            <w:r>
              <w:rPr>
                <w:rFonts w:hint="eastAsia" w:ascii="宋体" w:hAnsi="宋体" w:cs="宋体"/>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5</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宋体"/>
                <w:color w:val="auto"/>
                <w:sz w:val="24"/>
                <w:highlight w:val="none"/>
              </w:rPr>
              <w:t>投标文件的形式</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ascii="Segoe UI Emoji" w:hAnsi="Segoe UI Emoji" w:cs="Segoe UI Emoji"/>
                <w:color w:val="auto"/>
                <w:sz w:val="24"/>
                <w:highlight w:val="none"/>
              </w:rPr>
              <w:t>☑</w:t>
            </w:r>
            <w:r>
              <w:rPr>
                <w:rFonts w:hint="eastAsia" w:ascii="宋体" w:hAnsi="宋体" w:cs="宋体"/>
                <w:color w:val="auto"/>
                <w:sz w:val="24"/>
                <w:highlight w:val="none"/>
              </w:rPr>
              <w:t>电子投标文件（包括“电子加密投标文件”和“备份投标文件”，在投标文件编制完成后同时生成）；</w:t>
            </w:r>
          </w:p>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pPr>
              <w:rPr>
                <w:rFonts w:hint="eastAsia" w:ascii="宋体" w:hAnsi="宋体" w:cs="宋体"/>
                <w:b/>
                <w:bCs/>
                <w:color w:val="auto"/>
                <w:kern w:val="0"/>
                <w:sz w:val="24"/>
                <w:szCs w:val="22"/>
                <w:highlight w:val="none"/>
              </w:rPr>
            </w:pPr>
            <w:r>
              <w:rPr>
                <w:rFonts w:hint="eastAsia" w:ascii="宋体" w:hAnsi="宋体" w:cs="宋体"/>
                <w:b/>
                <w:bCs/>
                <w:color w:val="auto"/>
                <w:kern w:val="0"/>
                <w:sz w:val="24"/>
                <w:szCs w:val="22"/>
                <w:highlight w:val="none"/>
              </w:rPr>
              <w:t>（3）中标供应商中标后需提供纸质投标文件给招标代理机构作为备案存档，纸质投标文件系电子投标文件纸质版，两者内容应一致；数量为：资格证明文件</w:t>
            </w:r>
            <w:r>
              <w:rPr>
                <w:rFonts w:ascii="宋体" w:hAnsi="宋体" w:cs="宋体"/>
                <w:b/>
                <w:bCs/>
                <w:color w:val="auto"/>
                <w:kern w:val="0"/>
                <w:sz w:val="24"/>
                <w:szCs w:val="22"/>
                <w:highlight w:val="none"/>
              </w:rPr>
              <w:t>2</w:t>
            </w:r>
            <w:r>
              <w:rPr>
                <w:rFonts w:hint="eastAsia" w:ascii="宋体" w:hAnsi="宋体" w:cs="宋体"/>
                <w:b/>
                <w:bCs/>
                <w:color w:val="auto"/>
                <w:kern w:val="0"/>
                <w:sz w:val="24"/>
                <w:szCs w:val="22"/>
                <w:highlight w:val="none"/>
              </w:rPr>
              <w:t>份；资格及商务技术文件</w:t>
            </w:r>
            <w:r>
              <w:rPr>
                <w:rFonts w:ascii="宋体" w:hAnsi="宋体" w:cs="宋体"/>
                <w:b/>
                <w:bCs/>
                <w:color w:val="auto"/>
                <w:kern w:val="0"/>
                <w:sz w:val="24"/>
                <w:szCs w:val="22"/>
                <w:highlight w:val="none"/>
              </w:rPr>
              <w:t>2</w:t>
            </w:r>
            <w:r>
              <w:rPr>
                <w:rFonts w:hint="eastAsia" w:ascii="宋体" w:hAnsi="宋体" w:cs="宋体"/>
                <w:b/>
                <w:bCs/>
                <w:color w:val="auto"/>
                <w:kern w:val="0"/>
                <w:sz w:val="24"/>
                <w:szCs w:val="22"/>
                <w:highlight w:val="none"/>
              </w:rPr>
              <w:t>份；报价文件</w:t>
            </w:r>
            <w:r>
              <w:rPr>
                <w:rFonts w:ascii="宋体" w:hAnsi="宋体" w:cs="宋体"/>
                <w:b/>
                <w:bCs/>
                <w:color w:val="auto"/>
                <w:kern w:val="0"/>
                <w:sz w:val="24"/>
                <w:szCs w:val="22"/>
                <w:highlight w:val="none"/>
              </w:rPr>
              <w:t>2</w:t>
            </w:r>
            <w:r>
              <w:rPr>
                <w:rFonts w:hint="eastAsia" w:ascii="宋体" w:hAnsi="宋体" w:cs="宋体"/>
                <w:b/>
                <w:bCs/>
                <w:color w:val="auto"/>
                <w:kern w:val="0"/>
                <w:sz w:val="24"/>
                <w:szCs w:val="22"/>
                <w:highlight w:val="none"/>
              </w:rPr>
              <w:t>份。</w:t>
            </w:r>
          </w:p>
          <w:p>
            <w:pPr>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color w:val="auto"/>
                <w:kern w:val="0"/>
                <w:sz w:val="24"/>
                <w:szCs w:val="22"/>
                <w:highlight w:val="none"/>
                <w:lang w:eastAsia="zh-CN"/>
              </w:rPr>
              <w:t>（</w:t>
            </w:r>
            <w:r>
              <w:rPr>
                <w:rFonts w:hint="eastAsia" w:ascii="宋体" w:hAnsi="宋体" w:cs="宋体"/>
                <w:b/>
                <w:bCs/>
                <w:color w:val="auto"/>
                <w:kern w:val="0"/>
                <w:sz w:val="24"/>
                <w:szCs w:val="22"/>
                <w:highlight w:val="none"/>
                <w:lang w:val="en-US" w:eastAsia="zh-CN"/>
              </w:rPr>
              <w:t>4</w:t>
            </w:r>
            <w:r>
              <w:rPr>
                <w:rFonts w:hint="eastAsia" w:ascii="宋体" w:hAnsi="宋体" w:cs="宋体"/>
                <w:b/>
                <w:bCs/>
                <w:color w:val="auto"/>
                <w:kern w:val="0"/>
                <w:sz w:val="24"/>
                <w:szCs w:val="22"/>
                <w:highlight w:val="none"/>
                <w:lang w:eastAsia="zh-CN"/>
              </w:rPr>
              <w:t>）</w:t>
            </w:r>
            <w:r>
              <w:rPr>
                <w:rFonts w:hint="eastAsia" w:ascii="宋体" w:hAnsi="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t>投标人提供已经拍摄制作完成的</w:t>
            </w:r>
            <w:r>
              <w:rPr>
                <w:rFonts w:hint="eastAsia" w:ascii="宋体" w:hAnsi="宋体" w:eastAsia="宋体" w:cs="宋体"/>
                <w:b/>
                <w:bCs/>
                <w:color w:val="auto"/>
                <w:kern w:val="0"/>
                <w:sz w:val="24"/>
                <w:szCs w:val="24"/>
                <w:highlight w:val="none"/>
              </w:rPr>
              <w:t>样片</w:t>
            </w:r>
            <w:r>
              <w:rPr>
                <w:rFonts w:hint="eastAsia" w:ascii="宋体" w:hAnsi="宋体" w:eastAsia="宋体" w:cs="宋体"/>
                <w:b/>
                <w:bCs/>
                <w:color w:val="auto"/>
                <w:kern w:val="0"/>
                <w:sz w:val="24"/>
                <w:szCs w:val="24"/>
                <w:highlight w:val="none"/>
                <w:lang w:val="en-US" w:eastAsia="zh-CN"/>
              </w:rPr>
              <w:t>集锦(U盘形式)</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总时长不超过5分钟。</w:t>
            </w:r>
          </w:p>
          <w:p>
            <w:pPr>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②</w:t>
            </w:r>
            <w:r>
              <w:rPr>
                <w:rFonts w:hint="eastAsia" w:ascii="宋体" w:hAnsi="宋体" w:eastAsia="宋体" w:cs="宋体"/>
                <w:b/>
                <w:bCs/>
                <w:color w:val="auto"/>
                <w:sz w:val="24"/>
                <w:szCs w:val="24"/>
                <w:highlight w:val="none"/>
                <w:lang w:val="en-US" w:eastAsia="zh-CN"/>
              </w:rPr>
              <w:t>投标人将演示课程运行平台相关功能进行视频录制（U盘形式）。</w:t>
            </w:r>
          </w:p>
          <w:p>
            <w:pPr>
              <w:rPr>
                <w:rFonts w:ascii="宋体" w:hAnsi="宋体" w:cs="Calibri Light"/>
                <w:color w:val="auto"/>
                <w:sz w:val="24"/>
                <w:highlight w:val="none"/>
              </w:rPr>
            </w:pPr>
            <w:r>
              <w:rPr>
                <w:rFonts w:hint="eastAsia" w:ascii="宋体" w:hAnsi="宋体" w:cs="宋体"/>
                <w:b/>
                <w:bCs/>
                <w:color w:val="auto"/>
                <w:kern w:val="0"/>
                <w:sz w:val="24"/>
                <w:szCs w:val="22"/>
                <w:highlight w:val="none"/>
                <w:lang w:val="en-US" w:eastAsia="zh-CN"/>
              </w:rPr>
              <w:t>投标人无须现场演示，将以上演示内容拷贝至U盘，在投标截止时间前一天下午16:00前将视频演示U盘邮寄至台州市椒江区工人西路427号。逾期邮寄送达至投标地点的将不予接收）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Theme="majorEastAsia" w:hAnsiTheme="majorEastAsia" w:eastAsiaTheme="majorEastAsia" w:cstheme="majorEastAsia"/>
                <w:color w:val="auto"/>
                <w:sz w:val="24"/>
                <w:highlight w:val="none"/>
              </w:rPr>
              <w:t>6</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宋体"/>
                <w:color w:val="auto"/>
                <w:sz w:val="24"/>
                <w:highlight w:val="none"/>
              </w:rPr>
              <w:t>投标文件份数</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（2）“备份投标文件”：密封包装后于投标截止时间前邮寄至招标代理处、一份。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7</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宋体"/>
                <w:color w:val="auto"/>
                <w:sz w:val="24"/>
                <w:highlight w:val="none"/>
              </w:rPr>
              <w:t>投标文件的上传和递交</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a.投标供应商应在投标截止时间前将“电子加密投标文件”成功上传递交至“政府采购云平台”，否则投标无效。</w:t>
            </w:r>
          </w:p>
          <w:p>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pPr>
              <w:spacing w:line="360" w:lineRule="auto"/>
              <w:rPr>
                <w:rFonts w:ascii="宋体" w:hAnsi="宋体" w:cs="宋体"/>
                <w:color w:val="auto"/>
                <w:sz w:val="24"/>
                <w:highlight w:val="none"/>
              </w:rPr>
            </w:pPr>
            <w:r>
              <w:rPr>
                <w:rFonts w:hint="eastAsia" w:ascii="宋体" w:hAnsi="宋体" w:cs="宋体"/>
                <w:color w:val="auto"/>
                <w:sz w:val="24"/>
                <w:highlight w:val="none"/>
              </w:rPr>
              <w:t>（2） “备份投标文件”的密封包装、递交：</w:t>
            </w:r>
          </w:p>
          <w:p>
            <w:pPr>
              <w:spacing w:line="360" w:lineRule="auto"/>
              <w:rPr>
                <w:rFonts w:ascii="宋体" w:hAnsi="宋体" w:cs="宋体"/>
                <w:color w:val="auto"/>
                <w:sz w:val="24"/>
                <w:highlight w:val="none"/>
              </w:rPr>
            </w:pPr>
            <w:r>
              <w:rPr>
                <w:rFonts w:hint="eastAsia" w:ascii="宋体" w:hAnsi="宋体" w:cs="宋体"/>
                <w:color w:val="auto"/>
                <w:sz w:val="24"/>
                <w:highlight w:val="none"/>
              </w:rPr>
              <w:t>a. “备份投标文件”以U盘的形式存储，并密封包装，在包装上标注投标项目名称、投标单位名称并加盖公章。没有密封包装或者（以收到邮件时间为准）逾期邮寄送达至投标地点的将不予接收；</w:t>
            </w:r>
          </w:p>
          <w:p>
            <w:pPr>
              <w:spacing w:line="400" w:lineRule="exact"/>
              <w:rPr>
                <w:rFonts w:ascii="宋体" w:hAnsi="宋体" w:cs="宋体"/>
                <w:color w:val="auto"/>
                <w:sz w:val="24"/>
                <w:highlight w:val="none"/>
              </w:rPr>
            </w:pPr>
            <w:r>
              <w:rPr>
                <w:rFonts w:ascii="宋体" w:hAnsi="宋体" w:cs="宋体"/>
                <w:color w:val="auto"/>
                <w:sz w:val="24"/>
                <w:highlight w:val="none"/>
              </w:rPr>
              <w:t>b</w:t>
            </w:r>
            <w:r>
              <w:rPr>
                <w:rFonts w:hint="eastAsia" w:ascii="宋体" w:hAnsi="宋体" w:cs="宋体"/>
                <w:color w:val="auto"/>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00" w:lineRule="exact"/>
              <w:rPr>
                <w:rFonts w:ascii="宋体" w:hAnsi="宋体" w:cs="Calibri Light"/>
                <w:b/>
                <w:bCs/>
                <w:color w:val="auto"/>
                <w:sz w:val="24"/>
                <w:highlight w:val="none"/>
              </w:rPr>
            </w:pPr>
            <w:r>
              <w:rPr>
                <w:rFonts w:hint="eastAsia" w:ascii="宋体" w:hAnsi="宋体" w:cs="Calibri Light"/>
                <w:b/>
                <w:bCs/>
                <w:color w:val="auto"/>
                <w:sz w:val="24"/>
                <w:highlight w:val="none"/>
              </w:rPr>
              <w:t>邮寄地址：</w:t>
            </w:r>
            <w:r>
              <w:rPr>
                <w:rFonts w:hint="eastAsia" w:ascii="宋体" w:hAnsi="宋体" w:cs="仿宋"/>
                <w:color w:val="auto"/>
                <w:sz w:val="24"/>
                <w:highlight w:val="none"/>
              </w:rPr>
              <w:t>台州市</w:t>
            </w:r>
            <w:r>
              <w:rPr>
                <w:rFonts w:hint="eastAsia" w:ascii="宋体" w:hAnsi="宋体" w:cs="仿宋"/>
                <w:color w:val="auto"/>
                <w:sz w:val="24"/>
                <w:highlight w:val="none"/>
                <w:lang w:eastAsia="zh-CN"/>
              </w:rPr>
              <w:t>椒江区工人西路</w:t>
            </w:r>
            <w:r>
              <w:rPr>
                <w:rFonts w:hint="eastAsia" w:ascii="宋体" w:hAnsi="宋体" w:cs="仿宋"/>
                <w:color w:val="auto"/>
                <w:sz w:val="24"/>
                <w:highlight w:val="none"/>
                <w:lang w:val="en-US" w:eastAsia="zh-CN"/>
              </w:rPr>
              <w:t>427号</w:t>
            </w:r>
            <w:r>
              <w:rPr>
                <w:rFonts w:hint="eastAsia" w:ascii="宋体" w:hAnsi="宋体" w:cs="Calibri Light"/>
                <w:b/>
                <w:bCs/>
                <w:color w:val="auto"/>
                <w:sz w:val="24"/>
                <w:highlight w:val="none"/>
              </w:rPr>
              <w:t xml:space="preserve"> （建议</w:t>
            </w:r>
            <w:r>
              <w:rPr>
                <w:rFonts w:ascii="宋体" w:hAnsi="宋体" w:cs="Calibri Light"/>
                <w:b/>
                <w:bCs/>
                <w:color w:val="auto"/>
                <w:sz w:val="24"/>
                <w:highlight w:val="none"/>
              </w:rPr>
              <w:t>提前一天寄到或送达</w:t>
            </w:r>
            <w:r>
              <w:rPr>
                <w:rFonts w:hint="eastAsia" w:ascii="宋体" w:hAnsi="宋体" w:cs="Calibri Light"/>
                <w:b/>
                <w:bCs/>
                <w:color w:val="auto"/>
                <w:sz w:val="24"/>
                <w:highlight w:val="none"/>
              </w:rPr>
              <w:t>）</w:t>
            </w:r>
          </w:p>
          <w:p>
            <w:pPr>
              <w:spacing w:line="400" w:lineRule="exact"/>
              <w:rPr>
                <w:rFonts w:ascii="宋体" w:hAnsi="宋体" w:cs="Calibri Light"/>
                <w:b/>
                <w:bCs/>
                <w:color w:val="auto"/>
                <w:sz w:val="24"/>
                <w:highlight w:val="none"/>
              </w:rPr>
            </w:pPr>
            <w:r>
              <w:rPr>
                <w:rFonts w:hint="eastAsia" w:ascii="宋体" w:hAnsi="宋体" w:cs="Calibri Light"/>
                <w:b/>
                <w:bCs/>
                <w:color w:val="auto"/>
                <w:sz w:val="24"/>
                <w:highlight w:val="none"/>
              </w:rPr>
              <w:t>收件人：</w:t>
            </w:r>
            <w:r>
              <w:rPr>
                <w:rFonts w:hint="eastAsia" w:ascii="宋体" w:hAnsi="宋体" w:cs="仿宋"/>
                <w:color w:val="auto"/>
                <w:sz w:val="24"/>
                <w:highlight w:val="none"/>
                <w:lang w:eastAsia="zh-CN"/>
              </w:rPr>
              <w:t>陈先生</w:t>
            </w:r>
          </w:p>
          <w:p>
            <w:pPr>
              <w:spacing w:line="400" w:lineRule="exact"/>
              <w:rPr>
                <w:rFonts w:hint="eastAsia" w:ascii="宋体" w:hAnsi="宋体" w:eastAsia="宋体" w:cs="Calibri Light"/>
                <w:b/>
                <w:bCs/>
                <w:color w:val="auto"/>
                <w:sz w:val="24"/>
                <w:highlight w:val="none"/>
                <w:lang w:eastAsia="zh-CN"/>
              </w:rPr>
            </w:pPr>
            <w:r>
              <w:rPr>
                <w:rFonts w:hint="eastAsia" w:ascii="宋体" w:hAnsi="宋体" w:cs="Calibri Light"/>
                <w:b/>
                <w:bCs/>
                <w:color w:val="auto"/>
                <w:sz w:val="24"/>
                <w:highlight w:val="none"/>
              </w:rPr>
              <w:t>联系电话：</w:t>
            </w:r>
            <w:r>
              <w:rPr>
                <w:rFonts w:hint="eastAsia" w:ascii="宋体" w:hAnsi="宋体" w:cs="Calibri Light"/>
                <w:b/>
                <w:bCs/>
                <w:color w:val="auto"/>
                <w:sz w:val="24"/>
                <w:highlight w:val="none"/>
                <w:lang w:eastAsia="zh-CN"/>
              </w:rPr>
              <w:t>0576-88519890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8</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pPr>
              <w:spacing w:line="400" w:lineRule="exact"/>
              <w:jc w:val="center"/>
              <w:rPr>
                <w:rFonts w:ascii="宋体" w:hAnsi="宋体" w:cs="Calibri Light"/>
                <w:color w:val="auto"/>
                <w:sz w:val="24"/>
                <w:highlight w:val="none"/>
              </w:rPr>
            </w:pP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00" w:lineRule="exact"/>
              <w:rPr>
                <w:rFonts w:ascii="宋体" w:hAnsi="宋体" w:cs="Calibri Light"/>
                <w:color w:val="auto"/>
                <w:sz w:val="24"/>
                <w:highlight w:val="none"/>
              </w:rPr>
            </w:pPr>
            <w:r>
              <w:rPr>
                <w:rFonts w:hint="eastAsia" w:ascii="宋体" w:hAnsi="宋体" w:cs="宋体"/>
                <w:color w:val="auto"/>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9</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10</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截止时间：详见公告</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11</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时间：详见公告</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12</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视频演示</w:t>
            </w:r>
          </w:p>
        </w:tc>
        <w:tc>
          <w:tcPr>
            <w:tcW w:w="6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t>投标人提供已经拍摄制作完成的</w:t>
            </w:r>
            <w:r>
              <w:rPr>
                <w:rFonts w:hint="eastAsia" w:ascii="宋体" w:hAnsi="宋体" w:eastAsia="宋体" w:cs="宋体"/>
                <w:b/>
                <w:bCs/>
                <w:color w:val="auto"/>
                <w:kern w:val="0"/>
                <w:sz w:val="24"/>
                <w:szCs w:val="24"/>
                <w:highlight w:val="none"/>
              </w:rPr>
              <w:t>样片</w:t>
            </w:r>
            <w:r>
              <w:rPr>
                <w:rFonts w:hint="eastAsia" w:ascii="宋体" w:hAnsi="宋体" w:eastAsia="宋体" w:cs="宋体"/>
                <w:b/>
                <w:bCs/>
                <w:color w:val="auto"/>
                <w:kern w:val="0"/>
                <w:sz w:val="24"/>
                <w:szCs w:val="24"/>
                <w:highlight w:val="none"/>
                <w:lang w:val="en-US" w:eastAsia="zh-CN"/>
              </w:rPr>
              <w:t>集锦(U盘形式)</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总时长不超过5分钟。</w:t>
            </w:r>
          </w:p>
          <w:p>
            <w:pPr>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②</w:t>
            </w:r>
            <w:r>
              <w:rPr>
                <w:rFonts w:hint="eastAsia" w:ascii="宋体" w:hAnsi="宋体" w:eastAsia="宋体" w:cs="宋体"/>
                <w:b/>
                <w:bCs/>
                <w:color w:val="auto"/>
                <w:sz w:val="24"/>
                <w:szCs w:val="24"/>
                <w:highlight w:val="none"/>
                <w:lang w:val="en-US" w:eastAsia="zh-CN"/>
              </w:rPr>
              <w:t>投标人将演示课程运行平台相关功能进行视频录制（U盘形式）。</w:t>
            </w:r>
          </w:p>
          <w:p>
            <w:pPr>
              <w:rPr>
                <w:rFonts w:asciiTheme="majorEastAsia" w:hAnsiTheme="majorEastAsia" w:eastAsiaTheme="majorEastAsia" w:cstheme="majorEastAsia"/>
                <w:b/>
                <w:bCs/>
                <w:color w:val="auto"/>
                <w:sz w:val="24"/>
                <w:highlight w:val="none"/>
              </w:rPr>
            </w:pPr>
            <w:r>
              <w:rPr>
                <w:rFonts w:hint="eastAsia" w:ascii="宋体" w:hAnsi="宋体" w:cs="宋体"/>
                <w:b/>
                <w:bCs/>
                <w:color w:val="auto"/>
                <w:kern w:val="0"/>
                <w:sz w:val="24"/>
                <w:szCs w:val="22"/>
                <w:highlight w:val="none"/>
                <w:lang w:val="en-US" w:eastAsia="zh-CN"/>
              </w:rPr>
              <w:t>投标人无须现场演示，将以上演示内容拷贝至U盘，在投标截止时间前一天下午16:00前将视频演示U盘邮寄至台州市椒江区工人西路427号。逾期邮寄送达至投标地点的将不予接收）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3</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投标保证金</w:t>
            </w:r>
          </w:p>
        </w:tc>
        <w:tc>
          <w:tcPr>
            <w:tcW w:w="6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w:t>
            </w:r>
          </w:p>
        </w:tc>
        <w:tc>
          <w:tcPr>
            <w:tcW w:w="19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13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供应商以电汇、转帐等形式提交履约保证金，注明用途为“履约保证金”。凭银行支付凭证回执到台州学院计划财务处（浙江省台州市椒江区市府大道1139号台州学院椒江校区行政楼一楼137室，联系电话：徐老师 88661928）开具资金往来款收据。汇款信息如下：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开户名称：台州学院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帐号：33050 16635 00000 00852  </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开户行：中国建设银行台州市分行</w:t>
            </w:r>
          </w:p>
          <w:p>
            <w:pPr>
              <w:pStyle w:val="18"/>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咨询电话：0576-88660897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15</w:t>
            </w: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16</w:t>
            </w: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17</w:t>
            </w: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招标代理</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费</w:t>
            </w:r>
          </w:p>
        </w:tc>
        <w:tc>
          <w:tcPr>
            <w:tcW w:w="6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分别</w:t>
            </w:r>
            <w:r>
              <w:rPr>
                <w:rFonts w:hint="eastAsia" w:asciiTheme="majorEastAsia" w:hAnsiTheme="majorEastAsia" w:eastAsiaTheme="majorEastAsia" w:cstheme="majorEastAsia"/>
                <w:color w:val="auto"/>
                <w:sz w:val="24"/>
                <w:highlight w:val="none"/>
              </w:rPr>
              <w:t>以本项目</w:t>
            </w:r>
            <w:r>
              <w:rPr>
                <w:rFonts w:hint="eastAsia" w:asciiTheme="majorEastAsia" w:hAnsiTheme="majorEastAsia" w:eastAsiaTheme="majorEastAsia" w:cstheme="majorEastAsia"/>
                <w:color w:val="auto"/>
                <w:sz w:val="24"/>
                <w:highlight w:val="none"/>
                <w:lang w:eastAsia="zh-CN"/>
              </w:rPr>
              <w:t>两个标段</w:t>
            </w:r>
            <w:r>
              <w:rPr>
                <w:rFonts w:hint="eastAsia" w:asciiTheme="majorEastAsia" w:hAnsiTheme="majorEastAsia" w:eastAsiaTheme="majorEastAsia" w:cstheme="majorEastAsia"/>
                <w:color w:val="auto"/>
                <w:sz w:val="24"/>
                <w:highlight w:val="none"/>
              </w:rPr>
              <w:t>中标价为基数，按计价格[2002]1980号文件、发改办价格[2003]857号、发改价格[2011]534号收费标准的</w:t>
            </w:r>
            <w:r>
              <w:rPr>
                <w:rFonts w:hint="eastAsia" w:asciiTheme="majorEastAsia" w:hAnsiTheme="majorEastAsia" w:eastAsiaTheme="majorEastAsia" w:cstheme="majorEastAsia"/>
                <w:color w:val="auto"/>
                <w:sz w:val="24"/>
                <w:highlight w:val="none"/>
                <w:lang w:val="en-US" w:eastAsia="zh-CN"/>
              </w:rPr>
              <w:t>35</w:t>
            </w:r>
            <w:r>
              <w:rPr>
                <w:rFonts w:hint="eastAsia" w:asciiTheme="majorEastAsia" w:hAnsiTheme="majorEastAsia" w:eastAsiaTheme="majorEastAsia" w:cstheme="majorEastAsia"/>
                <w:color w:val="auto"/>
                <w:sz w:val="24"/>
                <w:highlight w:val="none"/>
              </w:rPr>
              <w:t>%计取</w:t>
            </w:r>
            <w:r>
              <w:rPr>
                <w:rFonts w:hint="default" w:asciiTheme="majorEastAsia" w:hAnsiTheme="majorEastAsia" w:eastAsiaTheme="majorEastAsia" w:cstheme="majorEastAsia"/>
                <w:color w:val="auto"/>
                <w:sz w:val="24"/>
                <w:highlight w:val="none"/>
              </w:rPr>
              <w:t>，招标代理服务费每个项目不足2500元的，按2500元收费</w:t>
            </w:r>
            <w:r>
              <w:rPr>
                <w:rFonts w:hint="eastAsia" w:asciiTheme="majorEastAsia" w:hAnsiTheme="majorEastAsia" w:eastAsiaTheme="majorEastAsia" w:cstheme="majorEastAsia"/>
                <w:color w:val="auto"/>
                <w:sz w:val="24"/>
                <w:highlight w:val="none"/>
              </w:rPr>
              <w:t>。由</w:t>
            </w:r>
            <w:r>
              <w:rPr>
                <w:rFonts w:hint="eastAsia" w:asciiTheme="majorEastAsia" w:hAnsiTheme="majorEastAsia" w:eastAsiaTheme="majorEastAsia" w:cstheme="majorEastAsia"/>
                <w:color w:val="auto"/>
                <w:sz w:val="24"/>
                <w:highlight w:val="none"/>
                <w:lang w:eastAsia="zh-CN"/>
              </w:rPr>
              <w:t>标段一、标段二</w:t>
            </w:r>
            <w:r>
              <w:rPr>
                <w:rFonts w:hint="eastAsia" w:asciiTheme="majorEastAsia" w:hAnsiTheme="majorEastAsia" w:eastAsiaTheme="majorEastAsia" w:cstheme="majorEastAsia"/>
                <w:color w:val="auto"/>
                <w:sz w:val="24"/>
                <w:highlight w:val="none"/>
              </w:rPr>
              <w:t>中标人在领取中标通知书时</w:t>
            </w:r>
            <w:r>
              <w:rPr>
                <w:rFonts w:hint="default" w:asciiTheme="majorEastAsia" w:hAnsiTheme="majorEastAsia" w:eastAsiaTheme="majorEastAsia" w:cstheme="majorEastAsia"/>
                <w:color w:val="auto"/>
                <w:sz w:val="24"/>
                <w:highlight w:val="none"/>
              </w:rPr>
              <w:t>分别</w:t>
            </w:r>
            <w:r>
              <w:rPr>
                <w:rFonts w:hint="eastAsia" w:asciiTheme="majorEastAsia" w:hAnsiTheme="majorEastAsia" w:eastAsiaTheme="majorEastAsia" w:cstheme="majorEastAsia"/>
                <w:color w:val="auto"/>
                <w:sz w:val="24"/>
                <w:highlight w:val="none"/>
              </w:rPr>
              <w:t>一次性支付给招标代理机构。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宋体" w:hAnsi="宋体" w:cs="宋体" w:eastAsiaTheme="majorEastAsia"/>
                <w:color w:val="auto"/>
                <w:sz w:val="24"/>
                <w:highlight w:val="none"/>
                <w:lang w:val="en-US" w:eastAsia="zh-CN"/>
              </w:rPr>
              <w:t>18</w:t>
            </w:r>
          </w:p>
        </w:tc>
        <w:tc>
          <w:tcPr>
            <w:tcW w:w="1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r>
              <w:rPr>
                <w:rFonts w:ascii="宋体" w:hAnsi="宋体" w:cs="宋体"/>
                <w:color w:val="auto"/>
                <w:sz w:val="24"/>
                <w:highlight w:val="none"/>
              </w:rPr>
              <w:t>事项</w:t>
            </w:r>
          </w:p>
        </w:tc>
        <w:tc>
          <w:tcPr>
            <w:tcW w:w="61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auto"/>
                <w:sz w:val="24"/>
                <w:highlight w:val="none"/>
              </w:rPr>
            </w:pPr>
            <w:r>
              <w:rPr>
                <w:rFonts w:hint="eastAsia" w:ascii="宋体" w:hAnsi="宋体" w:cs="宋体"/>
                <w:color w:val="auto"/>
                <w:sz w:val="24"/>
                <w:highlight w:val="none"/>
              </w:rPr>
              <w:t>中标供应商如有融资需求，可使用以下银行的政采贷服务。</w:t>
            </w:r>
          </w:p>
          <w:tbl>
            <w:tblPr>
              <w:tblStyle w:val="34"/>
              <w:tblW w:w="5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021"/>
              <w:gridCol w:w="115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03"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银行</w:t>
                  </w:r>
                </w:p>
              </w:tc>
              <w:tc>
                <w:tcPr>
                  <w:tcW w:w="1021"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贷款年利率</w:t>
                  </w:r>
                </w:p>
              </w:tc>
              <w:tc>
                <w:tcPr>
                  <w:tcW w:w="1156"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联系人</w:t>
                  </w:r>
                </w:p>
              </w:tc>
              <w:tc>
                <w:tcPr>
                  <w:tcW w:w="1461" w:type="dxa"/>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中国工商银行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3.8%起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王霖</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中国农业银行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3.8%起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龚盛</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中国建设银行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3.8%起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梅晶晶</w:t>
                  </w:r>
                </w:p>
              </w:tc>
              <w:tc>
                <w:tcPr>
                  <w:tcW w:w="1461" w:type="dxa"/>
                  <w:shd w:val="clear" w:color="auto" w:fill="auto"/>
                  <w:vAlign w:val="center"/>
                </w:tcPr>
                <w:p>
                  <w:pPr>
                    <w:jc w:val="center"/>
                    <w:rPr>
                      <w:color w:val="auto"/>
                      <w:highlight w:val="none"/>
                    </w:rPr>
                  </w:pPr>
                  <w:r>
                    <w:rPr>
                      <w:rFonts w:hint="eastAsia"/>
                      <w:color w:val="auto"/>
                      <w:highlight w:val="none"/>
                    </w:rPr>
                    <w:t>88525339</w:t>
                  </w:r>
                </w:p>
                <w:p>
                  <w:pPr>
                    <w:jc w:val="center"/>
                    <w:rPr>
                      <w:rFonts w:ascii="宋体" w:hAnsi="宋体"/>
                      <w:color w:val="auto"/>
                      <w:szCs w:val="21"/>
                      <w:highlight w:val="none"/>
                    </w:rPr>
                  </w:pPr>
                  <w:r>
                    <w:rPr>
                      <w:color w:val="auto"/>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中国银行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3.75%起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任茜</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浦发银行台州分行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4.05%起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王渊</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浦发银行椒江分行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4.05%起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孙瑞华</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交通银行台州分行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3.75%起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周翔宇</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招商银行台州分行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4.32%起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王海玲</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浙商银行台州分行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5.01%起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章涉漪</w:t>
                  </w:r>
                </w:p>
              </w:tc>
              <w:tc>
                <w:tcPr>
                  <w:tcW w:w="1461" w:type="dxa"/>
                  <w:shd w:val="clear" w:color="auto" w:fill="auto"/>
                  <w:vAlign w:val="center"/>
                </w:tcPr>
                <w:p>
                  <w:pPr>
                    <w:jc w:val="center"/>
                    <w:rPr>
                      <w:color w:val="auto"/>
                      <w:highlight w:val="none"/>
                    </w:rPr>
                  </w:pPr>
                  <w:r>
                    <w:rPr>
                      <w:rFonts w:hint="eastAsia"/>
                      <w:color w:val="auto"/>
                      <w:highlight w:val="none"/>
                    </w:rPr>
                    <w:t>81880185</w:t>
                  </w:r>
                </w:p>
                <w:p>
                  <w:pPr>
                    <w:jc w:val="center"/>
                    <w:rPr>
                      <w:rFonts w:ascii="宋体" w:hAnsi="宋体"/>
                      <w:color w:val="auto"/>
                      <w:szCs w:val="21"/>
                      <w:highlight w:val="none"/>
                    </w:rPr>
                  </w:pPr>
                  <w:r>
                    <w:rPr>
                      <w:rFonts w:ascii="宋体" w:hAnsi="宋体"/>
                      <w:color w:val="auto"/>
                      <w:szCs w:val="21"/>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中信银行台州分行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4.15%起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陈金园</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华夏银行台州分行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邱明达</w:t>
                  </w:r>
                </w:p>
              </w:tc>
              <w:tc>
                <w:tcPr>
                  <w:tcW w:w="1461" w:type="dxa"/>
                  <w:shd w:val="clear" w:color="auto" w:fill="auto"/>
                  <w:vAlign w:val="center"/>
                </w:tcPr>
                <w:p>
                  <w:pPr>
                    <w:jc w:val="center"/>
                    <w:rPr>
                      <w:color w:val="auto"/>
                      <w:highlight w:val="none"/>
                    </w:rPr>
                  </w:pPr>
                  <w:r>
                    <w:rPr>
                      <w:rFonts w:hint="eastAsia"/>
                      <w:color w:val="auto"/>
                      <w:highlight w:val="none"/>
                    </w:rPr>
                    <w:t>81871518</w:t>
                  </w:r>
                </w:p>
                <w:p>
                  <w:pPr>
                    <w:jc w:val="center"/>
                    <w:rPr>
                      <w:rFonts w:ascii="宋体" w:hAnsi="宋体"/>
                      <w:color w:val="auto"/>
                      <w:szCs w:val="21"/>
                      <w:highlight w:val="none"/>
                    </w:rPr>
                  </w:pPr>
                  <w:r>
                    <w:rPr>
                      <w:rFonts w:ascii="宋体" w:hAnsi="宋体"/>
                      <w:color w:val="auto"/>
                      <w:szCs w:val="21"/>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泰隆银行开发区支行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5.6%起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梁宛莉</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民泰银行椒江支行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5.8%起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陈慧珠</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绍兴银行台州分行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5.1%起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郭庭斌</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温州银行台州分行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4.55%起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王晓波</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rFonts w:ascii="宋体" w:hAnsi="宋体"/>
                      <w:color w:val="auto"/>
                      <w:szCs w:val="21"/>
                      <w:highlight w:val="none"/>
                    </w:rPr>
                  </w:pPr>
                  <w:r>
                    <w:rPr>
                      <w:rFonts w:hint="eastAsia"/>
                      <w:color w:val="auto"/>
                      <w:highlight w:val="none"/>
                    </w:rPr>
                    <w:t>平安银行台州分行</w:t>
                  </w:r>
                </w:p>
              </w:tc>
              <w:tc>
                <w:tcPr>
                  <w:tcW w:w="1021" w:type="dxa"/>
                  <w:shd w:val="clear" w:color="auto" w:fill="auto"/>
                  <w:vAlign w:val="center"/>
                </w:tcPr>
                <w:p>
                  <w:pPr>
                    <w:jc w:val="center"/>
                    <w:rPr>
                      <w:rFonts w:ascii="宋体" w:hAnsi="宋体"/>
                      <w:color w:val="auto"/>
                      <w:szCs w:val="21"/>
                      <w:highlight w:val="none"/>
                    </w:rPr>
                  </w:pPr>
                  <w:r>
                    <w:rPr>
                      <w:rFonts w:hint="eastAsia"/>
                      <w:color w:val="auto"/>
                      <w:highlight w:val="none"/>
                    </w:rPr>
                    <w:t>6.53%起</w:t>
                  </w:r>
                </w:p>
              </w:tc>
              <w:tc>
                <w:tcPr>
                  <w:tcW w:w="1156" w:type="dxa"/>
                  <w:shd w:val="clear" w:color="auto" w:fill="auto"/>
                  <w:vAlign w:val="center"/>
                </w:tcPr>
                <w:p>
                  <w:pPr>
                    <w:jc w:val="center"/>
                    <w:rPr>
                      <w:rFonts w:ascii="宋体" w:hAnsi="宋体"/>
                      <w:color w:val="auto"/>
                      <w:szCs w:val="21"/>
                      <w:highlight w:val="none"/>
                    </w:rPr>
                  </w:pPr>
                  <w:r>
                    <w:rPr>
                      <w:rFonts w:hint="eastAsia"/>
                      <w:color w:val="auto"/>
                      <w:highlight w:val="none"/>
                    </w:rPr>
                    <w:t>李俊丽</w:t>
                  </w:r>
                </w:p>
              </w:tc>
              <w:tc>
                <w:tcPr>
                  <w:tcW w:w="1461" w:type="dxa"/>
                  <w:shd w:val="clear" w:color="auto" w:fill="auto"/>
                  <w:vAlign w:val="center"/>
                </w:tcPr>
                <w:p>
                  <w:pPr>
                    <w:jc w:val="center"/>
                    <w:rPr>
                      <w:rFonts w:ascii="宋体" w:hAnsi="宋体"/>
                      <w:color w:val="auto"/>
                      <w:szCs w:val="21"/>
                      <w:highlight w:val="none"/>
                    </w:rPr>
                  </w:pPr>
                  <w:r>
                    <w:rPr>
                      <w:rFonts w:hint="eastAsia"/>
                      <w:color w:val="auto"/>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color w:val="auto"/>
                      <w:highlight w:val="none"/>
                    </w:rPr>
                  </w:pPr>
                  <w:r>
                    <w:rPr>
                      <w:rFonts w:hint="eastAsia"/>
                      <w:color w:val="auto"/>
                      <w:highlight w:val="none"/>
                    </w:rPr>
                    <w:t>宁波银行台州分行</w:t>
                  </w:r>
                </w:p>
              </w:tc>
              <w:tc>
                <w:tcPr>
                  <w:tcW w:w="1021" w:type="dxa"/>
                  <w:shd w:val="clear" w:color="auto" w:fill="auto"/>
                  <w:vAlign w:val="center"/>
                </w:tcPr>
                <w:p>
                  <w:pPr>
                    <w:jc w:val="center"/>
                    <w:rPr>
                      <w:color w:val="auto"/>
                      <w:highlight w:val="none"/>
                    </w:rPr>
                  </w:pPr>
                  <w:r>
                    <w:rPr>
                      <w:rFonts w:hint="eastAsia"/>
                      <w:color w:val="auto"/>
                      <w:highlight w:val="none"/>
                    </w:rPr>
                    <w:t>4.35%起</w:t>
                  </w:r>
                </w:p>
              </w:tc>
              <w:tc>
                <w:tcPr>
                  <w:tcW w:w="1156" w:type="dxa"/>
                  <w:shd w:val="clear" w:color="auto" w:fill="auto"/>
                  <w:vAlign w:val="center"/>
                </w:tcPr>
                <w:p>
                  <w:pPr>
                    <w:jc w:val="center"/>
                    <w:rPr>
                      <w:color w:val="auto"/>
                      <w:highlight w:val="none"/>
                    </w:rPr>
                  </w:pPr>
                  <w:r>
                    <w:rPr>
                      <w:rFonts w:hint="eastAsia"/>
                      <w:color w:val="auto"/>
                      <w:highlight w:val="none"/>
                    </w:rPr>
                    <w:t>戴莉丽</w:t>
                  </w:r>
                </w:p>
              </w:tc>
              <w:tc>
                <w:tcPr>
                  <w:tcW w:w="1461" w:type="dxa"/>
                  <w:shd w:val="clear" w:color="auto" w:fill="auto"/>
                  <w:vAlign w:val="center"/>
                </w:tcPr>
                <w:p>
                  <w:pPr>
                    <w:jc w:val="center"/>
                    <w:rPr>
                      <w:color w:val="auto"/>
                      <w:highlight w:val="none"/>
                    </w:rPr>
                  </w:pPr>
                  <w:r>
                    <w:rPr>
                      <w:rFonts w:hint="eastAsia"/>
                      <w:color w:val="auto"/>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color w:val="auto"/>
                      <w:highlight w:val="none"/>
                    </w:rPr>
                  </w:pPr>
                  <w:r>
                    <w:rPr>
                      <w:rFonts w:hint="eastAsia"/>
                      <w:color w:val="auto"/>
                      <w:highlight w:val="none"/>
                    </w:rPr>
                    <w:t>金华银行台州分行</w:t>
                  </w:r>
                </w:p>
              </w:tc>
              <w:tc>
                <w:tcPr>
                  <w:tcW w:w="1021" w:type="dxa"/>
                  <w:shd w:val="clear" w:color="auto" w:fill="auto"/>
                  <w:vAlign w:val="center"/>
                </w:tcPr>
                <w:p>
                  <w:pPr>
                    <w:jc w:val="center"/>
                    <w:rPr>
                      <w:color w:val="auto"/>
                      <w:highlight w:val="none"/>
                    </w:rPr>
                  </w:pPr>
                  <w:r>
                    <w:rPr>
                      <w:rFonts w:hint="eastAsia"/>
                      <w:color w:val="auto"/>
                      <w:highlight w:val="none"/>
                    </w:rPr>
                    <w:t>4.05%起</w:t>
                  </w:r>
                </w:p>
              </w:tc>
              <w:tc>
                <w:tcPr>
                  <w:tcW w:w="1156" w:type="dxa"/>
                  <w:shd w:val="clear" w:color="auto" w:fill="auto"/>
                  <w:vAlign w:val="center"/>
                </w:tcPr>
                <w:p>
                  <w:pPr>
                    <w:jc w:val="center"/>
                    <w:rPr>
                      <w:color w:val="auto"/>
                      <w:highlight w:val="none"/>
                    </w:rPr>
                  </w:pPr>
                  <w:r>
                    <w:rPr>
                      <w:rFonts w:hint="eastAsia"/>
                      <w:color w:val="auto"/>
                      <w:highlight w:val="none"/>
                    </w:rPr>
                    <w:t>金雪婷</w:t>
                  </w:r>
                </w:p>
              </w:tc>
              <w:tc>
                <w:tcPr>
                  <w:tcW w:w="1461" w:type="dxa"/>
                  <w:shd w:val="clear" w:color="auto" w:fill="auto"/>
                  <w:vAlign w:val="center"/>
                </w:tcPr>
                <w:p>
                  <w:pPr>
                    <w:jc w:val="center"/>
                    <w:rPr>
                      <w:color w:val="auto"/>
                      <w:highlight w:val="none"/>
                    </w:rPr>
                  </w:pPr>
                  <w:r>
                    <w:rPr>
                      <w:rFonts w:hint="eastAsia"/>
                      <w:color w:val="auto"/>
                      <w:highlight w:val="none"/>
                    </w:rPr>
                    <w:t>81886670</w:t>
                  </w:r>
                </w:p>
                <w:p>
                  <w:pPr>
                    <w:jc w:val="center"/>
                    <w:rPr>
                      <w:color w:val="auto"/>
                      <w:highlight w:val="none"/>
                    </w:rPr>
                  </w:pPr>
                  <w:r>
                    <w:rPr>
                      <w:color w:val="auto"/>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color w:val="auto"/>
                      <w:highlight w:val="none"/>
                    </w:rPr>
                  </w:pPr>
                  <w:r>
                    <w:rPr>
                      <w:rFonts w:hint="eastAsia"/>
                      <w:color w:val="auto"/>
                      <w:highlight w:val="none"/>
                    </w:rPr>
                    <w:t>台州银行</w:t>
                  </w:r>
                </w:p>
              </w:tc>
              <w:tc>
                <w:tcPr>
                  <w:tcW w:w="1021" w:type="dxa"/>
                  <w:shd w:val="clear" w:color="auto" w:fill="auto"/>
                  <w:vAlign w:val="center"/>
                </w:tcPr>
                <w:p>
                  <w:pPr>
                    <w:jc w:val="center"/>
                    <w:rPr>
                      <w:color w:val="auto"/>
                      <w:highlight w:val="none"/>
                    </w:rPr>
                  </w:pPr>
                  <w:r>
                    <w:rPr>
                      <w:rFonts w:hint="eastAsia"/>
                      <w:color w:val="auto"/>
                      <w:highlight w:val="none"/>
                    </w:rPr>
                    <w:t>5.6%起</w:t>
                  </w:r>
                </w:p>
              </w:tc>
              <w:tc>
                <w:tcPr>
                  <w:tcW w:w="1156" w:type="dxa"/>
                  <w:shd w:val="clear" w:color="auto" w:fill="auto"/>
                  <w:vAlign w:val="center"/>
                </w:tcPr>
                <w:p>
                  <w:pPr>
                    <w:jc w:val="center"/>
                    <w:rPr>
                      <w:color w:val="auto"/>
                      <w:highlight w:val="none"/>
                    </w:rPr>
                  </w:pPr>
                  <w:r>
                    <w:rPr>
                      <w:rFonts w:hint="eastAsia"/>
                      <w:color w:val="auto"/>
                      <w:highlight w:val="none"/>
                    </w:rPr>
                    <w:t>洪婷</w:t>
                  </w:r>
                </w:p>
              </w:tc>
              <w:tc>
                <w:tcPr>
                  <w:tcW w:w="1461" w:type="dxa"/>
                  <w:shd w:val="clear" w:color="auto" w:fill="auto"/>
                  <w:vAlign w:val="center"/>
                </w:tcPr>
                <w:p>
                  <w:pPr>
                    <w:jc w:val="center"/>
                    <w:rPr>
                      <w:color w:val="auto"/>
                      <w:highlight w:val="none"/>
                    </w:rPr>
                  </w:pPr>
                  <w:r>
                    <w:rPr>
                      <w:rFonts w:hint="eastAsia"/>
                      <w:color w:val="auto"/>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03" w:type="dxa"/>
                  <w:shd w:val="clear" w:color="auto" w:fill="auto"/>
                  <w:vAlign w:val="center"/>
                </w:tcPr>
                <w:p>
                  <w:pPr>
                    <w:jc w:val="center"/>
                    <w:rPr>
                      <w:color w:val="auto"/>
                      <w:highlight w:val="none"/>
                    </w:rPr>
                  </w:pPr>
                  <w:r>
                    <w:rPr>
                      <w:rFonts w:hint="eastAsia"/>
                      <w:color w:val="auto"/>
                      <w:highlight w:val="none"/>
                    </w:rPr>
                    <w:t>邮储银行台州分行</w:t>
                  </w:r>
                </w:p>
              </w:tc>
              <w:tc>
                <w:tcPr>
                  <w:tcW w:w="1021" w:type="dxa"/>
                  <w:shd w:val="clear" w:color="auto" w:fill="auto"/>
                  <w:vAlign w:val="center"/>
                </w:tcPr>
                <w:p>
                  <w:pPr>
                    <w:jc w:val="center"/>
                    <w:rPr>
                      <w:color w:val="auto"/>
                      <w:highlight w:val="none"/>
                    </w:rPr>
                  </w:pPr>
                  <w:r>
                    <w:rPr>
                      <w:rFonts w:hint="eastAsia"/>
                      <w:color w:val="auto"/>
                      <w:highlight w:val="none"/>
                    </w:rPr>
                    <w:t>3.85%起</w:t>
                  </w:r>
                </w:p>
              </w:tc>
              <w:tc>
                <w:tcPr>
                  <w:tcW w:w="1156" w:type="dxa"/>
                  <w:shd w:val="clear" w:color="auto" w:fill="auto"/>
                  <w:vAlign w:val="center"/>
                </w:tcPr>
                <w:p>
                  <w:pPr>
                    <w:jc w:val="center"/>
                    <w:rPr>
                      <w:color w:val="auto"/>
                      <w:highlight w:val="none"/>
                    </w:rPr>
                  </w:pPr>
                  <w:r>
                    <w:rPr>
                      <w:rFonts w:hint="eastAsia"/>
                      <w:color w:val="auto"/>
                      <w:highlight w:val="none"/>
                    </w:rPr>
                    <w:t>董庆</w:t>
                  </w:r>
                </w:p>
              </w:tc>
              <w:tc>
                <w:tcPr>
                  <w:tcW w:w="1461" w:type="dxa"/>
                  <w:shd w:val="clear" w:color="auto" w:fill="auto"/>
                  <w:vAlign w:val="center"/>
                </w:tcPr>
                <w:p>
                  <w:pPr>
                    <w:jc w:val="center"/>
                    <w:rPr>
                      <w:color w:val="auto"/>
                      <w:highlight w:val="none"/>
                    </w:rPr>
                  </w:pPr>
                  <w:r>
                    <w:rPr>
                      <w:rFonts w:hint="eastAsia"/>
                      <w:color w:val="auto"/>
                      <w:highlight w:val="none"/>
                    </w:rPr>
                    <w:t>81888982</w:t>
                  </w:r>
                </w:p>
                <w:p>
                  <w:pPr>
                    <w:jc w:val="center"/>
                    <w:rPr>
                      <w:color w:val="auto"/>
                      <w:highlight w:val="none"/>
                    </w:rPr>
                  </w:pPr>
                  <w:r>
                    <w:rPr>
                      <w:color w:val="auto"/>
                      <w:highlight w:val="none"/>
                    </w:rPr>
                    <w:t>18957683735</w:t>
                  </w:r>
                </w:p>
              </w:tc>
            </w:tr>
          </w:tbl>
          <w:p>
            <w:pPr>
              <w:autoSpaceDE w:val="0"/>
              <w:autoSpaceDN w:val="0"/>
              <w:adjustRightInd w:val="0"/>
              <w:spacing w:line="360" w:lineRule="auto"/>
              <w:rPr>
                <w:rFonts w:hint="eastAsia"/>
                <w:color w:val="auto"/>
                <w:highlight w:val="none"/>
                <w:lang w:val="en-US" w:eastAsia="zh-CN"/>
              </w:rPr>
            </w:pPr>
            <w:r>
              <w:rPr>
                <w:rFonts w:hint="eastAsia"/>
                <w:color w:val="auto"/>
                <w:highlight w:val="none"/>
                <w:lang w:val="en-US" w:eastAsia="zh-CN"/>
              </w:rPr>
              <w:t>2.</w:t>
            </w:r>
            <w:r>
              <w:rPr>
                <w:rStyle w:val="37"/>
                <w:rFonts w:hint="eastAsia" w:ascii="Times New Roman" w:hAnsi="Times New Roman" w:eastAsia="宋体" w:cs="宋体"/>
                <w:b/>
                <w:bCs/>
                <w:color w:val="auto"/>
                <w:kern w:val="0"/>
                <w:sz w:val="21"/>
                <w:szCs w:val="22"/>
                <w:highlight w:val="none"/>
                <w:lang w:val="en-US" w:eastAsia="zh-CN" w:bidi="ar-SA"/>
              </w:rPr>
              <w:t>合同履约保函联系方式</w:t>
            </w:r>
          </w:p>
          <w:tbl>
            <w:tblPr>
              <w:tblStyle w:val="35"/>
              <w:tblW w:w="5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21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保险公司名称</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保费率</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联系人</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中国人寿财产保险股份有限公司台州中心支公司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年费率1%，最低保费500元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徐凌</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永诚财产保险股份有限公司台州分公司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年费率1%，最低保费1000元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尹刚强</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华泰财产保险有限公司台州中心支公司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年费率0.5%，最低保费1000元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王灵芳</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中国大地财产保险股份有限公司台州中心支公司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年费率1.5%，最低保费1000元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徐小明</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阳光保险台州中心支公司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年费率1%，最低保费500元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林高明</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中华联合财产保险股份有限公司台州中心支公司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年费率2%，最低保费500元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王仙高</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中国人民财产保险股份有限公司台州中心支公司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年费率0.3%，最低保费1000元</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王仙春</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永安财产保险股份有限公司台州中心支公司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年费率0.3%，最低保费1000</w:t>
                  </w:r>
                </w:p>
              </w:tc>
              <w:tc>
                <w:tcPr>
                  <w:tcW w:w="1219"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王春宇</w:t>
                  </w:r>
                </w:p>
              </w:tc>
              <w:tc>
                <w:tcPr>
                  <w:tcW w:w="145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13676675331</w:t>
                  </w:r>
                </w:p>
              </w:tc>
            </w:tr>
          </w:tbl>
          <w:p>
            <w:pPr>
              <w:pStyle w:val="13"/>
              <w:rPr>
                <w:rFonts w:hint="eastAsia"/>
                <w:color w:val="auto"/>
                <w:highlight w:val="none"/>
                <w:lang w:val="en-US" w:eastAsia="zh-CN"/>
              </w:rPr>
            </w:pPr>
            <w:r>
              <w:rPr>
                <w:rFonts w:hint="eastAsia"/>
                <w:color w:val="auto"/>
                <w:highlight w:val="none"/>
                <w:lang w:val="en-US" w:eastAsia="zh-CN"/>
              </w:rPr>
              <w:t>3.</w:t>
            </w:r>
            <w:r>
              <w:rPr>
                <w:rStyle w:val="37"/>
                <w:rFonts w:hint="eastAsia" w:ascii="Times New Roman" w:hAnsi="Times New Roman" w:eastAsia="宋体" w:cs="宋体"/>
                <w:b/>
                <w:bCs/>
                <w:color w:val="auto"/>
                <w:kern w:val="0"/>
                <w:sz w:val="21"/>
                <w:szCs w:val="22"/>
                <w:highlight w:val="none"/>
                <w:lang w:val="en-US" w:eastAsia="zh-CN" w:bidi="ar-SA"/>
              </w:rPr>
              <w:t>预付款保函联系方式</w:t>
            </w:r>
          </w:p>
          <w:tbl>
            <w:tblPr>
              <w:tblStyle w:val="35"/>
              <w:tblW w:w="5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24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保险公司名称</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保费率</w:t>
                  </w:r>
                </w:p>
              </w:tc>
              <w:tc>
                <w:tcPr>
                  <w:tcW w:w="1241"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联系人</w:t>
                  </w:r>
                </w:p>
              </w:tc>
              <w:tc>
                <w:tcPr>
                  <w:tcW w:w="140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中国人寿财产保险股份有限公司台州中心支公司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年费率3%，最低保费500元</w:t>
                  </w:r>
                </w:p>
              </w:tc>
              <w:tc>
                <w:tcPr>
                  <w:tcW w:w="1241"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徐凌</w:t>
                  </w:r>
                </w:p>
              </w:tc>
              <w:tc>
                <w:tcPr>
                  <w:tcW w:w="140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阳光保险台州中心支公司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年费率1%，最低保费500元</w:t>
                  </w:r>
                </w:p>
              </w:tc>
              <w:tc>
                <w:tcPr>
                  <w:tcW w:w="1241"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林高明</w:t>
                  </w:r>
                </w:p>
              </w:tc>
              <w:tc>
                <w:tcPr>
                  <w:tcW w:w="140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天安财产保险股份有限公司台州中心支公司</w:t>
                  </w:r>
                </w:p>
              </w:tc>
              <w:tc>
                <w:tcPr>
                  <w:tcW w:w="1514"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年费率1%-2%，最低保费500元</w:t>
                  </w:r>
                </w:p>
              </w:tc>
              <w:tc>
                <w:tcPr>
                  <w:tcW w:w="1241"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罗赛</w:t>
                  </w:r>
                </w:p>
              </w:tc>
              <w:tc>
                <w:tcPr>
                  <w:tcW w:w="1400" w:type="dxa"/>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13736605643</w:t>
                  </w:r>
                </w:p>
              </w:tc>
            </w:tr>
          </w:tbl>
          <w:p>
            <w:pPr>
              <w:autoSpaceDE w:val="0"/>
              <w:autoSpaceDN w:val="0"/>
              <w:adjustRightInd w:val="0"/>
              <w:spacing w:line="360" w:lineRule="auto"/>
              <w:rPr>
                <w:rFonts w:ascii="宋体" w:hAnsi="宋体" w:cs="宋体"/>
                <w:color w:val="auto"/>
                <w:sz w:val="24"/>
                <w:highlight w:val="none"/>
              </w:rPr>
            </w:pPr>
          </w:p>
        </w:tc>
      </w:tr>
    </w:tbl>
    <w:p>
      <w:pPr>
        <w:pStyle w:val="17"/>
        <w:snapToGrid w:val="0"/>
        <w:spacing w:before="120" w:after="120" w:line="360" w:lineRule="auto"/>
        <w:rPr>
          <w:color w:val="auto"/>
          <w:highlight w:val="none"/>
        </w:rPr>
      </w:pPr>
    </w:p>
    <w:p>
      <w:pPr>
        <w:pStyle w:val="17"/>
        <w:snapToGrid w:val="0"/>
        <w:spacing w:before="120" w:after="120" w:line="360" w:lineRule="auto"/>
        <w:rPr>
          <w:color w:val="auto"/>
          <w:highlight w:val="none"/>
        </w:rPr>
      </w:pPr>
      <w:r>
        <w:rPr>
          <w:color w:val="auto"/>
          <w:highlight w:val="none"/>
        </w:rPr>
        <w:br w:type="page"/>
      </w:r>
    </w:p>
    <w:p>
      <w:pPr>
        <w:pStyle w:val="17"/>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7"/>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7"/>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4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投标人接到招标文件后，按照采购组织机构的要求提供：资格证明文件、商务与技术文件和报价文件。</w:t>
      </w:r>
    </w:p>
    <w:p>
      <w:pPr>
        <w:snapToGrid w:val="0"/>
        <w:spacing w:line="360" w:lineRule="auto"/>
        <w:ind w:firstLine="643" w:firstLineChars="200"/>
        <w:jc w:val="center"/>
        <w:rPr>
          <w:rFonts w:hint="eastAsia" w:ascii="仿宋_GB2312" w:hAnsi="仿宋_GB2312" w:cs="仿宋_GB2312" w:eastAsiaTheme="minorEastAsia"/>
          <w:b/>
          <w:bCs/>
          <w:color w:val="auto"/>
          <w:sz w:val="32"/>
          <w:szCs w:val="32"/>
          <w:highlight w:val="none"/>
          <w:lang w:val="zh-CN" w:eastAsia="zh-CN"/>
        </w:rPr>
      </w:pPr>
      <w:r>
        <w:rPr>
          <w:rFonts w:hint="eastAsia" w:asciiTheme="minorEastAsia" w:hAnsiTheme="minorEastAsia" w:eastAsiaTheme="minorEastAsia"/>
          <w:b/>
          <w:bCs/>
          <w:color w:val="auto"/>
          <w:kern w:val="0"/>
          <w:sz w:val="32"/>
          <w:szCs w:val="32"/>
          <w:highlight w:val="none"/>
          <w:lang w:eastAsia="zh-CN"/>
        </w:rPr>
        <w:t>（标段一）</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eastAsia="zh-CN"/>
        </w:rPr>
        <w:t>标段一</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4"/>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投标声明书（格式见附件）；</w:t>
      </w:r>
    </w:p>
    <w:p>
      <w:pPr>
        <w:widowControl/>
        <w:numPr>
          <w:ilvl w:val="0"/>
          <w:numId w:val="4"/>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w:t>
      </w:r>
      <w:r>
        <w:rPr>
          <w:rFonts w:hint="eastAsia" w:ascii="宋体" w:hAnsi="宋体" w:cs="宋体"/>
          <w:color w:val="auto"/>
          <w:sz w:val="24"/>
          <w:highlight w:val="none"/>
          <w:lang w:eastAsia="zh-CN"/>
        </w:rPr>
        <w:t>如有，</w:t>
      </w:r>
      <w:r>
        <w:rPr>
          <w:rFonts w:hint="eastAsia" w:ascii="宋体" w:hAnsi="宋体" w:cs="宋体"/>
          <w:color w:val="auto"/>
          <w:sz w:val="24"/>
          <w:highlight w:val="none"/>
        </w:rPr>
        <w:t>法定代表人亲自办理投标事宜的，则无需提交)（格式见附件）；</w:t>
      </w:r>
    </w:p>
    <w:p>
      <w:pPr>
        <w:widowControl/>
        <w:numPr>
          <w:ilvl w:val="0"/>
          <w:numId w:val="4"/>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eastAsia="zh-CN"/>
        </w:rPr>
        <w:t>标段一</w:t>
      </w:r>
      <w:r>
        <w:rPr>
          <w:rFonts w:hint="eastAsia" w:ascii="宋体" w:hAnsi="宋体"/>
          <w:b/>
          <w:color w:val="auto"/>
          <w:sz w:val="24"/>
          <w:highlight w:val="none"/>
        </w:rPr>
        <w:t>商务与技术文件的组成：</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（1）供应商基本情况</w:t>
      </w:r>
      <w:r>
        <w:rPr>
          <w:rFonts w:hint="eastAsia" w:ascii="宋体" w:hAnsi="宋体"/>
          <w:color w:val="auto"/>
          <w:sz w:val="24"/>
          <w:highlight w:val="none"/>
          <w:lang w:eastAsia="zh-CN"/>
        </w:rPr>
        <w:t>表</w:t>
      </w:r>
      <w:r>
        <w:rPr>
          <w:rFonts w:hint="eastAsia" w:ascii="宋体" w:hAnsi="宋体" w:cs="宋体"/>
          <w:color w:val="auto"/>
          <w:sz w:val="24"/>
          <w:highlight w:val="none"/>
        </w:rPr>
        <w:t>（格式见附件）</w:t>
      </w:r>
      <w:r>
        <w:rPr>
          <w:rFonts w:hint="eastAsia"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）商务需求响应表（格式见附件）；</w:t>
      </w:r>
    </w:p>
    <w:p>
      <w:pPr>
        <w:snapToGrid w:val="0"/>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）其余内容根据评标办法自拟</w:t>
      </w:r>
      <w:r>
        <w:rPr>
          <w:rFonts w:hint="eastAsia" w:ascii="宋体" w:hAnsi="宋体" w:cs="宋体"/>
          <w:color w:val="auto"/>
          <w:sz w:val="24"/>
          <w:highlight w:val="none"/>
        </w:rPr>
        <w:t>（格式</w:t>
      </w:r>
      <w:r>
        <w:rPr>
          <w:rFonts w:ascii="宋体" w:hAnsi="宋体" w:cs="宋体"/>
          <w:color w:val="auto"/>
          <w:sz w:val="24"/>
          <w:highlight w:val="none"/>
        </w:rPr>
        <w:t>可参考附件</w:t>
      </w:r>
      <w:r>
        <w:rPr>
          <w:rFonts w:hint="eastAsia" w:ascii="宋体" w:hAnsi="宋体" w:cs="宋体"/>
          <w:color w:val="auto"/>
          <w:sz w:val="24"/>
          <w:highlight w:val="none"/>
        </w:rPr>
        <w:t>）</w:t>
      </w:r>
      <w:r>
        <w:rPr>
          <w:rFonts w:hint="eastAsia" w:ascii="宋体" w:hAnsi="宋体"/>
          <w:color w:val="auto"/>
          <w:sz w:val="24"/>
          <w:highlight w:val="none"/>
          <w:lang w:eastAsia="zh-CN"/>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lang w:eastAsia="zh-CN"/>
        </w:rPr>
        <w:t>标段一</w:t>
      </w:r>
      <w:r>
        <w:rPr>
          <w:rFonts w:hint="eastAsia" w:asciiTheme="minorEastAsia" w:hAnsiTheme="minorEastAsia" w:eastAsiaTheme="minorEastAsia"/>
          <w:b/>
          <w:color w:val="auto"/>
          <w:kern w:val="0"/>
          <w:sz w:val="24"/>
          <w:highlight w:val="none"/>
        </w:rPr>
        <w:t>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left="426" w:firstLine="64"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r>
        <w:rPr>
          <w:rFonts w:hint="eastAsia" w:ascii="宋体" w:hAnsi="宋体"/>
          <w:color w:val="auto"/>
          <w:kern w:val="0"/>
          <w:sz w:val="24"/>
          <w:highlight w:val="none"/>
        </w:rPr>
        <w:t>供应商认为其他需要说明的内容组成（如中小企业</w:t>
      </w:r>
      <w:r>
        <w:rPr>
          <w:rFonts w:ascii="宋体" w:hAnsi="宋体"/>
          <w:color w:val="auto"/>
          <w:kern w:val="0"/>
          <w:sz w:val="24"/>
          <w:highlight w:val="none"/>
        </w:rPr>
        <w:t>声明函、</w:t>
      </w:r>
      <w:r>
        <w:rPr>
          <w:rFonts w:hint="eastAsia" w:ascii="宋体" w:hAnsi="宋体"/>
          <w:color w:val="auto"/>
          <w:kern w:val="0"/>
          <w:sz w:val="24"/>
          <w:highlight w:val="none"/>
          <w:lang w:eastAsia="zh-CN"/>
        </w:rPr>
        <w:t>小型、微型企业产品</w:t>
      </w:r>
      <w:r>
        <w:rPr>
          <w:rFonts w:hint="eastAsia" w:ascii="宋体" w:hAnsi="宋体"/>
          <w:color w:val="auto"/>
          <w:kern w:val="0"/>
          <w:sz w:val="24"/>
          <w:highlight w:val="none"/>
        </w:rPr>
        <w:t>情况</w:t>
      </w:r>
      <w:r>
        <w:rPr>
          <w:rFonts w:ascii="宋体" w:hAnsi="宋体"/>
          <w:color w:val="auto"/>
          <w:kern w:val="0"/>
          <w:sz w:val="24"/>
          <w:highlight w:val="none"/>
        </w:rPr>
        <w:t>表</w:t>
      </w:r>
      <w:r>
        <w:rPr>
          <w:rFonts w:hint="eastAsia" w:ascii="宋体" w:hAnsi="宋体"/>
          <w:color w:val="auto"/>
          <w:kern w:val="0"/>
          <w:sz w:val="24"/>
          <w:highlight w:val="none"/>
          <w:lang w:eastAsia="zh-CN"/>
        </w:rPr>
        <w:t>、</w:t>
      </w:r>
      <w:r>
        <w:rPr>
          <w:rFonts w:hint="eastAsia" w:ascii="宋体" w:hAnsi="宋体"/>
          <w:color w:val="auto"/>
          <w:kern w:val="0"/>
          <w:sz w:val="24"/>
          <w:highlight w:val="none"/>
        </w:rPr>
        <w:t>中型企业产品情况表等）</w:t>
      </w:r>
      <w:r>
        <w:rPr>
          <w:rFonts w:hint="eastAsia" w:ascii="宋体" w:hAnsi="宋体"/>
          <w:color w:val="auto"/>
          <w:kern w:val="0"/>
          <w:sz w:val="24"/>
          <w:highlight w:val="none"/>
          <w:lang w:val="zh-CN"/>
        </w:rPr>
        <w:t>（格式见附件）</w:t>
      </w:r>
      <w:r>
        <w:rPr>
          <w:rFonts w:hint="eastAsia" w:ascii="宋体" w:hAnsi="宋体"/>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此报价为投标人一次性报出唯一的最终价格，包含其它一切所要涉及到的费用，有选择的报价将被拒绝。</w:t>
      </w:r>
    </w:p>
    <w:p>
      <w:pPr>
        <w:keepNext w:val="0"/>
        <w:keepLines w:val="0"/>
        <w:widowControl/>
        <w:suppressLineNumbers w:val="0"/>
        <w:jc w:val="left"/>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投标报价是包括</w:t>
      </w:r>
      <w:r>
        <w:rPr>
          <w:rFonts w:hint="eastAsia" w:cs="Times New Roman" w:asciiTheme="minorEastAsia" w:hAnsiTheme="minorEastAsia" w:eastAsiaTheme="minorEastAsia"/>
          <w:color w:val="auto"/>
          <w:kern w:val="0"/>
          <w:sz w:val="24"/>
          <w:highlight w:val="none"/>
          <w:lang w:val="en-US" w:eastAsia="zh-CN"/>
        </w:rPr>
        <w:t>课程视频拍摄及制作、 在线课程制作、线上线下课程运行服务等需要的全部人工费（含 交通、食宿等费用）、设备费、风险费、合理的利润、招标代理服务费、各种税金 以及其他所有与本项目相关的一切费用等</w:t>
      </w:r>
      <w:r>
        <w:rPr>
          <w:rFonts w:hint="eastAsia" w:cs="Times New Roman" w:asciiTheme="minorEastAsia" w:hAnsiTheme="minorEastAsia" w:eastAsiaTheme="minorEastAsia"/>
          <w:color w:val="auto"/>
          <w:kern w:val="0"/>
          <w:sz w:val="24"/>
          <w:highlight w:val="none"/>
          <w:lang w:val="zh-CN"/>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投标报价单不得涂改和增删，如有错漏必须修改，修改处须由同一签署人签字或盖章。由于字迹模糊或表达不清引起的后果由投标人负责。</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投标报价应按招标文件中相关附表格式填写。</w:t>
      </w:r>
    </w:p>
    <w:p>
      <w:pPr>
        <w:snapToGrid w:val="0"/>
        <w:spacing w:line="360" w:lineRule="auto"/>
        <w:ind w:firstLine="643" w:firstLineChars="200"/>
        <w:jc w:val="center"/>
        <w:rPr>
          <w:rFonts w:hint="eastAsia" w:ascii="仿宋_GB2312" w:hAnsi="仿宋_GB2312" w:cs="仿宋_GB2312" w:eastAsiaTheme="minorEastAsia"/>
          <w:b/>
          <w:bCs/>
          <w:color w:val="auto"/>
          <w:sz w:val="32"/>
          <w:szCs w:val="32"/>
          <w:highlight w:val="none"/>
          <w:lang w:val="zh-CN" w:eastAsia="zh-CN"/>
        </w:rPr>
      </w:pPr>
      <w:r>
        <w:rPr>
          <w:rFonts w:hint="eastAsia" w:asciiTheme="minorEastAsia" w:hAnsiTheme="minorEastAsia" w:eastAsiaTheme="minorEastAsia"/>
          <w:b/>
          <w:bCs/>
          <w:color w:val="auto"/>
          <w:kern w:val="0"/>
          <w:sz w:val="32"/>
          <w:szCs w:val="32"/>
          <w:highlight w:val="none"/>
          <w:lang w:eastAsia="zh-CN"/>
        </w:rPr>
        <w:t>（标段二）</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eastAsia="zh-CN"/>
        </w:rPr>
        <w:t>标段二</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投标声明书（格式见附件）；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授权委托书（</w:t>
      </w:r>
      <w:r>
        <w:rPr>
          <w:rFonts w:hint="eastAsia" w:ascii="宋体" w:hAnsi="宋体"/>
          <w:color w:val="auto"/>
          <w:sz w:val="24"/>
          <w:highlight w:val="none"/>
          <w:lang w:eastAsia="zh-CN"/>
        </w:rPr>
        <w:t>如有，</w:t>
      </w:r>
      <w:r>
        <w:rPr>
          <w:rFonts w:hint="eastAsia" w:ascii="宋体" w:hAnsi="宋体"/>
          <w:color w:val="auto"/>
          <w:sz w:val="24"/>
          <w:highlight w:val="none"/>
        </w:rPr>
        <w:t>法定代表人亲自办理投标事宜的，则无需提交)（格式见附件）；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法人或者其他组织的营业执照等证明文件，自然人的身份证明；</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财务状况报告，依法缴纳税收和社会保障资金的相关材料；</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具备履行合同所必需的设备和专业技术能力的证明材料(根据项目性质提供)。</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eastAsia="zh-CN"/>
        </w:rPr>
        <w:t>标段二</w:t>
      </w:r>
      <w:r>
        <w:rPr>
          <w:rFonts w:hint="eastAsia" w:ascii="宋体" w:hAnsi="宋体"/>
          <w:b/>
          <w:color w:val="auto"/>
          <w:sz w:val="24"/>
          <w:highlight w:val="none"/>
        </w:rPr>
        <w:t>商务与技术文件的组成：</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（1）供应商基本情况</w:t>
      </w:r>
      <w:r>
        <w:rPr>
          <w:rFonts w:hint="eastAsia" w:ascii="宋体" w:hAnsi="宋体"/>
          <w:color w:val="auto"/>
          <w:sz w:val="24"/>
          <w:highlight w:val="none"/>
          <w:lang w:eastAsia="zh-CN"/>
        </w:rPr>
        <w:t>表</w:t>
      </w:r>
      <w:r>
        <w:rPr>
          <w:rFonts w:hint="eastAsia" w:ascii="宋体" w:hAnsi="宋体" w:cs="宋体"/>
          <w:color w:val="auto"/>
          <w:sz w:val="24"/>
          <w:highlight w:val="none"/>
        </w:rPr>
        <w:t>（格式见附件）</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）商务需求响应表</w:t>
      </w:r>
      <w:r>
        <w:rPr>
          <w:rFonts w:hint="eastAsia" w:ascii="宋体" w:hAnsi="宋体" w:cs="宋体"/>
          <w:color w:val="auto"/>
          <w:sz w:val="24"/>
          <w:highlight w:val="none"/>
        </w:rPr>
        <w:t>（格式见附件）</w:t>
      </w:r>
      <w:r>
        <w:rPr>
          <w:rFonts w:hint="eastAsia" w:ascii="宋体" w:hAnsi="宋体"/>
          <w:color w:val="auto"/>
          <w:sz w:val="24"/>
          <w:highlight w:val="none"/>
        </w:rPr>
        <w:t>；</w:t>
      </w:r>
    </w:p>
    <w:p>
      <w:pPr>
        <w:pStyle w:val="9"/>
        <w:widowControl/>
        <w:adjustRightInd w:val="0"/>
        <w:snapToGrid w:val="0"/>
        <w:spacing w:line="360" w:lineRule="auto"/>
        <w:ind w:firstLine="540" w:firstLineChars="225"/>
        <w:rPr>
          <w:rFonts w:hint="eastAsia" w:ascii="宋体" w:eastAsia="宋体"/>
          <w:color w:val="auto"/>
          <w:kern w:val="0"/>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）其余内容根据评标办法自拟</w:t>
      </w:r>
      <w:r>
        <w:rPr>
          <w:rFonts w:hint="eastAsia" w:ascii="宋体" w:hAnsi="宋体" w:cs="宋体"/>
          <w:color w:val="auto"/>
          <w:sz w:val="24"/>
          <w:highlight w:val="none"/>
        </w:rPr>
        <w:t>（格式</w:t>
      </w:r>
      <w:r>
        <w:rPr>
          <w:rFonts w:ascii="宋体" w:hAnsi="宋体" w:cs="宋体"/>
          <w:color w:val="auto"/>
          <w:sz w:val="24"/>
          <w:highlight w:val="none"/>
        </w:rPr>
        <w:t>可参考附件</w:t>
      </w:r>
      <w:r>
        <w:rPr>
          <w:rFonts w:hint="eastAsia" w:ascii="宋体" w:hAnsi="宋体" w:cs="宋体"/>
          <w:color w:val="auto"/>
          <w:sz w:val="24"/>
          <w:highlight w:val="none"/>
        </w:rPr>
        <w:t>）</w:t>
      </w:r>
      <w:r>
        <w:rPr>
          <w:rFonts w:hint="eastAsia" w:ascii="宋体"/>
          <w:color w:val="auto"/>
          <w:kern w:val="0"/>
          <w:sz w:val="24"/>
          <w:highlight w:val="none"/>
          <w:lang w:eastAsia="zh-CN"/>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lang w:eastAsia="zh-CN"/>
        </w:rPr>
        <w:t>标段二</w:t>
      </w:r>
      <w:r>
        <w:rPr>
          <w:rFonts w:hint="eastAsia" w:asciiTheme="minorEastAsia" w:hAnsiTheme="minorEastAsia" w:eastAsiaTheme="minorEastAsia"/>
          <w:b/>
          <w:color w:val="auto"/>
          <w:kern w:val="0"/>
          <w:sz w:val="24"/>
          <w:highlight w:val="none"/>
        </w:rPr>
        <w:t>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宋体" w:hAnsi="宋体" w:cs="宋体"/>
          <w:color w:val="auto"/>
          <w:sz w:val="24"/>
          <w:highlight w:val="none"/>
        </w:rPr>
        <w:t>（格式见附件）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left="426" w:firstLine="64"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r>
        <w:rPr>
          <w:rFonts w:hint="eastAsia" w:ascii="宋体" w:hAnsi="宋体"/>
          <w:color w:val="auto"/>
          <w:kern w:val="0"/>
          <w:sz w:val="24"/>
          <w:highlight w:val="none"/>
        </w:rPr>
        <w:t>供应商认为其他需要说明的内容组成（如中小企业</w:t>
      </w:r>
      <w:r>
        <w:rPr>
          <w:rFonts w:ascii="宋体" w:hAnsi="宋体"/>
          <w:color w:val="auto"/>
          <w:kern w:val="0"/>
          <w:sz w:val="24"/>
          <w:highlight w:val="none"/>
        </w:rPr>
        <w:t>声明函、</w:t>
      </w:r>
      <w:r>
        <w:rPr>
          <w:rFonts w:hint="eastAsia" w:ascii="宋体" w:hAnsi="宋体"/>
          <w:color w:val="auto"/>
          <w:kern w:val="0"/>
          <w:sz w:val="24"/>
          <w:highlight w:val="none"/>
          <w:lang w:eastAsia="zh-CN"/>
        </w:rPr>
        <w:t>小型、微型企业产品</w:t>
      </w:r>
      <w:r>
        <w:rPr>
          <w:rFonts w:hint="eastAsia" w:ascii="宋体" w:hAnsi="宋体"/>
          <w:color w:val="auto"/>
          <w:kern w:val="0"/>
          <w:sz w:val="24"/>
          <w:highlight w:val="none"/>
        </w:rPr>
        <w:t>情况</w:t>
      </w:r>
      <w:r>
        <w:rPr>
          <w:rFonts w:ascii="宋体" w:hAnsi="宋体"/>
          <w:color w:val="auto"/>
          <w:kern w:val="0"/>
          <w:sz w:val="24"/>
          <w:highlight w:val="none"/>
        </w:rPr>
        <w:t>表</w:t>
      </w:r>
      <w:r>
        <w:rPr>
          <w:rFonts w:hint="eastAsia" w:hAnsi="宋体"/>
          <w:color w:val="auto"/>
          <w:sz w:val="24"/>
          <w:highlight w:val="none"/>
          <w:lang w:eastAsia="zh-CN"/>
        </w:rPr>
        <w:t>、</w:t>
      </w:r>
      <w:r>
        <w:rPr>
          <w:rFonts w:hint="eastAsia" w:hAnsi="宋体"/>
          <w:color w:val="auto"/>
          <w:sz w:val="24"/>
          <w:highlight w:val="none"/>
          <w:lang w:val="en-GB" w:eastAsia="zh-CN"/>
        </w:rPr>
        <w:t>中型企业</w:t>
      </w:r>
      <w:r>
        <w:rPr>
          <w:rFonts w:hint="eastAsia" w:hAnsi="宋体"/>
          <w:color w:val="auto"/>
          <w:sz w:val="24"/>
          <w:highlight w:val="none"/>
          <w:lang w:val="en-GB"/>
        </w:rPr>
        <w:t>产品情况表</w:t>
      </w:r>
      <w:r>
        <w:rPr>
          <w:rFonts w:hint="eastAsia" w:ascii="宋体" w:hAnsi="宋体"/>
          <w:color w:val="auto"/>
          <w:kern w:val="0"/>
          <w:sz w:val="24"/>
          <w:highlight w:val="none"/>
        </w:rPr>
        <w:t>等）</w:t>
      </w:r>
      <w:r>
        <w:rPr>
          <w:rFonts w:hint="eastAsia" w:ascii="宋体" w:hAnsi="宋体"/>
          <w:color w:val="auto"/>
          <w:kern w:val="0"/>
          <w:sz w:val="24"/>
          <w:highlight w:val="none"/>
          <w:lang w:val="zh-CN"/>
        </w:rPr>
        <w:t>（格式见附件）</w:t>
      </w:r>
      <w:r>
        <w:rPr>
          <w:rFonts w:hint="eastAsia" w:ascii="宋体" w:hAnsi="宋体"/>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此报价为投标人一次性报出唯一的最终价格，包含其它一切所要涉及到的费用，有选择的报价将被拒绝。</w:t>
      </w:r>
    </w:p>
    <w:p>
      <w:pPr>
        <w:keepNext w:val="0"/>
        <w:keepLines w:val="0"/>
        <w:widowControl/>
        <w:suppressLineNumbers w:val="0"/>
        <w:jc w:val="left"/>
        <w:rPr>
          <w:rFonts w:hint="eastAsia" w:cs="Times New Roman"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投标报价是包括</w:t>
      </w:r>
      <w:r>
        <w:rPr>
          <w:rFonts w:hint="eastAsia" w:cs="Times New Roman" w:asciiTheme="minorEastAsia" w:hAnsiTheme="minorEastAsia" w:eastAsiaTheme="minorEastAsia"/>
          <w:color w:val="auto"/>
          <w:kern w:val="0"/>
          <w:sz w:val="24"/>
          <w:highlight w:val="none"/>
          <w:lang w:val="en-US" w:eastAsia="zh-CN"/>
        </w:rPr>
        <w:t>课程视频拍摄及制作、 在线课程制作、线上线下课程运行服务等需要的全部人工费（含 交通、食宿等费用）、设备费、风险费、合理的利润、招标代理服务费、各种税金 以及其他所有与本项目相关的一切费用等。</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投标报价应按招标文件中相关附表格式填写。</w:t>
      </w:r>
    </w:p>
    <w:p>
      <w:pPr>
        <w:autoSpaceDE w:val="0"/>
        <w:autoSpaceDN w:val="0"/>
        <w:adjustRightInd w:val="0"/>
        <w:ind w:firstLine="480" w:firstLineChars="200"/>
        <w:rPr>
          <w:rFonts w:asciiTheme="minorEastAsia" w:hAnsiTheme="minorEastAsia" w:eastAsiaTheme="minorEastAsia"/>
          <w:color w:val="auto"/>
          <w:sz w:val="24"/>
          <w:highlight w:val="none"/>
        </w:rPr>
      </w:pPr>
    </w:p>
    <w:p>
      <w:pPr>
        <w:numPr>
          <w:ilvl w:val="0"/>
          <w:numId w:val="5"/>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spacing w:line="360" w:lineRule="auto"/>
        <w:ind w:firstLine="480" w:firstLineChars="200"/>
        <w:rPr>
          <w:rFonts w:ascii="宋体" w:hAnsi="宋体" w:cs="Arial"/>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1）</w:t>
      </w:r>
      <w:r>
        <w:rPr>
          <w:rFonts w:hint="eastAsia" w:ascii="宋体" w:hAnsi="宋体" w:cs="Arial"/>
          <w:color w:val="auto"/>
          <w:sz w:val="24"/>
          <w:highlight w:val="none"/>
        </w:rPr>
        <w:t>本项目通过“政府采购云平台（</w:t>
      </w:r>
      <w:r>
        <w:rPr>
          <w:rFonts w:ascii="宋体" w:hAnsi="宋体" w:cs="Arial"/>
          <w:color w:val="auto"/>
          <w:sz w:val="24"/>
          <w:highlight w:val="none"/>
        </w:rPr>
        <w:t>www.</w:t>
      </w:r>
      <w:r>
        <w:rPr>
          <w:rFonts w:hint="eastAsia" w:ascii="宋体" w:hAnsi="宋体" w:cs="Arial"/>
          <w:color w:val="auto"/>
          <w:sz w:val="24"/>
          <w:highlight w:val="none"/>
        </w:rPr>
        <w:t>zcy</w:t>
      </w:r>
      <w:r>
        <w:rPr>
          <w:rFonts w:ascii="宋体" w:hAnsi="宋体" w:cs="Arial"/>
          <w:color w:val="auto"/>
          <w:sz w:val="24"/>
          <w:highlight w:val="none"/>
        </w:rPr>
        <w:t>gov.cn</w:t>
      </w:r>
      <w:r>
        <w:rPr>
          <w:rFonts w:hint="eastAsia" w:ascii="宋体" w:hAnsi="宋体" w:cs="Arial"/>
          <w:color w:val="auto"/>
          <w:sz w:val="24"/>
          <w:highlight w:val="none"/>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（2）投标供应商应当按照</w:t>
      </w:r>
      <w:r>
        <w:rPr>
          <w:rFonts w:ascii="宋体" w:hAnsi="宋体" w:cs="Arial"/>
          <w:color w:val="auto"/>
          <w:kern w:val="0"/>
          <w:sz w:val="24"/>
          <w:highlight w:val="none"/>
        </w:rPr>
        <w:t>本</w:t>
      </w:r>
      <w:r>
        <w:rPr>
          <w:rFonts w:hint="eastAsia" w:ascii="宋体" w:hAnsi="宋体" w:cs="Arial"/>
          <w:color w:val="auto"/>
          <w:kern w:val="0"/>
          <w:sz w:val="24"/>
          <w:highlight w:val="none"/>
        </w:rPr>
        <w:t>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bCs/>
          <w:color w:val="auto"/>
          <w:sz w:val="24"/>
          <w:highlight w:val="none"/>
        </w:rPr>
        <w:t>（3）本文件《第五部分  应提交的有关格式范例》中有</w:t>
      </w:r>
      <w:r>
        <w:rPr>
          <w:rFonts w:ascii="宋体" w:hAnsi="宋体"/>
          <w:bCs/>
          <w:color w:val="auto"/>
          <w:sz w:val="24"/>
          <w:highlight w:val="none"/>
        </w:rPr>
        <w:t>提供格式的，投标</w:t>
      </w:r>
      <w:r>
        <w:rPr>
          <w:rFonts w:hint="eastAsia" w:ascii="宋体" w:hAnsi="宋体"/>
          <w:bCs/>
          <w:color w:val="auto"/>
          <w:sz w:val="24"/>
          <w:highlight w:val="none"/>
        </w:rPr>
        <w:t>供应商须参</w:t>
      </w:r>
      <w:r>
        <w:rPr>
          <w:rFonts w:ascii="宋体" w:hAnsi="宋体"/>
          <w:bCs/>
          <w:color w:val="auto"/>
          <w:sz w:val="24"/>
          <w:highlight w:val="none"/>
        </w:rPr>
        <w:t>照格式</w:t>
      </w:r>
      <w:r>
        <w:rPr>
          <w:rFonts w:hint="eastAsia" w:ascii="宋体" w:hAnsi="宋体"/>
          <w:bCs/>
          <w:color w:val="auto"/>
          <w:sz w:val="24"/>
          <w:highlight w:val="none"/>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auto"/>
          <w:sz w:val="24"/>
          <w:highlight w:val="none"/>
        </w:rPr>
        <w:t>未提供格式的，请各投标单位自行拟定格式</w:t>
      </w:r>
      <w:r>
        <w:rPr>
          <w:rFonts w:hint="eastAsia" w:ascii="宋体" w:hAnsi="宋体"/>
          <w:color w:val="auto"/>
          <w:sz w:val="24"/>
          <w:highlight w:val="none"/>
        </w:rPr>
        <w:t>。</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）供应商应对所提供的全部资料的真实性承担法律责任。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sz w:val="24"/>
          <w:highlight w:val="none"/>
        </w:rPr>
        <w:t>投标文件</w:t>
      </w:r>
      <w:r>
        <w:rPr>
          <w:rFonts w:ascii="宋体" w:hAnsi="宋体"/>
          <w:color w:val="auto"/>
          <w:sz w:val="24"/>
          <w:highlight w:val="none"/>
        </w:rPr>
        <w:t>以及</w:t>
      </w:r>
      <w:r>
        <w:rPr>
          <w:rFonts w:hint="eastAsia" w:ascii="宋体" w:hAnsi="宋体"/>
          <w:color w:val="auto"/>
          <w:sz w:val="24"/>
          <w:highlight w:val="none"/>
        </w:rPr>
        <w:t>投标供应商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招投标</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w:t>
      </w:r>
      <w:r>
        <w:rPr>
          <w:rFonts w:ascii="宋体" w:hAnsi="宋体"/>
          <w:color w:val="auto"/>
          <w:sz w:val="24"/>
          <w:highlight w:val="none"/>
        </w:rPr>
        <w:t>计量单位，</w:t>
      </w:r>
      <w:r>
        <w:rPr>
          <w:rFonts w:hint="eastAsia" w:ascii="宋体" w:hAnsi="宋体"/>
          <w:bCs/>
          <w:color w:val="auto"/>
          <w:sz w:val="24"/>
          <w:highlight w:val="none"/>
        </w:rPr>
        <w:t>采购文件</w:t>
      </w:r>
      <w:r>
        <w:rPr>
          <w:rFonts w:ascii="宋体" w:hAnsi="宋体"/>
          <w:color w:val="auto"/>
          <w:sz w:val="24"/>
          <w:highlight w:val="none"/>
        </w:rPr>
        <w:t>已有明确规定的，使用</w:t>
      </w:r>
      <w:r>
        <w:rPr>
          <w:rFonts w:hint="eastAsia" w:ascii="宋体" w:hAnsi="宋体"/>
          <w:bCs/>
          <w:color w:val="auto"/>
          <w:sz w:val="24"/>
          <w:highlight w:val="none"/>
        </w:rPr>
        <w:t>采购文件</w:t>
      </w:r>
      <w:r>
        <w:rPr>
          <w:rFonts w:ascii="宋体" w:hAnsi="宋体"/>
          <w:color w:val="auto"/>
          <w:sz w:val="24"/>
          <w:highlight w:val="none"/>
        </w:rPr>
        <w:t>规定的计量单位；</w:t>
      </w:r>
      <w:r>
        <w:rPr>
          <w:rFonts w:hint="eastAsia" w:ascii="宋体" w:hAnsi="宋体"/>
          <w:bCs/>
          <w:color w:val="auto"/>
          <w:sz w:val="24"/>
          <w:highlight w:val="none"/>
        </w:rPr>
        <w:t>采购文件</w:t>
      </w:r>
      <w:r>
        <w:rPr>
          <w:rFonts w:ascii="宋体" w:hAnsi="宋体"/>
          <w:color w:val="auto"/>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若</w:t>
      </w:r>
      <w:r>
        <w:rPr>
          <w:rFonts w:hint="eastAsia" w:ascii="宋体" w:hAnsi="宋体"/>
          <w:color w:val="auto"/>
          <w:sz w:val="24"/>
          <w:highlight w:val="none"/>
        </w:rPr>
        <w:t>投标供应商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投标供应商</w:t>
      </w:r>
      <w:r>
        <w:rPr>
          <w:rFonts w:ascii="宋体" w:hAnsi="宋体"/>
          <w:color w:val="auto"/>
          <w:sz w:val="24"/>
          <w:highlight w:val="none"/>
        </w:rPr>
        <w:t>自行承担。</w:t>
      </w:r>
    </w:p>
    <w:p>
      <w:pPr>
        <w:snapToGrid w:val="0"/>
        <w:ind w:firstLine="420"/>
        <w:jc w:val="left"/>
        <w:rPr>
          <w:rFonts w:hint="eastAsia"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ascii="宋体" w:hAnsi="宋体"/>
          <w:color w:val="auto"/>
          <w:sz w:val="24"/>
          <w:highlight w:val="none"/>
        </w:rPr>
        <w:t>与本次投标无关的内容请不要制作在内，确保投标文件有针对性、简洁明了。</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b/>
          <w:bCs/>
          <w:color w:val="auto"/>
          <w:sz w:val="24"/>
          <w:highlight w:val="none"/>
        </w:rPr>
        <w:t>2、投标文件的签章</w:t>
      </w:r>
    </w:p>
    <w:p>
      <w:pP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（1）《</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》的签章：</w:t>
      </w:r>
      <w:r>
        <w:rPr>
          <w:rFonts w:hint="eastAsia" w:ascii="宋体" w:hAnsi="宋体"/>
          <w:bCs/>
          <w:color w:val="auto"/>
          <w:sz w:val="24"/>
          <w:highlight w:val="none"/>
        </w:rPr>
        <w:t>见《前附表》；</w:t>
      </w:r>
    </w:p>
    <w:p>
      <w:pP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（2）《</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》应由投标供应商法定代表人或其授权代表签字（或签章），并</w:t>
      </w:r>
      <w:r>
        <w:rPr>
          <w:rFonts w:hint="default" w:ascii="宋体" w:hAnsi="宋体" w:cs="Arial"/>
          <w:bCs/>
          <w:color w:val="auto"/>
          <w:kern w:val="0"/>
          <w:sz w:val="24"/>
          <w:highlight w:val="none"/>
        </w:rPr>
        <w:t>同</w:t>
      </w:r>
      <w:r>
        <w:rPr>
          <w:rFonts w:hint="eastAsia" w:ascii="宋体" w:hAnsi="宋体" w:cs="Arial"/>
          <w:bCs/>
          <w:color w:val="auto"/>
          <w:kern w:val="0"/>
          <w:sz w:val="24"/>
          <w:highlight w:val="none"/>
        </w:rPr>
        <w:t>时加盖投标供应商公章（或签章）。</w:t>
      </w:r>
    </w:p>
    <w:p>
      <w:pPr>
        <w:autoSpaceDE w:val="0"/>
        <w:autoSpaceDN w:val="0"/>
        <w:adjustRightInd w:val="0"/>
        <w:spacing w:line="360" w:lineRule="auto"/>
        <w:ind w:firstLine="480"/>
        <w:rPr>
          <w:rFonts w:ascii="宋体" w:hAnsi="宋体"/>
          <w:color w:val="auto"/>
          <w:kern w:val="0"/>
          <w:sz w:val="24"/>
          <w:highlight w:val="none"/>
          <w:lang w:val="zh-CN"/>
        </w:rPr>
      </w:pPr>
      <w:r>
        <w:rPr>
          <w:rFonts w:hint="eastAsia" w:ascii="宋体" w:hAnsi="宋体" w:cs="Arial"/>
          <w:bCs/>
          <w:color w:val="auto"/>
          <w:kern w:val="0"/>
          <w:sz w:val="24"/>
          <w:highlight w:val="none"/>
        </w:rPr>
        <w:t>（</w:t>
      </w:r>
      <w:r>
        <w:rPr>
          <w:rFonts w:ascii="宋体" w:hAnsi="宋体" w:cs="Arial"/>
          <w:bCs/>
          <w:color w:val="auto"/>
          <w:kern w:val="0"/>
          <w:sz w:val="24"/>
          <w:highlight w:val="none"/>
        </w:rPr>
        <w:t>3</w:t>
      </w:r>
      <w:r>
        <w:rPr>
          <w:rFonts w:hint="eastAsia" w:ascii="宋体" w:hAnsi="宋体" w:cs="Arial"/>
          <w:bCs/>
          <w:color w:val="auto"/>
          <w:kern w:val="0"/>
          <w:sz w:val="24"/>
          <w:highlight w:val="none"/>
        </w:rPr>
        <w:t>）电子签章操作指南详见</w:t>
      </w:r>
      <w:r>
        <w:rPr>
          <w:rFonts w:hint="eastAsia" w:ascii="宋体" w:hAnsi="宋体" w:cs="Arial"/>
          <w:bCs/>
          <w:color w:val="auto"/>
          <w:sz w:val="24"/>
          <w:highlight w:val="none"/>
        </w:rPr>
        <w:t>《供应商项目采购-电子招投标操作指南》。</w:t>
      </w:r>
    </w:p>
    <w:p>
      <w:pP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3、投标文件的形式</w:t>
      </w:r>
    </w:p>
    <w:p>
      <w:pP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（1）投标文件的形式：</w:t>
      </w:r>
      <w:r>
        <w:rPr>
          <w:rFonts w:hint="eastAsia" w:ascii="宋体" w:hAnsi="宋体"/>
          <w:bCs/>
          <w:color w:val="auto"/>
          <w:sz w:val="24"/>
          <w:highlight w:val="none"/>
        </w:rPr>
        <w:t>见《前附表》；</w:t>
      </w:r>
    </w:p>
    <w:p>
      <w:pP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80"/>
        <w:rPr>
          <w:rFonts w:hint="eastAsia" w:ascii="宋体" w:hAnsi="宋体" w:cs="Arial"/>
          <w:bCs/>
          <w:color w:val="auto"/>
          <w:sz w:val="24"/>
          <w:highlight w:val="none"/>
        </w:rPr>
      </w:pPr>
      <w:r>
        <w:rPr>
          <w:rFonts w:hint="eastAsia" w:ascii="宋体" w:hAnsi="宋体" w:cs="Arial"/>
          <w:bCs/>
          <w:color w:val="auto"/>
          <w:sz w:val="24"/>
          <w:highlight w:val="none"/>
        </w:rPr>
        <w:t>（3）“备份投标文件”：“备份投标文件”是指与“电子加密投标文件”同时生成的数据电文形式的电子文件（备份标书），其他方式编制的“备份投标文件”视为无效的“备份投标文件”。</w:t>
      </w:r>
    </w:p>
    <w:p>
      <w:pPr>
        <w:ind w:firstLine="480" w:firstLineChars="200"/>
        <w:rPr>
          <w:rFonts w:hint="eastAsia" w:ascii="宋体" w:hAnsi="宋体" w:cs="Arial"/>
          <w:bCs/>
          <w:color w:val="auto"/>
          <w:sz w:val="24"/>
          <w:highlight w:val="none"/>
          <w:lang w:eastAsia="zh-CN"/>
        </w:rPr>
      </w:pP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4</w:t>
      </w:r>
      <w:r>
        <w:rPr>
          <w:rFonts w:hint="eastAsia" w:ascii="宋体" w:hAnsi="宋体" w:cs="Arial"/>
          <w:bCs/>
          <w:color w:val="auto"/>
          <w:sz w:val="24"/>
          <w:highlight w:val="none"/>
          <w:lang w:eastAsia="zh-CN"/>
        </w:rPr>
        <w:t>）</w:t>
      </w:r>
    </w:p>
    <w:p>
      <w:pPr>
        <w:ind w:firstLine="720" w:firstLineChars="3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投标人提供已经拍摄制作完成的</w:t>
      </w:r>
      <w:r>
        <w:rPr>
          <w:rFonts w:hint="eastAsia" w:ascii="宋体" w:hAnsi="宋体" w:eastAsia="宋体" w:cs="宋体"/>
          <w:color w:val="auto"/>
          <w:kern w:val="0"/>
          <w:sz w:val="24"/>
          <w:szCs w:val="24"/>
          <w:highlight w:val="none"/>
        </w:rPr>
        <w:t>样片</w:t>
      </w:r>
      <w:r>
        <w:rPr>
          <w:rFonts w:hint="eastAsia" w:ascii="宋体" w:hAnsi="宋体" w:eastAsia="宋体" w:cs="宋体"/>
          <w:color w:val="auto"/>
          <w:kern w:val="0"/>
          <w:sz w:val="24"/>
          <w:szCs w:val="24"/>
          <w:highlight w:val="none"/>
          <w:lang w:val="en-US" w:eastAsia="zh-CN"/>
        </w:rPr>
        <w:t>集锦</w:t>
      </w:r>
      <w:r>
        <w:rPr>
          <w:rFonts w:hint="eastAsia" w:ascii="宋体" w:hAnsi="宋体" w:eastAsia="宋体" w:cs="宋体"/>
          <w:b/>
          <w:bCs/>
          <w:color w:val="auto"/>
          <w:kern w:val="0"/>
          <w:sz w:val="24"/>
          <w:szCs w:val="24"/>
          <w:highlight w:val="none"/>
          <w:lang w:val="en-US" w:eastAsia="zh-CN"/>
        </w:rPr>
        <w:t>(U盘形式)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总时长不超过5分钟。</w:t>
      </w:r>
    </w:p>
    <w:p>
      <w:pPr>
        <w:ind w:firstLine="720" w:firstLineChars="300"/>
        <w:rPr>
          <w:rFonts w:hint="eastAsia" w:ascii="宋体" w:hAnsi="宋体" w:eastAsia="宋体" w:cs="宋体"/>
          <w:b/>
          <w:bCs/>
          <w:color w:val="auto"/>
          <w:sz w:val="24"/>
          <w:szCs w:val="24"/>
          <w:highlight w:val="none"/>
          <w:lang w:val="en-US" w:eastAsia="zh-CN"/>
        </w:rPr>
      </w:pPr>
      <w:r>
        <w:rPr>
          <w:rFonts w:hint="eastAsia" w:ascii="宋体" w:hAnsi="宋体" w:cs="宋体"/>
          <w:color w:val="auto"/>
          <w:kern w:val="0"/>
          <w:sz w:val="24"/>
          <w:szCs w:val="24"/>
          <w:highlight w:val="none"/>
          <w:lang w:val="en-US" w:eastAsia="zh-CN"/>
        </w:rPr>
        <w:t>②</w:t>
      </w:r>
      <w:r>
        <w:rPr>
          <w:rFonts w:hint="eastAsia" w:ascii="宋体" w:hAnsi="宋体" w:eastAsia="宋体" w:cs="宋体"/>
          <w:color w:val="auto"/>
          <w:sz w:val="24"/>
          <w:szCs w:val="24"/>
          <w:highlight w:val="none"/>
          <w:lang w:val="en-US" w:eastAsia="zh-CN"/>
        </w:rPr>
        <w:t>投标人将演示课程运行平台相关功能进行视频录制</w:t>
      </w:r>
      <w:r>
        <w:rPr>
          <w:rFonts w:hint="eastAsia" w:ascii="宋体" w:hAnsi="宋体" w:eastAsia="宋体" w:cs="宋体"/>
          <w:b/>
          <w:bCs/>
          <w:color w:val="auto"/>
          <w:sz w:val="24"/>
          <w:szCs w:val="24"/>
          <w:highlight w:val="none"/>
          <w:lang w:val="en-US" w:eastAsia="zh-CN"/>
        </w:rPr>
        <w:t>（U盘形式）。</w:t>
      </w:r>
    </w:p>
    <w:p>
      <w:pPr>
        <w:autoSpaceDE w:val="0"/>
        <w:autoSpaceDN w:val="0"/>
        <w:adjustRightInd w:val="0"/>
        <w:spacing w:line="360" w:lineRule="auto"/>
        <w:ind w:firstLine="480"/>
        <w:rPr>
          <w:rFonts w:hint="eastAsia" w:ascii="宋体" w:hAnsi="宋体" w:eastAsia="宋体" w:cs="Arial"/>
          <w:bCs/>
          <w:color w:val="auto"/>
          <w:sz w:val="24"/>
          <w:highlight w:val="none"/>
          <w:lang w:eastAsia="zh-CN"/>
        </w:rPr>
      </w:pPr>
      <w:r>
        <w:rPr>
          <w:rFonts w:hint="eastAsia" w:ascii="宋体" w:hAnsi="宋体" w:cs="宋体"/>
          <w:b/>
          <w:bCs/>
          <w:color w:val="auto"/>
          <w:kern w:val="0"/>
          <w:sz w:val="24"/>
          <w:szCs w:val="22"/>
          <w:highlight w:val="none"/>
          <w:lang w:val="en-US" w:eastAsia="zh-CN"/>
        </w:rPr>
        <w:t>投标人无须现场演示，将以上演示内容拷贝至U盘，在投标截止时间前一天下午16:00前将视频演示U盘邮寄至台州市椒江区工人西路427号。逾期邮寄送达至投标地点的将不予接收）</w:t>
      </w:r>
    </w:p>
    <w:p>
      <w:pP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4、投标文件的份数</w:t>
      </w:r>
    </w:p>
    <w:p>
      <w:pPr>
        <w:autoSpaceDE w:val="0"/>
        <w:autoSpaceDN w:val="0"/>
        <w:adjustRightInd w:val="0"/>
        <w:spacing w:line="360" w:lineRule="auto"/>
        <w:ind w:firstLine="480"/>
        <w:rPr>
          <w:rFonts w:ascii="宋体" w:hAnsi="宋体"/>
          <w:bCs/>
          <w:color w:val="auto"/>
          <w:kern w:val="0"/>
          <w:sz w:val="24"/>
          <w:highlight w:val="none"/>
        </w:rPr>
      </w:pPr>
      <w:r>
        <w:rPr>
          <w:rFonts w:hint="eastAsia" w:ascii="宋体" w:hAnsi="宋体"/>
          <w:bCs/>
          <w:color w:val="auto"/>
          <w:kern w:val="0"/>
          <w:sz w:val="24"/>
          <w:highlight w:val="none"/>
        </w:rPr>
        <w:t>（1）投标文件的份数：见《前附表》。</w:t>
      </w:r>
    </w:p>
    <w:p>
      <w:pPr>
        <w:tabs>
          <w:tab w:val="left" w:pos="1898"/>
        </w:tabs>
        <w:autoSpaceDE w:val="0"/>
        <w:autoSpaceDN w:val="0"/>
        <w:adjustRightInd w:val="0"/>
        <w:spacing w:line="360" w:lineRule="auto"/>
        <w:ind w:firstLine="482" w:firstLineChars="200"/>
        <w:rPr>
          <w:rFonts w:ascii="宋体" w:hAnsi="宋体"/>
          <w:b/>
          <w:color w:val="auto"/>
          <w:kern w:val="0"/>
          <w:sz w:val="24"/>
          <w:highlight w:val="none"/>
        </w:rPr>
      </w:pPr>
      <w:r>
        <w:rPr>
          <w:rFonts w:ascii="宋体" w:hAnsi="宋体"/>
          <w:b/>
          <w:color w:val="auto"/>
          <w:kern w:val="0"/>
          <w:sz w:val="24"/>
          <w:highlight w:val="none"/>
        </w:rPr>
        <w:t>5</w:t>
      </w:r>
      <w:r>
        <w:rPr>
          <w:rFonts w:hint="eastAsia" w:ascii="宋体" w:hAnsi="宋体"/>
          <w:b/>
          <w:color w:val="auto"/>
          <w:kern w:val="0"/>
          <w:sz w:val="24"/>
          <w:highlight w:val="none"/>
        </w:rPr>
        <w:t>、投标文件的补充、修改和撤回。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hAnsi="宋体"/>
          <w:color w:val="auto"/>
          <w:kern w:val="0"/>
          <w:sz w:val="24"/>
          <w:highlight w:val="none"/>
        </w:rPr>
        <w:t>投标截止时间后，投标供应商不得撤回、修改《投标文件》。</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8"/>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color w:val="auto"/>
          <w:sz w:val="24"/>
          <w:highlight w:val="none"/>
        </w:rPr>
      </w:pPr>
      <w:r>
        <w:rPr>
          <w:rFonts w:hint="eastAsia" w:ascii="宋体" w:hAnsi="宋体"/>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outlineLvl w:val="0"/>
        <w:rPr>
          <w:rFonts w:ascii="宋体" w:hAnsi="宋体"/>
          <w:b/>
          <w:color w:val="auto"/>
          <w:kern w:val="0"/>
          <w:sz w:val="24"/>
          <w:highlight w:val="none"/>
        </w:rPr>
      </w:pPr>
      <w:r>
        <w:rPr>
          <w:rFonts w:hint="eastAsia" w:ascii="宋体" w:hAnsi="宋体"/>
          <w:b/>
          <w:color w:val="auto"/>
          <w:kern w:val="0"/>
          <w:sz w:val="24"/>
          <w:highlight w:val="none"/>
        </w:rPr>
        <w:t>（四）投标文件的备选方案</w:t>
      </w:r>
    </w:p>
    <w:p>
      <w:pPr>
        <w:tabs>
          <w:tab w:val="left" w:pos="1418"/>
        </w:tabs>
        <w:autoSpaceDE w:val="0"/>
        <w:autoSpaceDN w:val="0"/>
        <w:adjustRightInd w:val="0"/>
        <w:spacing w:line="360" w:lineRule="auto"/>
        <w:ind w:firstLine="480" w:firstLineChars="200"/>
        <w:rPr>
          <w:rFonts w:ascii="宋体" w:hAnsi="宋体"/>
          <w:b/>
          <w:bCs/>
          <w:color w:val="auto"/>
          <w:kern w:val="0"/>
          <w:sz w:val="24"/>
          <w:highlight w:val="none"/>
        </w:rPr>
      </w:pPr>
      <w:r>
        <w:rPr>
          <w:rFonts w:hint="eastAsia" w:ascii="宋体" w:hAnsi="宋体"/>
          <w:color w:val="auto"/>
          <w:kern w:val="0"/>
          <w:sz w:val="24"/>
          <w:highlight w:val="none"/>
        </w:rPr>
        <w:t>1、投标供应商不得递交任何的投标备选（替代）方案，否则其投标文件将作无效标处理。</w:t>
      </w:r>
      <w:r>
        <w:rPr>
          <w:rFonts w:hint="eastAsia" w:ascii="宋体" w:hAnsi="宋体"/>
          <w:b/>
          <w:bCs/>
          <w:color w:val="auto"/>
          <w:kern w:val="0"/>
          <w:sz w:val="24"/>
          <w:highlight w:val="none"/>
        </w:rPr>
        <w:t>与“电子加密投标文件”同时生成的“备份投标文件”不是投标备选（替代）方案。</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pPr>
        <w:tabs>
          <w:tab w:val="left" w:pos="1418"/>
        </w:tabs>
        <w:autoSpaceDE w:val="0"/>
        <w:autoSpaceDN w:val="0"/>
        <w:adjustRightInd w:val="0"/>
        <w:spacing w:line="360" w:lineRule="auto"/>
        <w:rPr>
          <w:rFonts w:ascii="宋体" w:hAnsi="宋体"/>
          <w:bCs/>
          <w:color w:val="auto"/>
          <w:sz w:val="24"/>
          <w:highlight w:val="none"/>
        </w:rPr>
      </w:pPr>
      <w:r>
        <w:rPr>
          <w:rFonts w:hint="eastAsia" w:asciiTheme="minorEastAsia" w:hAnsiTheme="minorEastAsia" w:eastAsiaTheme="minorEastAsia"/>
          <w:color w:val="auto"/>
          <w:kern w:val="0"/>
          <w:sz w:val="24"/>
          <w:highlight w:val="none"/>
        </w:rPr>
        <w:t>无</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pStyle w:val="6"/>
        <w:spacing w:before="0" w:after="0"/>
        <w:ind w:left="720" w:hanging="72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开标</w:t>
      </w:r>
      <w:r>
        <w:rPr>
          <w:rFonts w:hint="eastAsia" w:ascii="宋体" w:hAnsi="宋体" w:cs="宋体"/>
          <w:color w:val="auto"/>
          <w:sz w:val="24"/>
          <w:szCs w:val="24"/>
          <w:highlight w:val="none"/>
        </w:rPr>
        <w:t>形式</w:t>
      </w:r>
    </w:p>
    <w:p>
      <w:pPr>
        <w:pStyle w:val="17"/>
        <w:snapToGrid w:val="0"/>
        <w:spacing w:beforeLines="0" w:afterLines="0" w:line="24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pPr>
        <w:pStyle w:val="17"/>
        <w:snapToGrid w:val="0"/>
        <w:spacing w:beforeLines="0" w:afterLines="0" w:line="240" w:lineRule="auto"/>
        <w:ind w:firstLine="472" w:firstLineChars="196"/>
        <w:rPr>
          <w:rFonts w:hint="eastAsia"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2、本项目先解密标段一的技术资信标及商务标，其次解密标段二的技术资信标及商务标。</w:t>
      </w:r>
    </w:p>
    <w:p>
      <w:pPr>
        <w:pStyle w:val="17"/>
        <w:snapToGrid w:val="0"/>
        <w:spacing w:beforeLines="0" w:afterLines="0" w:line="240" w:lineRule="auto"/>
        <w:ind w:firstLine="472" w:firstLineChars="196"/>
        <w:rPr>
          <w:rFonts w:hint="eastAsia"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3、如在投标截止时间之前，收到的标段一投标文件少于3份，或收到的标段二投标文件少于3份，则该标段招标失败。</w:t>
      </w:r>
    </w:p>
    <w:p>
      <w:pPr>
        <w:pStyle w:val="17"/>
        <w:snapToGrid w:val="0"/>
        <w:spacing w:beforeLines="0" w:afterLines="0" w:line="240" w:lineRule="auto"/>
        <w:ind w:firstLine="472" w:firstLineChars="196"/>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4、如在评标过程中，因为投标单位在标段一中标后造成标段二的投标单位不足3家的，标段二直接确定为流标，招标人应重新组织标段二开标。</w:t>
      </w:r>
    </w:p>
    <w:p>
      <w:pPr>
        <w:pStyle w:val="17"/>
        <w:snapToGrid w:val="0"/>
        <w:spacing w:beforeLines="0" w:afterLines="0" w:line="240" w:lineRule="auto"/>
        <w:ind w:firstLine="472" w:firstLineChars="196"/>
        <w:rPr>
          <w:rFonts w:hint="eastAsia" w:ascii="宋体" w:hAnsi="宋体"/>
          <w:b/>
          <w:color w:val="auto"/>
          <w:sz w:val="24"/>
          <w:highlight w:val="none"/>
        </w:rPr>
      </w:pPr>
    </w:p>
    <w:p>
      <w:pPr>
        <w:pStyle w:val="6"/>
        <w:spacing w:before="0" w:after="0"/>
        <w:ind w:left="720" w:hanging="720"/>
        <w:rPr>
          <w:rFonts w:ascii="宋体" w:hAnsi="宋体"/>
          <w:color w:val="auto"/>
          <w:sz w:val="24"/>
          <w:szCs w:val="24"/>
          <w:highlight w:val="none"/>
        </w:rPr>
      </w:pPr>
      <w:r>
        <w:rPr>
          <w:rFonts w:hint="eastAsia" w:ascii="宋体" w:hAnsi="宋体" w:cs="宋体"/>
          <w:color w:val="auto"/>
          <w:sz w:val="24"/>
          <w:szCs w:val="24"/>
          <w:highlight w:val="none"/>
        </w:rPr>
        <w:t>（二）</w:t>
      </w:r>
      <w:r>
        <w:rPr>
          <w:rFonts w:hint="eastAsia" w:ascii="宋体" w:hAnsi="宋体"/>
          <w:color w:val="auto"/>
          <w:sz w:val="24"/>
          <w:szCs w:val="24"/>
          <w:highlight w:val="none"/>
        </w:rPr>
        <w:t xml:space="preserve"> </w:t>
      </w:r>
      <w:r>
        <w:rPr>
          <w:rFonts w:ascii="宋体" w:hAnsi="宋体"/>
          <w:color w:val="auto"/>
          <w:sz w:val="24"/>
          <w:szCs w:val="24"/>
          <w:highlight w:val="none"/>
        </w:rPr>
        <w:t>开标</w:t>
      </w:r>
      <w:r>
        <w:rPr>
          <w:rFonts w:hint="eastAsia" w:ascii="宋体" w:hAnsi="宋体"/>
          <w:color w:val="auto"/>
          <w:sz w:val="24"/>
          <w:szCs w:val="24"/>
          <w:highlight w:val="none"/>
        </w:rPr>
        <w:t>说明</w:t>
      </w:r>
    </w:p>
    <w:p>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pPr>
        <w:pStyle w:val="6"/>
        <w:spacing w:before="0" w:after="0"/>
        <w:ind w:left="720" w:hanging="720"/>
        <w:rPr>
          <w:rFonts w:ascii="宋体" w:hAnsi="宋体"/>
          <w:color w:val="auto"/>
          <w:sz w:val="24"/>
          <w:szCs w:val="24"/>
          <w:highlight w:val="none"/>
        </w:rPr>
      </w:pPr>
      <w:r>
        <w:rPr>
          <w:rFonts w:hint="eastAsia" w:ascii="宋体" w:hAnsi="宋体" w:cs="宋体"/>
          <w:color w:val="auto"/>
          <w:sz w:val="24"/>
          <w:szCs w:val="24"/>
          <w:highlight w:val="none"/>
        </w:rPr>
        <w:t>（三）</w:t>
      </w:r>
      <w:r>
        <w:rPr>
          <w:rFonts w:ascii="宋体" w:hAnsi="宋体"/>
          <w:color w:val="auto"/>
          <w:sz w:val="24"/>
          <w:szCs w:val="24"/>
          <w:highlight w:val="none"/>
        </w:rPr>
        <w:t>开标</w:t>
      </w:r>
      <w:r>
        <w:rPr>
          <w:rFonts w:hint="eastAsia" w:ascii="宋体" w:hAnsi="宋体"/>
          <w:color w:val="auto"/>
          <w:sz w:val="24"/>
          <w:szCs w:val="24"/>
          <w:highlight w:val="none"/>
        </w:rPr>
        <w:t>流程（两阶段）</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3.1开标第一阶段</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投标人《政府采购活动现场确认声明书》签署完成后，扫描发送至邮箱：</w:t>
      </w:r>
      <w:r>
        <w:rPr>
          <w:rFonts w:hint="eastAsia" w:ascii="宋体" w:hAnsi="宋体" w:cs="Arial"/>
          <w:b/>
          <w:bCs/>
          <w:color w:val="auto"/>
          <w:kern w:val="0"/>
          <w:sz w:val="24"/>
          <w:highlight w:val="none"/>
        </w:rPr>
        <w:t>tzjszx15712685593@163.com</w:t>
      </w:r>
      <w:r>
        <w:rPr>
          <w:rFonts w:hint="eastAsia" w:ascii="宋体" w:hAnsi="宋体" w:cs="Arial"/>
          <w:color w:val="auto"/>
          <w:kern w:val="0"/>
          <w:sz w:val="24"/>
          <w:highlight w:val="none"/>
        </w:rPr>
        <w:t>；</w:t>
      </w:r>
    </w:p>
    <w:p>
      <w:pPr>
        <w:spacing w:line="360" w:lineRule="auto"/>
        <w:ind w:firstLine="424" w:firstLineChars="177"/>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w:t>
      </w:r>
      <w:r>
        <w:rPr>
          <w:rFonts w:hint="eastAsia" w:ascii="宋体" w:hAnsi="宋体" w:cs="Arial"/>
          <w:b/>
          <w:color w:val="auto"/>
          <w:kern w:val="0"/>
          <w:sz w:val="24"/>
          <w:highlight w:val="none"/>
        </w:rPr>
        <w:t>依法对投标供应商的资格进行审查</w:t>
      </w:r>
      <w:r>
        <w:rPr>
          <w:rFonts w:hint="eastAsia" w:ascii="宋体" w:hAnsi="宋体" w:cs="Arial"/>
          <w:color w:val="auto"/>
          <w:kern w:val="0"/>
          <w:sz w:val="24"/>
          <w:highlight w:val="none"/>
        </w:rPr>
        <w:t>；</w:t>
      </w:r>
      <w:r>
        <w:rPr>
          <w:rFonts w:ascii="宋体" w:hAnsi="宋体"/>
          <w:color w:val="auto"/>
          <w:sz w:val="24"/>
          <w:highlight w:val="none"/>
        </w:rPr>
        <w:t>如发现投标</w:t>
      </w:r>
      <w:r>
        <w:rPr>
          <w:rFonts w:hint="eastAsia" w:ascii="宋体" w:hAnsi="宋体"/>
          <w:color w:val="auto"/>
          <w:sz w:val="24"/>
          <w:highlight w:val="none"/>
        </w:rPr>
        <w:t>供应商</w:t>
      </w:r>
      <w:r>
        <w:rPr>
          <w:rFonts w:ascii="宋体" w:hAnsi="宋体"/>
          <w:color w:val="auto"/>
          <w:sz w:val="24"/>
          <w:highlight w:val="none"/>
        </w:rPr>
        <w:t>所提</w:t>
      </w:r>
      <w:r>
        <w:rPr>
          <w:rFonts w:hint="eastAsia" w:ascii="宋体" w:hAnsi="宋体"/>
          <w:color w:val="auto"/>
          <w:sz w:val="24"/>
          <w:highlight w:val="none"/>
        </w:rPr>
        <w:t>交</w:t>
      </w:r>
      <w:r>
        <w:rPr>
          <w:rFonts w:ascii="宋体" w:hAnsi="宋体"/>
          <w:color w:val="auto"/>
          <w:sz w:val="24"/>
          <w:highlight w:val="none"/>
        </w:rPr>
        <w:t>的资格证明材料不合法或</w:t>
      </w:r>
      <w:r>
        <w:rPr>
          <w:rFonts w:hint="eastAsia" w:ascii="宋体" w:hAnsi="宋体"/>
          <w:color w:val="auto"/>
          <w:sz w:val="24"/>
          <w:highlight w:val="none"/>
        </w:rPr>
        <w:t>与事实不符</w:t>
      </w:r>
      <w:r>
        <w:rPr>
          <w:rFonts w:ascii="宋体" w:hAnsi="宋体"/>
          <w:color w:val="auto"/>
          <w:sz w:val="24"/>
          <w:highlight w:val="none"/>
        </w:rPr>
        <w:t>，采购人可取消</w:t>
      </w:r>
      <w:r>
        <w:rPr>
          <w:rFonts w:hint="eastAsia" w:ascii="宋体" w:hAnsi="宋体"/>
          <w:color w:val="auto"/>
          <w:sz w:val="24"/>
          <w:highlight w:val="none"/>
        </w:rPr>
        <w:t>其</w:t>
      </w:r>
      <w:r>
        <w:rPr>
          <w:rFonts w:ascii="宋体" w:hAnsi="宋体"/>
          <w:color w:val="auto"/>
          <w:sz w:val="24"/>
          <w:highlight w:val="none"/>
        </w:rPr>
        <w:t>中标资格并追究投标</w:t>
      </w:r>
      <w:r>
        <w:rPr>
          <w:rFonts w:hint="eastAsia" w:ascii="宋体" w:hAnsi="宋体"/>
          <w:color w:val="auto"/>
          <w:sz w:val="24"/>
          <w:highlight w:val="none"/>
        </w:rPr>
        <w:t>供应商</w:t>
      </w:r>
      <w:r>
        <w:rPr>
          <w:rFonts w:ascii="宋体" w:hAnsi="宋体"/>
          <w:color w:val="auto"/>
          <w:sz w:val="24"/>
          <w:highlight w:val="none"/>
        </w:rPr>
        <w:t>的法律责任。</w:t>
      </w:r>
      <w:r>
        <w:rPr>
          <w:rFonts w:hint="eastAsia" w:ascii="宋体" w:hAnsi="宋体"/>
          <w:b/>
          <w:color w:val="auto"/>
          <w:sz w:val="24"/>
          <w:highlight w:val="none"/>
        </w:rPr>
        <w:t>如投标供应商提交的资格证明材料无法证明其符合招标文件规定的“投标供应商资格要求”的，则其</w:t>
      </w:r>
      <w:r>
        <w:rPr>
          <w:rFonts w:hint="eastAsia" w:ascii="宋体" w:hAnsi="宋体" w:cs="Arial"/>
          <w:b/>
          <w:color w:val="auto"/>
          <w:kern w:val="0"/>
          <w:sz w:val="24"/>
          <w:highlight w:val="none"/>
        </w:rPr>
        <w:t>资格审查不通过，按无效投标处理，并不进行后续评审。</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）资格审查通过的投标供应商，由</w:t>
      </w:r>
      <w:r>
        <w:rPr>
          <w:rFonts w:ascii="宋体" w:hAnsi="宋体" w:cs="Arial"/>
          <w:color w:val="auto"/>
          <w:kern w:val="0"/>
          <w:sz w:val="24"/>
          <w:highlight w:val="none"/>
        </w:rPr>
        <w:t>评标委员会对</w:t>
      </w:r>
      <w:r>
        <w:rPr>
          <w:rFonts w:hint="eastAsia" w:ascii="宋体" w:hAnsi="宋体" w:cs="Arial"/>
          <w:color w:val="auto"/>
          <w:kern w:val="0"/>
          <w:sz w:val="24"/>
          <w:highlight w:val="none"/>
        </w:rPr>
        <w:t>其商务技术文件的符合性审查、商务技术评审；</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）第一阶段开标结束。</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3.2开标大会第二阶段</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（1）首先公布符合性审查、商务技术评审无效供应商名称及理由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后有效投标</w:t>
      </w:r>
      <w:r>
        <w:rPr>
          <w:rFonts w:ascii="宋体" w:hAnsi="宋体" w:cs="Arial"/>
          <w:color w:val="auto"/>
          <w:kern w:val="0"/>
          <w:sz w:val="24"/>
          <w:highlight w:val="none"/>
        </w:rPr>
        <w:t>供应商</w:t>
      </w:r>
      <w:r>
        <w:rPr>
          <w:rFonts w:hint="eastAsia" w:ascii="宋体" w:hAnsi="宋体" w:cs="Arial"/>
          <w:color w:val="auto"/>
          <w:kern w:val="0"/>
          <w:sz w:val="24"/>
          <w:highlight w:val="none"/>
        </w:rPr>
        <w:t>的</w:t>
      </w:r>
      <w:r>
        <w:rPr>
          <w:rFonts w:ascii="宋体" w:hAnsi="宋体" w:cs="Arial"/>
          <w:color w:val="auto"/>
          <w:kern w:val="0"/>
          <w:sz w:val="24"/>
          <w:highlight w:val="none"/>
        </w:rPr>
        <w:t>名单，同时公布</w:t>
      </w:r>
      <w:r>
        <w:rPr>
          <w:rFonts w:hint="eastAsia" w:ascii="宋体" w:hAnsi="宋体" w:cs="Arial"/>
          <w:color w:val="auto"/>
          <w:kern w:val="0"/>
          <w:sz w:val="24"/>
          <w:highlight w:val="none"/>
        </w:rPr>
        <w:t>其</w:t>
      </w:r>
      <w:r>
        <w:rPr>
          <w:rFonts w:ascii="宋体" w:hAnsi="宋体" w:cs="Arial"/>
          <w:color w:val="auto"/>
          <w:kern w:val="0"/>
          <w:sz w:val="24"/>
          <w:highlight w:val="none"/>
        </w:rPr>
        <w:t>商务技术</w:t>
      </w:r>
      <w:r>
        <w:rPr>
          <w:rFonts w:hint="eastAsia" w:ascii="宋体" w:hAnsi="宋体" w:cs="Arial"/>
          <w:color w:val="auto"/>
          <w:kern w:val="0"/>
          <w:sz w:val="24"/>
          <w:highlight w:val="none"/>
        </w:rPr>
        <w:t>部分</w:t>
      </w:r>
      <w:r>
        <w:rPr>
          <w:rFonts w:ascii="宋体" w:hAnsi="宋体" w:cs="Arial"/>
          <w:color w:val="auto"/>
          <w:kern w:val="0"/>
          <w:sz w:val="24"/>
          <w:highlight w:val="none"/>
        </w:rPr>
        <w:t>得分情况</w:t>
      </w:r>
      <w:r>
        <w:rPr>
          <w:rFonts w:hint="eastAsia" w:ascii="宋体" w:hAnsi="宋体" w:cs="Arial"/>
          <w:color w:val="auto"/>
          <w:kern w:val="0"/>
          <w:sz w:val="24"/>
          <w:highlight w:val="none"/>
        </w:rPr>
        <w:t>。</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（2）开启有效投标供应商的《报价文件》，供应商通过</w:t>
      </w:r>
      <w:r>
        <w:rPr>
          <w:rFonts w:ascii="宋体" w:hAnsi="宋体" w:cs="Arial"/>
          <w:color w:val="auto"/>
          <w:kern w:val="0"/>
          <w:sz w:val="24"/>
          <w:highlight w:val="none"/>
        </w:rPr>
        <w:t>政采云平台</w:t>
      </w:r>
      <w:r>
        <w:rPr>
          <w:rFonts w:hint="eastAsia" w:ascii="宋体" w:hAnsi="宋体" w:cs="Arial"/>
          <w:color w:val="auto"/>
          <w:kern w:val="0"/>
          <w:sz w:val="24"/>
          <w:highlight w:val="none"/>
        </w:rPr>
        <w:t>对</w:t>
      </w:r>
      <w:r>
        <w:rPr>
          <w:rFonts w:ascii="宋体" w:hAnsi="宋体" w:cs="Arial"/>
          <w:color w:val="auto"/>
          <w:kern w:val="0"/>
          <w:sz w:val="24"/>
          <w:highlight w:val="none"/>
        </w:rPr>
        <w:t>报价进行签字确认（不予确认的应说明理由，否则视为无异议）。唱标结束后，由评标委员会对报价的合理性、准确性等进行审查核实</w:t>
      </w:r>
      <w:r>
        <w:rPr>
          <w:rFonts w:hint="eastAsia" w:ascii="宋体" w:hAnsi="宋体" w:cs="Arial"/>
          <w:color w:val="auto"/>
          <w:kern w:val="0"/>
          <w:sz w:val="24"/>
          <w:highlight w:val="none"/>
        </w:rPr>
        <w:t>。</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（3）评审结束后，公布中标（成交）候选供应商名单，及采购人最终确定中标或成交供应商名单的时间和公告方式等。</w:t>
      </w:r>
    </w:p>
    <w:p>
      <w:pPr>
        <w:autoSpaceDE w:val="0"/>
        <w:autoSpaceDN w:val="0"/>
        <w:adjustRightInd w:val="0"/>
        <w:spacing w:line="360" w:lineRule="auto"/>
        <w:rPr>
          <w:rFonts w:asciiTheme="minorEastAsia" w:hAnsiTheme="minorEastAsia" w:eastAsiaTheme="minorEastAsia"/>
          <w:color w:val="auto"/>
          <w:sz w:val="24"/>
          <w:highlight w:val="none"/>
        </w:rPr>
      </w:pPr>
      <w:r>
        <w:rPr>
          <w:rFonts w:hint="eastAsia" w:ascii="宋体" w:hAnsi="宋体" w:cs="Arial"/>
          <w:b/>
          <w:color w:val="auto"/>
          <w:kern w:val="0"/>
          <w:sz w:val="24"/>
          <w:highlight w:val="none"/>
        </w:rPr>
        <w:t>特别说明：如遇“政府采购云平台”电子化开标或评审程序调整的，按调整后程序执行。</w:t>
      </w:r>
    </w:p>
    <w:p>
      <w:pPr>
        <w:pStyle w:val="17"/>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六、评标</w:t>
      </w:r>
    </w:p>
    <w:p>
      <w:pPr>
        <w:pStyle w:val="17"/>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7"/>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7"/>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2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29"/>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2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9"/>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29"/>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29"/>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7"/>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29"/>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7"/>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2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w:t>
      </w:r>
      <w:r>
        <w:rPr>
          <w:color w:val="auto"/>
          <w:highlight w:val="none"/>
        </w:rPr>
        <w:t>同时出现两种以上不一致的，按照前款规定的顺序修正。按上述修正错误的原则及方法调整或修正投标文件的投标报价，投标供应商同意并签字确认后，以扫描件形式发送至指定邮箱。修正后的报价经投标供应商确认后产生约束力，投标供应商不确认的，其投标无效。</w:t>
      </w:r>
    </w:p>
    <w:p>
      <w:pPr>
        <w:pStyle w:val="29"/>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pStyle w:val="2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29"/>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w:t>
      </w:r>
      <w:r>
        <w:rPr>
          <w:rFonts w:hint="default" w:asciiTheme="minorEastAsia" w:hAnsiTheme="minorEastAsia" w:eastAsiaTheme="minorEastAsia"/>
          <w:color w:val="auto"/>
          <w:highlight w:val="none"/>
        </w:rPr>
        <w:t>2</w:t>
      </w: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pPr>
        <w:pStyle w:val="29"/>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　  </w:t>
      </w:r>
      <w:r>
        <w:rPr>
          <w:rFonts w:hint="default" w:asciiTheme="minorEastAsia" w:hAnsiTheme="minorEastAsia" w:eastAsiaTheme="minorEastAsia"/>
          <w:color w:val="auto"/>
          <w:highlight w:val="none"/>
        </w:rPr>
        <w:t>3</w:t>
      </w:r>
      <w:r>
        <w:rPr>
          <w:rFonts w:asciiTheme="minorEastAsia" w:hAnsiTheme="minorEastAsia" w:eastAsiaTheme="minorEastAsia"/>
          <w:color w:val="auto"/>
          <w:highlight w:val="none"/>
        </w:rPr>
        <w:t>、投标文件含有采购人不能接受的附加条件的。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2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default" w:asciiTheme="minorEastAsia" w:hAnsiTheme="minorEastAsia" w:eastAsiaTheme="minorEastAsia"/>
          <w:color w:val="auto"/>
          <w:highlight w:val="none"/>
        </w:rPr>
        <w:t>5</w:t>
      </w:r>
      <w:r>
        <w:rPr>
          <w:rFonts w:asciiTheme="minorEastAsia" w:hAnsiTheme="minorEastAsia" w:eastAsiaTheme="minor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auto"/>
          <w:highlight w:val="none"/>
        </w:rPr>
      </w:pPr>
      <w:r>
        <w:rPr>
          <w:rFonts w:hint="default" w:asciiTheme="minorEastAsia" w:hAnsiTheme="minorEastAsia" w:eastAsiaTheme="minorEastAsia"/>
          <w:color w:val="auto"/>
          <w:highlight w:val="none"/>
        </w:rPr>
        <w:t>6</w:t>
      </w:r>
      <w:r>
        <w:rPr>
          <w:rFonts w:asciiTheme="minorEastAsia" w:hAnsiTheme="minorEastAsia" w:eastAsiaTheme="minorEastAsia"/>
          <w:color w:val="auto"/>
          <w:highlight w:val="none"/>
        </w:rPr>
        <w:t>、报价超过招标文件中规定的预算金额/最高限价。</w:t>
      </w:r>
    </w:p>
    <w:p>
      <w:pPr>
        <w:pStyle w:val="2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bookmarkStart w:id="0" w:name="_Hlk37146609"/>
      <w:r>
        <w:rPr>
          <w:rFonts w:hint="eastAsia" w:asciiTheme="minorEastAsia" w:hAnsiTheme="minorEastAsia" w:eastAsiaTheme="minorEastAsia"/>
          <w:color w:val="auto"/>
          <w:highlight w:val="none"/>
          <w:lang w:val="en-US" w:eastAsia="zh-CN"/>
        </w:rPr>
        <w:t>7、</w:t>
      </w:r>
      <w:r>
        <w:rPr>
          <w:rFonts w:asciiTheme="minorEastAsia" w:hAnsiTheme="minorEastAsia" w:eastAsiaTheme="minorEastAsia"/>
          <w:color w:val="auto"/>
          <w:highlight w:val="none"/>
        </w:rPr>
        <w:t>标</w:t>
      </w:r>
      <w:r>
        <w:rPr>
          <w:rFonts w:hint="default" w:asciiTheme="minorEastAsia" w:hAnsiTheme="minorEastAsia" w:eastAsiaTheme="minorEastAsia"/>
          <w:color w:val="auto"/>
          <w:highlight w:val="none"/>
        </w:rPr>
        <w:t>“</w:t>
      </w:r>
      <w:r>
        <w:rPr>
          <w:rFonts w:hint="eastAsia" w:ascii="宋体" w:hAnsi="宋体"/>
          <w:b/>
          <w:color w:val="auto"/>
          <w:kern w:val="0"/>
          <w:sz w:val="18"/>
          <w:szCs w:val="18"/>
          <w:highlight w:val="none"/>
        </w:rPr>
        <w:t>★</w:t>
      </w:r>
      <w:r>
        <w:rPr>
          <w:rFonts w:hint="default" w:asciiTheme="minorEastAsia" w:hAnsiTheme="minorEastAsia" w:eastAsiaTheme="minorEastAsia"/>
          <w:color w:val="auto"/>
          <w:highlight w:val="none"/>
        </w:rPr>
        <w:t>”</w:t>
      </w:r>
      <w:r>
        <w:rPr>
          <w:rFonts w:asciiTheme="minorEastAsia" w:hAnsiTheme="minorEastAsia" w:eastAsiaTheme="minorEastAsia"/>
          <w:color w:val="auto"/>
          <w:highlight w:val="none"/>
        </w:rPr>
        <w:t>主要性能参数指标负偏离项（含）</w:t>
      </w:r>
      <w:r>
        <w:rPr>
          <w:rFonts w:hint="default"/>
          <w:bCs/>
          <w:color w:val="auto"/>
          <w:highlight w:val="none"/>
          <w:u w:val="single"/>
        </w:rPr>
        <w:t>6</w:t>
      </w:r>
      <w:r>
        <w:rPr>
          <w:rFonts w:hint="eastAsia"/>
          <w:bCs/>
          <w:color w:val="auto"/>
          <w:highlight w:val="none"/>
          <w:u w:val="single"/>
          <w:lang w:eastAsia="zh-CN"/>
        </w:rPr>
        <w:t>项</w:t>
      </w:r>
      <w:r>
        <w:rPr>
          <w:rFonts w:asciiTheme="minorEastAsia" w:hAnsiTheme="minorEastAsia" w:eastAsiaTheme="minorEastAsia"/>
          <w:color w:val="auto"/>
          <w:highlight w:val="none"/>
        </w:rPr>
        <w:t>以上的</w:t>
      </w:r>
      <w:bookmarkEnd w:id="0"/>
      <w:r>
        <w:rPr>
          <w:rFonts w:asciiTheme="minorEastAsia" w:hAnsiTheme="minorEastAsia" w:eastAsiaTheme="minorEastAsia"/>
          <w:color w:val="auto"/>
          <w:highlight w:val="none"/>
        </w:rPr>
        <w:t xml:space="preserve">。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rPr>
        <w:t xml:space="preserve">、投标文件提供虚假材料的。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10</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29"/>
        <w:spacing w:before="0" w:beforeAutospacing="0" w:after="0" w:afterAutospacing="0" w:line="360" w:lineRule="auto"/>
        <w:jc w:val="both"/>
        <w:rPr>
          <w:rFonts w:hint="default"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　 （4）不同投标人的投标文件异常一致或者投标报价呈规律性差异；</w:t>
      </w:r>
    </w:p>
    <w:p>
      <w:pPr>
        <w:pStyle w:val="29"/>
        <w:spacing w:before="0" w:beforeAutospacing="0" w:after="0" w:afterAutospacing="0" w:line="360" w:lineRule="auto"/>
        <w:ind w:firstLine="480" w:firstLineChars="200"/>
        <w:jc w:val="both"/>
        <w:rPr>
          <w:rFonts w:hint="eastAsia" w:cs="Times New Roman" w:asciiTheme="minorEastAsia" w:hAnsiTheme="minorEastAsia" w:eastAsiaTheme="minorEastAsia"/>
          <w:color w:val="auto"/>
          <w:highlight w:val="none"/>
          <w:lang w:val="en-US" w:eastAsia="zh-CN"/>
        </w:rPr>
      </w:pPr>
      <w:r>
        <w:rPr>
          <w:rFonts w:hint="eastAsia" w:cs="Times New Roman" w:asciiTheme="minorEastAsia" w:hAnsiTheme="minorEastAsia" w:eastAsiaTheme="minorEastAsia"/>
          <w:color w:val="auto"/>
          <w:highlight w:val="none"/>
          <w:lang w:val="en-US" w:eastAsia="zh-CN"/>
        </w:rPr>
        <w:t>（5）不同投标人的投标文件相互混装；</w:t>
      </w:r>
    </w:p>
    <w:p>
      <w:pPr>
        <w:snapToGrid w:val="0"/>
        <w:ind w:firstLine="470" w:firstLineChars="196"/>
        <w:rPr>
          <w:rFonts w:hint="default" w:asciiTheme="minorEastAsia" w:hAnsiTheme="minorEastAsia" w:eastAsiaTheme="minorEastAsia"/>
          <w:color w:val="auto"/>
          <w:highlight w:val="none"/>
        </w:rPr>
      </w:pPr>
      <w:r>
        <w:rPr>
          <w:rFonts w:hint="eastAsia" w:ascii="宋体" w:hAnsi="宋体"/>
          <w:color w:val="auto"/>
          <w:sz w:val="24"/>
          <w:highlight w:val="none"/>
          <w:lang w:val="en-US" w:eastAsia="zh-CN"/>
        </w:rPr>
        <w:t>11、</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pPr>
        <w:pStyle w:val="29"/>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1</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、仅提交“备份投标文件”或电子投标文件未按时完成解密，又未提供备份电子投标文件的。</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29"/>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29"/>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29"/>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29"/>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29"/>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color w:val="auto"/>
          <w:highlight w:val="none"/>
        </w:rPr>
        <w:t>5、因电子交易平台故障无法登录、无法正常操作等导致平台无法正常运行，或者无法保证电子交易的公平、公正和安全时，采购组织机构可中止电子交易活动。</w:t>
      </w:r>
    </w:p>
    <w:p>
      <w:pPr>
        <w:pStyle w:val="17"/>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7"/>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7"/>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2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29"/>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pPr>
        <w:pStyle w:val="2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9"/>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30</w:t>
      </w:r>
      <w:r>
        <w:rPr>
          <w:color w:val="auto"/>
          <w:highlight w:val="none"/>
        </w:rPr>
        <w:t>日内，按照招标文件和中标人投标文件的规定，与中标人签订书面合同。所签订的合同不得对招标文件确定的事项和中标人投标文件作实质性修改。</w:t>
      </w:r>
    </w:p>
    <w:p>
      <w:pPr>
        <w:pStyle w:val="2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29"/>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9"/>
        <w:spacing w:line="360" w:lineRule="auto"/>
        <w:ind w:firstLine="480" w:firstLineChars="200"/>
        <w:rPr>
          <w:rFonts w:hint="default" w:cs="仿宋_GB2312"/>
          <w:color w:val="auto"/>
          <w:highlight w:val="none"/>
        </w:rPr>
      </w:pPr>
      <w:r>
        <w:rPr>
          <w:rFonts w:hint="default"/>
          <w:color w:val="auto"/>
          <w:highlight w:val="none"/>
        </w:rPr>
        <w:t>4</w:t>
      </w:r>
      <w:r>
        <w:rPr>
          <w:color w:val="auto"/>
          <w:highlight w:val="none"/>
        </w:rPr>
        <w:t>、询问或者质疑事项可能影响中标结果的，采购人应当暂停签订合同，已经签订合同的，应当中止履行合同（中标结果的质疑期为中标结果公告期限届满之日起七个工作日）。</w:t>
      </w:r>
    </w:p>
    <w:p>
      <w:pPr>
        <w:pStyle w:val="29"/>
        <w:spacing w:line="360" w:lineRule="auto"/>
        <w:ind w:firstLine="424" w:firstLineChars="176"/>
        <w:rPr>
          <w:rFonts w:hint="default" w:cs="仿宋_GB2312"/>
          <w:b/>
          <w:color w:val="auto"/>
          <w:highlight w:val="none"/>
        </w:rPr>
      </w:pPr>
      <w:r>
        <w:rPr>
          <w:b/>
          <w:color w:val="auto"/>
          <w:highlight w:val="none"/>
        </w:rPr>
        <w:t>（二）合同公告及备案</w:t>
      </w:r>
    </w:p>
    <w:p>
      <w:pPr>
        <w:pStyle w:val="14"/>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4"/>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spacing w:line="360" w:lineRule="auto"/>
        <w:rPr>
          <w:rFonts w:asciiTheme="minorEastAsia" w:hAnsiTheme="minorEastAsia" w:eastAsiaTheme="minorEastAsia"/>
          <w:b/>
          <w:color w:val="auto"/>
          <w:sz w:val="28"/>
          <w:szCs w:val="28"/>
          <w:highlight w:val="none"/>
        </w:rPr>
        <w:sectPr>
          <w:pgSz w:w="11906" w:h="16838"/>
          <w:pgMar w:top="1440" w:right="1800" w:bottom="1440" w:left="1800" w:header="851" w:footer="992" w:gutter="0"/>
          <w:cols w:space="425" w:num="1"/>
          <w:docGrid w:type="lines" w:linePitch="312" w:charSpace="0"/>
        </w:sectPr>
      </w:pPr>
    </w:p>
    <w:p>
      <w:pPr>
        <w:numPr>
          <w:ilvl w:val="0"/>
          <w:numId w:val="3"/>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为公正、公平、科学地选择中标人，根据《中华人民共和国政府采购法》、《政府采购货物和服务招投标管理办法》等有关法律法规的规定，并结合本项目的实际，制定本办法。</w:t>
      </w:r>
    </w:p>
    <w:p>
      <w:pPr>
        <w:spacing w:beforeLines="50" w:afterLines="50" w:line="360" w:lineRule="exact"/>
        <w:ind w:firstLine="472" w:firstLineChars="196"/>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两个标段评标办法如下：</w:t>
      </w:r>
    </w:p>
    <w:p>
      <w:pPr>
        <w:spacing w:beforeLines="50" w:afterLines="50" w:line="36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pPr>
        <w:spacing w:line="36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总分为100分，其中商务</w:t>
      </w:r>
      <w:r>
        <w:rPr>
          <w:rFonts w:hint="eastAsia" w:ascii="宋体" w:hAnsi="宋体"/>
          <w:b/>
          <w:color w:val="auto"/>
          <w:sz w:val="24"/>
          <w:highlight w:val="none"/>
          <w:lang w:eastAsia="zh-CN"/>
        </w:rPr>
        <w:t>与技术分</w:t>
      </w:r>
      <w:r>
        <w:rPr>
          <w:rFonts w:hint="eastAsia" w:ascii="宋体" w:hAnsi="宋体"/>
          <w:b/>
          <w:color w:val="auto"/>
          <w:sz w:val="24"/>
          <w:highlight w:val="none"/>
          <w:lang w:val="en-US" w:eastAsia="zh-CN"/>
        </w:rPr>
        <w:t>90</w:t>
      </w:r>
      <w:r>
        <w:rPr>
          <w:rFonts w:hint="eastAsia" w:ascii="宋体" w:hAnsi="宋体"/>
          <w:b/>
          <w:color w:val="auto"/>
          <w:sz w:val="24"/>
          <w:highlight w:val="none"/>
        </w:rPr>
        <w:t>分、</w:t>
      </w:r>
      <w:r>
        <w:rPr>
          <w:rFonts w:hint="eastAsia" w:ascii="宋体" w:hAnsi="宋体"/>
          <w:b/>
          <w:color w:val="auto"/>
          <w:sz w:val="24"/>
          <w:highlight w:val="none"/>
          <w:lang w:eastAsia="zh-CN"/>
        </w:rPr>
        <w:t>价格</w:t>
      </w:r>
      <w:r>
        <w:rPr>
          <w:rFonts w:hint="eastAsia" w:ascii="宋体" w:hAnsi="宋体"/>
          <w:b/>
          <w:color w:val="auto"/>
          <w:sz w:val="24"/>
          <w:highlight w:val="none"/>
        </w:rPr>
        <w:t>分</w:t>
      </w:r>
      <w:r>
        <w:rPr>
          <w:rFonts w:hint="eastAsia" w:ascii="宋体" w:hAnsi="宋体"/>
          <w:b/>
          <w:color w:val="auto"/>
          <w:sz w:val="24"/>
          <w:highlight w:val="none"/>
          <w:lang w:val="en-US" w:eastAsia="zh-CN"/>
        </w:rPr>
        <w:t>10</w:t>
      </w:r>
      <w:r>
        <w:rPr>
          <w:rFonts w:hint="eastAsia" w:ascii="宋体" w:hAnsi="宋体"/>
          <w:b/>
          <w:color w:val="auto"/>
          <w:sz w:val="24"/>
          <w:highlight w:val="none"/>
        </w:rPr>
        <w:t>分</w:t>
      </w:r>
      <w:r>
        <w:rPr>
          <w:rFonts w:hint="eastAsia" w:ascii="宋体" w:hAnsi="宋体"/>
          <w:color w:val="auto"/>
          <w:sz w:val="24"/>
          <w:highlight w:val="none"/>
        </w:rPr>
        <w:t>。</w:t>
      </w:r>
    </w:p>
    <w:p>
      <w:pPr>
        <w:numPr>
          <w:ilvl w:val="0"/>
          <w:numId w:val="6"/>
        </w:numPr>
        <w:spacing w:line="360" w:lineRule="exact"/>
        <w:ind w:left="420"/>
        <w:rPr>
          <w:rFonts w:hint="eastAsia" w:ascii="宋体" w:hAnsi="宋体"/>
          <w:bCs/>
          <w:color w:val="auto"/>
          <w:sz w:val="24"/>
          <w:highlight w:val="none"/>
        </w:rPr>
      </w:pPr>
      <w:r>
        <w:rPr>
          <w:rFonts w:hint="eastAsia" w:ascii="宋体" w:hAnsi="宋体"/>
          <w:bCs/>
          <w:color w:val="auto"/>
          <w:sz w:val="24"/>
          <w:highlight w:val="none"/>
        </w:rPr>
        <w:t>各投标人的总得分＝</w:t>
      </w:r>
      <w:r>
        <w:rPr>
          <w:rFonts w:hint="eastAsia" w:ascii="宋体" w:hAnsi="宋体"/>
          <w:bCs/>
          <w:color w:val="auto"/>
          <w:sz w:val="24"/>
          <w:highlight w:val="none"/>
          <w:lang w:eastAsia="zh-CN"/>
        </w:rPr>
        <w:t>商务与技术文件</w:t>
      </w:r>
      <w:r>
        <w:rPr>
          <w:rFonts w:hint="eastAsia" w:ascii="宋体" w:hAnsi="宋体"/>
          <w:bCs/>
          <w:color w:val="auto"/>
          <w:sz w:val="24"/>
          <w:highlight w:val="none"/>
        </w:rPr>
        <w:t>得分＋</w:t>
      </w:r>
      <w:r>
        <w:rPr>
          <w:rFonts w:hint="eastAsia" w:ascii="宋体" w:hAnsi="宋体"/>
          <w:bCs/>
          <w:color w:val="auto"/>
          <w:sz w:val="24"/>
          <w:highlight w:val="none"/>
          <w:lang w:eastAsia="zh-CN"/>
        </w:rPr>
        <w:t>报价文件</w:t>
      </w:r>
      <w:r>
        <w:rPr>
          <w:rFonts w:hint="eastAsia" w:ascii="宋体" w:hAnsi="宋体"/>
          <w:bCs/>
          <w:color w:val="auto"/>
          <w:sz w:val="24"/>
          <w:highlight w:val="none"/>
        </w:rPr>
        <w:t>得分。</w:t>
      </w:r>
    </w:p>
    <w:p>
      <w:pPr>
        <w:numPr>
          <w:ilvl w:val="0"/>
          <w:numId w:val="0"/>
        </w:numPr>
        <w:spacing w:line="360" w:lineRule="exact"/>
        <w:ind w:firstLine="482" w:firstLineChars="200"/>
        <w:rPr>
          <w:rFonts w:hint="eastAsia" w:ascii="宋体" w:hAnsi="宋体"/>
          <w:bCs/>
          <w:color w:val="auto"/>
          <w:sz w:val="24"/>
          <w:highlight w:val="none"/>
        </w:rPr>
      </w:pPr>
      <w:r>
        <w:rPr>
          <w:rFonts w:hint="eastAsia" w:ascii="宋体" w:hAnsi="宋体"/>
          <w:b/>
          <w:bCs/>
          <w:color w:val="auto"/>
          <w:sz w:val="24"/>
          <w:highlight w:val="none"/>
          <w:u w:val="single"/>
        </w:rPr>
        <w:t>▲</w:t>
      </w:r>
      <w:r>
        <w:rPr>
          <w:rFonts w:hint="eastAsia" w:ascii="宋体" w:hAnsi="宋体"/>
          <w:b/>
          <w:color w:val="auto"/>
          <w:sz w:val="24"/>
          <w:highlight w:val="none"/>
          <w:u w:val="single"/>
        </w:rPr>
        <w:t>本项目采购人设有报价上限，</w:t>
      </w:r>
      <w:r>
        <w:rPr>
          <w:rFonts w:hint="eastAsia" w:ascii="宋体" w:hAnsi="宋体"/>
          <w:b/>
          <w:color w:val="auto"/>
          <w:sz w:val="24"/>
          <w:highlight w:val="none"/>
          <w:u w:val="single"/>
          <w:lang w:eastAsia="zh-CN"/>
        </w:rPr>
        <w:t>其中</w:t>
      </w:r>
      <w:r>
        <w:rPr>
          <w:rFonts w:hint="eastAsia" w:ascii="宋体" w:hAnsi="宋体"/>
          <w:b/>
          <w:color w:val="auto"/>
          <w:sz w:val="24"/>
          <w:highlight w:val="none"/>
          <w:u w:val="single"/>
        </w:rPr>
        <w:t>标段一上限价</w:t>
      </w:r>
      <w:r>
        <w:rPr>
          <w:rFonts w:hint="eastAsia" w:ascii="宋体" w:hAnsi="宋体"/>
          <w:b/>
          <w:color w:val="auto"/>
          <w:sz w:val="24"/>
          <w:highlight w:val="none"/>
          <w:u w:val="single"/>
          <w:lang w:eastAsia="zh-CN"/>
        </w:rPr>
        <w:t>为</w:t>
      </w:r>
      <w:r>
        <w:rPr>
          <w:rFonts w:hint="eastAsia" w:ascii="宋体" w:hAnsi="宋体"/>
          <w:b/>
          <w:color w:val="auto"/>
          <w:sz w:val="24"/>
          <w:highlight w:val="none"/>
          <w:u w:val="single"/>
        </w:rPr>
        <w:t>：</w:t>
      </w:r>
      <w:r>
        <w:rPr>
          <w:rFonts w:hint="eastAsia" w:ascii="宋体" w:hAnsi="宋体"/>
          <w:b/>
          <w:color w:val="auto"/>
          <w:sz w:val="24"/>
          <w:highlight w:val="none"/>
          <w:u w:val="single"/>
          <w:lang w:val="en-US" w:eastAsia="zh-CN"/>
        </w:rPr>
        <w:t>2500000</w:t>
      </w:r>
      <w:r>
        <w:rPr>
          <w:rFonts w:hint="eastAsia" w:ascii="宋体" w:hAnsi="宋体"/>
          <w:b/>
          <w:color w:val="auto"/>
          <w:sz w:val="24"/>
          <w:highlight w:val="none"/>
          <w:u w:val="single"/>
        </w:rPr>
        <w:t>元</w:t>
      </w:r>
      <w:r>
        <w:rPr>
          <w:rFonts w:hint="eastAsia" w:ascii="宋体" w:hAnsi="宋体"/>
          <w:b/>
          <w:color w:val="auto"/>
          <w:sz w:val="24"/>
          <w:highlight w:val="none"/>
          <w:u w:val="single"/>
          <w:lang w:eastAsia="zh-CN"/>
        </w:rPr>
        <w:t>，其中</w:t>
      </w:r>
      <w:r>
        <w:rPr>
          <w:rFonts w:hint="eastAsia" w:ascii="宋体" w:hAnsi="宋体"/>
          <w:b/>
          <w:color w:val="auto"/>
          <w:sz w:val="24"/>
          <w:highlight w:val="none"/>
          <w:u w:val="single"/>
        </w:rPr>
        <w:t>标段</w:t>
      </w:r>
      <w:r>
        <w:rPr>
          <w:rFonts w:hint="eastAsia" w:ascii="宋体" w:hAnsi="宋体"/>
          <w:b/>
          <w:color w:val="auto"/>
          <w:sz w:val="24"/>
          <w:highlight w:val="none"/>
          <w:u w:val="single"/>
          <w:lang w:eastAsia="zh-CN"/>
        </w:rPr>
        <w:t>二</w:t>
      </w:r>
      <w:r>
        <w:rPr>
          <w:rFonts w:hint="eastAsia" w:ascii="宋体" w:hAnsi="宋体"/>
          <w:b/>
          <w:color w:val="auto"/>
          <w:sz w:val="24"/>
          <w:highlight w:val="none"/>
          <w:u w:val="single"/>
        </w:rPr>
        <w:t>上限价</w:t>
      </w:r>
      <w:r>
        <w:rPr>
          <w:rFonts w:hint="eastAsia" w:ascii="宋体" w:hAnsi="宋体"/>
          <w:b/>
          <w:color w:val="auto"/>
          <w:sz w:val="24"/>
          <w:highlight w:val="none"/>
          <w:u w:val="single"/>
          <w:lang w:eastAsia="zh-CN"/>
        </w:rPr>
        <w:t>为</w:t>
      </w:r>
      <w:r>
        <w:rPr>
          <w:rFonts w:hint="eastAsia" w:ascii="宋体" w:hAnsi="宋体"/>
          <w:b/>
          <w:color w:val="auto"/>
          <w:sz w:val="24"/>
          <w:highlight w:val="none"/>
          <w:u w:val="single"/>
        </w:rPr>
        <w:t>：</w:t>
      </w:r>
      <w:r>
        <w:rPr>
          <w:rFonts w:hint="eastAsia" w:ascii="宋体" w:hAnsi="宋体"/>
          <w:b/>
          <w:color w:val="auto"/>
          <w:sz w:val="24"/>
          <w:highlight w:val="none"/>
          <w:u w:val="single"/>
          <w:lang w:val="en-US" w:eastAsia="zh-CN"/>
        </w:rPr>
        <w:t>2500000</w:t>
      </w:r>
      <w:r>
        <w:rPr>
          <w:rFonts w:hint="eastAsia" w:ascii="宋体" w:hAnsi="宋体"/>
          <w:b/>
          <w:color w:val="auto"/>
          <w:sz w:val="24"/>
          <w:highlight w:val="none"/>
          <w:u w:val="single"/>
        </w:rPr>
        <w:t>元。投标报价高于上限价的，作无效标处理</w:t>
      </w:r>
    </w:p>
    <w:p>
      <w:pPr>
        <w:numPr>
          <w:ilvl w:val="0"/>
          <w:numId w:val="6"/>
        </w:numPr>
        <w:spacing w:line="360" w:lineRule="exact"/>
        <w:ind w:left="420"/>
        <w:rPr>
          <w:rFonts w:ascii="宋体" w:hAnsi="宋体"/>
          <w:b/>
          <w:color w:val="auto"/>
          <w:sz w:val="24"/>
          <w:highlight w:val="none"/>
        </w:rPr>
      </w:pPr>
      <w:r>
        <w:rPr>
          <w:rFonts w:hint="eastAsia" w:ascii="宋体" w:hAnsi="宋体"/>
          <w:b/>
          <w:color w:val="auto"/>
          <w:sz w:val="24"/>
          <w:highlight w:val="none"/>
        </w:rPr>
        <w:t>中标候选人的确定：</w:t>
      </w:r>
    </w:p>
    <w:p>
      <w:pPr>
        <w:autoSpaceDE w:val="0"/>
        <w:autoSpaceDN w:val="0"/>
        <w:adjustRightInd w:val="0"/>
        <w:spacing w:line="360" w:lineRule="auto"/>
        <w:ind w:right="85" w:firstLine="480" w:firstLineChars="200"/>
        <w:rPr>
          <w:rFonts w:hint="eastAsia" w:ascii="宋体" w:hAnsi="Times New Roman" w:eastAsia="宋体" w:cs="Times New Roman"/>
          <w:b/>
          <w:bCs/>
          <w:color w:val="auto"/>
          <w:kern w:val="2"/>
          <w:sz w:val="24"/>
          <w:szCs w:val="24"/>
          <w:highlight w:val="none"/>
          <w:u w:val="single"/>
          <w:lang w:val="zh-CN" w:eastAsia="zh-CN" w:bidi="ar-SA"/>
        </w:rPr>
      </w:pPr>
      <w:r>
        <w:rPr>
          <w:rFonts w:hint="eastAsia" w:ascii="宋体" w:hAnsi="Times New Roman" w:eastAsia="宋体" w:cs="Times New Roman"/>
          <w:color w:val="auto"/>
          <w:kern w:val="2"/>
          <w:sz w:val="24"/>
          <w:szCs w:val="24"/>
          <w:highlight w:val="none"/>
          <w:lang w:val="zh-CN" w:eastAsia="zh-CN" w:bidi="ar-SA"/>
        </w:rPr>
        <w:t>中标候选人的排名次序按投标人总得分从高到低顺序排列，即总得分最高者为中标候选人。若出现总得分相同时，按商务与技术得分由高到低顺序排列；若以上均相同的，则抽签确定</w:t>
      </w:r>
      <w:r>
        <w:rPr>
          <w:rFonts w:hint="eastAsia" w:ascii="宋体" w:hAnsi="Times New Roman" w:eastAsia="宋体" w:cs="Times New Roman"/>
          <w:b w:val="0"/>
          <w:bCs w:val="0"/>
          <w:color w:val="auto"/>
          <w:kern w:val="2"/>
          <w:sz w:val="24"/>
          <w:szCs w:val="24"/>
          <w:highlight w:val="none"/>
          <w:lang w:val="zh-CN" w:eastAsia="zh-CN" w:bidi="ar-SA"/>
        </w:rPr>
        <w:t>。</w:t>
      </w:r>
      <w:r>
        <w:rPr>
          <w:rFonts w:hint="eastAsia" w:ascii="宋体" w:hAnsi="Times New Roman" w:eastAsia="宋体" w:cs="Times New Roman"/>
          <w:b/>
          <w:bCs/>
          <w:color w:val="auto"/>
          <w:kern w:val="2"/>
          <w:sz w:val="24"/>
          <w:szCs w:val="24"/>
          <w:highlight w:val="none"/>
          <w:u w:val="single"/>
          <w:lang w:val="zh-CN" w:eastAsia="zh-CN" w:bidi="ar-SA"/>
        </w:rPr>
        <w:t>标段一中被确定为中标候选人的服务商，标段二中不再被确定为中标候选人。</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政府采购政策及优惠：（1）关于小型、微型企业（简称小微企业）投标：小微企业投标是指符合《中小企业划型标准规定》的投标人，通过投标提供本企业制造的货物、承担的工程或者服务，或者提供其他小微企业制造的货物，享受小微企业政府采购优惠政策。本项所指货物不包括使用大、中型企业注册商标的货物。</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投标人应提供《中小企业声明函》（见附件）、《产品适用政府采购政策情况表》（见附件）；（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具体优惠：经</w:t>
      </w:r>
      <w:r>
        <w:rPr>
          <w:rFonts w:ascii="宋体"/>
          <w:color w:val="auto"/>
          <w:sz w:val="24"/>
          <w:highlight w:val="none"/>
          <w:lang w:val="zh-CN"/>
        </w:rPr>
        <w:t>评标委员会</w:t>
      </w:r>
      <w:r>
        <w:rPr>
          <w:rFonts w:hint="eastAsia" w:ascii="宋体"/>
          <w:color w:val="auto"/>
          <w:sz w:val="24"/>
          <w:highlight w:val="none"/>
          <w:lang w:val="zh-CN"/>
        </w:rPr>
        <w:t>核实</w:t>
      </w:r>
      <w:r>
        <w:rPr>
          <w:rFonts w:ascii="宋体"/>
          <w:color w:val="auto"/>
          <w:sz w:val="24"/>
          <w:highlight w:val="none"/>
          <w:lang w:val="zh-CN"/>
        </w:rPr>
        <w:t>后，</w:t>
      </w:r>
      <w:r>
        <w:rPr>
          <w:rFonts w:hint="eastAsia" w:ascii="宋体"/>
          <w:color w:val="auto"/>
          <w:sz w:val="24"/>
          <w:highlight w:val="none"/>
          <w:lang w:val="zh-CN"/>
        </w:rPr>
        <w:t>对于小型微型企业产品的价格给予</w:t>
      </w:r>
      <w:r>
        <w:rPr>
          <w:rFonts w:ascii="宋体"/>
          <w:color w:val="auto"/>
          <w:sz w:val="24"/>
          <w:highlight w:val="none"/>
          <w:u w:val="single"/>
          <w:lang w:val="zh-CN"/>
        </w:rPr>
        <w:t>6</w:t>
      </w:r>
      <w:r>
        <w:rPr>
          <w:rFonts w:hint="eastAsia" w:ascii="宋体"/>
          <w:color w:val="auto"/>
          <w:sz w:val="24"/>
          <w:highlight w:val="none"/>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eastAsia="zh-CN"/>
        </w:rPr>
        <w:t>四</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、在最大限度地满足招标文件实质性要求前提下，评标委员会按照招标文件中规定的各项因素进行综合评审后，以评标总得分最高的投标人为第一中标候选人，评分总得分次高的投标人为第二中标候选人。</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五、如综合得分相同，投标报价低者为先；如综合得分且投标报价相同的，货物类采购项目以技术性能得分较高者为先。</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六、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eastAsia="zh-CN"/>
        </w:rPr>
        <w:t>七</w:t>
      </w:r>
      <w:r>
        <w:rPr>
          <w:rFonts w:hint="eastAsia" w:asciiTheme="minorEastAsia" w:hAnsiTheme="minorEastAsia" w:eastAsiaTheme="minorEastAsia"/>
          <w:color w:val="auto"/>
          <w:kern w:val="0"/>
          <w:sz w:val="24"/>
          <w:highlight w:val="none"/>
        </w:rPr>
        <w:t>、本次评分具体分值细化条款如下表</w:t>
      </w:r>
      <w:r>
        <w:rPr>
          <w:rFonts w:hint="default" w:asciiTheme="minorEastAsia" w:hAnsiTheme="minorEastAsia" w:eastAsiaTheme="minorEastAsia"/>
          <w:color w:val="auto"/>
          <w:kern w:val="0"/>
          <w:sz w:val="24"/>
          <w:highlight w:val="none"/>
        </w:rPr>
        <w:t>（以下内容缺项不得分）</w:t>
      </w:r>
      <w:r>
        <w:rPr>
          <w:rFonts w:hint="eastAsia" w:asciiTheme="minorEastAsia" w:hAnsiTheme="minorEastAsia" w:eastAsiaTheme="minorEastAsia"/>
          <w:color w:val="auto"/>
          <w:kern w:val="0"/>
          <w:sz w:val="24"/>
          <w:highlight w:val="none"/>
        </w:rPr>
        <w:t>：</w:t>
      </w:r>
    </w:p>
    <w:p>
      <w:pPr>
        <w:pStyle w:val="14"/>
        <w:jc w:val="center"/>
        <w:rPr>
          <w:rFonts w:hint="eastAsia" w:ascii="宋体" w:hAnsi="宋体" w:eastAsia="宋体"/>
          <w:b/>
          <w:color w:val="auto"/>
          <w:highlight w:val="none"/>
        </w:rPr>
      </w:pPr>
    </w:p>
    <w:p>
      <w:pPr>
        <w:pStyle w:val="14"/>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标段一：评分标准</w:t>
      </w:r>
    </w:p>
    <w:tbl>
      <w:tblPr>
        <w:tblStyle w:val="34"/>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460"/>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460"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6867" w:type="dxa"/>
            <w:noWrap w:val="0"/>
            <w:vAlign w:val="center"/>
          </w:tcPr>
          <w:p>
            <w:pPr>
              <w:pStyle w:val="18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pStyle w:val="180"/>
              <w:spacing w:line="288" w:lineRule="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eastAsia="zh-CN"/>
              </w:rPr>
              <w:t>（</w:t>
            </w:r>
            <w:r>
              <w:rPr>
                <w:rFonts w:hint="default" w:ascii="宋体" w:hAnsi="宋体" w:eastAsia="宋体" w:cs="宋体"/>
                <w:b/>
                <w:color w:val="auto"/>
                <w:spacing w:val="-6"/>
                <w:sz w:val="21"/>
                <w:szCs w:val="21"/>
                <w:highlight w:val="none"/>
                <w:lang w:eastAsia="zh-CN"/>
              </w:rPr>
              <w:t>25</w:t>
            </w:r>
            <w:r>
              <w:rPr>
                <w:rFonts w:hint="eastAsia" w:ascii="宋体" w:hAnsi="宋体" w:eastAsia="宋体" w:cs="宋体"/>
                <w:b/>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企业综合实力</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default" w:ascii="宋体" w:hAnsi="宋体" w:cs="宋体"/>
                <w:color w:val="auto"/>
                <w:spacing w:val="-6"/>
                <w:sz w:val="21"/>
                <w:szCs w:val="21"/>
                <w:highlight w:val="none"/>
              </w:rPr>
              <w:t>5</w:t>
            </w:r>
          </w:p>
        </w:tc>
        <w:tc>
          <w:tcPr>
            <w:tcW w:w="6867" w:type="dxa"/>
            <w:noWrap w:val="0"/>
            <w:vAlign w:val="center"/>
          </w:tcPr>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企业具有良好的信誉资质，并有以下等级证书：</w:t>
            </w:r>
          </w:p>
          <w:p>
            <w:pPr>
              <w:widowControl/>
              <w:adjustRightInd w:val="0"/>
              <w:snapToGrid w:val="0"/>
              <w:spacing w:line="360" w:lineRule="exact"/>
              <w:jc w:val="left"/>
              <w:textAlignment w:val="baseline"/>
              <w:rPr>
                <w:rFonts w:ascii="宋体" w:hAnsi="宋体" w:eastAsia="宋体" w:cs="宋体"/>
                <w:color w:val="auto"/>
                <w:kern w:val="0"/>
                <w:sz w:val="22"/>
                <w:szCs w:val="22"/>
                <w:highlight w:val="none"/>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kern w:val="0"/>
                <w:sz w:val="22"/>
                <w:szCs w:val="22"/>
                <w:highlight w:val="none"/>
              </w:rPr>
              <w:t>投标人具备</w:t>
            </w:r>
            <w:r>
              <w:rPr>
                <w:rFonts w:ascii="宋体" w:hAnsi="宋体" w:eastAsia="宋体" w:cs="宋体"/>
                <w:color w:val="auto"/>
                <w:kern w:val="0"/>
                <w:sz w:val="22"/>
                <w:szCs w:val="22"/>
                <w:highlight w:val="none"/>
              </w:rPr>
              <w:t>知识产权管理体系认证证书</w:t>
            </w:r>
            <w:r>
              <w:rPr>
                <w:rFonts w:hint="eastAsia" w:ascii="宋体" w:hAnsi="宋体" w:eastAsia="宋体" w:cs="宋体"/>
                <w:color w:val="auto"/>
                <w:kern w:val="0"/>
                <w:sz w:val="22"/>
                <w:szCs w:val="22"/>
                <w:highlight w:val="none"/>
              </w:rPr>
              <w:t>，得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kern w:val="0"/>
                <w:sz w:val="22"/>
                <w:szCs w:val="22"/>
                <w:highlight w:val="none"/>
              </w:rPr>
              <w:t>投标人提供MOOC平台软件著作权登记证书</w:t>
            </w:r>
            <w:r>
              <w:rPr>
                <w:rFonts w:hint="eastAsia" w:ascii="宋体" w:hAnsi="宋体" w:eastAsia="宋体" w:cs="宋体"/>
                <w:color w:val="auto"/>
                <w:sz w:val="21"/>
                <w:szCs w:val="21"/>
                <w:highlight w:val="none"/>
                <w:lang w:val="en-US" w:eastAsia="zh-CN" w:bidi="ar-SA"/>
              </w:rPr>
              <w:t>得</w:t>
            </w:r>
            <w:r>
              <w:rPr>
                <w:rFonts w:hint="default" w:ascii="宋体" w:hAnsi="宋体" w:eastAsia="宋体" w:cs="宋体"/>
                <w:color w:val="auto"/>
                <w:sz w:val="21"/>
                <w:szCs w:val="21"/>
                <w:highlight w:val="none"/>
                <w:lang w:eastAsia="zh-CN" w:bidi="ar-SA"/>
              </w:rPr>
              <w:t>1</w:t>
            </w:r>
            <w:r>
              <w:rPr>
                <w:rFonts w:hint="eastAsia" w:ascii="宋体" w:hAnsi="宋体" w:eastAsia="宋体" w:cs="宋体"/>
                <w:color w:val="auto"/>
                <w:sz w:val="21"/>
                <w:szCs w:val="21"/>
                <w:highlight w:val="none"/>
                <w:lang w:val="en-US" w:eastAsia="zh-CN" w:bidi="ar-SA"/>
              </w:rPr>
              <w:t>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投标人具有出版物经营许可证得1分；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）投标人具有第三级信息系统安全等级保护备案证明得</w:t>
            </w:r>
            <w:r>
              <w:rPr>
                <w:rFonts w:hint="default" w:ascii="宋体" w:hAnsi="宋体" w:eastAsia="宋体" w:cs="宋体"/>
                <w:color w:val="auto"/>
                <w:sz w:val="21"/>
                <w:szCs w:val="21"/>
                <w:highlight w:val="none"/>
                <w:lang w:eastAsia="zh-CN" w:bidi="ar-SA"/>
              </w:rPr>
              <w:t>1</w:t>
            </w:r>
            <w:r>
              <w:rPr>
                <w:rFonts w:hint="eastAsia" w:ascii="宋体" w:hAnsi="宋体" w:eastAsia="宋体" w:cs="宋体"/>
                <w:color w:val="auto"/>
                <w:sz w:val="21"/>
                <w:szCs w:val="21"/>
                <w:highlight w:val="none"/>
                <w:lang w:val="en-US" w:eastAsia="zh-CN" w:bidi="ar-SA"/>
              </w:rPr>
              <w:t>分。</w:t>
            </w:r>
          </w:p>
          <w:p>
            <w:pPr>
              <w:widowControl/>
              <w:autoSpaceDE w:val="0"/>
              <w:autoSpaceDN w:val="0"/>
              <w:adjustRightInd w:val="0"/>
              <w:snapToGrid w:val="0"/>
              <w:spacing w:line="360" w:lineRule="exact"/>
              <w:textAlignment w:val="baseline"/>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提供以上证明材料的复印件或扫描件并加盖公章，未按要求提供或提供不清晰或专家无法判断的均不得分；</w:t>
            </w:r>
            <w:r>
              <w:rPr>
                <w:rFonts w:hint="eastAsia" w:ascii="宋体" w:hAnsi="宋体" w:eastAsia="宋体" w:cs="宋体"/>
                <w:b/>
                <w:bCs/>
                <w:color w:val="auto"/>
                <w:spacing w:val="0"/>
                <w:kern w:val="0"/>
                <w:sz w:val="21"/>
                <w:szCs w:val="21"/>
                <w:highlight w:val="none"/>
                <w:lang w:val="en-US" w:eastAsia="zh-CN" w:bidi="ar-SA"/>
              </w:rPr>
              <w:t>以上证明材料共计</w:t>
            </w:r>
            <w:r>
              <w:rPr>
                <w:rFonts w:hint="eastAsia" w:ascii="宋体" w:hAnsi="宋体" w:cs="宋体"/>
                <w:b/>
                <w:bCs/>
                <w:color w:val="auto"/>
                <w:spacing w:val="0"/>
                <w:kern w:val="0"/>
                <w:sz w:val="21"/>
                <w:szCs w:val="21"/>
                <w:highlight w:val="none"/>
                <w:lang w:val="en-US" w:eastAsia="zh-CN" w:bidi="ar-SA"/>
              </w:rPr>
              <w:t>5</w:t>
            </w:r>
            <w:r>
              <w:rPr>
                <w:rFonts w:hint="eastAsia" w:ascii="宋体" w:hAnsi="宋体" w:eastAsia="宋体" w:cs="宋体"/>
                <w:b/>
                <w:bCs/>
                <w:color w:val="auto"/>
                <w:spacing w:val="0"/>
                <w:kern w:val="0"/>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课程案例</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15</w:t>
            </w:r>
          </w:p>
        </w:tc>
        <w:tc>
          <w:tcPr>
            <w:tcW w:w="6867" w:type="dxa"/>
            <w:noWrap w:val="0"/>
            <w:vAlign w:val="center"/>
          </w:tcPr>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投标人需提供在国家级精品在线开放课程的认定课程</w:t>
            </w:r>
            <w:r>
              <w:rPr>
                <w:rFonts w:hint="eastAsia" w:ascii="宋体" w:hAnsi="宋体" w:cs="宋体"/>
                <w:color w:val="auto"/>
                <w:kern w:val="0"/>
                <w:sz w:val="21"/>
                <w:szCs w:val="21"/>
                <w:highlight w:val="none"/>
                <w:lang w:eastAsia="zh-CN"/>
              </w:rPr>
              <w:t>案例</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所拍摄制作的课程认定为</w:t>
            </w:r>
            <w:r>
              <w:rPr>
                <w:rFonts w:hint="eastAsia" w:ascii="宋体" w:hAnsi="宋体" w:eastAsia="宋体" w:cs="宋体"/>
                <w:color w:val="auto"/>
                <w:kern w:val="0"/>
                <w:sz w:val="21"/>
                <w:szCs w:val="21"/>
                <w:highlight w:val="none"/>
              </w:rPr>
              <w:t>国家级精品在线开放课程</w:t>
            </w:r>
            <w:r>
              <w:rPr>
                <w:rFonts w:hint="eastAsia" w:ascii="宋体" w:hAnsi="宋体" w:eastAsia="宋体" w:cs="宋体"/>
                <w:color w:val="auto"/>
                <w:kern w:val="0"/>
                <w:sz w:val="21"/>
                <w:szCs w:val="21"/>
                <w:highlight w:val="none"/>
                <w:lang w:val="en-US" w:eastAsia="zh-CN"/>
              </w:rPr>
              <w:t>的，每提供一个案例得0.3分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最高得15分</w:t>
            </w:r>
            <w:r>
              <w:rPr>
                <w:rFonts w:hint="eastAsia" w:ascii="宋体" w:hAnsi="宋体" w:eastAsia="宋体" w:cs="宋体"/>
                <w:color w:val="auto"/>
                <w:kern w:val="0"/>
                <w:sz w:val="21"/>
                <w:szCs w:val="21"/>
                <w:highlight w:val="none"/>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eastAsia="zh-CN"/>
              </w:rPr>
              <w:t>提供合同扫描件或复印件并加盖公章，不提供不得分。</w:t>
            </w:r>
            <w:r>
              <w:rPr>
                <w:rFonts w:hint="eastAsia" w:ascii="宋体" w:hAnsi="宋体" w:cs="宋体"/>
                <w:b/>
                <w:bCs/>
                <w:color w:val="auto"/>
                <w:kern w:val="0"/>
                <w:sz w:val="21"/>
                <w:szCs w:val="21"/>
                <w:highlight w:val="none"/>
                <w:lang w:eastAsia="zh-CN"/>
              </w:rPr>
              <w:t>）</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注：案例</w:t>
            </w:r>
            <w:r>
              <w:rPr>
                <w:rFonts w:hint="eastAsia"/>
                <w:color w:val="auto"/>
                <w:highlight w:val="none"/>
                <w:lang w:val="en-US" w:eastAsia="zh-CN"/>
              </w:rPr>
              <w:t>（</w:t>
            </w:r>
            <w:r>
              <w:rPr>
                <w:rFonts w:hint="eastAsia"/>
                <w:b/>
                <w:bCs/>
                <w:color w:val="auto"/>
                <w:highlight w:val="none"/>
                <w:lang w:val="en-US" w:eastAsia="zh-CN"/>
              </w:rPr>
              <w:t>每个</w:t>
            </w:r>
            <w:r>
              <w:rPr>
                <w:rFonts w:hint="eastAsia" w:ascii="宋体" w:hAnsi="宋体" w:cs="宋体"/>
                <w:b/>
                <w:bCs/>
                <w:color w:val="auto"/>
                <w:sz w:val="21"/>
                <w:szCs w:val="21"/>
                <w:highlight w:val="none"/>
                <w:lang w:val="en-US" w:eastAsia="zh-CN" w:bidi="ar-SA"/>
              </w:rPr>
              <w:t>案例指每一门课程，如果一份合同里面有两门课程都为国课课程，那就算是2个案例</w:t>
            </w:r>
            <w:r>
              <w:rPr>
                <w:rFonts w:hint="eastAsia" w:ascii="宋体" w:hAnsi="宋体" w:cs="宋体"/>
                <w:b/>
                <w:bCs/>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bidi="ar-SA"/>
              </w:rPr>
              <w:t>中的合同须与相关用户单位直接签订，非第三方分包或转包合同。提供虚假资料的按无效投标处理。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3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46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867" w:type="dxa"/>
            <w:noWrap w:val="0"/>
            <w:vAlign w:val="top"/>
          </w:tcPr>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根据投标人提出的售后服务及课程运行方案评分。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1）内容进行了详细阐述且完全满足采购需求的，得5分；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2）内容虽然进行了阐述但并未完全贴合项目需求理解情况，或理解的内容未包括细节或措施，得3分； </w:t>
            </w:r>
          </w:p>
          <w:p>
            <w:pPr>
              <w:widowControl/>
              <w:adjustRightInd w:val="0"/>
              <w:snapToGrid w:val="0"/>
              <w:spacing w:line="36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3）内容未进行阐述或阐述内容无法满足项目需求的，得0分。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widowControl w:val="0"/>
              <w:spacing w:line="288" w:lineRule="auto"/>
              <w:ind w:firstLine="0"/>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SA"/>
              </w:rPr>
              <w:t>技术分（</w:t>
            </w:r>
            <w:r>
              <w:rPr>
                <w:rFonts w:hint="eastAsia" w:ascii="宋体" w:hAnsi="宋体" w:cs="宋体"/>
                <w:b/>
                <w:color w:val="auto"/>
                <w:spacing w:val="-6"/>
                <w:kern w:val="2"/>
                <w:sz w:val="21"/>
                <w:szCs w:val="21"/>
                <w:highlight w:val="none"/>
                <w:lang w:val="en-US" w:eastAsia="zh-CN" w:bidi="ar-SA"/>
              </w:rPr>
              <w:t>65</w:t>
            </w:r>
            <w:r>
              <w:rPr>
                <w:rFonts w:hint="eastAsia" w:ascii="宋体" w:hAnsi="宋体" w:eastAsia="宋体" w:cs="宋体"/>
                <w:b/>
                <w:color w:val="auto"/>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知识产权</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lang w:val="en-US" w:eastAsia="zh-CN"/>
              </w:rPr>
              <w:t>4</w:t>
            </w:r>
          </w:p>
        </w:tc>
        <w:tc>
          <w:tcPr>
            <w:tcW w:w="6867" w:type="dxa"/>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cs="宋体"/>
                <w:color w:val="auto"/>
                <w:sz w:val="21"/>
                <w:szCs w:val="21"/>
                <w:highlight w:val="none"/>
                <w:lang w:val="en-US" w:eastAsia="zh-Hans"/>
              </w:rPr>
              <w:t>建设过程</w:t>
            </w:r>
            <w:r>
              <w:rPr>
                <w:rFonts w:hint="eastAsia" w:ascii="宋体" w:hAnsi="宋体" w:eastAsia="宋体" w:cs="宋体"/>
                <w:color w:val="auto"/>
                <w:sz w:val="21"/>
                <w:szCs w:val="21"/>
                <w:highlight w:val="none"/>
              </w:rPr>
              <w:t>中所引用的教参图书必须解决版权问题，须至少提供</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份电子出版社授权协议或出版社授权单位的信息网络传播权转让协议，满足得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分，每少一份扣0.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分，分数扣完为止。</w:t>
            </w:r>
          </w:p>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eastAsia="宋体" w:cs="宋体"/>
                <w:color w:val="auto"/>
                <w:sz w:val="21"/>
                <w:szCs w:val="21"/>
                <w:highlight w:val="none"/>
                <w:lang w:val="en-US" w:eastAsia="zh-Hans"/>
              </w:rPr>
              <w:t>建设过程</w:t>
            </w:r>
            <w:r>
              <w:rPr>
                <w:rFonts w:hint="eastAsia" w:ascii="宋体" w:hAnsi="宋体" w:eastAsia="宋体" w:cs="宋体"/>
                <w:color w:val="auto"/>
                <w:sz w:val="21"/>
                <w:szCs w:val="21"/>
                <w:highlight w:val="none"/>
              </w:rPr>
              <w:t>中所引用的学术期刊资源必须解决版权问题，须至少提供</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0份</w:t>
            </w:r>
            <w:r>
              <w:rPr>
                <w:rFonts w:hint="eastAsia" w:ascii="宋体" w:hAnsi="宋体" w:eastAsia="宋体" w:cs="宋体"/>
                <w:color w:val="auto"/>
                <w:sz w:val="21"/>
                <w:szCs w:val="21"/>
                <w:highlight w:val="none"/>
              </w:rPr>
              <w:t>电子期刊版权授权协议，满足得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每少一份扣</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，分数扣完为止。</w:t>
            </w:r>
          </w:p>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cs="宋体"/>
                <w:color w:val="auto"/>
                <w:sz w:val="21"/>
                <w:szCs w:val="21"/>
                <w:highlight w:val="none"/>
                <w:lang w:val="en-US" w:eastAsia="zh-Hans"/>
              </w:rPr>
              <w:t>建设过程中</w:t>
            </w:r>
            <w:r>
              <w:rPr>
                <w:rFonts w:hint="eastAsia" w:ascii="宋体" w:hAnsi="宋体" w:eastAsia="宋体" w:cs="宋体"/>
                <w:color w:val="auto"/>
                <w:sz w:val="21"/>
                <w:szCs w:val="21"/>
                <w:highlight w:val="none"/>
              </w:rPr>
              <w:t>所引用的教育视频资源必须解决版权问题，并能提供相关主讲人身份证明，须至少提供</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0份课程版权授权协议，满足得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，每少一份扣</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，分数扣完为止。</w:t>
            </w:r>
          </w:p>
          <w:p>
            <w:pPr>
              <w:widowControl/>
              <w:adjustRightInd w:val="0"/>
              <w:snapToGrid w:val="0"/>
              <w:spacing w:line="240" w:lineRule="auto"/>
              <w:jc w:val="left"/>
              <w:textAlignment w:val="baseline"/>
              <w:rPr>
                <w:rFonts w:hint="eastAsia" w:ascii="宋体" w:hAnsi="宋体" w:eastAsia="宋体" w:cs="宋体"/>
                <w:color w:val="auto"/>
                <w:kern w:val="0"/>
                <w:sz w:val="21"/>
                <w:szCs w:val="21"/>
                <w:highlight w:val="none"/>
              </w:rPr>
            </w:pPr>
            <w:r>
              <w:rPr>
                <w:rFonts w:hint="eastAsia" w:ascii="宋体" w:hAnsi="宋体" w:cs="宋体"/>
                <w:b/>
                <w:bCs/>
                <w:color w:val="auto"/>
                <w:sz w:val="21"/>
                <w:szCs w:val="21"/>
                <w:highlight w:val="none"/>
                <w:lang w:eastAsia="zh-CN"/>
              </w:rPr>
              <w:t>提供以上相关协议扫描件或复印件并加盖公章，不提供不得分</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相关授权协议应与不同单位或主讲人签订，与同一单位或主讲人签订的，认定为一份有效协议。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lang w:eastAsia="zh-Hans"/>
              </w:rPr>
            </w:pPr>
            <w:r>
              <w:rPr>
                <w:rFonts w:hint="eastAsia" w:ascii="宋体" w:hAnsi="宋体" w:eastAsia="宋体" w:cs="宋体"/>
                <w:color w:val="auto"/>
                <w:spacing w:val="-6"/>
                <w:sz w:val="21"/>
                <w:szCs w:val="21"/>
                <w:highlight w:val="none"/>
                <w:lang w:val="en-US" w:eastAsia="zh-CN"/>
              </w:rPr>
              <w:t>课程</w:t>
            </w:r>
            <w:r>
              <w:rPr>
                <w:rFonts w:hint="eastAsia" w:ascii="宋体" w:hAnsi="宋体" w:eastAsia="宋体" w:cs="宋体"/>
                <w:color w:val="auto"/>
                <w:spacing w:val="-6"/>
                <w:sz w:val="21"/>
                <w:szCs w:val="21"/>
                <w:highlight w:val="none"/>
                <w:lang w:eastAsia="zh-Hans"/>
              </w:rPr>
              <w:t>运行能力</w:t>
            </w:r>
          </w:p>
        </w:tc>
        <w:tc>
          <w:tcPr>
            <w:tcW w:w="460" w:type="dxa"/>
            <w:noWrap w:val="0"/>
            <w:vAlign w:val="center"/>
          </w:tcPr>
          <w:p>
            <w:pPr>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6867" w:type="dxa"/>
            <w:noWrap w:val="0"/>
            <w:vAlign w:val="top"/>
          </w:tcPr>
          <w:p>
            <w:pPr>
              <w:pStyle w:val="33"/>
              <w:numPr>
                <w:ilvl w:val="0"/>
                <w:numId w:val="0"/>
              </w:numPr>
              <w:rPr>
                <w:rFonts w:hint="eastAsia" w:ascii="宋体" w:hAnsi="宋体" w:eastAsia="宋体" w:cs="宋体"/>
                <w:color w:val="auto"/>
                <w:kern w:val="0"/>
                <w:sz w:val="22"/>
                <w:szCs w:val="22"/>
                <w:highlight w:val="none"/>
                <w:lang w:val="en-US" w:eastAsia="zh-CN"/>
              </w:rPr>
            </w:pPr>
            <w:r>
              <w:rPr>
                <w:rFonts w:hint="eastAsia"/>
                <w:color w:val="auto"/>
                <w:highlight w:val="none"/>
                <w:lang w:val="en-US" w:eastAsia="zh-CN"/>
              </w:rPr>
              <w:t>1）投标人应具有国家级一流本科线上课程（含2017年、2018年国家精品在线开放课程）官方认证的申报平台。证明材料包括：带有平台标识的国家级一流本科线上课程证书、课程平台与供方关系的证明文件（供方对平台拥有自主知识产权或者子公司性质），满足得5分。</w:t>
            </w:r>
          </w:p>
          <w:p>
            <w:pPr>
              <w:pStyle w:val="33"/>
              <w:numPr>
                <w:ilvl w:val="0"/>
                <w:numId w:val="0"/>
              </w:numP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2021年依托</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自有平台，</w:t>
            </w:r>
            <w:r>
              <w:rPr>
                <w:rFonts w:hint="eastAsia" w:ascii="宋体" w:hAnsi="宋体" w:cs="宋体"/>
                <w:color w:val="auto"/>
                <w:kern w:val="0"/>
                <w:sz w:val="22"/>
                <w:szCs w:val="22"/>
                <w:highlight w:val="none"/>
                <w:lang w:eastAsia="zh-CN"/>
              </w:rPr>
              <w:t>浙江省</w:t>
            </w:r>
            <w:r>
              <w:rPr>
                <w:rFonts w:hint="eastAsia" w:ascii="宋体" w:hAnsi="宋体" w:eastAsia="宋体" w:cs="宋体"/>
                <w:color w:val="auto"/>
                <w:kern w:val="0"/>
                <w:sz w:val="22"/>
                <w:szCs w:val="22"/>
                <w:highlight w:val="none"/>
              </w:rPr>
              <w:t>拟推荐第二批国家级一流本科课程名单的公示中的线上一流课程，</w:t>
            </w:r>
            <w:r>
              <w:rPr>
                <w:rFonts w:hint="eastAsia" w:ascii="宋体" w:hAnsi="宋体" w:cs="宋体"/>
                <w:color w:val="auto"/>
                <w:kern w:val="0"/>
                <w:sz w:val="22"/>
                <w:szCs w:val="22"/>
                <w:highlight w:val="none"/>
                <w:lang w:eastAsia="zh-CN"/>
              </w:rPr>
              <w:t>有得</w:t>
            </w:r>
            <w:r>
              <w:rPr>
                <w:rFonts w:hint="eastAsia" w:ascii="宋体" w:hAnsi="宋体" w:cs="宋体"/>
                <w:color w:val="auto"/>
                <w:kern w:val="0"/>
                <w:sz w:val="22"/>
                <w:szCs w:val="22"/>
                <w:highlight w:val="none"/>
                <w:lang w:val="en-US" w:eastAsia="zh-CN"/>
              </w:rPr>
              <w:t>3分，无不得分</w:t>
            </w:r>
            <w:r>
              <w:rPr>
                <w:rFonts w:hint="eastAsia" w:ascii="宋体" w:hAnsi="宋体" w:eastAsia="宋体" w:cs="宋体"/>
                <w:color w:val="auto"/>
                <w:kern w:val="0"/>
                <w:sz w:val="22"/>
                <w:szCs w:val="22"/>
                <w:highlight w:val="none"/>
              </w:rPr>
              <w:t>。</w:t>
            </w:r>
          </w:p>
          <w:p>
            <w:pPr>
              <w:pStyle w:val="33"/>
              <w:numPr>
                <w:ilvl w:val="0"/>
                <w:numId w:val="0"/>
              </w:numPr>
              <w:rPr>
                <w:rFonts w:hint="eastAsia" w:eastAsia="宋体" w:cs="Times New Roman"/>
                <w:color w:val="auto"/>
                <w:highlight w:val="none"/>
                <w:lang w:val="en-US" w:eastAsia="zh-CN"/>
              </w:rPr>
            </w:pPr>
            <w:r>
              <w:rPr>
                <w:rFonts w:hint="eastAsia"/>
                <w:color w:val="auto"/>
                <w:highlight w:val="none"/>
                <w:lang w:val="en-US" w:eastAsia="zh-CN"/>
              </w:rPr>
              <w:t>3）</w:t>
            </w:r>
            <w:r>
              <w:rPr>
                <w:rFonts w:hint="eastAsia"/>
                <w:color w:val="auto"/>
                <w:highlight w:val="none"/>
              </w:rPr>
              <w:t>依托投标人自有平台运行申报并获得国家级线上一流课程（含2017年、2018年国家级精品在线开放课程）认定的数量情况进行打分</w:t>
            </w:r>
            <w:r>
              <w:rPr>
                <w:rFonts w:hint="eastAsia"/>
                <w:color w:val="auto"/>
                <w:highlight w:val="none"/>
                <w:lang w:eastAsia="zh-CN"/>
              </w:rPr>
              <w:t>，</w:t>
            </w:r>
            <w:r>
              <w:rPr>
                <w:rFonts w:hint="eastAsia"/>
                <w:color w:val="auto"/>
                <w:highlight w:val="none"/>
                <w:lang w:val="en-US" w:eastAsia="zh-CN"/>
              </w:rPr>
              <w:t>每提供一个案例得0.5，最多得15分</w:t>
            </w:r>
            <w:r>
              <w:rPr>
                <w:rFonts w:hint="eastAsia"/>
                <w:color w:val="auto"/>
                <w:highlight w:val="none"/>
                <w:lang w:val="en-US" w:eastAsia="zh-CN"/>
              </w:rPr>
              <w:t>（注：每个</w:t>
            </w:r>
            <w:r>
              <w:rPr>
                <w:rFonts w:hint="eastAsia" w:ascii="宋体" w:hAnsi="宋体" w:cs="宋体"/>
                <w:color w:val="auto"/>
                <w:sz w:val="21"/>
                <w:szCs w:val="21"/>
                <w:highlight w:val="none"/>
                <w:lang w:val="en-US" w:eastAsia="zh-CN" w:bidi="ar-SA"/>
              </w:rPr>
              <w:t>案例指每一门课程，指通过投标人平台运行成功的国课课程</w:t>
            </w:r>
            <w:r>
              <w:rPr>
                <w:rFonts w:hint="eastAsia"/>
                <w:color w:val="auto"/>
                <w:highlight w:val="none"/>
                <w:lang w:val="en-US" w:eastAsia="zh-CN"/>
              </w:rPr>
              <w:t>）</w:t>
            </w:r>
            <w:r>
              <w:rPr>
                <w:rFonts w:hint="eastAsia"/>
                <w:color w:val="auto"/>
                <w:highlight w:val="none"/>
                <w:lang w:val="en-US" w:eastAsia="zh-CN"/>
              </w:rPr>
              <w:t>。</w:t>
            </w:r>
            <w:r>
              <w:rPr>
                <w:rFonts w:hint="eastAsia"/>
                <w:color w:val="auto"/>
                <w:highlight w:val="none"/>
              </w:rPr>
              <w:t>投标文件中提供教育部官网带有平</w:t>
            </w:r>
            <w:r>
              <w:rPr>
                <w:rFonts w:hint="eastAsia" w:eastAsia="宋体" w:cs="Times New Roman"/>
                <w:color w:val="auto"/>
                <w:highlight w:val="none"/>
                <w:lang w:val="en-US" w:eastAsia="zh-CN"/>
              </w:rPr>
              <w:t>台名称的截图证明，未提供不得分。</w:t>
            </w:r>
          </w:p>
          <w:p>
            <w:pPr>
              <w:widowControl/>
              <w:adjustRightInd w:val="0"/>
              <w:snapToGrid w:val="0"/>
              <w:spacing w:line="360" w:lineRule="exact"/>
              <w:jc w:val="both"/>
              <w:textAlignment w:val="baseline"/>
              <w:rPr>
                <w:rFonts w:hint="eastAsia" w:eastAsia="宋体" w:cs="Times New Roman"/>
                <w:color w:val="auto"/>
                <w:highlight w:val="none"/>
                <w:lang w:val="en-US" w:eastAsia="zh-CN"/>
              </w:rPr>
            </w:pP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cs="Times New Roman"/>
                <w:color w:val="auto"/>
                <w:highlight w:val="none"/>
                <w:lang w:val="en-US" w:eastAsia="zh-CN"/>
              </w:rPr>
              <w:t>投标人</w:t>
            </w:r>
            <w:r>
              <w:rPr>
                <w:rFonts w:hint="eastAsia"/>
                <w:color w:val="auto"/>
                <w:highlight w:val="none"/>
                <w:lang w:val="en-US" w:eastAsia="zh-Hans"/>
              </w:rPr>
              <w:t>拥有混合式课程运营能力</w:t>
            </w:r>
            <w:r>
              <w:rPr>
                <w:rFonts w:hint="eastAsia"/>
                <w:color w:val="auto"/>
                <w:highlight w:val="none"/>
                <w:lang w:val="en-US" w:eastAsia="zh-CN"/>
              </w:rPr>
              <w:t>，</w:t>
            </w:r>
            <w:r>
              <w:rPr>
                <w:rFonts w:hint="default"/>
                <w:color w:val="auto"/>
                <w:highlight w:val="none"/>
                <w:lang w:eastAsia="zh-Hans"/>
              </w:rPr>
              <w:t>依据新形态教材出版相关要求，</w:t>
            </w:r>
            <w:r>
              <w:rPr>
                <w:rFonts w:hint="eastAsia" w:eastAsia="宋体" w:cs="Times New Roman"/>
                <w:color w:val="auto"/>
                <w:highlight w:val="none"/>
                <w:lang w:val="en-US" w:eastAsia="zh-Hans"/>
              </w:rPr>
              <w:t>提供</w:t>
            </w:r>
            <w:r>
              <w:rPr>
                <w:rFonts w:hint="eastAsia" w:cs="Times New Roman"/>
                <w:color w:val="auto"/>
                <w:highlight w:val="none"/>
                <w:lang w:val="en-US" w:eastAsia="zh-CN"/>
              </w:rPr>
              <w:t>与985高校</w:t>
            </w:r>
            <w:r>
              <w:rPr>
                <w:rFonts w:hint="eastAsia" w:eastAsia="宋体" w:cs="Times New Roman"/>
                <w:color w:val="auto"/>
                <w:highlight w:val="none"/>
                <w:lang w:val="en-US" w:eastAsia="zh-CN"/>
              </w:rPr>
              <w:t>出</w:t>
            </w:r>
            <w:r>
              <w:rPr>
                <w:rFonts w:hint="eastAsia" w:eastAsia="宋体" w:cs="Times New Roman"/>
                <w:color w:val="auto"/>
                <w:highlight w:val="none"/>
                <w:lang w:val="en-US" w:eastAsia="zh-CN"/>
              </w:rPr>
              <w:t>版社合作经验，每提供一个合作案例得1分，最高得</w:t>
            </w:r>
            <w:r>
              <w:rPr>
                <w:rFonts w:hint="eastAsia" w:cs="Times New Roman"/>
                <w:color w:val="auto"/>
                <w:highlight w:val="none"/>
                <w:lang w:val="en-US" w:eastAsia="zh-CN"/>
              </w:rPr>
              <w:t>2</w:t>
            </w:r>
            <w:r>
              <w:rPr>
                <w:rFonts w:hint="eastAsia" w:eastAsia="宋体" w:cs="Times New Roman"/>
                <w:color w:val="auto"/>
                <w:highlight w:val="none"/>
                <w:lang w:val="en-US" w:eastAsia="zh-CN"/>
              </w:rPr>
              <w:t>分。（相关合同案例须与出版社直接签订，非第三方授权协议）</w:t>
            </w:r>
          </w:p>
          <w:p>
            <w:pPr>
              <w:pStyle w:val="33"/>
              <w:ind w:left="0" w:leftChars="0" w:firstLine="0" w:firstLineChars="0"/>
              <w:rPr>
                <w:rFonts w:hint="default"/>
                <w:color w:val="auto"/>
                <w:highlight w:val="none"/>
                <w:lang w:val="en-US" w:eastAsia="zh-CN"/>
              </w:rPr>
            </w:pPr>
            <w:r>
              <w:rPr>
                <w:rFonts w:hint="eastAsia" w:cs="Times New Roman"/>
                <w:color w:val="auto"/>
                <w:highlight w:val="none"/>
                <w:lang w:val="en-US" w:eastAsia="zh-CN"/>
              </w:rPr>
              <w:t>5</w:t>
            </w:r>
            <w:r>
              <w:rPr>
                <w:rFonts w:hint="eastAsia" w:eastAsia="宋体" w:cs="Times New Roman"/>
                <w:color w:val="auto"/>
                <w:highlight w:val="none"/>
                <w:lang w:val="en-US" w:eastAsia="zh-CN"/>
              </w:rPr>
              <w:t>）</w:t>
            </w:r>
            <w:r>
              <w:rPr>
                <w:rFonts w:hint="eastAsia" w:cs="Times New Roman"/>
                <w:color w:val="auto"/>
                <w:highlight w:val="none"/>
                <w:lang w:val="en-US" w:eastAsia="zh-CN"/>
              </w:rPr>
              <w:t>投标人</w:t>
            </w:r>
            <w:r>
              <w:rPr>
                <w:rFonts w:hint="eastAsia" w:eastAsia="宋体" w:cs="Times New Roman"/>
                <w:color w:val="auto"/>
                <w:highlight w:val="none"/>
                <w:lang w:val="en-US" w:eastAsia="zh-CN"/>
              </w:rPr>
              <w:t>能承诺课程在平台运行每轮达到的选课人数。专业课</w:t>
            </w:r>
            <w:r>
              <w:rPr>
                <w:rFonts w:hint="eastAsia" w:cs="Times New Roman"/>
                <w:color w:val="auto"/>
                <w:highlight w:val="none"/>
                <w:lang w:val="en-US" w:eastAsia="zh-CN"/>
              </w:rPr>
              <w:t>2</w:t>
            </w:r>
            <w:r>
              <w:rPr>
                <w:rFonts w:hint="eastAsia" w:eastAsia="宋体" w:cs="Times New Roman"/>
                <w:color w:val="auto"/>
                <w:highlight w:val="none"/>
                <w:lang w:val="en-US" w:eastAsia="zh-CN"/>
              </w:rPr>
              <w:t>000人次、通识课</w:t>
            </w:r>
            <w:r>
              <w:rPr>
                <w:rFonts w:hint="eastAsia" w:cs="Times New Roman"/>
                <w:color w:val="auto"/>
                <w:highlight w:val="none"/>
                <w:lang w:val="en-US" w:eastAsia="zh-CN"/>
              </w:rPr>
              <w:t>4</w:t>
            </w:r>
            <w:r>
              <w:rPr>
                <w:rFonts w:hint="eastAsia" w:eastAsia="宋体" w:cs="Times New Roman"/>
                <w:color w:val="auto"/>
                <w:highlight w:val="none"/>
                <w:lang w:val="en-US" w:eastAsia="zh-CN"/>
              </w:rPr>
              <w:t>000人次得2分；超过50%得3分；其它不得分。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rPr>
                <w:rFonts w:hint="eastAsia" w:ascii="宋体" w:hAnsi="宋体" w:eastAsia="宋体" w:cs="宋体"/>
                <w:bCs/>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rPr>
              <w:t>场地与设备</w:t>
            </w:r>
          </w:p>
        </w:tc>
        <w:tc>
          <w:tcPr>
            <w:tcW w:w="460" w:type="dxa"/>
            <w:noWrap w:val="0"/>
            <w:vAlign w:val="center"/>
          </w:tcPr>
          <w:p>
            <w:pPr>
              <w:jc w:val="center"/>
              <w:rPr>
                <w:rFonts w:hint="eastAsia" w:ascii="宋体" w:hAnsi="宋体" w:eastAsia="宋体" w:cs="宋体"/>
                <w:bCs/>
                <w:color w:val="auto"/>
                <w:spacing w:val="-6"/>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686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本地</w:t>
            </w:r>
            <w:r>
              <w:rPr>
                <w:rFonts w:hint="eastAsia" w:ascii="宋体" w:hAnsi="宋体" w:eastAsia="宋体" w:cs="宋体"/>
                <w:color w:val="auto"/>
                <w:sz w:val="21"/>
                <w:szCs w:val="21"/>
                <w:highlight w:val="none"/>
              </w:rPr>
              <w:t>有拍摄制作场地</w:t>
            </w:r>
            <w:r>
              <w:rPr>
                <w:rFonts w:hint="eastAsia" w:ascii="宋体" w:hAnsi="宋体" w:eastAsia="宋体" w:cs="宋体"/>
                <w:color w:val="auto"/>
                <w:sz w:val="21"/>
                <w:szCs w:val="21"/>
                <w:highlight w:val="none"/>
                <w:lang w:eastAsia="zh-CN"/>
              </w:rPr>
              <w:t>或承诺中标后在</w:t>
            </w:r>
            <w:r>
              <w:rPr>
                <w:rFonts w:hint="eastAsia" w:ascii="宋体" w:hAnsi="宋体" w:cs="宋体"/>
                <w:color w:val="auto"/>
                <w:sz w:val="21"/>
                <w:szCs w:val="21"/>
                <w:highlight w:val="none"/>
                <w:lang w:val="en-US" w:eastAsia="zh-CN"/>
              </w:rPr>
              <w:t>本地</w:t>
            </w:r>
            <w:r>
              <w:rPr>
                <w:rFonts w:hint="eastAsia" w:ascii="宋体" w:hAnsi="宋体" w:eastAsia="宋体" w:cs="宋体"/>
                <w:color w:val="auto"/>
                <w:sz w:val="21"/>
                <w:szCs w:val="21"/>
                <w:highlight w:val="none"/>
                <w:lang w:eastAsia="zh-CN"/>
              </w:rPr>
              <w:t>设立</w:t>
            </w:r>
            <w:r>
              <w:rPr>
                <w:rFonts w:hint="eastAsia" w:ascii="宋体" w:hAnsi="宋体" w:eastAsia="宋体" w:cs="宋体"/>
                <w:color w:val="auto"/>
                <w:sz w:val="21"/>
                <w:szCs w:val="21"/>
                <w:highlight w:val="none"/>
              </w:rPr>
              <w:t>拍摄制作场地且设备配置齐全的</w:t>
            </w:r>
            <w:r>
              <w:rPr>
                <w:rFonts w:hint="eastAsia" w:ascii="宋体" w:hAnsi="宋体" w:eastAsia="宋体" w:cs="宋体"/>
                <w:color w:val="auto"/>
                <w:sz w:val="21"/>
                <w:szCs w:val="21"/>
                <w:highlight w:val="none"/>
                <w:lang w:val="en-US" w:eastAsia="zh-CN"/>
              </w:rPr>
              <w:t>并承诺指派相关技术人员进驻学校拍摄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浙江省内有场地或</w:t>
            </w:r>
            <w:r>
              <w:rPr>
                <w:rFonts w:hint="eastAsia" w:ascii="宋体" w:hAnsi="宋体" w:eastAsia="宋体" w:cs="宋体"/>
                <w:color w:val="auto"/>
                <w:sz w:val="21"/>
                <w:szCs w:val="21"/>
                <w:highlight w:val="none"/>
                <w:lang w:eastAsia="zh-CN"/>
              </w:rPr>
              <w:t>承诺中标后在浙江省内设立</w:t>
            </w:r>
            <w:r>
              <w:rPr>
                <w:rFonts w:hint="eastAsia" w:ascii="宋体" w:hAnsi="宋体" w:eastAsia="宋体" w:cs="宋体"/>
                <w:color w:val="auto"/>
                <w:sz w:val="21"/>
                <w:szCs w:val="21"/>
                <w:highlight w:val="none"/>
              </w:rPr>
              <w:t>拍摄制作场地且设备相对齐全的</w:t>
            </w:r>
            <w:r>
              <w:rPr>
                <w:rFonts w:hint="eastAsia" w:ascii="宋体" w:hAnsi="宋体" w:eastAsia="宋体" w:cs="宋体"/>
                <w:color w:val="auto"/>
                <w:sz w:val="21"/>
                <w:szCs w:val="21"/>
                <w:highlight w:val="none"/>
                <w:lang w:val="en-US" w:eastAsia="zh-CN"/>
              </w:rPr>
              <w:t>并承诺指派相关技术人员进驻学校拍摄得1分；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无场地</w:t>
            </w:r>
            <w:r>
              <w:rPr>
                <w:rFonts w:hint="eastAsia" w:ascii="宋体" w:hAnsi="宋体" w:eastAsia="宋体" w:cs="宋体"/>
                <w:color w:val="auto"/>
                <w:sz w:val="21"/>
                <w:szCs w:val="21"/>
                <w:highlight w:val="none"/>
                <w:lang w:val="en-US" w:eastAsia="zh-CN"/>
              </w:rPr>
              <w:t>或承诺</w:t>
            </w:r>
            <w:r>
              <w:rPr>
                <w:rFonts w:hint="eastAsia" w:ascii="宋体" w:hAnsi="宋体" w:eastAsia="宋体" w:cs="宋体"/>
                <w:color w:val="auto"/>
                <w:sz w:val="21"/>
                <w:szCs w:val="21"/>
                <w:highlight w:val="none"/>
              </w:rPr>
              <w:t>不得分。</w:t>
            </w:r>
          </w:p>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须提供场地证明材料</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承诺函</w:t>
            </w:r>
            <w:r>
              <w:rPr>
                <w:rFonts w:hint="eastAsia" w:ascii="宋体" w:hAnsi="宋体" w:cs="宋体"/>
                <w:color w:val="auto"/>
                <w:sz w:val="21"/>
                <w:szCs w:val="21"/>
                <w:highlight w:val="none"/>
                <w:lang w:eastAsia="zh-CN"/>
              </w:rPr>
              <w:t>并加盖公章</w:t>
            </w:r>
            <w:r>
              <w:rPr>
                <w:rFonts w:hint="eastAsia" w:ascii="宋体" w:hAnsi="宋体" w:eastAsia="宋体" w:cs="宋体"/>
                <w:color w:val="auto"/>
                <w:sz w:val="21"/>
                <w:szCs w:val="21"/>
                <w:highlight w:val="none"/>
              </w:rPr>
              <w:t>，第三方授权服务场地不得分。中标公示期间，采购人有权去勘测应标人提供的场地，提供虚假场地和设备证明，可取消中标资格</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视频</w:t>
            </w:r>
            <w:r>
              <w:rPr>
                <w:rFonts w:hint="eastAsia" w:ascii="宋体" w:hAnsi="宋体" w:eastAsia="宋体" w:cs="宋体"/>
                <w:color w:val="auto"/>
                <w:spacing w:val="-6"/>
                <w:sz w:val="21"/>
                <w:szCs w:val="21"/>
                <w:highlight w:val="none"/>
              </w:rPr>
              <w:t>演示</w:t>
            </w:r>
          </w:p>
        </w:tc>
        <w:tc>
          <w:tcPr>
            <w:tcW w:w="460" w:type="dxa"/>
            <w:noWrap w:val="0"/>
            <w:vAlign w:val="center"/>
          </w:tcPr>
          <w:p>
            <w:pPr>
              <w:spacing w:line="288" w:lineRule="auto"/>
              <w:jc w:val="center"/>
              <w:rPr>
                <w:rFonts w:hint="default" w:ascii="宋体" w:hAnsi="宋体" w:eastAsia="宋体" w:cs="宋体"/>
                <w:color w:val="auto"/>
                <w:sz w:val="21"/>
                <w:szCs w:val="21"/>
                <w:highlight w:val="none"/>
                <w:lang w:val="en-US"/>
              </w:rPr>
            </w:pPr>
            <w:r>
              <w:rPr>
                <w:rFonts w:hint="eastAsia" w:ascii="宋体" w:hAnsi="宋体" w:cs="宋体"/>
                <w:color w:val="auto"/>
                <w:spacing w:val="-6"/>
                <w:sz w:val="21"/>
                <w:szCs w:val="21"/>
                <w:highlight w:val="none"/>
                <w:lang w:val="en-US" w:eastAsia="zh-CN"/>
              </w:rPr>
              <w:t>20</w:t>
            </w:r>
          </w:p>
        </w:tc>
        <w:tc>
          <w:tcPr>
            <w:tcW w:w="6867" w:type="dxa"/>
            <w:noWrap w:val="0"/>
            <w:vAlign w:val="center"/>
          </w:tcPr>
          <w:p>
            <w:pPr>
              <w:widowControl/>
              <w:numPr>
                <w:ilvl w:val="0"/>
                <w:numId w:val="0"/>
              </w:numPr>
              <w:adjustRightInd w:val="0"/>
              <w:snapToGrid w:val="0"/>
              <w:spacing w:line="36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投标人提供已经拍摄</w:t>
            </w:r>
            <w:r>
              <w:rPr>
                <w:rFonts w:hint="eastAsia" w:ascii="宋体" w:hAnsi="宋体" w:eastAsia="宋体" w:cs="宋体"/>
                <w:color w:val="auto"/>
                <w:kern w:val="0"/>
                <w:sz w:val="21"/>
                <w:szCs w:val="21"/>
                <w:highlight w:val="none"/>
                <w:lang w:val="en-US" w:eastAsia="zh-CN"/>
              </w:rPr>
              <w:t>制作</w:t>
            </w:r>
            <w:r>
              <w:rPr>
                <w:rFonts w:hint="eastAsia" w:ascii="宋体" w:hAnsi="宋体" w:eastAsia="宋体" w:cs="宋体"/>
                <w:color w:val="auto"/>
                <w:kern w:val="0"/>
                <w:sz w:val="21"/>
                <w:szCs w:val="21"/>
                <w:highlight w:val="none"/>
              </w:rPr>
              <w:t>完成的样片</w:t>
            </w:r>
            <w:r>
              <w:rPr>
                <w:rFonts w:hint="eastAsia" w:ascii="宋体" w:hAnsi="宋体" w:eastAsia="宋体" w:cs="宋体"/>
                <w:color w:val="auto"/>
                <w:kern w:val="0"/>
                <w:sz w:val="21"/>
                <w:szCs w:val="21"/>
                <w:highlight w:val="none"/>
                <w:lang w:val="en-US" w:eastAsia="zh-CN"/>
              </w:rPr>
              <w:t>集锦</w:t>
            </w:r>
            <w:r>
              <w:rPr>
                <w:rFonts w:hint="eastAsia" w:ascii="宋体" w:hAnsi="宋体" w:cs="宋体"/>
                <w:b/>
                <w:bCs/>
                <w:color w:val="auto"/>
                <w:kern w:val="0"/>
                <w:sz w:val="21"/>
                <w:szCs w:val="21"/>
                <w:highlight w:val="none"/>
                <w:lang w:val="en-US" w:eastAsia="zh-CN"/>
              </w:rPr>
              <w:t>(U盘形式)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总时长不超过5分钟。按照以下档位进行评分，最高得10分。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1）视频整体制作水平优秀，慕课课程视频提供</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种以上拍摄模式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充分体现课程特色和课程元素，传播力及感染力强；平台功能强大，界面清晰，操作方便，得</w:t>
            </w:r>
            <w:r>
              <w:rPr>
                <w:rFonts w:hint="eastAsia" w:ascii="宋体" w:hAnsi="宋体" w:eastAsia="宋体" w:cs="宋体"/>
                <w:color w:val="auto"/>
                <w:kern w:val="0"/>
                <w:sz w:val="21"/>
                <w:szCs w:val="21"/>
                <w:highlight w:val="none"/>
                <w:lang w:val="en-US" w:eastAsia="zh-CN"/>
              </w:rPr>
              <w:t>8-10</w:t>
            </w:r>
            <w:r>
              <w:rPr>
                <w:rFonts w:hint="eastAsia" w:ascii="宋体" w:hAnsi="宋体" w:eastAsia="宋体" w:cs="宋体"/>
                <w:color w:val="auto"/>
                <w:kern w:val="0"/>
                <w:sz w:val="21"/>
                <w:szCs w:val="21"/>
                <w:highlight w:val="none"/>
              </w:rPr>
              <w:t>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2）视频整体制作水平良好，慕课课程视频提供</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种以上拍摄模式,课程特色和课程元素一般，传播力及感染力一般；平台功能、界面、操作一般，得</w:t>
            </w:r>
            <w:r>
              <w:rPr>
                <w:rFonts w:hint="eastAsia" w:ascii="宋体" w:hAnsi="宋体" w:eastAsia="宋体" w:cs="宋体"/>
                <w:color w:val="auto"/>
                <w:kern w:val="0"/>
                <w:sz w:val="21"/>
                <w:szCs w:val="21"/>
                <w:highlight w:val="none"/>
                <w:lang w:val="en-US" w:eastAsia="zh-CN"/>
              </w:rPr>
              <w:t>4-7</w:t>
            </w:r>
            <w:r>
              <w:rPr>
                <w:rFonts w:hint="eastAsia" w:ascii="宋体" w:hAnsi="宋体" w:eastAsia="宋体" w:cs="宋体"/>
                <w:color w:val="auto"/>
                <w:kern w:val="0"/>
                <w:sz w:val="21"/>
                <w:szCs w:val="21"/>
                <w:highlight w:val="none"/>
              </w:rPr>
              <w:t>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3）视频整体制作水平一般，慕课课程视频拍摄模式单一，传播力及感染力差；平台功能较少，界面繁琐，操作不便，得0-</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投标人</w:t>
            </w:r>
            <w:r>
              <w:rPr>
                <w:rFonts w:hint="eastAsia"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演示课程运行平台相关功能</w:t>
            </w:r>
            <w:r>
              <w:rPr>
                <w:rFonts w:hint="eastAsia" w:hAnsi="宋体" w:cs="宋体"/>
                <w:color w:val="auto"/>
                <w:sz w:val="21"/>
                <w:szCs w:val="21"/>
                <w:highlight w:val="none"/>
                <w:lang w:val="en-US" w:eastAsia="zh-CN"/>
              </w:rPr>
              <w:t>进行视频录制</w:t>
            </w:r>
            <w:r>
              <w:rPr>
                <w:rFonts w:hint="eastAsia" w:hAnsi="宋体" w:cs="宋体"/>
                <w:b/>
                <w:bCs/>
                <w:color w:val="auto"/>
                <w:sz w:val="21"/>
                <w:szCs w:val="21"/>
                <w:highlight w:val="none"/>
                <w:lang w:val="en-US" w:eastAsia="zh-CN"/>
              </w:rPr>
              <w:t>（U盘形式）</w:t>
            </w:r>
            <w:r>
              <w:rPr>
                <w:rFonts w:hint="eastAsia" w:ascii="宋体" w:hAnsi="宋体" w:eastAsia="宋体" w:cs="宋体"/>
                <w:color w:val="auto"/>
                <w:sz w:val="21"/>
                <w:szCs w:val="21"/>
                <w:highlight w:val="none"/>
                <w:lang w:val="en-US" w:eastAsia="zh-CN"/>
              </w:rPr>
              <w:t>，最高得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所制作的课程必须满足精品在线开放课程教学要求，供方精品在线开放课程教学平台及配套手机 APP 客户端，并需要做如下演示：</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可通过PC端进行课程建设，包括概要设计、教学团队、在线教程、考核方法，评分共三</w:t>
            </w:r>
            <w:r>
              <w:rPr>
                <w:rFonts w:hint="eastAsia" w:ascii="宋体" w:hAnsi="宋体" w:cs="宋体"/>
                <w:color w:val="auto"/>
                <w:kern w:val="0"/>
                <w:sz w:val="21"/>
                <w:szCs w:val="21"/>
                <w:highlight w:val="none"/>
                <w:lang w:eastAsia="zh-CN"/>
              </w:rPr>
              <w:t>档</w:t>
            </w:r>
            <w:r>
              <w:rPr>
                <w:rFonts w:hint="eastAsia" w:ascii="宋体" w:hAnsi="宋体" w:eastAsia="宋体" w:cs="宋体"/>
                <w:color w:val="auto"/>
                <w:kern w:val="0"/>
                <w:sz w:val="21"/>
                <w:szCs w:val="21"/>
                <w:highlight w:val="none"/>
              </w:rPr>
              <w:t>：</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一档（4-5分）：PC端平台功能强大，界面清晰，操作方便；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二档（2-3分）：PC端平台功能一般，界面一般，操作一般；</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三档（1分）：PC端平台功能较少，界面繁琐，操作不便。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可用手机端实时查阅所建设课程的运行学情报告，包含学习人次、课程考核模式、在线视频、在线论坛讨论、见面课参与度等数据分析，评分共三</w:t>
            </w:r>
            <w:r>
              <w:rPr>
                <w:rFonts w:hint="eastAsia" w:ascii="宋体" w:hAnsi="宋体" w:cs="宋体"/>
                <w:color w:val="auto"/>
                <w:kern w:val="0"/>
                <w:sz w:val="21"/>
                <w:szCs w:val="21"/>
                <w:highlight w:val="none"/>
                <w:lang w:eastAsia="zh-CN"/>
              </w:rPr>
              <w:t>档</w:t>
            </w:r>
            <w:r>
              <w:rPr>
                <w:rFonts w:hint="eastAsia" w:ascii="宋体" w:hAnsi="宋体" w:eastAsia="宋体" w:cs="宋体"/>
                <w:color w:val="auto"/>
                <w:kern w:val="0"/>
                <w:sz w:val="21"/>
                <w:szCs w:val="21"/>
                <w:highlight w:val="none"/>
              </w:rPr>
              <w:t>：</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一档（4-5分）：手机端功能强大，界面清晰，操作方便；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分）：手机端功能一般，界面一般，操作一般；</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三档（1分）：手机端功能较少，界面繁琐，操作不便。</w:t>
            </w:r>
          </w:p>
          <w:p>
            <w:pPr>
              <w:widowControl/>
              <w:numPr>
                <w:ilvl w:val="0"/>
                <w:numId w:val="0"/>
              </w:numPr>
              <w:adjustRightInd w:val="0"/>
              <w:snapToGrid w:val="0"/>
              <w:spacing w:line="36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w:t>
            </w:r>
            <w:r>
              <w:rPr>
                <w:rFonts w:hint="eastAsia" w:ascii="宋体" w:hAnsi="宋体" w:cs="宋体"/>
                <w:b/>
                <w:bCs/>
                <w:color w:val="auto"/>
                <w:kern w:val="0"/>
                <w:sz w:val="21"/>
                <w:szCs w:val="21"/>
                <w:highlight w:val="none"/>
                <w:lang w:val="en-US" w:eastAsia="zh-CN"/>
              </w:rPr>
              <w:t>投标人无须现场演示，将以上演示内容拷贝至U盘按前附表要求邮寄</w:t>
            </w:r>
            <w:r>
              <w:rPr>
                <w:rFonts w:hint="eastAsia" w:ascii="宋体" w:hAnsi="宋体" w:eastAsia="宋体" w:cs="宋体"/>
                <w:b/>
                <w:bCs/>
                <w:color w:val="auto"/>
                <w:kern w:val="0"/>
                <w:sz w:val="21"/>
                <w:szCs w:val="21"/>
                <w:highlight w:val="none"/>
              </w:rPr>
              <w:t>，不演示不得分。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项目建设方案</w:t>
            </w:r>
          </w:p>
        </w:tc>
        <w:tc>
          <w:tcPr>
            <w:tcW w:w="460" w:type="dxa"/>
            <w:noWrap w:val="0"/>
            <w:vAlign w:val="center"/>
          </w:tcPr>
          <w:p>
            <w:pPr>
              <w:jc w:val="center"/>
              <w:rPr>
                <w:rFonts w:hint="eastAsia" w:ascii="宋体" w:hAnsi="宋体" w:eastAsia="宋体" w:cs="宋体"/>
                <w:color w:val="auto"/>
                <w:spacing w:val="-6"/>
                <w:sz w:val="21"/>
                <w:szCs w:val="21"/>
                <w:highlight w:val="none"/>
                <w:lang w:eastAsia="zh-CN"/>
              </w:rPr>
            </w:pPr>
            <w:r>
              <w:rPr>
                <w:rFonts w:hint="default" w:ascii="宋体" w:hAnsi="宋体" w:eastAsia="宋体" w:cs="宋体"/>
                <w:color w:val="auto"/>
                <w:sz w:val="21"/>
                <w:szCs w:val="21"/>
                <w:highlight w:val="none"/>
                <w:lang w:eastAsia="zh-CN"/>
              </w:rPr>
              <w:t>10</w:t>
            </w:r>
          </w:p>
        </w:tc>
        <w:tc>
          <w:tcPr>
            <w:tcW w:w="686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分，按方案优劣划分，分为三档，由评委在打分前根据投标人制作方案优劣情况集体讨论确定各投标人所属档次，然后由各评委在相应的档次内独立打分。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分）：完全满足招标要求，人员、设备、时间安排合理，各项管理制度完善，在满足招标要求的前提下能提出合理化建议并被接受。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分）：方案详细，人员、设备、时间安排合理，但管理制度相对欠缺，无合理化建议或建议不能被接受，满足招标要求。</w:t>
            </w:r>
          </w:p>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三档（0～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分）：方案详细，人员、设备、时间安排稍欠缺合理性，管理制度相对欠缺，无合理化建议或建议不能被接受，但基本满足招标要求。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cs="宋体"/>
                <w:b/>
                <w:color w:val="auto"/>
                <w:spacing w:val="-6"/>
                <w:kern w:val="2"/>
                <w:sz w:val="21"/>
                <w:szCs w:val="21"/>
                <w:highlight w:val="none"/>
                <w:lang w:val="en-US" w:eastAsia="zh-CN" w:bidi="ar-SA"/>
              </w:rPr>
              <w:t>价格</w:t>
            </w:r>
            <w:r>
              <w:rPr>
                <w:rFonts w:hint="eastAsia" w:ascii="宋体" w:hAnsi="宋体" w:eastAsia="宋体" w:cs="宋体"/>
                <w:b/>
                <w:color w:val="auto"/>
                <w:spacing w:val="-6"/>
                <w:kern w:val="2"/>
                <w:sz w:val="21"/>
                <w:szCs w:val="21"/>
                <w:highlight w:val="none"/>
                <w:lang w:val="en-US" w:eastAsia="zh-CN" w:bidi="ar-SA"/>
              </w:rPr>
              <w:t>分（</w:t>
            </w:r>
            <w:r>
              <w:rPr>
                <w:rFonts w:hint="eastAsia" w:ascii="宋体" w:hAnsi="宋体" w:cs="宋体"/>
                <w:b/>
                <w:color w:val="auto"/>
                <w:spacing w:val="-6"/>
                <w:kern w:val="2"/>
                <w:sz w:val="21"/>
                <w:szCs w:val="21"/>
                <w:highlight w:val="none"/>
                <w:lang w:val="en-US" w:eastAsia="zh-CN" w:bidi="ar-SA"/>
              </w:rPr>
              <w:t>10</w:t>
            </w:r>
            <w:r>
              <w:rPr>
                <w:rFonts w:hint="eastAsia" w:ascii="宋体" w:hAnsi="宋体" w:eastAsia="宋体" w:cs="宋体"/>
                <w:b/>
                <w:color w:val="auto"/>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价格</w:t>
            </w:r>
          </w:p>
        </w:tc>
        <w:tc>
          <w:tcPr>
            <w:tcW w:w="46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867" w:type="dxa"/>
            <w:noWrap w:val="0"/>
            <w:vAlign w:val="center"/>
          </w:tcPr>
          <w:p>
            <w:pPr>
              <w:rPr>
                <w:rFonts w:hint="eastAsia" w:ascii="宋体" w:hAnsi="宋体" w:eastAsia="宋体" w:cs="宋体"/>
                <w:color w:val="auto"/>
                <w:sz w:val="21"/>
                <w:szCs w:val="21"/>
                <w:highlight w:val="none"/>
              </w:rPr>
            </w:pPr>
            <w:r>
              <w:rPr>
                <w:rFonts w:hint="eastAsia" w:ascii="宋体" w:hAnsi="宋体" w:cs="宋体"/>
                <w:color w:val="auto"/>
                <w:szCs w:val="21"/>
                <w:highlight w:val="none"/>
              </w:rPr>
              <w:t>以有效报价的最低价为基准价，其价格分为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0分。其它投标人的价格分按照下列公式计算：投标报价得分=（评标基准价/投标报价）×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0（小数点后保留2位小数）（注：对于小型和微型企业产品的价格给予6%的扣除，用扣除后的价格参与评审。小型和微型企业需填写《中小企业声明函》）。</w:t>
            </w:r>
          </w:p>
        </w:tc>
      </w:tr>
    </w:tbl>
    <w:p>
      <w:pPr>
        <w:pStyle w:val="14"/>
        <w:ind w:left="0" w:leftChars="0" w:firstLine="0" w:firstLineChars="0"/>
        <w:jc w:val="both"/>
        <w:rPr>
          <w:rFonts w:hint="eastAsia" w:ascii="宋体" w:hAnsi="宋体" w:eastAsia="宋体"/>
          <w:b/>
          <w:color w:val="auto"/>
          <w:sz w:val="28"/>
          <w:szCs w:val="28"/>
          <w:highlight w:val="none"/>
        </w:rPr>
      </w:pPr>
    </w:p>
    <w:p>
      <w:pPr>
        <w:pStyle w:val="14"/>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标段</w:t>
      </w:r>
      <w:r>
        <w:rPr>
          <w:rFonts w:hint="eastAsia" w:ascii="宋体" w:hAnsi="宋体" w:eastAsia="宋体"/>
          <w:b/>
          <w:color w:val="auto"/>
          <w:sz w:val="28"/>
          <w:szCs w:val="28"/>
          <w:highlight w:val="none"/>
          <w:lang w:eastAsia="zh-CN"/>
        </w:rPr>
        <w:t>二</w:t>
      </w:r>
      <w:r>
        <w:rPr>
          <w:rFonts w:hint="eastAsia" w:ascii="宋体" w:hAnsi="宋体" w:eastAsia="宋体"/>
          <w:b/>
          <w:color w:val="auto"/>
          <w:sz w:val="28"/>
          <w:szCs w:val="28"/>
          <w:highlight w:val="none"/>
        </w:rPr>
        <w:t>：评分标准</w:t>
      </w:r>
    </w:p>
    <w:tbl>
      <w:tblPr>
        <w:tblStyle w:val="34"/>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460"/>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460" w:type="dxa"/>
            <w:noWrap w:val="0"/>
            <w:vAlign w:val="center"/>
          </w:tcPr>
          <w:p>
            <w:pPr>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6867" w:type="dxa"/>
            <w:noWrap w:val="0"/>
            <w:vAlign w:val="center"/>
          </w:tcPr>
          <w:p>
            <w:pPr>
              <w:pStyle w:val="18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pStyle w:val="180"/>
              <w:spacing w:line="288" w:lineRule="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eastAsia="zh-CN"/>
              </w:rPr>
              <w:t>（</w:t>
            </w:r>
            <w:r>
              <w:rPr>
                <w:rFonts w:hint="default" w:ascii="宋体" w:hAnsi="宋体" w:eastAsia="宋体" w:cs="宋体"/>
                <w:b/>
                <w:color w:val="auto"/>
                <w:spacing w:val="-6"/>
                <w:sz w:val="21"/>
                <w:szCs w:val="21"/>
                <w:highlight w:val="none"/>
                <w:lang w:eastAsia="zh-CN"/>
              </w:rPr>
              <w:t>25</w:t>
            </w:r>
            <w:r>
              <w:rPr>
                <w:rFonts w:hint="eastAsia" w:ascii="宋体" w:hAnsi="宋体" w:eastAsia="宋体" w:cs="宋体"/>
                <w:b/>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企业综合实力</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default" w:ascii="宋体" w:hAnsi="宋体" w:cs="宋体"/>
                <w:color w:val="auto"/>
                <w:spacing w:val="-6"/>
                <w:sz w:val="21"/>
                <w:szCs w:val="21"/>
                <w:highlight w:val="none"/>
              </w:rPr>
              <w:t>5</w:t>
            </w:r>
          </w:p>
        </w:tc>
        <w:tc>
          <w:tcPr>
            <w:tcW w:w="6867" w:type="dxa"/>
            <w:noWrap w:val="0"/>
            <w:vAlign w:val="center"/>
          </w:tcPr>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企业具有良好的信誉资质，并有以下等级证书：</w:t>
            </w:r>
          </w:p>
          <w:p>
            <w:pPr>
              <w:widowControl/>
              <w:adjustRightInd w:val="0"/>
              <w:snapToGrid w:val="0"/>
              <w:spacing w:line="360" w:lineRule="exact"/>
              <w:jc w:val="left"/>
              <w:textAlignment w:val="baseline"/>
              <w:rPr>
                <w:rFonts w:ascii="宋体" w:hAnsi="宋体" w:eastAsia="宋体" w:cs="宋体"/>
                <w:color w:val="auto"/>
                <w:kern w:val="0"/>
                <w:sz w:val="22"/>
                <w:szCs w:val="22"/>
                <w:highlight w:val="none"/>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kern w:val="0"/>
                <w:sz w:val="22"/>
                <w:szCs w:val="22"/>
                <w:highlight w:val="none"/>
              </w:rPr>
              <w:t>投标人具备</w:t>
            </w:r>
            <w:r>
              <w:rPr>
                <w:rFonts w:ascii="宋体" w:hAnsi="宋体" w:eastAsia="宋体" w:cs="宋体"/>
                <w:color w:val="auto"/>
                <w:kern w:val="0"/>
                <w:sz w:val="22"/>
                <w:szCs w:val="22"/>
                <w:highlight w:val="none"/>
              </w:rPr>
              <w:t>知识产权管理体系认证证书</w:t>
            </w:r>
            <w:r>
              <w:rPr>
                <w:rFonts w:hint="eastAsia" w:ascii="宋体" w:hAnsi="宋体" w:eastAsia="宋体" w:cs="宋体"/>
                <w:color w:val="auto"/>
                <w:kern w:val="0"/>
                <w:sz w:val="22"/>
                <w:szCs w:val="22"/>
                <w:highlight w:val="none"/>
              </w:rPr>
              <w:t>，得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kern w:val="0"/>
                <w:sz w:val="22"/>
                <w:szCs w:val="22"/>
                <w:highlight w:val="none"/>
              </w:rPr>
              <w:t>投标人提供MOOC平台软件著作权登记证书</w:t>
            </w:r>
            <w:r>
              <w:rPr>
                <w:rFonts w:hint="eastAsia" w:ascii="宋体" w:hAnsi="宋体" w:eastAsia="宋体" w:cs="宋体"/>
                <w:color w:val="auto"/>
                <w:sz w:val="21"/>
                <w:szCs w:val="21"/>
                <w:highlight w:val="none"/>
                <w:lang w:val="en-US" w:eastAsia="zh-CN" w:bidi="ar-SA"/>
              </w:rPr>
              <w:t>得</w:t>
            </w:r>
            <w:r>
              <w:rPr>
                <w:rFonts w:hint="default" w:ascii="宋体" w:hAnsi="宋体" w:eastAsia="宋体" w:cs="宋体"/>
                <w:color w:val="auto"/>
                <w:sz w:val="21"/>
                <w:szCs w:val="21"/>
                <w:highlight w:val="none"/>
                <w:lang w:eastAsia="zh-CN" w:bidi="ar-SA"/>
              </w:rPr>
              <w:t>1</w:t>
            </w:r>
            <w:r>
              <w:rPr>
                <w:rFonts w:hint="eastAsia" w:ascii="宋体" w:hAnsi="宋体" w:eastAsia="宋体" w:cs="宋体"/>
                <w:color w:val="auto"/>
                <w:sz w:val="21"/>
                <w:szCs w:val="21"/>
                <w:highlight w:val="none"/>
                <w:lang w:val="en-US" w:eastAsia="zh-CN" w:bidi="ar-SA"/>
              </w:rPr>
              <w:t>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投标人具有出版物经营许可证得1分；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）投标人具有第三级信息系统安全等级保护备案证明得</w:t>
            </w:r>
            <w:r>
              <w:rPr>
                <w:rFonts w:hint="default" w:ascii="宋体" w:hAnsi="宋体" w:eastAsia="宋体" w:cs="宋体"/>
                <w:color w:val="auto"/>
                <w:sz w:val="21"/>
                <w:szCs w:val="21"/>
                <w:highlight w:val="none"/>
                <w:lang w:eastAsia="zh-CN" w:bidi="ar-SA"/>
              </w:rPr>
              <w:t>1</w:t>
            </w:r>
            <w:r>
              <w:rPr>
                <w:rFonts w:hint="eastAsia" w:ascii="宋体" w:hAnsi="宋体" w:eastAsia="宋体" w:cs="宋体"/>
                <w:color w:val="auto"/>
                <w:sz w:val="21"/>
                <w:szCs w:val="21"/>
                <w:highlight w:val="none"/>
                <w:lang w:val="en-US" w:eastAsia="zh-CN" w:bidi="ar-SA"/>
              </w:rPr>
              <w:t>分。</w:t>
            </w:r>
          </w:p>
          <w:p>
            <w:pPr>
              <w:widowControl/>
              <w:autoSpaceDE w:val="0"/>
              <w:autoSpaceDN w:val="0"/>
              <w:adjustRightInd w:val="0"/>
              <w:snapToGrid w:val="0"/>
              <w:spacing w:line="360" w:lineRule="exact"/>
              <w:textAlignment w:val="baseline"/>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提供以上证明材料的复印件或扫描件并加盖公章，未按要求提供或提供不清晰或专家无法判断的均不得分；</w:t>
            </w:r>
            <w:r>
              <w:rPr>
                <w:rFonts w:hint="eastAsia" w:ascii="宋体" w:hAnsi="宋体" w:eastAsia="宋体" w:cs="宋体"/>
                <w:b/>
                <w:bCs/>
                <w:color w:val="auto"/>
                <w:spacing w:val="0"/>
                <w:kern w:val="0"/>
                <w:sz w:val="21"/>
                <w:szCs w:val="21"/>
                <w:highlight w:val="none"/>
                <w:lang w:val="en-US" w:eastAsia="zh-CN" w:bidi="ar-SA"/>
              </w:rPr>
              <w:t>以上证明材料共计</w:t>
            </w:r>
            <w:r>
              <w:rPr>
                <w:rFonts w:hint="eastAsia" w:ascii="宋体" w:hAnsi="宋体" w:cs="宋体"/>
                <w:b/>
                <w:bCs/>
                <w:color w:val="auto"/>
                <w:spacing w:val="0"/>
                <w:kern w:val="0"/>
                <w:sz w:val="21"/>
                <w:szCs w:val="21"/>
                <w:highlight w:val="none"/>
                <w:lang w:val="en-US" w:eastAsia="zh-CN" w:bidi="ar-SA"/>
              </w:rPr>
              <w:t>5</w:t>
            </w:r>
            <w:r>
              <w:rPr>
                <w:rFonts w:hint="eastAsia" w:ascii="宋体" w:hAnsi="宋体" w:eastAsia="宋体" w:cs="宋体"/>
                <w:b/>
                <w:bCs/>
                <w:color w:val="auto"/>
                <w:spacing w:val="0"/>
                <w:kern w:val="0"/>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课程案例</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15</w:t>
            </w:r>
          </w:p>
        </w:tc>
        <w:tc>
          <w:tcPr>
            <w:tcW w:w="6867" w:type="dxa"/>
            <w:noWrap w:val="0"/>
            <w:vAlign w:val="center"/>
          </w:tcPr>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投标人需提供在国家级精品在线开放课程的认定课程</w:t>
            </w:r>
            <w:r>
              <w:rPr>
                <w:rFonts w:hint="eastAsia" w:ascii="宋体" w:hAnsi="宋体" w:cs="宋体"/>
                <w:color w:val="auto"/>
                <w:kern w:val="0"/>
                <w:sz w:val="21"/>
                <w:szCs w:val="21"/>
                <w:highlight w:val="none"/>
                <w:lang w:eastAsia="zh-CN"/>
              </w:rPr>
              <w:t>案例</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所拍摄制作的课程认定为</w:t>
            </w:r>
            <w:r>
              <w:rPr>
                <w:rFonts w:hint="eastAsia" w:ascii="宋体" w:hAnsi="宋体" w:eastAsia="宋体" w:cs="宋体"/>
                <w:color w:val="auto"/>
                <w:kern w:val="0"/>
                <w:sz w:val="21"/>
                <w:szCs w:val="21"/>
                <w:highlight w:val="none"/>
              </w:rPr>
              <w:t>国家级精品在线开放课程</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每提供一个案例得0.3分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最高得15分</w:t>
            </w:r>
            <w:r>
              <w:rPr>
                <w:rFonts w:hint="eastAsia" w:ascii="宋体" w:hAnsi="宋体" w:eastAsia="宋体" w:cs="宋体"/>
                <w:color w:val="auto"/>
                <w:kern w:val="0"/>
                <w:sz w:val="21"/>
                <w:szCs w:val="21"/>
                <w:highlight w:val="none"/>
              </w:rPr>
              <w:t>。</w:t>
            </w:r>
            <w:r>
              <w:rPr>
                <w:rFonts w:hint="eastAsia" w:ascii="宋体" w:hAnsi="宋体" w:cs="宋体"/>
                <w:b/>
                <w:bCs/>
                <w:color w:val="auto"/>
                <w:kern w:val="0"/>
                <w:sz w:val="21"/>
                <w:szCs w:val="21"/>
                <w:highlight w:val="none"/>
                <w:lang w:eastAsia="zh-CN"/>
              </w:rPr>
              <w:t>（提供合同扫描件或复印件并加盖公章，不提供不得分。）</w:t>
            </w:r>
          </w:p>
          <w:p>
            <w:pPr>
              <w:widowControl/>
              <w:autoSpaceDE w:val="0"/>
              <w:autoSpaceDN w:val="0"/>
              <w:adjustRightInd w:val="0"/>
              <w:snapToGrid w:val="0"/>
              <w:spacing w:line="360" w:lineRule="exac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注：案例</w:t>
            </w:r>
            <w:r>
              <w:rPr>
                <w:rFonts w:hint="eastAsia"/>
                <w:color w:val="auto"/>
                <w:highlight w:val="none"/>
                <w:lang w:val="en-US" w:eastAsia="zh-CN"/>
              </w:rPr>
              <w:t>（</w:t>
            </w:r>
            <w:r>
              <w:rPr>
                <w:rFonts w:hint="eastAsia"/>
                <w:b/>
                <w:bCs/>
                <w:color w:val="auto"/>
                <w:highlight w:val="none"/>
                <w:lang w:val="en-US" w:eastAsia="zh-CN"/>
              </w:rPr>
              <w:t>每个</w:t>
            </w:r>
            <w:r>
              <w:rPr>
                <w:rFonts w:hint="eastAsia" w:ascii="宋体" w:hAnsi="宋体" w:cs="宋体"/>
                <w:b/>
                <w:bCs/>
                <w:color w:val="auto"/>
                <w:sz w:val="21"/>
                <w:szCs w:val="21"/>
                <w:highlight w:val="none"/>
                <w:lang w:val="en-US" w:eastAsia="zh-CN" w:bidi="ar-SA"/>
              </w:rPr>
              <w:t>案例指每一门课程，如果一份合同里面有两门课程都为国课课程，那就算是2个案例）</w:t>
            </w:r>
            <w:r>
              <w:rPr>
                <w:rFonts w:hint="eastAsia" w:ascii="宋体" w:hAnsi="宋体" w:eastAsia="宋体" w:cs="宋体"/>
                <w:b/>
                <w:bCs/>
                <w:color w:val="auto"/>
                <w:sz w:val="21"/>
                <w:szCs w:val="21"/>
                <w:highlight w:val="none"/>
                <w:lang w:val="en-US" w:eastAsia="zh-CN" w:bidi="ar-SA"/>
              </w:rPr>
              <w:t>中的合同须与相关用户单位直接签订，非第三方分包或转包合同。提供虚假资料的按无效投标处理。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32"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46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867" w:type="dxa"/>
            <w:noWrap w:val="0"/>
            <w:vAlign w:val="top"/>
          </w:tcPr>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根据投标人提出的售后服务及课程运行方案评分。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1）内容进行了详细阐述且完全满足采购需求的，得5分；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2）内容虽然进行了阐述但并未完全贴合项目需求理解情况，或理解的内容未包括细节或措施，得3分； </w:t>
            </w:r>
          </w:p>
          <w:p>
            <w:pPr>
              <w:widowControl/>
              <w:adjustRightInd w:val="0"/>
              <w:snapToGrid w:val="0"/>
              <w:spacing w:line="36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3）内容未进行阐述或阐述内容无法满足项目需求的，得0分。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widowControl w:val="0"/>
              <w:spacing w:line="288" w:lineRule="auto"/>
              <w:ind w:firstLine="0"/>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SA"/>
              </w:rPr>
              <w:t>技术分（6</w:t>
            </w:r>
            <w:r>
              <w:rPr>
                <w:rFonts w:hint="default" w:ascii="宋体" w:hAnsi="宋体" w:cs="宋体"/>
                <w:b/>
                <w:color w:val="auto"/>
                <w:spacing w:val="-6"/>
                <w:kern w:val="2"/>
                <w:sz w:val="21"/>
                <w:szCs w:val="21"/>
                <w:highlight w:val="none"/>
                <w:lang w:eastAsia="zh-CN" w:bidi="ar-SA"/>
              </w:rPr>
              <w:t>5</w:t>
            </w:r>
            <w:r>
              <w:rPr>
                <w:rFonts w:hint="eastAsia" w:ascii="宋体" w:hAnsi="宋体" w:eastAsia="宋体" w:cs="宋体"/>
                <w:b/>
                <w:color w:val="auto"/>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知识产权</w:t>
            </w:r>
          </w:p>
        </w:tc>
        <w:tc>
          <w:tcPr>
            <w:tcW w:w="460" w:type="dxa"/>
            <w:noWrap w:val="0"/>
            <w:vAlign w:val="center"/>
          </w:tcPr>
          <w:p>
            <w:pPr>
              <w:spacing w:line="288" w:lineRule="auto"/>
              <w:jc w:val="center"/>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lang w:val="en-US" w:eastAsia="zh-CN"/>
              </w:rPr>
              <w:t>4</w:t>
            </w:r>
          </w:p>
        </w:tc>
        <w:tc>
          <w:tcPr>
            <w:tcW w:w="6867" w:type="dxa"/>
            <w:noWrap w:val="0"/>
            <w:vAlign w:val="center"/>
          </w:tcPr>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cs="宋体"/>
                <w:color w:val="auto"/>
                <w:sz w:val="21"/>
                <w:szCs w:val="21"/>
                <w:highlight w:val="none"/>
                <w:lang w:val="en-US" w:eastAsia="zh-Hans"/>
              </w:rPr>
              <w:t>建设过程</w:t>
            </w:r>
            <w:r>
              <w:rPr>
                <w:rFonts w:hint="eastAsia" w:ascii="宋体" w:hAnsi="宋体" w:eastAsia="宋体" w:cs="宋体"/>
                <w:color w:val="auto"/>
                <w:sz w:val="21"/>
                <w:szCs w:val="21"/>
                <w:highlight w:val="none"/>
              </w:rPr>
              <w:t>中所引用的教参图书必须解决版权问题，须至少提供</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份电子出版社授权协议或出版社授权单位的信息网络传播权转让协议，满足得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分，每少一份扣0.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分，分数扣完为止。</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eastAsia="宋体" w:cs="宋体"/>
                <w:color w:val="auto"/>
                <w:sz w:val="21"/>
                <w:szCs w:val="21"/>
                <w:highlight w:val="none"/>
                <w:lang w:val="en-US" w:eastAsia="zh-Hans"/>
              </w:rPr>
              <w:t>建设过程</w:t>
            </w:r>
            <w:r>
              <w:rPr>
                <w:rFonts w:hint="eastAsia" w:ascii="宋体" w:hAnsi="宋体" w:eastAsia="宋体" w:cs="宋体"/>
                <w:color w:val="auto"/>
                <w:sz w:val="21"/>
                <w:szCs w:val="21"/>
                <w:highlight w:val="none"/>
              </w:rPr>
              <w:t>中所引用的学术期刊资源必须解决版权问题，须至少提供</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rPr>
              <w:t>份电子期刊版权授权协议，满足得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，每少一份扣</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，分数扣完为止。</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w:t>
            </w:r>
            <w:r>
              <w:rPr>
                <w:rFonts w:hint="eastAsia" w:ascii="宋体" w:hAnsi="宋体" w:cs="宋体"/>
                <w:color w:val="auto"/>
                <w:sz w:val="21"/>
                <w:szCs w:val="21"/>
                <w:highlight w:val="none"/>
                <w:lang w:val="en-US" w:eastAsia="zh-Hans"/>
              </w:rPr>
              <w:t>建设过程中</w:t>
            </w:r>
            <w:r>
              <w:rPr>
                <w:rFonts w:hint="eastAsia" w:ascii="宋体" w:hAnsi="宋体" w:eastAsia="宋体" w:cs="宋体"/>
                <w:color w:val="auto"/>
                <w:sz w:val="21"/>
                <w:szCs w:val="21"/>
                <w:highlight w:val="none"/>
              </w:rPr>
              <w:t>所引用的教育视频资源必须解决版权问题，并能提供相关主讲人身份证明，须至少提供</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0份课程版权授权协议，满足得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，每少一份扣</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，分数扣完为止。</w:t>
            </w:r>
          </w:p>
          <w:p>
            <w:pPr>
              <w:widowControl/>
              <w:adjustRightInd w:val="0"/>
              <w:snapToGrid w:val="0"/>
              <w:spacing w:line="240" w:lineRule="auto"/>
              <w:jc w:val="left"/>
              <w:textAlignment w:val="baseline"/>
              <w:rPr>
                <w:rFonts w:hint="eastAsia" w:ascii="宋体" w:hAnsi="宋体" w:eastAsia="宋体" w:cs="宋体"/>
                <w:color w:val="auto"/>
                <w:kern w:val="0"/>
                <w:sz w:val="21"/>
                <w:szCs w:val="21"/>
                <w:highlight w:val="none"/>
              </w:rPr>
            </w:pPr>
            <w:r>
              <w:rPr>
                <w:rFonts w:hint="eastAsia" w:ascii="宋体" w:hAnsi="宋体" w:cs="宋体"/>
                <w:b/>
                <w:bCs/>
                <w:color w:val="auto"/>
                <w:sz w:val="21"/>
                <w:szCs w:val="21"/>
                <w:highlight w:val="none"/>
                <w:lang w:eastAsia="zh-CN"/>
              </w:rPr>
              <w:t>提供以上相关协议扫描件或复印件并加盖公章，不提供不得分。</w:t>
            </w:r>
            <w:r>
              <w:rPr>
                <w:rFonts w:hint="eastAsia" w:ascii="宋体" w:hAnsi="宋体" w:eastAsia="宋体" w:cs="宋体"/>
                <w:b/>
                <w:bCs/>
                <w:color w:val="auto"/>
                <w:sz w:val="21"/>
                <w:szCs w:val="21"/>
                <w:highlight w:val="none"/>
              </w:rPr>
              <w:t>相关授权协议应与不同单位或主讲人签订，与同一单位或主讲人签订的，认定为一份有效协议。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2" w:type="dxa"/>
            <w:noWrap w:val="0"/>
            <w:vAlign w:val="center"/>
          </w:tcPr>
          <w:p>
            <w:pPr>
              <w:spacing w:line="288" w:lineRule="auto"/>
              <w:jc w:val="center"/>
              <w:rPr>
                <w:rFonts w:hint="eastAsia" w:ascii="宋体" w:hAnsi="宋体" w:eastAsia="宋体" w:cs="宋体"/>
                <w:color w:val="auto"/>
                <w:spacing w:val="-6"/>
                <w:sz w:val="21"/>
                <w:szCs w:val="21"/>
                <w:highlight w:val="none"/>
                <w:lang w:eastAsia="zh-Hans"/>
              </w:rPr>
            </w:pPr>
            <w:r>
              <w:rPr>
                <w:rFonts w:hint="eastAsia" w:ascii="宋体" w:hAnsi="宋体" w:eastAsia="宋体" w:cs="宋体"/>
                <w:color w:val="auto"/>
                <w:spacing w:val="-6"/>
                <w:sz w:val="21"/>
                <w:szCs w:val="21"/>
                <w:highlight w:val="none"/>
                <w:lang w:val="en-US" w:eastAsia="zh-CN"/>
              </w:rPr>
              <w:t>课程</w:t>
            </w:r>
            <w:r>
              <w:rPr>
                <w:rFonts w:hint="eastAsia" w:ascii="宋体" w:hAnsi="宋体" w:eastAsia="宋体" w:cs="宋体"/>
                <w:color w:val="auto"/>
                <w:spacing w:val="-6"/>
                <w:sz w:val="21"/>
                <w:szCs w:val="21"/>
                <w:highlight w:val="none"/>
                <w:lang w:eastAsia="zh-Hans"/>
              </w:rPr>
              <w:t>运行能力</w:t>
            </w:r>
          </w:p>
        </w:tc>
        <w:tc>
          <w:tcPr>
            <w:tcW w:w="460" w:type="dxa"/>
            <w:noWrap w:val="0"/>
            <w:vAlign w:val="center"/>
          </w:tcPr>
          <w:p>
            <w:pPr>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6867" w:type="dxa"/>
            <w:noWrap w:val="0"/>
            <w:vAlign w:val="top"/>
          </w:tcPr>
          <w:p>
            <w:pPr>
              <w:pStyle w:val="33"/>
              <w:numPr>
                <w:ilvl w:val="0"/>
                <w:numId w:val="0"/>
              </w:numPr>
              <w:rPr>
                <w:rFonts w:hint="eastAsia" w:ascii="宋体" w:hAnsi="宋体" w:eastAsia="宋体" w:cs="宋体"/>
                <w:color w:val="auto"/>
                <w:kern w:val="0"/>
                <w:sz w:val="22"/>
                <w:szCs w:val="22"/>
                <w:highlight w:val="none"/>
                <w:lang w:val="en-US" w:eastAsia="zh-CN"/>
              </w:rPr>
            </w:pPr>
            <w:r>
              <w:rPr>
                <w:rFonts w:hint="eastAsia"/>
                <w:color w:val="auto"/>
                <w:highlight w:val="none"/>
                <w:lang w:val="en-US" w:eastAsia="zh-CN"/>
              </w:rPr>
              <w:t>1）投标人应具有国家级一流本科线上课程（含2017年、2018年国家精品在线开放课程）官方认证的申报平台。证明材料包括：带有平台标识的国家级一流本科线上课程证书、课程平台与供方关系的证明文件（供方对平台拥有自主知识产权或者子公司性质），满足得5分。</w:t>
            </w:r>
          </w:p>
          <w:p>
            <w:pPr>
              <w:pStyle w:val="33"/>
              <w:numPr>
                <w:ilvl w:val="0"/>
                <w:numId w:val="0"/>
              </w:numP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2021年依托</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自有平台，</w:t>
            </w:r>
            <w:r>
              <w:rPr>
                <w:rFonts w:hint="eastAsia" w:ascii="宋体" w:hAnsi="宋体" w:cs="宋体"/>
                <w:color w:val="auto"/>
                <w:kern w:val="0"/>
                <w:sz w:val="22"/>
                <w:szCs w:val="22"/>
                <w:highlight w:val="none"/>
                <w:lang w:eastAsia="zh-CN"/>
              </w:rPr>
              <w:t>浙江省</w:t>
            </w:r>
            <w:r>
              <w:rPr>
                <w:rFonts w:hint="eastAsia" w:ascii="宋体" w:hAnsi="宋体" w:eastAsia="宋体" w:cs="宋体"/>
                <w:color w:val="auto"/>
                <w:kern w:val="0"/>
                <w:sz w:val="22"/>
                <w:szCs w:val="22"/>
                <w:highlight w:val="none"/>
              </w:rPr>
              <w:t>拟推荐第二批国家级一流本科课程名单的公示中的线上一流课程，</w:t>
            </w:r>
            <w:r>
              <w:rPr>
                <w:rFonts w:hint="eastAsia" w:ascii="宋体" w:hAnsi="宋体" w:cs="宋体"/>
                <w:color w:val="auto"/>
                <w:kern w:val="0"/>
                <w:sz w:val="22"/>
                <w:szCs w:val="22"/>
                <w:highlight w:val="none"/>
                <w:lang w:eastAsia="zh-CN"/>
              </w:rPr>
              <w:t>有得</w:t>
            </w:r>
            <w:r>
              <w:rPr>
                <w:rFonts w:hint="eastAsia" w:ascii="宋体" w:hAnsi="宋体" w:cs="宋体"/>
                <w:color w:val="auto"/>
                <w:kern w:val="0"/>
                <w:sz w:val="22"/>
                <w:szCs w:val="22"/>
                <w:highlight w:val="none"/>
                <w:lang w:val="en-US" w:eastAsia="zh-CN"/>
              </w:rPr>
              <w:t>3分，无不得分</w:t>
            </w:r>
            <w:r>
              <w:rPr>
                <w:rFonts w:hint="eastAsia" w:ascii="宋体" w:hAnsi="宋体" w:eastAsia="宋体" w:cs="宋体"/>
                <w:color w:val="auto"/>
                <w:kern w:val="0"/>
                <w:sz w:val="22"/>
                <w:szCs w:val="22"/>
                <w:highlight w:val="none"/>
              </w:rPr>
              <w:t>。</w:t>
            </w:r>
          </w:p>
          <w:p>
            <w:pPr>
              <w:pStyle w:val="33"/>
              <w:numPr>
                <w:ilvl w:val="0"/>
                <w:numId w:val="0"/>
              </w:numPr>
              <w:rPr>
                <w:rFonts w:hint="eastAsia" w:eastAsia="宋体" w:cs="Times New Roman"/>
                <w:color w:val="auto"/>
                <w:highlight w:val="none"/>
                <w:lang w:val="en-US" w:eastAsia="zh-CN"/>
              </w:rPr>
            </w:pPr>
            <w:r>
              <w:rPr>
                <w:rFonts w:hint="eastAsia"/>
                <w:color w:val="auto"/>
                <w:highlight w:val="none"/>
                <w:lang w:val="en-US" w:eastAsia="zh-CN"/>
              </w:rPr>
              <w:t>3）</w:t>
            </w:r>
            <w:r>
              <w:rPr>
                <w:rFonts w:hint="eastAsia"/>
                <w:color w:val="auto"/>
                <w:highlight w:val="none"/>
              </w:rPr>
              <w:t>依托投标人自有平台运行申报并获得国家级线上一流课程（含2017年、2018年国家级精品在线开放课程）认定的数量情况进行打分</w:t>
            </w:r>
            <w:r>
              <w:rPr>
                <w:rFonts w:hint="eastAsia"/>
                <w:color w:val="auto"/>
                <w:highlight w:val="none"/>
                <w:lang w:eastAsia="zh-CN"/>
              </w:rPr>
              <w:t>，</w:t>
            </w:r>
            <w:r>
              <w:rPr>
                <w:rFonts w:hint="eastAsia"/>
                <w:color w:val="auto"/>
                <w:highlight w:val="none"/>
                <w:lang w:val="en-US" w:eastAsia="zh-CN"/>
              </w:rPr>
              <w:t>每提供一个案例得0.5，最多得15分</w:t>
            </w:r>
            <w:r>
              <w:rPr>
                <w:rFonts w:hint="eastAsia"/>
                <w:color w:val="auto"/>
                <w:highlight w:val="none"/>
                <w:lang w:val="en-US" w:eastAsia="zh-CN"/>
              </w:rPr>
              <w:t>（注：每个</w:t>
            </w:r>
            <w:r>
              <w:rPr>
                <w:rFonts w:hint="eastAsia" w:ascii="宋体" w:hAnsi="宋体" w:cs="宋体"/>
                <w:color w:val="auto"/>
                <w:sz w:val="21"/>
                <w:szCs w:val="21"/>
                <w:highlight w:val="none"/>
                <w:lang w:val="en-US" w:eastAsia="zh-CN" w:bidi="ar-SA"/>
              </w:rPr>
              <w:t>案例指每一门课程，指通过投标人平台运行成功的国课课程</w:t>
            </w:r>
            <w:r>
              <w:rPr>
                <w:rFonts w:hint="eastAsia"/>
                <w:color w:val="auto"/>
                <w:highlight w:val="none"/>
                <w:lang w:val="en-US" w:eastAsia="zh-CN"/>
              </w:rPr>
              <w:t>）</w:t>
            </w:r>
            <w:r>
              <w:rPr>
                <w:rFonts w:hint="eastAsia"/>
                <w:color w:val="auto"/>
                <w:highlight w:val="none"/>
                <w:lang w:val="en-US" w:eastAsia="zh-CN"/>
              </w:rPr>
              <w:t>。</w:t>
            </w:r>
            <w:r>
              <w:rPr>
                <w:rFonts w:hint="eastAsia"/>
                <w:color w:val="auto"/>
                <w:highlight w:val="none"/>
              </w:rPr>
              <w:t>投标文件中提供教育部官网带有平</w:t>
            </w:r>
            <w:r>
              <w:rPr>
                <w:rFonts w:hint="eastAsia" w:eastAsia="宋体" w:cs="Times New Roman"/>
                <w:color w:val="auto"/>
                <w:highlight w:val="none"/>
                <w:lang w:val="en-US" w:eastAsia="zh-CN"/>
              </w:rPr>
              <w:t>台名称的截图证明，未提供不得分。</w:t>
            </w:r>
          </w:p>
          <w:p>
            <w:pPr>
              <w:widowControl/>
              <w:adjustRightInd w:val="0"/>
              <w:snapToGrid w:val="0"/>
              <w:spacing w:line="360" w:lineRule="exact"/>
              <w:jc w:val="both"/>
              <w:textAlignment w:val="baseline"/>
              <w:rPr>
                <w:rFonts w:hint="eastAsia" w:eastAsia="宋体" w:cs="Times New Roman"/>
                <w:color w:val="auto"/>
                <w:highlight w:val="none"/>
                <w:lang w:val="en-US" w:eastAsia="zh-CN"/>
              </w:rPr>
            </w:pPr>
            <w:r>
              <w:rPr>
                <w:rFonts w:hint="eastAsia" w:cs="Times New Roman"/>
                <w:color w:val="auto"/>
                <w:highlight w:val="none"/>
                <w:lang w:val="en-US" w:eastAsia="zh-CN"/>
              </w:rPr>
              <w:t>4</w:t>
            </w:r>
            <w:r>
              <w:rPr>
                <w:rFonts w:hint="eastAsia" w:eastAsia="宋体" w:cs="Times New Roman"/>
                <w:color w:val="auto"/>
                <w:highlight w:val="none"/>
                <w:lang w:val="en-US" w:eastAsia="zh-CN"/>
              </w:rPr>
              <w:t>）</w:t>
            </w:r>
            <w:r>
              <w:rPr>
                <w:rFonts w:hint="eastAsia" w:cs="Times New Roman"/>
                <w:color w:val="auto"/>
                <w:highlight w:val="none"/>
                <w:lang w:val="en-US" w:eastAsia="zh-CN"/>
              </w:rPr>
              <w:t>投标人</w:t>
            </w:r>
            <w:r>
              <w:rPr>
                <w:rFonts w:hint="eastAsia"/>
                <w:color w:val="auto"/>
                <w:highlight w:val="none"/>
                <w:lang w:val="en-US" w:eastAsia="zh-Hans"/>
              </w:rPr>
              <w:t>拥有混合式课程运营能力</w:t>
            </w:r>
            <w:r>
              <w:rPr>
                <w:rFonts w:hint="eastAsia"/>
                <w:color w:val="auto"/>
                <w:highlight w:val="none"/>
                <w:lang w:val="en-US" w:eastAsia="zh-CN"/>
              </w:rPr>
              <w:t>，</w:t>
            </w:r>
            <w:r>
              <w:rPr>
                <w:rFonts w:hint="default"/>
                <w:color w:val="auto"/>
                <w:highlight w:val="none"/>
                <w:lang w:eastAsia="zh-Hans"/>
              </w:rPr>
              <w:t>依据新形态教材出版相关要求，</w:t>
            </w:r>
            <w:r>
              <w:rPr>
                <w:rFonts w:hint="eastAsia" w:eastAsia="宋体" w:cs="Times New Roman"/>
                <w:color w:val="auto"/>
                <w:highlight w:val="none"/>
                <w:lang w:val="en-US" w:eastAsia="zh-Hans"/>
              </w:rPr>
              <w:t>提供</w:t>
            </w:r>
            <w:r>
              <w:rPr>
                <w:rFonts w:hint="eastAsia" w:cs="Times New Roman"/>
                <w:color w:val="auto"/>
                <w:highlight w:val="none"/>
                <w:lang w:val="en-US" w:eastAsia="zh-CN"/>
              </w:rPr>
              <w:t>与985高校</w:t>
            </w:r>
            <w:r>
              <w:rPr>
                <w:rFonts w:hint="eastAsia" w:eastAsia="宋体" w:cs="Times New Roman"/>
                <w:color w:val="auto"/>
                <w:highlight w:val="none"/>
                <w:lang w:val="en-US" w:eastAsia="zh-CN"/>
              </w:rPr>
              <w:t>出</w:t>
            </w:r>
            <w:r>
              <w:rPr>
                <w:rFonts w:hint="eastAsia" w:eastAsia="宋体" w:cs="Times New Roman"/>
                <w:color w:val="auto"/>
                <w:highlight w:val="none"/>
                <w:lang w:val="en-US" w:eastAsia="zh-CN"/>
              </w:rPr>
              <w:t>版社合作经验，每提供一个合作案例得1分，最高得</w:t>
            </w:r>
            <w:r>
              <w:rPr>
                <w:rFonts w:hint="eastAsia" w:cs="Times New Roman"/>
                <w:color w:val="auto"/>
                <w:highlight w:val="none"/>
                <w:lang w:val="en-US" w:eastAsia="zh-CN"/>
              </w:rPr>
              <w:t>2</w:t>
            </w:r>
            <w:r>
              <w:rPr>
                <w:rFonts w:hint="eastAsia" w:eastAsia="宋体" w:cs="Times New Roman"/>
                <w:color w:val="auto"/>
                <w:highlight w:val="none"/>
                <w:lang w:val="en-US" w:eastAsia="zh-CN"/>
              </w:rPr>
              <w:t>分。（相关合同案例须与出版社直接签订，非第三方授权协议）</w:t>
            </w:r>
          </w:p>
          <w:p>
            <w:pPr>
              <w:pStyle w:val="33"/>
              <w:ind w:left="0" w:leftChars="0" w:firstLine="0" w:firstLineChars="0"/>
              <w:rPr>
                <w:rFonts w:hint="default"/>
                <w:color w:val="auto"/>
                <w:highlight w:val="none"/>
                <w:lang w:val="en-US" w:eastAsia="zh-CN"/>
              </w:rPr>
            </w:pPr>
            <w:r>
              <w:rPr>
                <w:rFonts w:hint="eastAsia" w:cs="Times New Roman"/>
                <w:color w:val="auto"/>
                <w:highlight w:val="none"/>
                <w:lang w:val="en-US" w:eastAsia="zh-CN"/>
              </w:rPr>
              <w:t>5</w:t>
            </w:r>
            <w:r>
              <w:rPr>
                <w:rFonts w:hint="eastAsia" w:eastAsia="宋体" w:cs="Times New Roman"/>
                <w:color w:val="auto"/>
                <w:highlight w:val="none"/>
                <w:lang w:val="en-US" w:eastAsia="zh-CN"/>
              </w:rPr>
              <w:t>）</w:t>
            </w:r>
            <w:r>
              <w:rPr>
                <w:rFonts w:hint="eastAsia" w:cs="Times New Roman"/>
                <w:color w:val="auto"/>
                <w:highlight w:val="none"/>
                <w:lang w:val="en-US" w:eastAsia="zh-CN"/>
              </w:rPr>
              <w:t>投标人</w:t>
            </w:r>
            <w:r>
              <w:rPr>
                <w:rFonts w:hint="eastAsia" w:eastAsia="宋体" w:cs="Times New Roman"/>
                <w:color w:val="auto"/>
                <w:highlight w:val="none"/>
                <w:lang w:val="en-US" w:eastAsia="zh-CN"/>
              </w:rPr>
              <w:t>能承诺课程在平台运行每轮达到的选课人数。专业课</w:t>
            </w:r>
            <w:r>
              <w:rPr>
                <w:rFonts w:hint="eastAsia" w:cs="Times New Roman"/>
                <w:color w:val="auto"/>
                <w:highlight w:val="none"/>
                <w:lang w:val="en-US" w:eastAsia="zh-CN"/>
              </w:rPr>
              <w:t>2</w:t>
            </w:r>
            <w:r>
              <w:rPr>
                <w:rFonts w:hint="eastAsia" w:eastAsia="宋体" w:cs="Times New Roman"/>
                <w:color w:val="auto"/>
                <w:highlight w:val="none"/>
                <w:lang w:val="en-US" w:eastAsia="zh-CN"/>
              </w:rPr>
              <w:t>000人次、通识课</w:t>
            </w:r>
            <w:r>
              <w:rPr>
                <w:rFonts w:hint="eastAsia" w:cs="Times New Roman"/>
                <w:color w:val="auto"/>
                <w:highlight w:val="none"/>
                <w:lang w:val="en-US" w:eastAsia="zh-CN"/>
              </w:rPr>
              <w:t>4</w:t>
            </w:r>
            <w:r>
              <w:rPr>
                <w:rFonts w:hint="eastAsia" w:eastAsia="宋体" w:cs="Times New Roman"/>
                <w:color w:val="auto"/>
                <w:highlight w:val="none"/>
                <w:lang w:val="en-US" w:eastAsia="zh-CN"/>
              </w:rPr>
              <w:t>000人次得2分；超过50%得3分；其它不得分。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rPr>
                <w:rFonts w:hint="eastAsia" w:ascii="宋体" w:hAnsi="宋体" w:eastAsia="宋体" w:cs="宋体"/>
                <w:bCs/>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rPr>
              <w:t>场地与设备</w:t>
            </w:r>
          </w:p>
        </w:tc>
        <w:tc>
          <w:tcPr>
            <w:tcW w:w="460" w:type="dxa"/>
            <w:noWrap w:val="0"/>
            <w:vAlign w:val="center"/>
          </w:tcPr>
          <w:p>
            <w:pPr>
              <w:jc w:val="center"/>
              <w:rPr>
                <w:rFonts w:hint="eastAsia" w:ascii="宋体" w:hAnsi="宋体" w:eastAsia="宋体" w:cs="宋体"/>
                <w:bCs/>
                <w:color w:val="auto"/>
                <w:spacing w:val="-6"/>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686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本地</w:t>
            </w:r>
            <w:r>
              <w:rPr>
                <w:rFonts w:hint="eastAsia" w:ascii="宋体" w:hAnsi="宋体" w:eastAsia="宋体" w:cs="宋体"/>
                <w:color w:val="auto"/>
                <w:sz w:val="21"/>
                <w:szCs w:val="21"/>
                <w:highlight w:val="none"/>
              </w:rPr>
              <w:t>有拍摄制作场地</w:t>
            </w:r>
            <w:r>
              <w:rPr>
                <w:rFonts w:hint="eastAsia" w:ascii="宋体" w:hAnsi="宋体" w:eastAsia="宋体" w:cs="宋体"/>
                <w:color w:val="auto"/>
                <w:sz w:val="21"/>
                <w:szCs w:val="21"/>
                <w:highlight w:val="none"/>
                <w:lang w:eastAsia="zh-CN"/>
              </w:rPr>
              <w:t>或承诺中标后在</w:t>
            </w:r>
            <w:r>
              <w:rPr>
                <w:rFonts w:hint="eastAsia" w:ascii="宋体" w:hAnsi="宋体" w:cs="宋体"/>
                <w:color w:val="auto"/>
                <w:sz w:val="21"/>
                <w:szCs w:val="21"/>
                <w:highlight w:val="none"/>
                <w:lang w:val="en-US" w:eastAsia="zh-CN"/>
              </w:rPr>
              <w:t>本地</w:t>
            </w:r>
            <w:r>
              <w:rPr>
                <w:rFonts w:hint="eastAsia" w:ascii="宋体" w:hAnsi="宋体" w:eastAsia="宋体" w:cs="宋体"/>
                <w:color w:val="auto"/>
                <w:sz w:val="21"/>
                <w:szCs w:val="21"/>
                <w:highlight w:val="none"/>
                <w:lang w:eastAsia="zh-CN"/>
              </w:rPr>
              <w:t>设立</w:t>
            </w:r>
            <w:r>
              <w:rPr>
                <w:rFonts w:hint="eastAsia" w:ascii="宋体" w:hAnsi="宋体" w:eastAsia="宋体" w:cs="宋体"/>
                <w:color w:val="auto"/>
                <w:sz w:val="21"/>
                <w:szCs w:val="21"/>
                <w:highlight w:val="none"/>
              </w:rPr>
              <w:t>拍摄制作场地且设备配置齐全的</w:t>
            </w:r>
            <w:r>
              <w:rPr>
                <w:rFonts w:hint="eastAsia" w:ascii="宋体" w:hAnsi="宋体" w:eastAsia="宋体" w:cs="宋体"/>
                <w:color w:val="auto"/>
                <w:sz w:val="21"/>
                <w:szCs w:val="21"/>
                <w:highlight w:val="none"/>
                <w:lang w:val="en-US" w:eastAsia="zh-CN"/>
              </w:rPr>
              <w:t>并承诺指派相关技术人员进驻学校拍摄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浙江省内有场地或</w:t>
            </w:r>
            <w:r>
              <w:rPr>
                <w:rFonts w:hint="eastAsia" w:ascii="宋体" w:hAnsi="宋体" w:eastAsia="宋体" w:cs="宋体"/>
                <w:color w:val="auto"/>
                <w:sz w:val="21"/>
                <w:szCs w:val="21"/>
                <w:highlight w:val="none"/>
                <w:lang w:eastAsia="zh-CN"/>
              </w:rPr>
              <w:t>承诺中标后在浙江省内设立</w:t>
            </w:r>
            <w:r>
              <w:rPr>
                <w:rFonts w:hint="eastAsia" w:ascii="宋体" w:hAnsi="宋体" w:eastAsia="宋体" w:cs="宋体"/>
                <w:color w:val="auto"/>
                <w:sz w:val="21"/>
                <w:szCs w:val="21"/>
                <w:highlight w:val="none"/>
              </w:rPr>
              <w:t>拍摄制作场地</w:t>
            </w:r>
            <w:r>
              <w:rPr>
                <w:rFonts w:hint="eastAsia" w:ascii="宋体" w:hAnsi="宋体" w:eastAsia="宋体" w:cs="宋体"/>
                <w:color w:val="auto"/>
                <w:sz w:val="21"/>
                <w:szCs w:val="21"/>
                <w:highlight w:val="none"/>
              </w:rPr>
              <w:t>且设备相对齐全的</w:t>
            </w:r>
            <w:r>
              <w:rPr>
                <w:rFonts w:hint="eastAsia" w:ascii="宋体" w:hAnsi="宋体" w:eastAsia="宋体" w:cs="宋体"/>
                <w:color w:val="auto"/>
                <w:sz w:val="21"/>
                <w:szCs w:val="21"/>
                <w:highlight w:val="none"/>
                <w:lang w:val="en-US" w:eastAsia="zh-CN"/>
              </w:rPr>
              <w:t>并承诺指派相关技术人员进驻学校拍摄得1分；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无场地</w:t>
            </w:r>
            <w:r>
              <w:rPr>
                <w:rFonts w:hint="eastAsia" w:ascii="宋体" w:hAnsi="宋体" w:eastAsia="宋体" w:cs="宋体"/>
                <w:color w:val="auto"/>
                <w:sz w:val="21"/>
                <w:szCs w:val="21"/>
                <w:highlight w:val="none"/>
                <w:lang w:val="en-US" w:eastAsia="zh-CN"/>
              </w:rPr>
              <w:t>或承诺</w:t>
            </w:r>
            <w:r>
              <w:rPr>
                <w:rFonts w:hint="eastAsia" w:ascii="宋体" w:hAnsi="宋体" w:eastAsia="宋体" w:cs="宋体"/>
                <w:color w:val="auto"/>
                <w:sz w:val="21"/>
                <w:szCs w:val="21"/>
                <w:highlight w:val="none"/>
              </w:rPr>
              <w:t>不得分。</w:t>
            </w:r>
          </w:p>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须提供场地证明材料</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承诺函</w:t>
            </w:r>
            <w:r>
              <w:rPr>
                <w:rFonts w:hint="eastAsia" w:ascii="宋体" w:hAnsi="宋体" w:cs="宋体"/>
                <w:color w:val="auto"/>
                <w:sz w:val="21"/>
                <w:szCs w:val="21"/>
                <w:highlight w:val="none"/>
                <w:lang w:eastAsia="zh-CN"/>
              </w:rPr>
              <w:t>并加盖公章</w:t>
            </w:r>
            <w:r>
              <w:rPr>
                <w:rFonts w:hint="eastAsia" w:ascii="宋体" w:hAnsi="宋体" w:eastAsia="宋体" w:cs="宋体"/>
                <w:color w:val="auto"/>
                <w:sz w:val="21"/>
                <w:szCs w:val="21"/>
                <w:highlight w:val="none"/>
              </w:rPr>
              <w:t>，第三方授权服务场地不得分。中标公示期间，采购人有权去勘测应标人提供的场地，提供虚假场地和设备证明，可取消中标资格</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spacing w:line="288" w:lineRule="auto"/>
              <w:jc w:val="center"/>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视频</w:t>
            </w:r>
            <w:r>
              <w:rPr>
                <w:rFonts w:hint="eastAsia" w:ascii="宋体" w:hAnsi="宋体" w:eastAsia="宋体" w:cs="宋体"/>
                <w:color w:val="auto"/>
                <w:spacing w:val="-6"/>
                <w:sz w:val="21"/>
                <w:szCs w:val="21"/>
                <w:highlight w:val="none"/>
              </w:rPr>
              <w:t>演示</w:t>
            </w:r>
          </w:p>
        </w:tc>
        <w:tc>
          <w:tcPr>
            <w:tcW w:w="460" w:type="dxa"/>
            <w:noWrap w:val="0"/>
            <w:vAlign w:val="center"/>
          </w:tcPr>
          <w:p>
            <w:pPr>
              <w:spacing w:line="288" w:lineRule="auto"/>
              <w:jc w:val="center"/>
              <w:rPr>
                <w:rFonts w:hint="default" w:ascii="宋体" w:hAnsi="宋体" w:eastAsia="宋体" w:cs="宋体"/>
                <w:color w:val="auto"/>
                <w:sz w:val="21"/>
                <w:szCs w:val="21"/>
                <w:highlight w:val="none"/>
                <w:lang w:val="en-US"/>
              </w:rPr>
            </w:pPr>
            <w:r>
              <w:rPr>
                <w:rFonts w:hint="eastAsia" w:ascii="宋体" w:hAnsi="宋体" w:cs="宋体"/>
                <w:color w:val="auto"/>
                <w:spacing w:val="-6"/>
                <w:sz w:val="21"/>
                <w:szCs w:val="21"/>
                <w:highlight w:val="none"/>
                <w:lang w:val="en-US" w:eastAsia="zh-CN"/>
              </w:rPr>
              <w:t>20</w:t>
            </w:r>
          </w:p>
        </w:tc>
        <w:tc>
          <w:tcPr>
            <w:tcW w:w="6867" w:type="dxa"/>
            <w:noWrap w:val="0"/>
            <w:vAlign w:val="center"/>
          </w:tcPr>
          <w:p>
            <w:pPr>
              <w:widowControl/>
              <w:numPr>
                <w:ilvl w:val="0"/>
                <w:numId w:val="0"/>
              </w:numPr>
              <w:adjustRightInd w:val="0"/>
              <w:snapToGrid w:val="0"/>
              <w:spacing w:line="36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投标人提供已经拍摄</w:t>
            </w:r>
            <w:r>
              <w:rPr>
                <w:rFonts w:hint="eastAsia" w:ascii="宋体" w:hAnsi="宋体" w:eastAsia="宋体" w:cs="宋体"/>
                <w:color w:val="auto"/>
                <w:kern w:val="0"/>
                <w:sz w:val="21"/>
                <w:szCs w:val="21"/>
                <w:highlight w:val="none"/>
                <w:lang w:val="en-US" w:eastAsia="zh-CN"/>
              </w:rPr>
              <w:t>制作</w:t>
            </w:r>
            <w:r>
              <w:rPr>
                <w:rFonts w:hint="eastAsia" w:ascii="宋体" w:hAnsi="宋体" w:eastAsia="宋体" w:cs="宋体"/>
                <w:color w:val="auto"/>
                <w:kern w:val="0"/>
                <w:sz w:val="21"/>
                <w:szCs w:val="21"/>
                <w:highlight w:val="none"/>
              </w:rPr>
              <w:t>完成的样片</w:t>
            </w:r>
            <w:r>
              <w:rPr>
                <w:rFonts w:hint="eastAsia" w:ascii="宋体" w:hAnsi="宋体" w:eastAsia="宋体" w:cs="宋体"/>
                <w:color w:val="auto"/>
                <w:kern w:val="0"/>
                <w:sz w:val="21"/>
                <w:szCs w:val="21"/>
                <w:highlight w:val="none"/>
                <w:lang w:val="en-US" w:eastAsia="zh-CN"/>
              </w:rPr>
              <w:t>集锦</w:t>
            </w:r>
            <w:r>
              <w:rPr>
                <w:rFonts w:hint="eastAsia" w:ascii="宋体" w:hAnsi="宋体" w:cs="宋体"/>
                <w:b/>
                <w:bCs/>
                <w:color w:val="auto"/>
                <w:kern w:val="0"/>
                <w:sz w:val="21"/>
                <w:szCs w:val="21"/>
                <w:highlight w:val="none"/>
                <w:lang w:val="en-US" w:eastAsia="zh-CN"/>
              </w:rPr>
              <w:t>(U盘形式)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总时长不超过5分钟。按照以下档位进行评分，最高得10分。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1）视频整体制作水平优秀，慕课课程视频提供</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种以上拍摄模式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充分体现课程特色和课程元素，传播力及感染力强；平台功能强大，界面清晰，操作方便，得</w:t>
            </w:r>
            <w:r>
              <w:rPr>
                <w:rFonts w:hint="eastAsia" w:ascii="宋体" w:hAnsi="宋体" w:eastAsia="宋体" w:cs="宋体"/>
                <w:color w:val="auto"/>
                <w:kern w:val="0"/>
                <w:sz w:val="21"/>
                <w:szCs w:val="21"/>
                <w:highlight w:val="none"/>
                <w:lang w:val="en-US" w:eastAsia="zh-CN"/>
              </w:rPr>
              <w:t>8-10</w:t>
            </w:r>
            <w:r>
              <w:rPr>
                <w:rFonts w:hint="eastAsia" w:ascii="宋体" w:hAnsi="宋体" w:eastAsia="宋体" w:cs="宋体"/>
                <w:color w:val="auto"/>
                <w:kern w:val="0"/>
                <w:sz w:val="21"/>
                <w:szCs w:val="21"/>
                <w:highlight w:val="none"/>
              </w:rPr>
              <w:t>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2）视频整体制作水平良好，慕课课程视频提供</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种以上拍摄模式,课程特色和课程元素一般，传播力及感染力一般；平台功能、界面、操作一般，得</w:t>
            </w:r>
            <w:r>
              <w:rPr>
                <w:rFonts w:hint="eastAsia" w:ascii="宋体" w:hAnsi="宋体" w:eastAsia="宋体" w:cs="宋体"/>
                <w:color w:val="auto"/>
                <w:kern w:val="0"/>
                <w:sz w:val="21"/>
                <w:szCs w:val="21"/>
                <w:highlight w:val="none"/>
                <w:lang w:val="en-US" w:eastAsia="zh-CN"/>
              </w:rPr>
              <w:t>4-7</w:t>
            </w:r>
            <w:r>
              <w:rPr>
                <w:rFonts w:hint="eastAsia" w:ascii="宋体" w:hAnsi="宋体" w:eastAsia="宋体" w:cs="宋体"/>
                <w:color w:val="auto"/>
                <w:kern w:val="0"/>
                <w:sz w:val="21"/>
                <w:szCs w:val="21"/>
                <w:highlight w:val="none"/>
              </w:rPr>
              <w:t>分；</w:t>
            </w:r>
          </w:p>
          <w:p>
            <w:pPr>
              <w:widowControl/>
              <w:adjustRightInd w:val="0"/>
              <w:snapToGrid w:val="0"/>
              <w:spacing w:line="3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3）视频整体制作水平一般，慕课课程视频拍摄模式单一，传播力及感染力差；平台功能较少，界面繁琐，操作不便，得0-</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投标人</w:t>
            </w:r>
            <w:r>
              <w:rPr>
                <w:rFonts w:hint="eastAsia"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演示课程运行平台相关功能</w:t>
            </w:r>
            <w:r>
              <w:rPr>
                <w:rFonts w:hint="eastAsia" w:hAnsi="宋体" w:cs="宋体"/>
                <w:color w:val="auto"/>
                <w:sz w:val="21"/>
                <w:szCs w:val="21"/>
                <w:highlight w:val="none"/>
                <w:lang w:val="en-US" w:eastAsia="zh-CN"/>
              </w:rPr>
              <w:t>进行</w:t>
            </w:r>
            <w:r>
              <w:rPr>
                <w:rFonts w:hint="eastAsia" w:hAnsi="宋体" w:cs="宋体"/>
                <w:color w:val="auto"/>
                <w:sz w:val="21"/>
                <w:szCs w:val="21"/>
                <w:highlight w:val="none"/>
                <w:lang w:val="en-US" w:eastAsia="zh-CN"/>
              </w:rPr>
              <w:t>视频录制</w:t>
            </w:r>
            <w:r>
              <w:rPr>
                <w:rFonts w:hint="eastAsia" w:hAnsi="宋体" w:cs="宋体"/>
                <w:b/>
                <w:bCs/>
                <w:color w:val="auto"/>
                <w:sz w:val="21"/>
                <w:szCs w:val="21"/>
                <w:highlight w:val="none"/>
                <w:lang w:val="en-US" w:eastAsia="zh-CN"/>
              </w:rPr>
              <w:t>（U盘形式）</w:t>
            </w:r>
            <w:r>
              <w:rPr>
                <w:rFonts w:hint="eastAsia" w:ascii="宋体" w:hAnsi="宋体" w:eastAsia="宋体" w:cs="宋体"/>
                <w:color w:val="auto"/>
                <w:sz w:val="21"/>
                <w:szCs w:val="21"/>
                <w:highlight w:val="none"/>
                <w:lang w:val="en-US" w:eastAsia="zh-CN"/>
              </w:rPr>
              <w:t>，最高得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所制作的课程必须满足精品在线开放课程教学要求，供方精品在线开放课程教学平台及配套手机 APP 客户端，并需要做如下演示：</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可通过PC端进行课程建设，包括概要设计、教学团队、在线教程、考核方法，评分共三</w:t>
            </w:r>
            <w:r>
              <w:rPr>
                <w:rFonts w:hint="eastAsia" w:ascii="宋体" w:hAnsi="宋体" w:cs="宋体"/>
                <w:color w:val="auto"/>
                <w:kern w:val="0"/>
                <w:sz w:val="21"/>
                <w:szCs w:val="21"/>
                <w:highlight w:val="none"/>
                <w:lang w:eastAsia="zh-CN"/>
              </w:rPr>
              <w:t>档</w:t>
            </w:r>
            <w:r>
              <w:rPr>
                <w:rFonts w:hint="eastAsia" w:ascii="宋体" w:hAnsi="宋体" w:eastAsia="宋体" w:cs="宋体"/>
                <w:color w:val="auto"/>
                <w:kern w:val="0"/>
                <w:sz w:val="21"/>
                <w:szCs w:val="21"/>
                <w:highlight w:val="none"/>
              </w:rPr>
              <w:t>：</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一档（4-5分）：PC端平台功能强大，界面清晰，操作方便；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二档（2-3分）：PC端平台功能一般，界面一般，操作一般；</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三档（1分）：PC端平台功能较少，界面繁琐，操作不便。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可用手机端实时查阅所建设课程的运行学情报告，包含学习人次、课程考核模式、在线视频、在线论坛讨论、见面课参与度等数据分析，评分共三</w:t>
            </w:r>
            <w:r>
              <w:rPr>
                <w:rFonts w:hint="eastAsia" w:ascii="宋体" w:hAnsi="宋体" w:cs="宋体"/>
                <w:color w:val="auto"/>
                <w:kern w:val="0"/>
                <w:sz w:val="21"/>
                <w:szCs w:val="21"/>
                <w:highlight w:val="none"/>
                <w:lang w:eastAsia="zh-CN"/>
              </w:rPr>
              <w:t>档</w:t>
            </w:r>
            <w:r>
              <w:rPr>
                <w:rFonts w:hint="eastAsia" w:ascii="宋体" w:hAnsi="宋体" w:eastAsia="宋体" w:cs="宋体"/>
                <w:color w:val="auto"/>
                <w:kern w:val="0"/>
                <w:sz w:val="21"/>
                <w:szCs w:val="21"/>
                <w:highlight w:val="none"/>
              </w:rPr>
              <w:t>：</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一档（4-5分）：手机端功能强大，界面清晰，操作方便；</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分）：手机端功能一般，界面一般，操作一般；</w:t>
            </w:r>
          </w:p>
          <w:p>
            <w:pPr>
              <w:widowControl/>
              <w:adjustRightInd w:val="0"/>
              <w:snapToGrid w:val="0"/>
              <w:spacing w:line="36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三档（1分）：手机端功能较少，界面繁琐，操作不便。</w:t>
            </w:r>
          </w:p>
          <w:p>
            <w:pPr>
              <w:widowControl/>
              <w:numPr>
                <w:ilvl w:val="0"/>
                <w:numId w:val="0"/>
              </w:numPr>
              <w:adjustRightInd w:val="0"/>
              <w:snapToGrid w:val="0"/>
              <w:spacing w:line="36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投标人无须现场演示，将以上演示内容拷贝至U盘按前附表要求邮寄</w:t>
            </w:r>
            <w:r>
              <w:rPr>
                <w:rFonts w:hint="eastAsia" w:ascii="宋体" w:hAnsi="宋体" w:eastAsia="宋体" w:cs="宋体"/>
                <w:b/>
                <w:bCs/>
                <w:color w:val="auto"/>
                <w:kern w:val="0"/>
                <w:sz w:val="21"/>
                <w:szCs w:val="21"/>
                <w:highlight w:val="none"/>
              </w:rPr>
              <w:t>，不演示不得分。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项目建设方案</w:t>
            </w:r>
          </w:p>
        </w:tc>
        <w:tc>
          <w:tcPr>
            <w:tcW w:w="460" w:type="dxa"/>
            <w:noWrap w:val="0"/>
            <w:vAlign w:val="center"/>
          </w:tcPr>
          <w:p>
            <w:pPr>
              <w:jc w:val="center"/>
              <w:rPr>
                <w:rFonts w:hint="eastAsia" w:ascii="宋体" w:hAnsi="宋体" w:eastAsia="宋体" w:cs="宋体"/>
                <w:color w:val="auto"/>
                <w:spacing w:val="-6"/>
                <w:sz w:val="21"/>
                <w:szCs w:val="21"/>
                <w:highlight w:val="none"/>
                <w:lang w:eastAsia="zh-CN"/>
              </w:rPr>
            </w:pPr>
            <w:r>
              <w:rPr>
                <w:rFonts w:hint="default" w:ascii="宋体" w:hAnsi="宋体" w:eastAsia="宋体" w:cs="宋体"/>
                <w:color w:val="auto"/>
                <w:sz w:val="21"/>
                <w:szCs w:val="21"/>
                <w:highlight w:val="none"/>
                <w:lang w:eastAsia="zh-CN"/>
              </w:rPr>
              <w:t>10</w:t>
            </w:r>
          </w:p>
        </w:tc>
        <w:tc>
          <w:tcPr>
            <w:tcW w:w="686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分，按方案优劣划分，分为三档，由评委在打分前根据投标人制作方案优劣情况集体讨论确定各投标人所属档次，然后由各评委在相应的档次内独立打分。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分）：完全满足招标要求，人员、设备、时间安排合理，各项管理制度完善，在满足招标要求的前提下能提出合理化建议并被接受。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分）：方案详细，人员、设备、时间安排合理，但管理制度相对欠缺，无合理化建议或建议不能被接受，满足招标要求。</w:t>
            </w:r>
          </w:p>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三档（0～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分）：方案详细，人员、设备、时间安排稍欠缺合理性，管理制度相对欠缺，无合理化建议或建议不能被接受，但基本满足招标要求。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59" w:type="dxa"/>
            <w:gridSpan w:val="3"/>
            <w:noWrap w:val="0"/>
            <w:vAlign w:val="center"/>
          </w:tcPr>
          <w:p>
            <w:pPr>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价格分（</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2"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价格</w:t>
            </w:r>
          </w:p>
        </w:tc>
        <w:tc>
          <w:tcPr>
            <w:tcW w:w="46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867" w:type="dxa"/>
            <w:noWrap w:val="0"/>
            <w:vAlign w:val="center"/>
          </w:tcPr>
          <w:p>
            <w:pPr>
              <w:rPr>
                <w:rFonts w:hint="eastAsia" w:ascii="宋体" w:hAnsi="宋体" w:eastAsia="宋体" w:cs="宋体"/>
                <w:color w:val="auto"/>
                <w:sz w:val="21"/>
                <w:szCs w:val="21"/>
                <w:highlight w:val="none"/>
              </w:rPr>
            </w:pPr>
            <w:r>
              <w:rPr>
                <w:rFonts w:hint="eastAsia" w:ascii="宋体" w:hAnsi="宋体" w:cs="宋体"/>
                <w:color w:val="auto"/>
                <w:szCs w:val="21"/>
                <w:highlight w:val="none"/>
              </w:rPr>
              <w:t>以有效报价的最低价为基准价，其价格分为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0分。其它投标人的价格分按照下列公式计算：投标报价得分=（评标基准价/投标报价）×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0（小数点后保留2位小数）（注：对于小型和微型企业产品的价格给予6%的扣除，用扣除后的价格参与评审。小型和微型企业需填写《中小企业声明函》）。</w:t>
            </w:r>
          </w:p>
        </w:tc>
      </w:tr>
    </w:tbl>
    <w:p>
      <w:pPr>
        <w:pStyle w:val="14"/>
        <w:jc w:val="center"/>
        <w:rPr>
          <w:rFonts w:hint="eastAsia" w:ascii="宋体" w:hAnsi="宋体" w:eastAsia="宋体"/>
          <w:b/>
          <w:color w:val="auto"/>
          <w:sz w:val="28"/>
          <w:szCs w:val="28"/>
          <w:highlight w:val="none"/>
        </w:rPr>
        <w:sectPr>
          <w:pgSz w:w="11906" w:h="16838"/>
          <w:pgMar w:top="1440" w:right="1800" w:bottom="1440" w:left="1800" w:header="851" w:footer="992" w:gutter="0"/>
          <w:cols w:space="425" w:num="1"/>
          <w:docGrid w:type="lines" w:linePitch="312" w:charSpace="0"/>
        </w:sectPr>
      </w:pPr>
    </w:p>
    <w:p>
      <w:pPr>
        <w:rPr>
          <w:rFonts w:hint="eastAsia"/>
          <w:color w:val="auto"/>
          <w:highlight w:val="none"/>
        </w:rPr>
      </w:pPr>
    </w:p>
    <w:p>
      <w:pPr>
        <w:numPr>
          <w:ilvl w:val="0"/>
          <w:numId w:val="3"/>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pPr>
        <w:tabs>
          <w:tab w:val="left" w:pos="8280"/>
        </w:tabs>
        <w:autoSpaceDE w:val="0"/>
        <w:autoSpaceDN w:val="0"/>
        <w:adjustRightInd w:val="0"/>
        <w:spacing w:line="360" w:lineRule="auto"/>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rPr>
        <w:t>个标段，具体内容如下表：</w:t>
      </w:r>
    </w:p>
    <w:tbl>
      <w:tblPr>
        <w:tblStyle w:val="3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41"/>
        <w:gridCol w:w="2143"/>
        <w:gridCol w:w="1007"/>
        <w:gridCol w:w="666"/>
        <w:gridCol w:w="66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54"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标段号</w:t>
            </w:r>
          </w:p>
        </w:tc>
        <w:tc>
          <w:tcPr>
            <w:tcW w:w="2441" w:type="dxa"/>
            <w:shd w:val="clear" w:color="auto" w:fill="EEECE1"/>
            <w:noWrap w:val="0"/>
            <w:vAlign w:val="center"/>
          </w:tcPr>
          <w:p>
            <w:pPr>
              <w:tabs>
                <w:tab w:val="left" w:pos="8280"/>
              </w:tabs>
              <w:autoSpaceDE w:val="0"/>
              <w:autoSpaceDN w:val="0"/>
              <w:adjustRightInd w:val="0"/>
              <w:spacing w:line="360" w:lineRule="auto"/>
              <w:ind w:right="25" w:firstLine="120" w:firstLineChars="50"/>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2143" w:type="dxa"/>
            <w:shd w:val="clear" w:color="auto" w:fill="EEECE1"/>
            <w:noWrap w:val="0"/>
            <w:vAlign w:val="center"/>
          </w:tcPr>
          <w:p>
            <w:pPr>
              <w:tabs>
                <w:tab w:val="left" w:pos="8280"/>
              </w:tabs>
              <w:autoSpaceDE w:val="0"/>
              <w:autoSpaceDN w:val="0"/>
              <w:adjustRightInd w:val="0"/>
              <w:spacing w:line="360" w:lineRule="auto"/>
              <w:ind w:right="25"/>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相关学院</w:t>
            </w:r>
          </w:p>
        </w:tc>
        <w:tc>
          <w:tcPr>
            <w:tcW w:w="1007" w:type="dxa"/>
            <w:shd w:val="clear" w:color="auto" w:fill="EEECE1"/>
            <w:noWrap w:val="0"/>
            <w:vAlign w:val="center"/>
          </w:tcPr>
          <w:p>
            <w:pPr>
              <w:tabs>
                <w:tab w:val="left" w:pos="8280"/>
              </w:tabs>
              <w:autoSpaceDE w:val="0"/>
              <w:autoSpaceDN w:val="0"/>
              <w:adjustRightInd w:val="0"/>
              <w:spacing w:line="360" w:lineRule="auto"/>
              <w:ind w:right="25"/>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要求</w:t>
            </w:r>
          </w:p>
        </w:tc>
        <w:tc>
          <w:tcPr>
            <w:tcW w:w="666"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666"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1220" w:type="dxa"/>
            <w:shd w:val="clear" w:color="auto" w:fill="EEECE1"/>
            <w:noWrap w:val="0"/>
            <w:vAlign w:val="center"/>
          </w:tcPr>
          <w:p>
            <w:pPr>
              <w:tabs>
                <w:tab w:val="left" w:pos="8280"/>
              </w:tabs>
              <w:autoSpaceDE w:val="0"/>
              <w:autoSpaceDN w:val="0"/>
              <w:adjustRightInd w:val="0"/>
              <w:spacing w:line="360" w:lineRule="auto"/>
              <w:ind w:right="25"/>
              <w:jc w:val="center"/>
              <w:rPr>
                <w:rFonts w:ascii="宋体" w:hAnsi="宋体" w:eastAsia="宋体"/>
                <w:b/>
                <w:color w:val="auto"/>
                <w:sz w:val="24"/>
                <w:highlight w:val="none"/>
              </w:rPr>
            </w:pPr>
            <w:r>
              <w:rPr>
                <w:rFonts w:hint="eastAsia" w:ascii="宋体" w:hAnsi="宋体" w:eastAsia="宋体"/>
                <w:b/>
                <w:color w:val="auto"/>
                <w:sz w:val="24"/>
                <w:highlight w:val="none"/>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54" w:type="dxa"/>
            <w:noWrap w:val="0"/>
            <w:vAlign w:val="center"/>
          </w:tcPr>
          <w:p>
            <w:pPr>
              <w:tabs>
                <w:tab w:val="left" w:pos="8280"/>
              </w:tabs>
              <w:autoSpaceDE w:val="0"/>
              <w:autoSpaceDN w:val="0"/>
              <w:adjustRightInd w:val="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2441" w:type="dxa"/>
            <w:noWrap w:val="0"/>
            <w:vAlign w:val="center"/>
          </w:tcPr>
          <w:p>
            <w:pPr>
              <w:widowControl/>
              <w:spacing w:line="240" w:lineRule="auto"/>
              <w:jc w:val="center"/>
              <w:rPr>
                <w:rFonts w:ascii="宋体" w:hAnsi="宋体" w:eastAsia="宋体"/>
                <w:color w:val="auto"/>
                <w:sz w:val="24"/>
                <w:highlight w:val="none"/>
              </w:rPr>
            </w:pPr>
            <w:r>
              <w:rPr>
                <w:rFonts w:hint="eastAsia" w:ascii="宋体" w:hAnsi="宋体" w:cs="宋体"/>
                <w:color w:val="auto"/>
                <w:szCs w:val="21"/>
                <w:highlight w:val="none"/>
                <w:lang w:val="en-US" w:eastAsia="zh-CN"/>
              </w:rPr>
              <w:t>台州学院一流课程建设及运行服务（一）</w:t>
            </w:r>
          </w:p>
        </w:tc>
        <w:tc>
          <w:tcPr>
            <w:tcW w:w="214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szCs w:val="21"/>
                <w:highlight w:val="none"/>
                <w:lang w:val="en-US" w:eastAsia="zh-CN"/>
              </w:rPr>
              <w:t>人文、外语、教育、艺术、创业、建工等</w:t>
            </w:r>
          </w:p>
        </w:tc>
        <w:tc>
          <w:tcPr>
            <w:tcW w:w="1007" w:type="dxa"/>
            <w:noWrap w:val="0"/>
            <w:vAlign w:val="center"/>
          </w:tcPr>
          <w:p>
            <w:pPr>
              <w:widowControl/>
              <w:jc w:val="center"/>
              <w:rPr>
                <w:rFonts w:ascii="宋体" w:hAnsi="宋体" w:eastAsia="宋体"/>
                <w:color w:val="auto"/>
                <w:sz w:val="24"/>
                <w:highlight w:val="none"/>
              </w:rPr>
            </w:pPr>
            <w:r>
              <w:rPr>
                <w:rFonts w:hint="eastAsia" w:ascii="宋体" w:hAnsi="宋体" w:cs="宋体"/>
                <w:color w:val="auto"/>
                <w:kern w:val="0"/>
                <w:sz w:val="24"/>
                <w:highlight w:val="none"/>
              </w:rPr>
              <w:t>详见技术需求</w:t>
            </w:r>
          </w:p>
        </w:tc>
        <w:tc>
          <w:tcPr>
            <w:tcW w:w="666" w:type="dxa"/>
            <w:noWrap w:val="0"/>
            <w:vAlign w:val="center"/>
          </w:tcPr>
          <w:p>
            <w:pPr>
              <w:widowControl/>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w:t>
            </w:r>
          </w:p>
        </w:tc>
        <w:tc>
          <w:tcPr>
            <w:tcW w:w="666" w:type="dxa"/>
            <w:noWrap w:val="0"/>
            <w:vAlign w:val="center"/>
          </w:tcPr>
          <w:p>
            <w:pPr>
              <w:widowControl/>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门</w:t>
            </w:r>
          </w:p>
        </w:tc>
        <w:tc>
          <w:tcPr>
            <w:tcW w:w="1220" w:type="dxa"/>
            <w:noWrap w:val="0"/>
            <w:vAlign w:val="center"/>
          </w:tcPr>
          <w:p>
            <w:pPr>
              <w:tabs>
                <w:tab w:val="left" w:pos="8280"/>
              </w:tabs>
              <w:autoSpaceDE w:val="0"/>
              <w:autoSpaceDN w:val="0"/>
              <w:adjustRightInd w:val="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54" w:type="dxa"/>
            <w:noWrap w:val="0"/>
            <w:vAlign w:val="center"/>
          </w:tcPr>
          <w:p>
            <w:pPr>
              <w:tabs>
                <w:tab w:val="left" w:pos="8280"/>
              </w:tabs>
              <w:autoSpaceDE w:val="0"/>
              <w:autoSpaceDN w:val="0"/>
              <w:adjustRightInd w:val="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2441" w:type="dxa"/>
            <w:noWrap w:val="0"/>
            <w:vAlign w:val="center"/>
          </w:tcPr>
          <w:p>
            <w:pPr>
              <w:widowControl/>
              <w:spacing w:line="240" w:lineRule="auto"/>
              <w:jc w:val="center"/>
              <w:rPr>
                <w:rFonts w:hAnsi="宋体"/>
                <w:color w:val="auto"/>
                <w:sz w:val="24"/>
                <w:szCs w:val="22"/>
                <w:highlight w:val="none"/>
              </w:rPr>
            </w:pPr>
            <w:r>
              <w:rPr>
                <w:rFonts w:hint="eastAsia" w:ascii="宋体" w:hAnsi="宋体" w:cs="宋体"/>
                <w:color w:val="auto"/>
                <w:szCs w:val="21"/>
                <w:highlight w:val="none"/>
                <w:lang w:val="en-US" w:eastAsia="zh-CN"/>
              </w:rPr>
              <w:t>台州学院一流课程建设及运行服务（二）</w:t>
            </w:r>
          </w:p>
        </w:tc>
        <w:tc>
          <w:tcPr>
            <w:tcW w:w="214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szCs w:val="21"/>
                <w:highlight w:val="none"/>
                <w:lang w:val="en-US" w:eastAsia="zh-CN"/>
              </w:rPr>
              <w:t>商学院、医学院、电信、医化、生命、航空等</w:t>
            </w:r>
          </w:p>
        </w:tc>
        <w:tc>
          <w:tcPr>
            <w:tcW w:w="100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666" w:type="dxa"/>
            <w:noWrap w:val="0"/>
            <w:vAlign w:val="center"/>
          </w:tcPr>
          <w:p>
            <w:pPr>
              <w:widowControl/>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w:t>
            </w:r>
          </w:p>
        </w:tc>
        <w:tc>
          <w:tcPr>
            <w:tcW w:w="666" w:type="dxa"/>
            <w:noWrap w:val="0"/>
            <w:vAlign w:val="center"/>
          </w:tcPr>
          <w:p>
            <w:pPr>
              <w:widowControl/>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门</w:t>
            </w:r>
          </w:p>
        </w:tc>
        <w:tc>
          <w:tcPr>
            <w:tcW w:w="1220" w:type="dxa"/>
            <w:noWrap w:val="0"/>
            <w:vAlign w:val="center"/>
          </w:tcPr>
          <w:p>
            <w:pPr>
              <w:tabs>
                <w:tab w:val="left" w:pos="8280"/>
              </w:tabs>
              <w:autoSpaceDE w:val="0"/>
              <w:autoSpaceDN w:val="0"/>
              <w:adjustRightInd w:val="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250</w:t>
            </w:r>
          </w:p>
        </w:tc>
      </w:tr>
    </w:tbl>
    <w:p>
      <w:pPr>
        <w:widowControl/>
        <w:spacing w:line="240" w:lineRule="auto"/>
        <w:jc w:val="both"/>
        <w:rPr>
          <w:rFonts w:hint="eastAsia" w:ascii="宋体" w:hAnsi="宋体" w:eastAsia="宋体" w:cs="宋体"/>
          <w:color w:val="auto"/>
          <w:szCs w:val="21"/>
          <w:highlight w:val="none"/>
          <w:lang w:val="zh-CN" w:eastAsia="zh-CN"/>
        </w:rPr>
      </w:pPr>
    </w:p>
    <w:p>
      <w:pPr>
        <w:keepNext w:val="0"/>
        <w:keepLines w:val="0"/>
        <w:pageBreakBefore w:val="0"/>
        <w:widowControl w:val="0"/>
        <w:numPr>
          <w:ilvl w:val="0"/>
          <w:numId w:val="9"/>
        </w:numPr>
        <w:tabs>
          <w:tab w:val="left" w:pos="180"/>
          <w:tab w:val="left" w:pos="360"/>
          <w:tab w:val="left" w:pos="540"/>
          <w:tab w:val="left" w:pos="8280"/>
          <w:tab w:val="clear" w:pos="312"/>
        </w:tabs>
        <w:kinsoku/>
        <w:wordWrap/>
        <w:overflowPunct/>
        <w:topLinePunct w:val="0"/>
        <w:autoSpaceDE w:val="0"/>
        <w:autoSpaceDN w:val="0"/>
        <w:bidi w:val="0"/>
        <w:adjustRightInd w:val="0"/>
        <w:snapToGrid/>
        <w:spacing w:before="312" w:beforeLines="100" w:line="240" w:lineRule="exact"/>
        <w:ind w:right="23"/>
        <w:jc w:val="left"/>
        <w:textAlignment w:val="auto"/>
        <w:rPr>
          <w:rFonts w:hint="eastAsia" w:asciiTheme="minorEastAsia" w:hAnsiTheme="minorEastAsia" w:eastAsiaTheme="minorEastAsia"/>
          <w:color w:val="auto"/>
          <w:kern w:val="0"/>
          <w:sz w:val="22"/>
          <w:szCs w:val="22"/>
          <w:highlight w:val="none"/>
          <w:lang w:val="zh-CN" w:eastAsia="zh-CN"/>
        </w:rPr>
      </w:pPr>
      <w:r>
        <w:rPr>
          <w:rFonts w:hint="eastAsia" w:asciiTheme="minorEastAsia" w:hAnsiTheme="minorEastAsia" w:eastAsiaTheme="minorEastAsia"/>
          <w:color w:val="auto"/>
          <w:kern w:val="0"/>
          <w:sz w:val="22"/>
          <w:szCs w:val="22"/>
          <w:highlight w:val="none"/>
          <w:lang w:val="zh-CN" w:eastAsia="zh-CN"/>
        </w:rPr>
        <w:t>以上标项不得兼中。如投标单位在标项一中标，不得参加标项二的竞标。</w:t>
      </w:r>
    </w:p>
    <w:p>
      <w:pPr>
        <w:keepNext w:val="0"/>
        <w:keepLines w:val="0"/>
        <w:pageBreakBefore w:val="0"/>
        <w:widowControl w:val="0"/>
        <w:numPr>
          <w:ilvl w:val="0"/>
          <w:numId w:val="9"/>
        </w:numPr>
        <w:tabs>
          <w:tab w:val="left" w:pos="180"/>
          <w:tab w:val="left" w:pos="360"/>
          <w:tab w:val="left" w:pos="540"/>
          <w:tab w:val="left" w:pos="8280"/>
          <w:tab w:val="clear" w:pos="312"/>
        </w:tabs>
        <w:kinsoku/>
        <w:wordWrap/>
        <w:overflowPunct/>
        <w:topLinePunct w:val="0"/>
        <w:autoSpaceDE w:val="0"/>
        <w:autoSpaceDN w:val="0"/>
        <w:bidi w:val="0"/>
        <w:adjustRightInd w:val="0"/>
        <w:snapToGrid/>
        <w:spacing w:before="312" w:beforeLines="100" w:line="240" w:lineRule="exact"/>
        <w:ind w:right="23"/>
        <w:jc w:val="left"/>
        <w:textAlignment w:val="auto"/>
        <w:rPr>
          <w:color w:val="auto"/>
          <w:highlight w:val="none"/>
        </w:rPr>
      </w:pPr>
      <w:r>
        <w:rPr>
          <w:rFonts w:hint="eastAsia" w:asciiTheme="minorEastAsia" w:hAnsiTheme="minorEastAsia" w:eastAsiaTheme="minorEastAsia"/>
          <w:color w:val="auto"/>
          <w:kern w:val="0"/>
          <w:sz w:val="22"/>
          <w:szCs w:val="22"/>
          <w:highlight w:val="none"/>
          <w:lang w:val="en-US" w:eastAsia="zh-CN"/>
        </w:rPr>
        <w:t>拟立项共50门课程，课程以学院划分标项，最终数目根据发文确定。</w:t>
      </w:r>
    </w:p>
    <w:p>
      <w:pPr>
        <w:keepNext w:val="0"/>
        <w:keepLines w:val="0"/>
        <w:pageBreakBefore w:val="0"/>
        <w:widowControl w:val="0"/>
        <w:numPr>
          <w:ilvl w:val="0"/>
          <w:numId w:val="9"/>
        </w:numPr>
        <w:tabs>
          <w:tab w:val="left" w:pos="180"/>
          <w:tab w:val="left" w:pos="360"/>
          <w:tab w:val="left" w:pos="540"/>
          <w:tab w:val="left" w:pos="8280"/>
          <w:tab w:val="clear" w:pos="312"/>
        </w:tabs>
        <w:kinsoku/>
        <w:wordWrap/>
        <w:overflowPunct/>
        <w:topLinePunct w:val="0"/>
        <w:autoSpaceDE w:val="0"/>
        <w:autoSpaceDN w:val="0"/>
        <w:bidi w:val="0"/>
        <w:adjustRightInd w:val="0"/>
        <w:snapToGrid/>
        <w:spacing w:before="312" w:beforeLines="100" w:line="240" w:lineRule="exact"/>
        <w:ind w:right="23"/>
        <w:jc w:val="left"/>
        <w:textAlignment w:val="auto"/>
        <w:rPr>
          <w:color w:val="auto"/>
          <w:highlight w:val="none"/>
        </w:rPr>
      </w:pPr>
      <w:r>
        <w:rPr>
          <w:rFonts w:hint="eastAsia" w:asciiTheme="minorEastAsia" w:hAnsiTheme="minorEastAsia" w:eastAsiaTheme="minorEastAsia"/>
          <w:color w:val="auto"/>
          <w:kern w:val="0"/>
          <w:sz w:val="22"/>
          <w:szCs w:val="22"/>
          <w:highlight w:val="none"/>
          <w:lang w:val="en-US" w:eastAsia="zh-CN"/>
        </w:rPr>
        <w:t>每门课程不超过2学分，完整课程制作1学分不少于240分钟。</w:t>
      </w:r>
    </w:p>
    <w:p>
      <w:pPr>
        <w:tabs>
          <w:tab w:val="left" w:pos="8280"/>
        </w:tabs>
        <w:autoSpaceDE w:val="0"/>
        <w:autoSpaceDN w:val="0"/>
        <w:adjustRightInd w:val="0"/>
        <w:spacing w:line="360" w:lineRule="auto"/>
        <w:ind w:right="25" w:firstLine="280"/>
        <w:rPr>
          <w:rFonts w:hint="eastAsia" w:asciiTheme="minorEastAsia" w:hAnsiTheme="minorEastAsia" w:eastAsiaTheme="minorEastAsia"/>
          <w:color w:val="auto"/>
          <w:sz w:val="24"/>
          <w:highlight w:val="none"/>
        </w:rPr>
      </w:pPr>
    </w:p>
    <w:p>
      <w:pPr>
        <w:rPr>
          <w:rFonts w:hint="eastAsia" w:ascii="Calibri" w:hAnsi="Calibri" w:eastAsia="宋体" w:cs="Times New Roman"/>
          <w:b/>
          <w:bCs/>
          <w:color w:val="auto"/>
          <w:spacing w:val="0"/>
          <w:kern w:val="44"/>
          <w:sz w:val="28"/>
          <w:szCs w:val="44"/>
          <w:highlight w:val="none"/>
          <w:lang w:val="en-US" w:eastAsia="zh-CN" w:bidi="ar-SA"/>
        </w:rPr>
      </w:pPr>
      <w:r>
        <w:rPr>
          <w:rFonts w:hint="eastAsia" w:ascii="Calibri" w:hAnsi="Calibri" w:eastAsia="宋体" w:cs="Times New Roman"/>
          <w:b/>
          <w:bCs/>
          <w:color w:val="auto"/>
          <w:spacing w:val="0"/>
          <w:kern w:val="44"/>
          <w:sz w:val="28"/>
          <w:szCs w:val="44"/>
          <w:highlight w:val="none"/>
          <w:lang w:val="en-US" w:eastAsia="zh-CN" w:bidi="ar-SA"/>
        </w:rPr>
        <w:t>二、标段1和标段2技术需求：</w:t>
      </w:r>
    </w:p>
    <w:p>
      <w:pPr>
        <w:pStyle w:val="9"/>
        <w:rPr>
          <w:color w:val="auto"/>
          <w:highlight w:val="none"/>
        </w:rPr>
      </w:pPr>
    </w:p>
    <w:p>
      <w:pPr>
        <w:pStyle w:val="4"/>
        <w:numPr>
          <w:ilvl w:val="0"/>
          <w:numId w:val="10"/>
        </w:numPr>
        <w:bidi w:val="0"/>
        <w:rPr>
          <w:color w:val="auto"/>
          <w:highlight w:val="none"/>
        </w:rPr>
      </w:pPr>
      <w:r>
        <w:rPr>
          <w:rFonts w:hint="eastAsia"/>
          <w:color w:val="auto"/>
          <w:highlight w:val="none"/>
          <w:lang w:val="en-US" w:eastAsia="zh-CN"/>
        </w:rPr>
        <w:t>项目背景</w:t>
      </w:r>
    </w:p>
    <w:p>
      <w:pPr>
        <w:spacing w:line="360" w:lineRule="auto"/>
        <w:ind w:firstLine="420" w:firstLineChars="200"/>
        <w:rPr>
          <w:rFonts w:hint="eastAsia"/>
          <w:color w:val="auto"/>
          <w:highlight w:val="none"/>
        </w:rPr>
      </w:pPr>
      <w:r>
        <w:rPr>
          <w:rFonts w:hint="eastAsia"/>
          <w:color w:val="auto"/>
          <w:highlight w:val="none"/>
        </w:rPr>
        <w:t>一流课程是一流本科人才培养的核心要素。打造一流课程即要提升大学生的学业挑战度、</w:t>
      </w:r>
      <w:r>
        <w:rPr>
          <w:rFonts w:hint="eastAsia" w:eastAsia="宋体" w:cs="Times New Roman"/>
          <w:color w:val="auto"/>
          <w:highlight w:val="none"/>
        </w:rPr>
        <w:t>合理增加课程难度、拓展课程深度，把“水课”变成有深度、有难度、有挑战度的“金课”。本项目依据全国高等学校本科教育工作会议精神，建设一批具有我院专业特色的“金课”课程资源。通过建设一批创新教学课程视频资源，并依托我院现有网络教学平台将传统教学资源改造为精美的在线开放课程，同时进行线上线下相结合的翻转课堂教学实践，建设真正具有实际应用效果的“混合金课”。本项目将站在“两性一度”的新高度，充分发挥课堂育人的主渠道功能，坚持以学为中心的教学理念,从课程教学改革、质量标准研制、管理制度保障、教学能力提升等多条线共同推进,实现传统课堂教学方式的转变,全面优化课程质量。</w:t>
      </w:r>
    </w:p>
    <w:p>
      <w:pPr>
        <w:pStyle w:val="32"/>
        <w:ind w:left="0" w:leftChars="0" w:firstLine="0" w:firstLineChars="0"/>
        <w:rPr>
          <w:color w:val="auto"/>
          <w:highlight w:val="none"/>
        </w:rPr>
      </w:pPr>
    </w:p>
    <w:p>
      <w:pPr>
        <w:pStyle w:val="4"/>
        <w:numPr>
          <w:ilvl w:val="0"/>
          <w:numId w:val="10"/>
        </w:numPr>
        <w:bidi w:val="0"/>
        <w:rPr>
          <w:color w:val="auto"/>
          <w:highlight w:val="none"/>
        </w:rPr>
      </w:pPr>
      <w:r>
        <w:rPr>
          <w:rFonts w:hint="eastAsia"/>
          <w:color w:val="auto"/>
          <w:highlight w:val="none"/>
          <w:lang w:val="en-US" w:eastAsia="zh-CN"/>
        </w:rPr>
        <w:t>项目</w:t>
      </w:r>
      <w:r>
        <w:rPr>
          <w:rFonts w:hint="eastAsia"/>
          <w:color w:val="auto"/>
          <w:highlight w:val="none"/>
        </w:rPr>
        <w:t>内容</w:t>
      </w:r>
    </w:p>
    <w:tbl>
      <w:tblPr>
        <w:tblStyle w:val="34"/>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834"/>
        <w:gridCol w:w="125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3" w:type="dxa"/>
            <w:noWrap w:val="0"/>
            <w:vAlign w:val="center"/>
          </w:tcPr>
          <w:p>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标段号</w:t>
            </w:r>
          </w:p>
        </w:tc>
        <w:tc>
          <w:tcPr>
            <w:tcW w:w="4834" w:type="dxa"/>
            <w:noWrap w:val="0"/>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1256" w:type="dxa"/>
            <w:noWrap w:val="0"/>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预计数量</w:t>
            </w:r>
          </w:p>
        </w:tc>
        <w:tc>
          <w:tcPr>
            <w:tcW w:w="1597" w:type="dxa"/>
            <w:noWrap w:val="0"/>
            <w:vAlign w:val="center"/>
          </w:tcPr>
          <w:p>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3" w:type="dxa"/>
            <w:noWrap w:val="0"/>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834" w:type="dxa"/>
            <w:noWrap w:val="0"/>
            <w:vAlign w:val="center"/>
          </w:tcPr>
          <w:p>
            <w:pPr>
              <w:widowControl/>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台州学院一流课程建设及运行服务</w:t>
            </w:r>
          </w:p>
          <w:p>
            <w:pPr>
              <w:widowControl/>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（人文、外语、教育、艺术、创业、建工等）</w:t>
            </w:r>
          </w:p>
        </w:tc>
        <w:tc>
          <w:tcPr>
            <w:tcW w:w="1256" w:type="dxa"/>
            <w:noWrap w:val="0"/>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25门</w:t>
            </w:r>
          </w:p>
        </w:tc>
        <w:tc>
          <w:tcPr>
            <w:tcW w:w="1597" w:type="dxa"/>
            <w:noWrap w:val="0"/>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3" w:type="dxa"/>
            <w:noWrap w:val="0"/>
            <w:vAlign w:val="center"/>
          </w:tcPr>
          <w:p>
            <w:pPr>
              <w:widowControl/>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4834" w:type="dxa"/>
            <w:noWrap w:val="0"/>
            <w:vAlign w:val="center"/>
          </w:tcPr>
          <w:p>
            <w:pPr>
              <w:widowControl/>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台州学院一流课程建设及运行服务</w:t>
            </w:r>
          </w:p>
          <w:p>
            <w:pPr>
              <w:widowControl/>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（商学院、医学院、电信、医化、生命、航空等）</w:t>
            </w:r>
          </w:p>
        </w:tc>
        <w:tc>
          <w:tcPr>
            <w:tcW w:w="1256" w:type="dxa"/>
            <w:noWrap w:val="0"/>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25门</w:t>
            </w:r>
          </w:p>
        </w:tc>
        <w:tc>
          <w:tcPr>
            <w:tcW w:w="1597" w:type="dxa"/>
            <w:noWrap w:val="0"/>
            <w:vAlign w:val="center"/>
          </w:tcPr>
          <w:p>
            <w:pPr>
              <w:widowControl/>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80" w:type="dxa"/>
            <w:gridSpan w:val="4"/>
            <w:noWrap w:val="0"/>
            <w:vAlign w:val="center"/>
          </w:tcPr>
          <w:p>
            <w:pPr>
              <w:widowControl/>
              <w:spacing w:line="240" w:lineRule="auto"/>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注：</w:t>
            </w:r>
          </w:p>
          <w:p>
            <w:pPr>
              <w:pStyle w:val="32"/>
              <w:numPr>
                <w:ilvl w:val="0"/>
                <w:numId w:val="0"/>
              </w:numPr>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1.以上标项不得兼中。如投标单位在标项一中标，不得参加标项二的竞标。</w:t>
            </w:r>
          </w:p>
          <w:p>
            <w:pPr>
              <w:pStyle w:val="32"/>
              <w:numPr>
                <w:ilvl w:val="0"/>
                <w:numId w:val="0"/>
              </w:numPr>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2.拟立项共50门课程，课程以学院划分标项，最终数目根据发文确定。</w:t>
            </w:r>
          </w:p>
          <w:p>
            <w:pPr>
              <w:pStyle w:val="32"/>
              <w:numPr>
                <w:ilvl w:val="0"/>
                <w:numId w:val="0"/>
              </w:numPr>
              <w:ind w:leftChars="0"/>
              <w:rPr>
                <w:rFonts w:hint="default"/>
                <w:color w:val="auto"/>
                <w:highlight w:val="none"/>
                <w:lang w:val="en-US" w:eastAsia="zh-CN"/>
              </w:rPr>
            </w:pPr>
            <w:r>
              <w:rPr>
                <w:rFonts w:hint="eastAsia" w:ascii="宋体" w:hAnsi="宋体" w:eastAsia="宋体" w:cs="宋体"/>
                <w:color w:val="auto"/>
                <w:szCs w:val="21"/>
                <w:highlight w:val="none"/>
                <w:lang w:val="en-US" w:eastAsia="zh-CN"/>
              </w:rPr>
              <w:t>3.每门课程不超过2学分，完整课程制作1学分不少于240分钟。</w:t>
            </w:r>
          </w:p>
        </w:tc>
      </w:tr>
    </w:tbl>
    <w:p>
      <w:pPr>
        <w:widowControl/>
        <w:spacing w:line="276" w:lineRule="auto"/>
        <w:ind w:firstLine="420"/>
        <w:rPr>
          <w:rFonts w:ascii="宋体" w:hAnsi="宋体" w:cs="宋体"/>
          <w:color w:val="auto"/>
          <w:szCs w:val="21"/>
          <w:highlight w:val="none"/>
        </w:rPr>
      </w:pPr>
    </w:p>
    <w:p>
      <w:pPr>
        <w:pStyle w:val="4"/>
        <w:numPr>
          <w:ilvl w:val="0"/>
          <w:numId w:val="10"/>
        </w:numPr>
        <w:bidi w:val="0"/>
        <w:rPr>
          <w:color w:val="auto"/>
          <w:highlight w:val="none"/>
        </w:rPr>
      </w:pPr>
      <w:r>
        <w:rPr>
          <w:rFonts w:hint="eastAsia"/>
          <w:color w:val="auto"/>
          <w:highlight w:val="none"/>
        </w:rPr>
        <w:t>总体要求</w:t>
      </w:r>
    </w:p>
    <w:tbl>
      <w:tblPr>
        <w:tblStyle w:val="3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9"/>
        <w:gridCol w:w="780"/>
        <w:gridCol w:w="11"/>
        <w:gridCol w:w="492"/>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整</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体</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求</w:t>
            </w:r>
          </w:p>
        </w:tc>
        <w:tc>
          <w:tcPr>
            <w:tcW w:w="780"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69" w:type="dxa"/>
            <w:gridSpan w:val="3"/>
            <w:noWrap w:val="0"/>
            <w:vAlign w:val="center"/>
          </w:tcPr>
          <w:p>
            <w:pPr>
              <w:spacing w:line="24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制作公司须用现代化的影视手段，对传统的教学进行视频化编排，针对各类教学视频标准要求拍摄制作成所需要的教学视频。视频拍摄制作技术须达到或高于国家教育部规定的精品课程制作标准要求。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69" w:type="dxa"/>
            <w:gridSpan w:val="3"/>
            <w:noWrap w:val="0"/>
            <w:vAlign w:val="center"/>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制作公司须具有固定的拍摄制作团队，包括：项目经理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编导</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摄像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后期等相关制作人员。拍摄前须提供详细的拍摄计划，并保证与主讲教师有效沟通，后期须尊重主讲教师的修改意见。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7169" w:type="dxa"/>
            <w:gridSpan w:val="3"/>
            <w:noWrap w:val="0"/>
            <w:vAlign w:val="center"/>
          </w:tcPr>
          <w:p>
            <w:pPr>
              <w:spacing w:line="24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所拍摄的课程视频可根据学校需求制作成各类形式，如：慕课课程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精品在线开放课程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精品视频公开课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资源共享课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微课程等。单个微课视频时长</w:t>
            </w:r>
            <w:r>
              <w:rPr>
                <w:rFonts w:hint="eastAsia" w:ascii="宋体" w:hAnsi="宋体" w:eastAsia="宋体" w:cs="宋体"/>
                <w:color w:val="auto"/>
                <w:sz w:val="21"/>
                <w:szCs w:val="21"/>
                <w:highlight w:val="none"/>
                <w:lang w:val="en-US" w:eastAsia="zh-CN"/>
              </w:rPr>
              <w:t>不超过15</w:t>
            </w:r>
            <w:r>
              <w:rPr>
                <w:rFonts w:hint="eastAsia" w:ascii="宋体" w:hAnsi="宋体" w:eastAsia="宋体" w:cs="宋体"/>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169" w:type="dxa"/>
            <w:gridSpan w:val="3"/>
            <w:noWrap w:val="0"/>
            <w:vAlign w:val="center"/>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投标人须能协助学校教师课程开发设计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视频拍摄制作</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教学运行设计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应用推广设计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质量反馈</w:t>
            </w:r>
            <w:r>
              <w:rPr>
                <w:rFonts w:hint="eastAsia" w:ascii="宋体" w:hAnsi="宋体" w:cs="宋体"/>
                <w:color w:val="auto"/>
                <w:sz w:val="21"/>
                <w:szCs w:val="21"/>
                <w:highlight w:val="none"/>
                <w:lang w:val="en-US" w:eastAsia="zh-CN"/>
              </w:rPr>
              <w:t>、上平台运行。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169" w:type="dxa"/>
            <w:gridSpan w:val="3"/>
            <w:noWrap w:val="0"/>
            <w:vAlign w:val="center"/>
          </w:tcPr>
          <w:p>
            <w:pPr>
              <w:spacing w:line="240" w:lineRule="auto"/>
              <w:rPr>
                <w:rFonts w:hint="eastAsia" w:ascii="宋体" w:hAnsi="宋体" w:eastAsia="宋体" w:cs="宋体"/>
                <w:color w:val="auto"/>
                <w:sz w:val="21"/>
                <w:szCs w:val="21"/>
                <w:highlight w:val="none"/>
              </w:rPr>
            </w:pPr>
            <w:r>
              <w:rPr>
                <w:rFonts w:hint="eastAsia" w:hAnsi="宋体"/>
                <w:color w:val="auto"/>
                <w:sz w:val="22"/>
                <w:szCs w:val="22"/>
                <w:highlight w:val="none"/>
              </w:rPr>
              <w:t>需要在采购人本地</w:t>
            </w:r>
            <w:r>
              <w:rPr>
                <w:rFonts w:hint="eastAsia" w:hAnsi="宋体"/>
                <w:color w:val="auto"/>
                <w:sz w:val="22"/>
                <w:szCs w:val="22"/>
                <w:highlight w:val="none"/>
                <w:lang w:eastAsia="zh-CN"/>
              </w:rPr>
              <w:t>设立服务点，</w:t>
            </w:r>
            <w:r>
              <w:rPr>
                <w:rFonts w:hint="eastAsia" w:hAnsi="宋体"/>
                <w:color w:val="auto"/>
                <w:sz w:val="22"/>
                <w:szCs w:val="22"/>
                <w:highlight w:val="none"/>
              </w:rPr>
              <w:t>实施项目服务，要求投标人专业化</w:t>
            </w:r>
            <w:r>
              <w:rPr>
                <w:rFonts w:hint="eastAsia" w:hAnsi="宋体"/>
                <w:color w:val="auto"/>
                <w:sz w:val="22"/>
                <w:szCs w:val="22"/>
                <w:highlight w:val="none"/>
                <w:lang w:eastAsia="zh-CN"/>
              </w:rPr>
              <w:t>、</w:t>
            </w:r>
            <w:r>
              <w:rPr>
                <w:rFonts w:hint="eastAsia" w:hAnsi="宋体"/>
                <w:color w:val="auto"/>
                <w:sz w:val="22"/>
                <w:szCs w:val="22"/>
                <w:highlight w:val="none"/>
              </w:rPr>
              <w:t>响应速度快，提供课程拍摄制作和运行服务。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7169" w:type="dxa"/>
            <w:gridSpan w:val="3"/>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能满足多种拍摄需求，如课堂实录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场景摆拍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抠像拍摄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外景拍摄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实训/实验拍摄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智慧课堂拍摄等。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7169" w:type="dxa"/>
            <w:gridSpan w:val="3"/>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须具</w:t>
            </w:r>
            <w:r>
              <w:rPr>
                <w:rFonts w:hint="eastAsia" w:ascii="宋体" w:hAnsi="宋体" w:eastAsia="宋体" w:cs="宋体"/>
                <w:color w:val="auto"/>
                <w:sz w:val="21"/>
                <w:szCs w:val="21"/>
                <w:highlight w:val="none"/>
              </w:rPr>
              <w:t>有</w:t>
            </w:r>
            <w:r>
              <w:rPr>
                <w:rFonts w:hint="eastAsia" w:ascii="宋体" w:hAnsi="宋体" w:cs="宋体"/>
                <w:color w:val="auto"/>
                <w:sz w:val="21"/>
                <w:szCs w:val="21"/>
                <w:highlight w:val="none"/>
                <w:lang w:eastAsia="zh-CN"/>
              </w:rPr>
              <w:t>丰富的</w:t>
            </w:r>
            <w:r>
              <w:rPr>
                <w:rFonts w:hint="eastAsia" w:ascii="宋体" w:hAnsi="宋体" w:eastAsia="宋体" w:cs="宋体"/>
                <w:color w:val="auto"/>
                <w:sz w:val="21"/>
                <w:szCs w:val="21"/>
                <w:highlight w:val="none"/>
              </w:rPr>
              <w:t>课程运行经验，以满足学校后续相关扩展性需求。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restart"/>
            <w:noWrap w:val="0"/>
            <w:vAlign w:val="center"/>
          </w:tcPr>
          <w:p>
            <w:pPr>
              <w:spacing w:line="240" w:lineRule="auto"/>
              <w:jc w:val="center"/>
              <w:rPr>
                <w:rFonts w:hint="eastAsia" w:ascii="宋体" w:hAnsi="宋体" w:eastAsia="宋体" w:cs="宋体"/>
                <w:b/>
                <w:bCs/>
                <w:color w:val="auto"/>
                <w:sz w:val="21"/>
                <w:szCs w:val="21"/>
                <w:highlight w:val="none"/>
              </w:rPr>
            </w:pPr>
            <w:bookmarkStart w:id="1" w:name="_Toc6897"/>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具</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体</w:t>
            </w:r>
          </w:p>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拍</w:t>
            </w:r>
          </w:p>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摄</w:t>
            </w:r>
          </w:p>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作</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求</w:t>
            </w:r>
            <w:bookmarkEnd w:id="1"/>
          </w:p>
        </w:tc>
        <w:tc>
          <w:tcPr>
            <w:tcW w:w="780"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求</w:t>
            </w: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color w:val="auto"/>
                <w:highlight w:val="none"/>
              </w:rPr>
              <w:t xml:space="preserve"> </w:t>
            </w:r>
            <w:r>
              <w:rPr>
                <w:rFonts w:hint="eastAsia" w:ascii="宋体" w:hAnsi="宋体" w:eastAsia="宋体" w:cs="宋体"/>
                <w:color w:val="auto"/>
                <w:sz w:val="21"/>
                <w:szCs w:val="21"/>
                <w:highlight w:val="none"/>
              </w:rPr>
              <w:t>课程前期准备</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1）编导与教师</w:t>
            </w:r>
            <w:r>
              <w:rPr>
                <w:rFonts w:hint="eastAsia" w:ascii="宋体" w:hAnsi="宋体" w:eastAsia="宋体" w:cs="宋体"/>
                <w:color w:val="auto"/>
                <w:sz w:val="21"/>
                <w:szCs w:val="21"/>
                <w:highlight w:val="none"/>
                <w:lang w:val="en-US" w:eastAsia="zh-CN"/>
              </w:rPr>
              <w:t>确定</w:t>
            </w:r>
            <w:r>
              <w:rPr>
                <w:rFonts w:hint="eastAsia" w:ascii="宋体" w:hAnsi="宋体" w:eastAsia="宋体" w:cs="宋体"/>
                <w:color w:val="auto"/>
                <w:sz w:val="21"/>
                <w:szCs w:val="21"/>
                <w:highlight w:val="none"/>
              </w:rPr>
              <w:t>拍摄方式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拍摄场地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拍摄进程安排</w:t>
            </w:r>
            <w:r>
              <w:rPr>
                <w:rFonts w:hint="eastAsia" w:ascii="宋体" w:hAnsi="宋体" w:eastAsia="宋体" w:cs="宋体"/>
                <w:color w:val="auto"/>
                <w:sz w:val="21"/>
                <w:szCs w:val="21"/>
                <w:highlight w:val="none"/>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2）课程编导与教师确定</w:t>
            </w:r>
            <w:r>
              <w:rPr>
                <w:rFonts w:hint="eastAsia" w:ascii="宋体" w:hAnsi="宋体" w:eastAsia="宋体" w:cs="宋体"/>
                <w:color w:val="auto"/>
                <w:sz w:val="21"/>
                <w:szCs w:val="21"/>
                <w:highlight w:val="none"/>
                <w:lang w:val="en-US" w:eastAsia="zh-CN"/>
              </w:rPr>
              <w:t>需要拍摄</w:t>
            </w:r>
            <w:r>
              <w:rPr>
                <w:rFonts w:hint="eastAsia" w:ascii="宋体" w:hAnsi="宋体" w:eastAsia="宋体" w:cs="宋体"/>
                <w:color w:val="auto"/>
                <w:sz w:val="21"/>
                <w:szCs w:val="21"/>
                <w:highlight w:val="none"/>
              </w:rPr>
              <w:t>的课程内容，包括章节框架、知识点和具体的拍摄单元。</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3）课程编辑配合教师收集详细的课程资料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图片、视频、文档等。</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4）根据拍摄技术标准和课程内容，设计贴合教师授课特点的拍摄形式，与老师沟通说明拍摄要求，并协助提供着装意见；</w:t>
            </w:r>
          </w:p>
          <w:p>
            <w:pPr>
              <w:spacing w:line="240" w:lineRule="auto"/>
              <w:rPr>
                <w:rFonts w:hint="eastAsia"/>
                <w:color w:val="auto"/>
                <w:highlight w:val="none"/>
              </w:rPr>
            </w:pPr>
            <w:r>
              <w:rPr>
                <w:rFonts w:hint="eastAsia" w:ascii="宋体" w:hAnsi="宋体" w:eastAsia="宋体" w:cs="宋体"/>
                <w:color w:val="auto"/>
                <w:sz w:val="21"/>
                <w:szCs w:val="21"/>
                <w:highlight w:val="none"/>
              </w:rPr>
              <w:t>5）根据老师的课程内容，设计教学场景并安排布景。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录制每门课程均采用专业高清摄像机拍摄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所用摄像机分辨率</w:t>
            </w:r>
            <w:r>
              <w:rPr>
                <w:rFonts w:hint="eastAsia" w:ascii="宋体" w:hAnsi="宋体" w:cs="宋体"/>
                <w:color w:val="auto"/>
                <w:sz w:val="21"/>
                <w:szCs w:val="21"/>
                <w:highlight w:val="none"/>
                <w:lang w:eastAsia="zh-CN"/>
              </w:rPr>
              <w:t>不低于</w:t>
            </w:r>
            <w:r>
              <w:rPr>
                <w:rFonts w:hint="eastAsia" w:ascii="宋体" w:hAnsi="宋体" w:eastAsia="宋体" w:cs="宋体"/>
                <w:color w:val="auto"/>
                <w:sz w:val="21"/>
                <w:szCs w:val="21"/>
                <w:highlight w:val="none"/>
              </w:rPr>
              <w:t>1920X1080，录制视频宽高比16:9，视频帧率为25帧/秒。录音设备专业领夹话筒3套。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拍摄时应针对实际情况选择适当的拍摄方式，与后期制作统筹策划，确保成片中的多媒体演示及板书完整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求</w:t>
            </w: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使用专业的非线性编辑系统对源视频进行基本处理（如颜色校正</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双声道处理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渲染）。使用专业的视频编辑系统进行</w:t>
            </w:r>
            <w:r>
              <w:rPr>
                <w:rFonts w:hint="eastAsia" w:ascii="宋体" w:hAnsi="宋体" w:cs="宋体"/>
                <w:color w:val="auto"/>
                <w:sz w:val="21"/>
                <w:szCs w:val="21"/>
                <w:highlight w:val="none"/>
                <w:lang w:val="en-US" w:eastAsia="zh-CN"/>
              </w:rPr>
              <w:t>音</w:t>
            </w:r>
            <w:r>
              <w:rPr>
                <w:rFonts w:hint="eastAsia" w:ascii="宋体" w:hAnsi="宋体" w:eastAsia="宋体" w:cs="宋体"/>
                <w:color w:val="auto"/>
                <w:sz w:val="21"/>
                <w:szCs w:val="21"/>
                <w:highlight w:val="none"/>
              </w:rPr>
              <w:t>视频降噪。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使用专业的后期合成软件进行片头设计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根据每个课题的内容设计出相关联的内容元素，片头不超过10秒，包括:LOGO</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课程名称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讲次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主讲教师姓名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专业技术职务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使用专业的后期合成软件和图片处理软件进行片花背景设计</w:t>
            </w:r>
            <w:r>
              <w:rPr>
                <w:rFonts w:hint="eastAsia" w:ascii="宋体" w:hAnsi="宋体" w:cs="宋体"/>
                <w:color w:val="auto"/>
                <w:sz w:val="21"/>
                <w:szCs w:val="21"/>
                <w:highlight w:val="none"/>
                <w:lang w:val="en-US" w:eastAsia="zh-CN"/>
              </w:rPr>
              <w:t>与</w:t>
            </w:r>
            <w:r>
              <w:rPr>
                <w:rFonts w:hint="eastAsia" w:ascii="宋体" w:hAnsi="宋体" w:eastAsia="宋体" w:cs="宋体"/>
                <w:color w:val="auto"/>
                <w:sz w:val="21"/>
                <w:szCs w:val="21"/>
                <w:highlight w:val="none"/>
              </w:rPr>
              <w:t>配乐</w:t>
            </w:r>
            <w:r>
              <w:rPr>
                <w:rFonts w:hint="eastAsia" w:ascii="宋体" w:hAnsi="宋体" w:cs="宋体"/>
                <w:color w:val="auto"/>
                <w:sz w:val="21"/>
                <w:szCs w:val="21"/>
                <w:highlight w:val="none"/>
                <w:lang w:val="en-US" w:eastAsia="zh-CN"/>
              </w:rPr>
              <w:t>设计</w:t>
            </w:r>
            <w:r>
              <w:rPr>
                <w:rFonts w:hint="eastAsia" w:ascii="宋体" w:hAnsi="宋体" w:eastAsia="宋体" w:cs="宋体"/>
                <w:color w:val="auto"/>
                <w:sz w:val="21"/>
                <w:szCs w:val="21"/>
                <w:highlight w:val="none"/>
              </w:rPr>
              <w:t>：根据每讲的课程内容来制定出相应的片花背景，主色调</w:t>
            </w:r>
            <w:r>
              <w:rPr>
                <w:rFonts w:hint="eastAsia" w:ascii="宋体" w:hAnsi="宋体" w:cs="宋体"/>
                <w:color w:val="auto"/>
                <w:sz w:val="21"/>
                <w:szCs w:val="21"/>
                <w:highlight w:val="none"/>
                <w:lang w:val="en-US" w:eastAsia="zh-CN"/>
              </w:rPr>
              <w:t>与</w:t>
            </w:r>
            <w:r>
              <w:rPr>
                <w:rFonts w:hint="eastAsia" w:ascii="宋体" w:hAnsi="宋体" w:eastAsia="宋体" w:cs="宋体"/>
                <w:color w:val="auto"/>
                <w:sz w:val="21"/>
                <w:szCs w:val="21"/>
                <w:highlight w:val="none"/>
              </w:rPr>
              <w:t>片头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片</w:t>
            </w:r>
            <w:r>
              <w:rPr>
                <w:rFonts w:hint="eastAsia" w:ascii="宋体" w:hAnsi="宋体" w:eastAsia="宋体" w:cs="宋体"/>
                <w:color w:val="auto"/>
                <w:sz w:val="21"/>
                <w:szCs w:val="21"/>
                <w:highlight w:val="none"/>
              </w:rPr>
              <w:t>尾</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rPr>
              <w:t>内容相协调。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使用专业的后期合成软件进行课题条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简介条设计：根据课程内容不同，设计符合本课程的课题简介的模版，以此来介绍本讲的主要内容。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内容编辑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编辑最终制作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使用</w:t>
            </w:r>
            <w:r>
              <w:rPr>
                <w:rFonts w:hint="eastAsia" w:ascii="宋体" w:hAnsi="宋体" w:eastAsia="宋体" w:cs="宋体"/>
                <w:color w:val="auto"/>
                <w:sz w:val="21"/>
                <w:szCs w:val="21"/>
                <w:highlight w:val="none"/>
              </w:rPr>
              <w:t>专业非线性编辑系统制作片花</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引文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情景图片：</w:t>
            </w:r>
            <w:r>
              <w:rPr>
                <w:rFonts w:hint="eastAsia" w:ascii="宋体" w:hAnsi="宋体" w:cs="宋体"/>
                <w:color w:val="auto"/>
                <w:sz w:val="21"/>
                <w:szCs w:val="21"/>
                <w:highlight w:val="none"/>
                <w:lang w:val="en-US" w:eastAsia="zh-CN"/>
              </w:rPr>
              <w:t>后期人员</w:t>
            </w:r>
            <w:r>
              <w:rPr>
                <w:rFonts w:hint="eastAsia" w:ascii="宋体" w:hAnsi="宋体" w:eastAsia="宋体" w:cs="宋体"/>
                <w:color w:val="auto"/>
                <w:sz w:val="21"/>
                <w:szCs w:val="21"/>
                <w:highlight w:val="none"/>
              </w:rPr>
              <w:t>根据编导所提供的制作脚本来进行片花和引文等的编辑与制作，主要有背景板</w:t>
            </w:r>
            <w:r>
              <w:rPr>
                <w:rFonts w:hint="eastAsia" w:ascii="宋体" w:hAnsi="宋体" w:cs="宋体"/>
                <w:color w:val="auto"/>
                <w:sz w:val="21"/>
                <w:szCs w:val="21"/>
                <w:highlight w:val="none"/>
                <w:lang w:val="en-US" w:eastAsia="zh-CN"/>
              </w:rPr>
              <w:t>设计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音乐场景特效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引文字体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字体颜色</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构图排版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转场特效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基本剪辑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音视频调整与衔接等。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使用专业的后期合成软件制作片尾：根据研究院的版权所有，制定相关的片尾名单，包括版权单位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制作单位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录制时间等信息。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使用专业非线性编辑系统渲染成片：所有内容编辑结束之后，生成成片，成品为高清制式。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对于课程建设中所引用的教育视频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图书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期刊等电子资源，</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须保证无版权问题，对于所引用的教育视频资源须提供主讲人授权协议，图书和期刊须提供相关出版社授权协议。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666" w:type="dxa"/>
            <w:noWrap w:val="0"/>
            <w:vAlign w:val="center"/>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在线课程</w:t>
            </w:r>
            <w:r>
              <w:rPr>
                <w:rFonts w:hint="eastAsia" w:ascii="宋体" w:hAnsi="宋体" w:cs="宋体"/>
                <w:color w:val="auto"/>
                <w:szCs w:val="21"/>
                <w:highlight w:val="none"/>
                <w:lang w:val="en-US" w:eastAsia="zh-CN"/>
              </w:rPr>
              <w:t>制作以一学分240分钟为例，需要求课程样片拍摄结束在主讲教师提供完善资料后四天内定版，整门课程在主讲教师提供完善资料后40天内制作完成。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restar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标</w:t>
            </w: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视频信号源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1）稳定性：全片图像同步性能稳定，无失步现象，CTL同步控制信号必须连续；图像无抖动跳跃，色彩无突变，编辑点处图像稳定。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2）信噪比：图像信噪比不低于55dB，无明显杂波。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3）色调：白平衡正确，无明显偏色，多机拍摄的镜头衔接处无明显色差。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4）视频电平：视频全讯号幅度为1Ⅴp-p，最大不超过1.1Ⅴ p-p。其中，消隐电平为0V时，白电平幅度0.7Ⅴp-p，同步信号-0.3V，色同步信号幅度0.3V p-p (以消隐线上下对称)，全片一致。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音频信号源: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1）声道：中文内容音频信号记录于第1声道，音乐、音效、同期声记录于第2声道，若有其他文字解说记录于第3声道（如录音设备无第3声道，则录于第2声道）。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2）电平指标：-2db — -8db声音应无明显失真、放音过冲、过弱。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3）音频信噪比不低于48db。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4）声音和画面要求同步，无交流声或其他杂音等缺陷。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5）伴音清晰、饱满、圆润，无失真、噪声杂音干扰、音量忽大忽小现象。解说声与现场声无明显比例失调，解说声与背景音乐无明显比例失调。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780" w:type="dxa"/>
            <w:vMerge w:val="continue"/>
            <w:noWrap w:val="0"/>
            <w:vAlign w:val="center"/>
          </w:tcPr>
          <w:p>
            <w:pPr>
              <w:spacing w:line="240" w:lineRule="auto"/>
              <w:jc w:val="center"/>
              <w:rPr>
                <w:rFonts w:hint="eastAsia" w:ascii="宋体" w:hAnsi="宋体" w:eastAsia="宋体" w:cs="宋体"/>
                <w:color w:val="auto"/>
                <w:sz w:val="21"/>
                <w:szCs w:val="21"/>
                <w:highlight w:val="none"/>
              </w:rPr>
            </w:pPr>
          </w:p>
        </w:tc>
        <w:tc>
          <w:tcPr>
            <w:tcW w:w="503"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视、音频交付文件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1）交付载体</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刻录光盘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2）视频压缩格式及技术参数：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①视频压缩采用H.264(MPEG-4Part10：profile=main,level=3.0)编码、使用二次编码、不包含字幕的 MP4格式。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② 视频码流率：动态码流的最高码率不高于2500 Kbps，最低码率不得低于1024Kbps。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③ 视频分辨率：前期采用高清16:9拍摄，设定为 1024×576。在同一课程中，各讲的视频分辨率统一，统一高清。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④ 视频画幅宽高比：分辨率设定为 1024×576的，选定为16:9。在同一课程中，各讲画幅的宽高比统一。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⑤ 视频帧率为25帧/秒。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⑥ 扫描方式采用逐行扫描。</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音频压缩格式及技术参数：音频压缩采用AAC(MPEG4 Part3)格式，采样率48KHz，音频码流率128Kbps (恒定)，必须是双声道，必须做混音处理。</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）封装:采用MP4封装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restart"/>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b/>
                <w:bCs/>
                <w:color w:val="auto"/>
                <w:szCs w:val="21"/>
                <w:highlight w:val="none"/>
                <w:lang w:val="en-US" w:eastAsia="zh-Hans"/>
              </w:rPr>
              <w:t>一流课程建设相关服务</w:t>
            </w:r>
          </w:p>
        </w:tc>
        <w:tc>
          <w:tcPr>
            <w:tcW w:w="780" w:type="dxa"/>
            <w:noWrap w:val="0"/>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w:t>
            </w:r>
          </w:p>
        </w:tc>
        <w:tc>
          <w:tcPr>
            <w:tcW w:w="7169" w:type="dxa"/>
            <w:gridSpan w:val="3"/>
            <w:noWrap w:val="0"/>
            <w:vAlign w:val="center"/>
          </w:tcPr>
          <w:p>
            <w:pPr>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支持建设校级课程示范教学包，包括教学课件、章节知识点、音视频、动画、拓展资料、作业题库、考试题库等富媒体化的资源等，最终可辅助教师开展混合式教学。同时，所建设课程示范教学包支持与学校网络教学平台实现数据对接，实现常态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ascii="宋体" w:hAnsi="宋体" w:cs="宋体"/>
                <w:color w:val="auto"/>
                <w:szCs w:val="21"/>
                <w:highlight w:val="none"/>
              </w:rPr>
              <w:t>2</w:t>
            </w:r>
          </w:p>
        </w:tc>
        <w:tc>
          <w:tcPr>
            <w:tcW w:w="7169" w:type="dxa"/>
            <w:gridSpan w:val="3"/>
            <w:noWrap w:val="0"/>
            <w:vAlign w:val="center"/>
          </w:tcPr>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Hans"/>
              </w:rPr>
              <w:t>一流课程申报</w:t>
            </w:r>
            <w:r>
              <w:rPr>
                <w:rFonts w:hint="eastAsia" w:cs="宋体"/>
                <w:color w:val="auto"/>
                <w:sz w:val="21"/>
                <w:szCs w:val="21"/>
                <w:highlight w:val="none"/>
                <w:lang w:val="en-US" w:eastAsia="zh-CN"/>
              </w:rPr>
              <w:t>平台支持</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hint="eastAsia" w:eastAsia="宋体" w:cs="宋体"/>
                <w:color w:val="auto"/>
                <w:sz w:val="21"/>
                <w:szCs w:val="21"/>
                <w:highlight w:val="none"/>
                <w:lang w:eastAsia="zh-CN"/>
              </w:rPr>
            </w:pPr>
            <w:r>
              <w:rPr>
                <w:rFonts w:hint="default" w:cs="宋体"/>
                <w:color w:val="auto"/>
                <w:sz w:val="21"/>
                <w:szCs w:val="21"/>
                <w:highlight w:val="none"/>
                <w:lang w:eastAsia="zh-CN"/>
              </w:rPr>
              <w:t>（1）</w:t>
            </w:r>
            <w:r>
              <w:rPr>
                <w:rFonts w:hint="eastAsia" w:cs="宋体"/>
                <w:color w:val="auto"/>
                <w:sz w:val="21"/>
                <w:szCs w:val="21"/>
                <w:highlight w:val="none"/>
                <w:lang w:val="en-US" w:eastAsia="zh-Hans"/>
              </w:rPr>
              <w:t>基本要求</w:t>
            </w:r>
            <w:r>
              <w:rPr>
                <w:rFonts w:hint="eastAsia" w:eastAsia="宋体" w:cs="宋体"/>
                <w:color w:val="auto"/>
                <w:sz w:val="21"/>
                <w:szCs w:val="21"/>
                <w:highlight w:val="none"/>
                <w:lang w:val="en-US" w:eastAsia="zh-CN"/>
              </w:rPr>
              <w:t>（需提供平台网址及截图证明并加盖单位公章）</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right="0" w:rightChars="0"/>
              <w:textAlignment w:val="auto"/>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cs="宋体"/>
                <w:color w:val="auto"/>
                <w:sz w:val="21"/>
                <w:szCs w:val="21"/>
                <w:highlight w:val="none"/>
                <w:lang w:val="en-US" w:eastAsia="zh-CN"/>
              </w:rPr>
              <w:t xml:space="preserve"> 1）供应商应具有符合“线上一流课程”评审要求的自有运行平台，能为学校提供相关课程的推广及运行服务；</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right="0" w:rightChars="0" w:firstLine="420" w:firstLineChars="200"/>
              <w:textAlignment w:val="auto"/>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并且课程上线运行的第一个学期选课量不低于一定规模。</w:t>
            </w:r>
            <w:r>
              <w:rPr>
                <w:rFonts w:hint="eastAsia" w:cs="Times New Roman"/>
                <w:color w:val="auto"/>
                <w:highlight w:val="none"/>
                <w:lang w:val="en-US" w:eastAsia="zh-CN"/>
              </w:rPr>
              <w:t>投标人</w:t>
            </w:r>
            <w:r>
              <w:rPr>
                <w:rFonts w:hint="eastAsia" w:eastAsia="宋体" w:cs="Times New Roman"/>
                <w:color w:val="auto"/>
                <w:highlight w:val="none"/>
                <w:lang w:val="en-US" w:eastAsia="zh-CN"/>
              </w:rPr>
              <w:t>承诺课程在平台运行</w:t>
            </w:r>
            <w:r>
              <w:rPr>
                <w:rFonts w:hint="eastAsia" w:cs="Times New Roman"/>
                <w:color w:val="auto"/>
                <w:highlight w:val="none"/>
                <w:lang w:val="en-US" w:eastAsia="zh-CN"/>
              </w:rPr>
              <w:t>二</w:t>
            </w:r>
            <w:r>
              <w:rPr>
                <w:rFonts w:hint="eastAsia" w:eastAsia="宋体" w:cs="Times New Roman"/>
                <w:color w:val="auto"/>
                <w:highlight w:val="none"/>
                <w:lang w:val="en-US" w:eastAsia="zh-CN"/>
              </w:rPr>
              <w:t>轮</w:t>
            </w:r>
            <w:r>
              <w:rPr>
                <w:rFonts w:hint="default" w:eastAsia="宋体" w:cs="Times New Roman"/>
                <w:color w:val="auto"/>
                <w:highlight w:val="none"/>
                <w:lang w:eastAsia="zh-CN"/>
              </w:rPr>
              <w:t>，</w:t>
            </w:r>
            <w:r>
              <w:rPr>
                <w:rFonts w:hint="eastAsia" w:cs="Times New Roman"/>
                <w:color w:val="auto"/>
                <w:highlight w:val="none"/>
                <w:lang w:val="en-US" w:eastAsia="zh-CN"/>
              </w:rPr>
              <w:t>每轮选课人数</w:t>
            </w:r>
            <w:r>
              <w:rPr>
                <w:rFonts w:hint="eastAsia" w:eastAsia="宋体" w:cs="Times New Roman"/>
                <w:color w:val="auto"/>
                <w:highlight w:val="none"/>
                <w:lang w:val="en-US" w:eastAsia="zh-CN"/>
              </w:rPr>
              <w:t>专业课</w:t>
            </w:r>
            <w:r>
              <w:rPr>
                <w:rFonts w:hint="eastAsia" w:eastAsia="宋体" w:cs="Times New Roman"/>
                <w:color w:val="auto"/>
                <w:highlight w:val="none"/>
                <w:lang w:val="en-US" w:eastAsia="zh-Hans"/>
              </w:rPr>
              <w:t>选课量</w:t>
            </w:r>
            <w:r>
              <w:rPr>
                <w:rFonts w:hint="eastAsia" w:cs="Times New Roman"/>
                <w:color w:val="auto"/>
                <w:highlight w:val="none"/>
                <w:lang w:val="en-US" w:eastAsia="zh-CN"/>
              </w:rPr>
              <w:t>不少于2000</w:t>
            </w:r>
            <w:r>
              <w:rPr>
                <w:rFonts w:hint="eastAsia" w:eastAsia="宋体" w:cs="Times New Roman"/>
                <w:color w:val="auto"/>
                <w:highlight w:val="none"/>
                <w:lang w:val="en-US" w:eastAsia="zh-CN"/>
              </w:rPr>
              <w:t>人次</w:t>
            </w:r>
            <w:r>
              <w:rPr>
                <w:rFonts w:hint="default" w:eastAsia="宋体" w:cs="Times New Roman"/>
                <w:color w:val="auto"/>
                <w:highlight w:val="none"/>
                <w:lang w:eastAsia="zh-CN"/>
              </w:rPr>
              <w:t>，</w:t>
            </w:r>
            <w:r>
              <w:rPr>
                <w:rFonts w:hint="eastAsia" w:eastAsia="宋体" w:cs="Times New Roman"/>
                <w:color w:val="auto"/>
                <w:highlight w:val="none"/>
                <w:lang w:val="en-US" w:eastAsia="zh-CN"/>
              </w:rPr>
              <w:t>通识课</w:t>
            </w:r>
            <w:r>
              <w:rPr>
                <w:rFonts w:hint="eastAsia" w:eastAsia="宋体" w:cs="Times New Roman"/>
                <w:color w:val="auto"/>
                <w:highlight w:val="none"/>
                <w:lang w:val="en-US" w:eastAsia="zh-Hans"/>
              </w:rPr>
              <w:t>选课量</w:t>
            </w:r>
            <w:r>
              <w:rPr>
                <w:rFonts w:hint="eastAsia" w:cs="Times New Roman"/>
                <w:color w:val="auto"/>
                <w:highlight w:val="none"/>
                <w:lang w:val="en-US" w:eastAsia="zh-CN"/>
              </w:rPr>
              <w:t>不少于4</w:t>
            </w:r>
            <w:r>
              <w:rPr>
                <w:rFonts w:hint="default" w:eastAsia="宋体" w:cs="Times New Roman"/>
                <w:color w:val="auto"/>
                <w:highlight w:val="none"/>
                <w:lang w:eastAsia="zh-Hans"/>
              </w:rPr>
              <w:t>000</w:t>
            </w:r>
            <w:r>
              <w:rPr>
                <w:rFonts w:hint="eastAsia" w:eastAsia="宋体" w:cs="Times New Roman"/>
                <w:color w:val="auto"/>
                <w:highlight w:val="none"/>
                <w:lang w:val="en-US" w:eastAsia="zh-CN"/>
              </w:rPr>
              <w:t>人次；</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right="0" w:rightChars="0"/>
              <w:textAlignment w:val="auto"/>
              <w:outlineLvl w:val="9"/>
              <w:rPr>
                <w:rFonts w:hint="default"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cs="宋体"/>
                <w:color w:val="auto"/>
                <w:sz w:val="21"/>
                <w:szCs w:val="21"/>
                <w:highlight w:val="none"/>
                <w:lang w:val="en-US" w:eastAsia="zh-CN"/>
              </w:rPr>
              <w:t>）供应商应具有符合“线上线下混合式一流课程”评审要求的自有运行平台，能为学校提供相关课程混合式运行服务。</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right="0" w:rightChars="0"/>
              <w:textAlignment w:val="auto"/>
              <w:outlineLvl w:val="9"/>
              <w:rPr>
                <w:rFonts w:hint="default"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cs="宋体"/>
                <w:color w:val="auto"/>
                <w:sz w:val="21"/>
                <w:szCs w:val="21"/>
                <w:highlight w:val="none"/>
                <w:lang w:val="en-US" w:eastAsia="zh-CN"/>
              </w:rPr>
              <w:t>3）供应商应具有符合“线下一流课程”评审要求的自有运行平台，能为学校提供相关课程的信息化教学服务。</w:t>
            </w:r>
          </w:p>
          <w:p>
            <w:pPr>
              <w:pStyle w:val="32"/>
              <w:keepNext w:val="0"/>
              <w:keepLines w:val="0"/>
              <w:pageBreakBefore w:val="0"/>
              <w:widowControl w:val="0"/>
              <w:numPr>
                <w:ilvl w:val="0"/>
                <w:numId w:val="11"/>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s="宋体"/>
                <w:color w:val="auto"/>
                <w:sz w:val="21"/>
                <w:szCs w:val="21"/>
                <w:highlight w:val="none"/>
                <w:lang w:val="en-US" w:eastAsia="zh-Hans"/>
              </w:rPr>
            </w:pPr>
            <w:r>
              <w:rPr>
                <w:rFonts w:hint="eastAsia" w:cs="宋体"/>
                <w:color w:val="auto"/>
                <w:sz w:val="21"/>
                <w:szCs w:val="21"/>
                <w:highlight w:val="none"/>
                <w:lang w:val="en-US" w:eastAsia="zh-Hans"/>
              </w:rPr>
              <w:t>平台功能需求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主题讨论：教师</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在课堂教学中</w:t>
            </w:r>
            <w:r>
              <w:rPr>
                <w:rFonts w:hint="eastAsia" w:ascii="宋体" w:hAnsi="宋体" w:eastAsia="宋体" w:cs="宋体"/>
                <w:color w:val="auto"/>
                <w:sz w:val="21"/>
                <w:szCs w:val="21"/>
                <w:highlight w:val="none"/>
                <w:lang w:val="en-US" w:eastAsia="zh-CN"/>
              </w:rPr>
              <w:t>发布主题讨论，学生讨论话题支持</w:t>
            </w:r>
            <w:r>
              <w:rPr>
                <w:rFonts w:hint="eastAsia" w:ascii="宋体" w:hAnsi="宋体" w:eastAsia="宋体" w:cs="宋体"/>
                <w:color w:val="auto"/>
                <w:sz w:val="21"/>
                <w:szCs w:val="21"/>
                <w:highlight w:val="none"/>
              </w:rPr>
              <w:t>进行词云分析，</w:t>
            </w:r>
            <w:r>
              <w:rPr>
                <w:rFonts w:hint="eastAsia" w:ascii="宋体" w:hAnsi="宋体" w:eastAsia="宋体" w:cs="宋体"/>
                <w:color w:val="auto"/>
                <w:sz w:val="21"/>
                <w:szCs w:val="21"/>
                <w:highlight w:val="none"/>
                <w:lang w:val="en-US" w:eastAsia="zh-CN"/>
              </w:rPr>
              <w:t>支持突出展示高频词汇</w:t>
            </w:r>
            <w:r>
              <w:rPr>
                <w:rFonts w:hint="eastAsia" w:ascii="宋体" w:hAnsi="宋体" w:eastAsia="宋体" w:cs="宋体"/>
                <w:color w:val="auto"/>
                <w:sz w:val="21"/>
                <w:szCs w:val="21"/>
                <w:highlight w:val="none"/>
              </w:rPr>
              <w:t>。</w:t>
            </w:r>
          </w:p>
          <w:p>
            <w:pPr>
              <w:pStyle w:val="15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同步课堂：学生可通过移动终端</w:t>
            </w:r>
            <w:r>
              <w:rPr>
                <w:rFonts w:hint="eastAsia" w:ascii="宋体" w:hAnsi="宋体" w:eastAsia="宋体" w:cs="宋体"/>
                <w:color w:val="auto"/>
                <w:sz w:val="21"/>
                <w:szCs w:val="21"/>
                <w:highlight w:val="none"/>
                <w:lang w:val="en-US" w:eastAsia="zh-CN"/>
              </w:rPr>
              <w:t>可远程参与教学</w:t>
            </w:r>
            <w:r>
              <w:rPr>
                <w:rFonts w:hint="eastAsia" w:ascii="宋体" w:hAnsi="宋体" w:eastAsia="宋体" w:cs="宋体"/>
                <w:color w:val="auto"/>
                <w:sz w:val="21"/>
                <w:szCs w:val="21"/>
                <w:highlight w:val="none"/>
              </w:rPr>
              <w:t>，进入同步课堂</w:t>
            </w:r>
            <w:r>
              <w:rPr>
                <w:rFonts w:hint="eastAsia" w:ascii="宋体" w:hAnsi="宋体" w:eastAsia="宋体" w:cs="宋体"/>
                <w:color w:val="auto"/>
                <w:sz w:val="21"/>
                <w:szCs w:val="21"/>
                <w:highlight w:val="none"/>
                <w:lang w:val="en-US" w:eastAsia="zh-CN"/>
              </w:rPr>
              <w:t>后可</w:t>
            </w:r>
            <w:r>
              <w:rPr>
                <w:rFonts w:hint="eastAsia" w:ascii="宋体" w:hAnsi="宋体" w:eastAsia="宋体" w:cs="宋体"/>
                <w:color w:val="auto"/>
                <w:sz w:val="21"/>
                <w:szCs w:val="21"/>
                <w:highlight w:val="none"/>
              </w:rPr>
              <w:t>实时</w:t>
            </w:r>
            <w:r>
              <w:rPr>
                <w:rFonts w:hint="eastAsia" w:ascii="宋体" w:hAnsi="宋体" w:eastAsia="宋体" w:cs="宋体"/>
                <w:color w:val="auto"/>
                <w:sz w:val="21"/>
                <w:szCs w:val="21"/>
                <w:highlight w:val="none"/>
                <w:lang w:val="en-US" w:eastAsia="zh-CN"/>
              </w:rPr>
              <w:t>收听</w:t>
            </w:r>
            <w:r>
              <w:rPr>
                <w:rFonts w:hint="eastAsia" w:ascii="宋体" w:hAnsi="宋体" w:eastAsia="宋体" w:cs="宋体"/>
                <w:color w:val="auto"/>
                <w:sz w:val="21"/>
                <w:szCs w:val="21"/>
                <w:highlight w:val="none"/>
              </w:rPr>
              <w:t>老师当前讲解的PPT内容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并可参与</w:t>
            </w:r>
            <w:r>
              <w:rPr>
                <w:rFonts w:hint="eastAsia" w:ascii="宋体" w:hAnsi="宋体" w:eastAsia="宋体" w:cs="宋体"/>
                <w:color w:val="auto"/>
                <w:sz w:val="21"/>
                <w:szCs w:val="21"/>
                <w:highlight w:val="none"/>
              </w:rPr>
              <w:t>课堂互动。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速课</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同步课堂</w:t>
            </w:r>
            <w:r>
              <w:rPr>
                <w:rFonts w:hint="eastAsia" w:ascii="宋体" w:hAnsi="宋体" w:eastAsia="宋体" w:cs="宋体"/>
                <w:color w:val="auto"/>
                <w:sz w:val="21"/>
                <w:szCs w:val="21"/>
                <w:highlight w:val="none"/>
              </w:rPr>
              <w:t>保存为速课，</w:t>
            </w:r>
            <w:r>
              <w:rPr>
                <w:rFonts w:hint="eastAsia" w:ascii="宋体" w:hAnsi="宋体" w:eastAsia="宋体" w:cs="宋体"/>
                <w:color w:val="auto"/>
                <w:sz w:val="21"/>
                <w:szCs w:val="21"/>
                <w:highlight w:val="none"/>
                <w:lang w:val="en-US" w:eastAsia="zh-CN"/>
              </w:rPr>
              <w:t>支持同步录制教师课件与讲解音频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所制作完成的速课程可</w:t>
            </w:r>
            <w:r>
              <w:rPr>
                <w:rFonts w:hint="eastAsia" w:ascii="宋体" w:hAnsi="宋体" w:eastAsia="宋体" w:cs="宋体"/>
                <w:color w:val="auto"/>
                <w:sz w:val="21"/>
                <w:szCs w:val="21"/>
                <w:highlight w:val="none"/>
              </w:rPr>
              <w:t>插入到</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课程内容中，还可</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资源共享给学生。</w:t>
            </w:r>
          </w:p>
          <w:p>
            <w:pPr>
              <w:pStyle w:val="15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学习监管：可以跟踪记录并统计基于每个学生的课程登录次数、学习材料浏览和下载次数、作业和测试完成情况、参加答疑讨论的情况等多项学习考核指标，同时支持远程监考管理，支持人脸识别、答题进程监管、考试界面监管等。</w:t>
            </w:r>
          </w:p>
          <w:p>
            <w:pPr>
              <w:pStyle w:val="15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一流课程申报</w:t>
            </w:r>
            <w:r>
              <w:rPr>
                <w:rFonts w:hint="eastAsia" w:ascii="宋体" w:hAnsi="宋体" w:eastAsia="宋体" w:cs="宋体"/>
                <w:color w:val="auto"/>
                <w:sz w:val="21"/>
                <w:szCs w:val="21"/>
                <w:highlight w:val="none"/>
                <w:lang w:val="en-US" w:eastAsia="zh-Hans"/>
              </w:rPr>
              <w:t>平台演示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包括</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课程基础数据、教学数据、课堂活动、课程日志、学情分析、成绩分析等详细统计分析，支持课程详细画像与自定义课程报告</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rPr>
              <w:t>。</w:t>
            </w:r>
          </w:p>
          <w:p>
            <w:pPr>
              <w:pStyle w:val="15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default" w:ascii="宋体" w:hAnsi="宋体" w:cs="宋体"/>
                <w:color w:val="auto"/>
                <w:sz w:val="21"/>
                <w:szCs w:val="21"/>
                <w:highlight w:val="none"/>
                <w:lang w:eastAsia="zh-CN"/>
              </w:rPr>
              <w:t>6）提供在线教程、课程讨论、课程通知、课程资料管理、学习笔记、作业考试、学生互评、等在线互动应用</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outlineLvl w:val="9"/>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7）组织互动教学</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支持组内讨论、组内互评、组间互评，教师评价多种评价模式以及任务成功展示，帮助学生能力培养</w:t>
            </w:r>
            <w:r>
              <w:rPr>
                <w:rFonts w:hint="eastAsia" w:ascii="宋体" w:hAnsi="宋体" w:eastAsia="宋体" w:cs="宋体"/>
                <w:color w:val="auto"/>
                <w:sz w:val="21"/>
                <w:szCs w:val="21"/>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8）组织见面课在线直播及直播互动：支持见面课的网上直播，支持学生在线观看直播</w:t>
            </w:r>
            <w:r>
              <w:rPr>
                <w:rFonts w:hint="eastAsia" w:cs="宋体"/>
                <w:color w:val="auto"/>
                <w:sz w:val="21"/>
                <w:szCs w:val="21"/>
                <w:highlight w:val="none"/>
                <w:lang w:val="en-US" w:eastAsia="zh-CN"/>
              </w:rPr>
              <w:t>并参与互动</w:t>
            </w:r>
            <w:r>
              <w:rPr>
                <w:rFonts w:hint="default" w:ascii="宋体" w:hAnsi="宋体" w:eastAsia="宋体" w:cs="宋体"/>
                <w:color w:val="auto"/>
                <w:sz w:val="21"/>
                <w:szCs w:val="21"/>
                <w:highlight w:val="none"/>
              </w:rPr>
              <w:t>、教师进行教学观摩。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default" w:ascii="宋体" w:hAnsi="宋体" w:cs="宋体"/>
                <w:color w:val="auto"/>
                <w:szCs w:val="21"/>
                <w:highlight w:val="none"/>
                <w:lang w:eastAsia="zh-CN"/>
              </w:rPr>
              <w:t>3</w:t>
            </w:r>
          </w:p>
        </w:tc>
        <w:tc>
          <w:tcPr>
            <w:tcW w:w="7169" w:type="dxa"/>
            <w:gridSpan w:val="3"/>
            <w:noWrap w:val="0"/>
            <w:vAlign w:val="center"/>
          </w:tcPr>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一流课程申报</w:t>
            </w:r>
            <w:r>
              <w:rPr>
                <w:rFonts w:hint="eastAsia" w:cs="宋体"/>
                <w:color w:val="auto"/>
                <w:sz w:val="21"/>
                <w:szCs w:val="21"/>
                <w:highlight w:val="none"/>
                <w:lang w:val="en-US" w:eastAsia="zh-Hans"/>
              </w:rPr>
              <w:t>数据</w:t>
            </w:r>
            <w:r>
              <w:rPr>
                <w:rFonts w:hint="eastAsia" w:cs="宋体"/>
                <w:color w:val="auto"/>
                <w:sz w:val="21"/>
                <w:szCs w:val="21"/>
                <w:highlight w:val="none"/>
                <w:lang w:val="en-US" w:eastAsia="zh-CN"/>
              </w:rPr>
              <w:t>服务</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供应商有能力为一流课程申报提供详细全面的数据支持服务，包括课程基础数据、教学数据、课堂活动、课程日志、学情分析、成绩分析等详细统计分析，支持课程详细画像与自定义课程报告。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default" w:ascii="宋体" w:hAnsi="宋体" w:cs="宋体"/>
                <w:color w:val="auto"/>
                <w:szCs w:val="21"/>
                <w:highlight w:val="none"/>
                <w:lang w:eastAsia="zh-CN"/>
              </w:rPr>
              <w:t>4</w:t>
            </w:r>
          </w:p>
        </w:tc>
        <w:tc>
          <w:tcPr>
            <w:tcW w:w="7158" w:type="dxa"/>
            <w:gridSpan w:val="2"/>
            <w:noWrap w:val="0"/>
            <w:vAlign w:val="center"/>
          </w:tcPr>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right="0" w:rightChars="0"/>
              <w:textAlignment w:val="auto"/>
              <w:outlineLvl w:val="9"/>
              <w:rPr>
                <w:rFonts w:hint="default" w:cs="宋体"/>
                <w:color w:val="auto"/>
                <w:sz w:val="21"/>
                <w:szCs w:val="21"/>
                <w:highlight w:val="none"/>
                <w:lang w:val="en-US" w:eastAsia="zh-CN"/>
              </w:rPr>
            </w:pPr>
            <w:r>
              <w:rPr>
                <w:rFonts w:hint="eastAsia" w:cs="宋体"/>
                <w:color w:val="auto"/>
                <w:sz w:val="21"/>
                <w:szCs w:val="21"/>
                <w:highlight w:val="none"/>
                <w:lang w:val="en-US" w:eastAsia="zh-Hans"/>
              </w:rPr>
              <w:t>一流课程申报遴选服务</w:t>
            </w:r>
            <w:r>
              <w:rPr>
                <w:rFonts w:hint="default" w:cs="宋体"/>
                <w:color w:val="auto"/>
                <w:sz w:val="21"/>
                <w:szCs w:val="21"/>
                <w:highlight w:val="none"/>
                <w:lang w:val="en-US" w:eastAsia="zh-CN"/>
              </w:rPr>
              <w:t>支持</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供应商能为学校一流课程培育与选拔提供大赛支持服务，包括：课程项目申报、评审以及校内教学创新能力大赛等服务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default" w:ascii="宋体" w:hAnsi="宋体" w:cs="宋体"/>
                <w:color w:val="auto"/>
                <w:kern w:val="2"/>
                <w:sz w:val="21"/>
                <w:szCs w:val="21"/>
                <w:highlight w:val="none"/>
                <w:lang w:eastAsia="zh-CN" w:bidi="ar-SA"/>
              </w:rPr>
              <w:t>5</w:t>
            </w:r>
          </w:p>
        </w:tc>
        <w:tc>
          <w:tcPr>
            <w:tcW w:w="71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outlineLvl w:val="9"/>
              <w:rPr>
                <w:rFonts w:hint="eastAsia" w:eastAsia="宋体"/>
                <w:color w:val="auto"/>
                <w:highlight w:val="none"/>
                <w:lang w:val="en-US" w:eastAsia="zh-Hans"/>
              </w:rPr>
            </w:pPr>
            <w:r>
              <w:rPr>
                <w:rFonts w:hint="eastAsia"/>
                <w:color w:val="auto"/>
                <w:highlight w:val="none"/>
                <w:lang w:val="en-US" w:eastAsia="zh-Hans"/>
              </w:rPr>
              <w:t>一流课程推广服务</w:t>
            </w:r>
          </w:p>
          <w:p>
            <w:pPr>
              <w:pStyle w:val="32"/>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eastAsia"/>
                <w:color w:val="auto"/>
                <w:highlight w:val="none"/>
                <w:lang w:val="en-US" w:eastAsia="zh-Hans"/>
              </w:rPr>
              <w:t>供应商能提供优质课程推广渠道</w:t>
            </w:r>
            <w:r>
              <w:rPr>
                <w:rFonts w:hint="default"/>
                <w:color w:val="auto"/>
                <w:highlight w:val="none"/>
                <w:lang w:eastAsia="zh-Hans"/>
              </w:rPr>
              <w:t>，</w:t>
            </w:r>
            <w:r>
              <w:rPr>
                <w:rFonts w:hint="eastAsia"/>
                <w:color w:val="auto"/>
                <w:highlight w:val="none"/>
                <w:lang w:val="en-US" w:eastAsia="zh-Hans"/>
              </w:rPr>
              <w:t>如</w:t>
            </w:r>
            <w:r>
              <w:rPr>
                <w:rFonts w:hint="default"/>
                <w:color w:val="auto"/>
                <w:highlight w:val="none"/>
                <w:lang w:eastAsia="zh-Hans"/>
              </w:rPr>
              <w:t>：</w:t>
            </w:r>
            <w:r>
              <w:rPr>
                <w:rFonts w:hint="eastAsia"/>
                <w:color w:val="auto"/>
                <w:highlight w:val="none"/>
                <w:lang w:val="en-US" w:eastAsia="zh-Hans"/>
              </w:rPr>
              <w:t>拥有符合国家级线上一流本科课程申报要求的相关申报平台</w:t>
            </w:r>
            <w:r>
              <w:rPr>
                <w:rFonts w:hint="default"/>
                <w:color w:val="auto"/>
                <w:highlight w:val="none"/>
                <w:lang w:eastAsia="zh-Hans"/>
              </w:rPr>
              <w:t>；</w:t>
            </w:r>
            <w:r>
              <w:rPr>
                <w:rFonts w:hint="eastAsia"/>
                <w:color w:val="auto"/>
                <w:highlight w:val="none"/>
                <w:lang w:val="en-US" w:eastAsia="zh-Hans"/>
              </w:rPr>
              <w:t>拥有与优质出版社</w:t>
            </w:r>
            <w:r>
              <w:rPr>
                <w:rFonts w:hint="default"/>
                <w:color w:val="auto"/>
                <w:highlight w:val="none"/>
                <w:lang w:eastAsia="zh-Hans"/>
              </w:rPr>
              <w:t>（</w:t>
            </w:r>
            <w:r>
              <w:rPr>
                <w:rFonts w:hint="eastAsia"/>
                <w:color w:val="auto"/>
                <w:highlight w:val="none"/>
                <w:lang w:val="en-US" w:eastAsia="zh-Hans"/>
              </w:rPr>
              <w:t>如</w:t>
            </w:r>
            <w:r>
              <w:rPr>
                <w:rFonts w:hint="default"/>
                <w:color w:val="auto"/>
                <w:highlight w:val="none"/>
                <w:lang w:eastAsia="zh-Hans"/>
              </w:rPr>
              <w:t>：985</w:t>
            </w:r>
            <w:r>
              <w:rPr>
                <w:rFonts w:hint="eastAsia"/>
                <w:color w:val="auto"/>
                <w:highlight w:val="none"/>
                <w:lang w:val="en-US" w:eastAsia="zh-Hans"/>
              </w:rPr>
              <w:t>高校出版社</w:t>
            </w:r>
            <w:r>
              <w:rPr>
                <w:rFonts w:hint="default"/>
                <w:color w:val="auto"/>
                <w:highlight w:val="none"/>
                <w:lang w:eastAsia="zh-Hans"/>
              </w:rPr>
              <w:t>）</w:t>
            </w:r>
            <w:r>
              <w:rPr>
                <w:rFonts w:hint="eastAsia"/>
                <w:color w:val="auto"/>
                <w:highlight w:val="none"/>
                <w:lang w:val="en-US" w:eastAsia="zh-Hans"/>
              </w:rPr>
              <w:t>合作的混合式课程运营能力</w:t>
            </w:r>
            <w:r>
              <w:rPr>
                <w:rFonts w:hint="eastAsia"/>
                <w:color w:val="auto"/>
                <w:highlight w:val="none"/>
                <w:lang w:val="en-US" w:eastAsia="zh-CN"/>
              </w:rPr>
              <w:t>，</w:t>
            </w:r>
            <w:r>
              <w:rPr>
                <w:rFonts w:hint="default"/>
                <w:color w:val="auto"/>
                <w:highlight w:val="none"/>
                <w:lang w:eastAsia="zh-Hans"/>
              </w:rPr>
              <w:t>依据新形态教材出版相关要求，进行相关课程的改版上线；</w:t>
            </w:r>
            <w:r>
              <w:rPr>
                <w:rFonts w:hint="eastAsia"/>
                <w:color w:val="auto"/>
                <w:highlight w:val="none"/>
                <w:lang w:val="en-US" w:eastAsia="zh-Hans"/>
              </w:rPr>
              <w:t>能协助采购单位提升课程知名度与选课人数</w:t>
            </w:r>
            <w:r>
              <w:rPr>
                <w:rFonts w:hint="default"/>
                <w:color w:val="auto"/>
                <w:highlight w:val="none"/>
                <w:lang w:eastAsia="zh-Hans"/>
              </w:rPr>
              <w:t>，</w:t>
            </w:r>
            <w:r>
              <w:rPr>
                <w:rFonts w:hint="eastAsia"/>
                <w:color w:val="auto"/>
                <w:highlight w:val="none"/>
                <w:lang w:val="en-US" w:eastAsia="zh-Hans"/>
              </w:rPr>
              <w:t>进而推进一流课程推广工作</w:t>
            </w:r>
            <w:r>
              <w:rPr>
                <w:rFonts w:hint="default"/>
                <w:color w:val="auto"/>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9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715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outlineLvl w:val="9"/>
              <w:rPr>
                <w:rFonts w:hint="eastAsia" w:eastAsia="宋体" w:cs="Times New Roman"/>
                <w:color w:val="auto"/>
                <w:highlight w:val="none"/>
                <w:lang w:val="en-US" w:eastAsia="zh-Hans"/>
              </w:rPr>
            </w:pPr>
            <w:r>
              <w:rPr>
                <w:rFonts w:hint="eastAsia" w:eastAsia="宋体" w:cs="Times New Roman"/>
                <w:color w:val="auto"/>
                <w:highlight w:val="none"/>
                <w:lang w:val="en-US" w:eastAsia="zh-Hans"/>
              </w:rPr>
              <w:t>一流课程</w:t>
            </w:r>
            <w:r>
              <w:rPr>
                <w:rFonts w:hint="eastAsia" w:eastAsia="宋体" w:cs="Times New Roman"/>
                <w:color w:val="auto"/>
                <w:highlight w:val="none"/>
                <w:lang w:val="en-US" w:eastAsia="zh-CN"/>
              </w:rPr>
              <w:t>运行</w:t>
            </w:r>
            <w:r>
              <w:rPr>
                <w:rFonts w:hint="eastAsia" w:eastAsia="宋体" w:cs="Times New Roman"/>
                <w:color w:val="auto"/>
                <w:highlight w:val="none"/>
                <w:lang w:val="en-US" w:eastAsia="zh-Hans"/>
              </w:rPr>
              <w:t>服务</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CN"/>
              </w:rPr>
              <w:t>专属课程</w:t>
            </w:r>
            <w:r>
              <w:rPr>
                <w:rFonts w:hint="eastAsia"/>
                <w:color w:val="auto"/>
                <w:highlight w:val="none"/>
                <w:lang w:val="en-US" w:eastAsia="zh-Hans"/>
              </w:rPr>
              <w:t>运营人员不低于2名，协助校方完成课程推广等工作，人员相对保持稳定。</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Hans"/>
              </w:rPr>
              <w:t>上线前、中期的推广服务，主要包括：开课前需做好国家级、省级同类课程精品在线开放课程调研；需做到辅助采购人上线的一些具体事务（包括但不限于上传资料）；上线后页面建设；帮助校方完成测试。以省级及以上在线课程的相关要求为指导原则，进一步完善课程资源及对应网站。</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Hans"/>
              </w:rPr>
              <w:t>供应商协助采购人的课程团队将课程资源以及对应的教学目标、教学大纲、教学任务、考核办法、作业、考试、参考文献、课程素材等上传至采购人指定的教学平台并在线上按课程设计方案进行整合，完成完整的网络课程，形成采购人需要的在线课程资源。</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Hans"/>
              </w:rPr>
              <w:t>供应商协助教师在</w:t>
            </w:r>
            <w:r>
              <w:rPr>
                <w:rFonts w:hint="eastAsia" w:cs="宋体"/>
                <w:color w:val="auto"/>
                <w:sz w:val="21"/>
                <w:szCs w:val="21"/>
                <w:highlight w:val="none"/>
                <w:lang w:val="en-US" w:eastAsia="zh-CN"/>
              </w:rPr>
              <w:t>符合国家级线上一流本科课程申报要求的相关申报平台</w:t>
            </w:r>
            <w:r>
              <w:rPr>
                <w:rFonts w:hint="eastAsia"/>
                <w:color w:val="auto"/>
                <w:highlight w:val="none"/>
                <w:lang w:val="en-US" w:eastAsia="zh-Hans"/>
              </w:rPr>
              <w:t>，完成课程上线。</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Hans"/>
              </w:rPr>
              <w:t>供应商须积极协助校方申请省级、国家级精品在线开放课程，为教师填写省级、国家级精品在线开放课程申报资料提供指导和优化服务</w:t>
            </w:r>
            <w:r>
              <w:rPr>
                <w:rFonts w:hint="eastAsia"/>
                <w:color w:val="auto"/>
                <w:highlight w:val="none"/>
                <w:lang w:val="en-US"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default"/>
                <w:color w:val="auto"/>
                <w:highlight w:val="none"/>
                <w:lang w:eastAsia="zh-Hans"/>
              </w:rPr>
              <w:t>供方在课程运行过程中能提供跨校、跨区域在线课程的直播互动服务。</w:t>
            </w:r>
          </w:p>
          <w:p>
            <w:pPr>
              <w:pStyle w:val="32"/>
              <w:keepNext w:val="0"/>
              <w:keepLines w:val="0"/>
              <w:pageBreakBefore w:val="0"/>
              <w:widowControl w:val="0"/>
              <w:numPr>
                <w:ilvl w:val="0"/>
                <w:numId w:val="12"/>
              </w:numPr>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color w:val="auto"/>
                <w:highlight w:val="none"/>
                <w:lang w:val="en-US" w:eastAsia="zh-Hans"/>
              </w:rPr>
            </w:pPr>
            <w:r>
              <w:rPr>
                <w:rFonts w:hint="eastAsia"/>
                <w:color w:val="auto"/>
                <w:highlight w:val="none"/>
                <w:lang w:val="en-US" w:eastAsia="zh-Hans"/>
              </w:rPr>
              <w:t>供应商协助课程的日常维护与运营，帮助校方进行校内选课；建设课程在线开放页面；定期更新；设置考试；设置合理的考核方式；讨论区维护等。供应商课程运营人员需在需要时</w:t>
            </w:r>
            <w:r>
              <w:rPr>
                <w:rFonts w:hint="eastAsia"/>
                <w:color w:val="auto"/>
                <w:highlight w:val="none"/>
                <w:lang w:val="en-US" w:eastAsia="zh-CN"/>
              </w:rPr>
              <w:t>2</w:t>
            </w:r>
            <w:r>
              <w:rPr>
                <w:rFonts w:hint="eastAsia"/>
                <w:color w:val="auto"/>
                <w:highlight w:val="none"/>
                <w:lang w:val="en-US" w:eastAsia="zh-Hans"/>
              </w:rPr>
              <w:t>小时以内能够响应。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09" w:type="dxa"/>
            <w:vMerge w:val="continue"/>
            <w:noWrap w:val="0"/>
            <w:vAlign w:val="center"/>
          </w:tcPr>
          <w:p>
            <w:pPr>
              <w:spacing w:line="240" w:lineRule="auto"/>
              <w:jc w:val="center"/>
              <w:rPr>
                <w:rFonts w:hint="eastAsia" w:ascii="宋体" w:hAnsi="宋体" w:eastAsia="宋体" w:cs="宋体"/>
                <w:b/>
                <w:bCs/>
                <w:color w:val="auto"/>
                <w:sz w:val="21"/>
                <w:szCs w:val="21"/>
                <w:highlight w:val="none"/>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7</w:t>
            </w:r>
          </w:p>
        </w:tc>
        <w:tc>
          <w:tcPr>
            <w:tcW w:w="7169" w:type="dxa"/>
            <w:gridSpan w:val="3"/>
            <w:noWrap w:val="0"/>
            <w:vAlign w:val="center"/>
          </w:tcPr>
          <w:p>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hint="eastAsia" w:eastAsia="宋体" w:cs="宋体"/>
                <w:color w:val="auto"/>
                <w:sz w:val="21"/>
                <w:szCs w:val="21"/>
                <w:highlight w:val="none"/>
                <w:lang w:val="en-US" w:eastAsia="zh-Hans"/>
              </w:rPr>
            </w:pPr>
            <w:r>
              <w:rPr>
                <w:rFonts w:hint="eastAsia" w:cs="宋体"/>
                <w:color w:val="auto"/>
                <w:sz w:val="21"/>
                <w:szCs w:val="21"/>
                <w:highlight w:val="none"/>
                <w:lang w:val="en-US" w:eastAsia="zh-Hans"/>
              </w:rPr>
              <w:t>课程思政内容支持</w:t>
            </w:r>
          </w:p>
          <w:p>
            <w:pPr>
              <w:pStyle w:val="32"/>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应商能为学校一流课程建设提供课程思政模块库，能辅助教师在备课过程中精准梳理思政育人元素。相关思政育人元素应至少包含：核心价值观、模范人物、创新成果、先进文化、科学精神、职业精神、历史征程等模块。</w:t>
            </w:r>
          </w:p>
        </w:tc>
      </w:tr>
    </w:tbl>
    <w:p>
      <w:pPr>
        <w:autoSpaceDE w:val="0"/>
        <w:autoSpaceDN w:val="0"/>
        <w:adjustRightInd w:val="0"/>
        <w:spacing w:line="360" w:lineRule="auto"/>
        <w:ind w:firstLine="241" w:firstLineChars="100"/>
        <w:rPr>
          <w:rFonts w:hint="eastAsia" w:ascii="宋体" w:hAnsi="宋体" w:cs="微软雅黑"/>
          <w:b/>
          <w:color w:val="auto"/>
          <w:sz w:val="24"/>
          <w:highlight w:val="none"/>
        </w:rPr>
      </w:pPr>
    </w:p>
    <w:p>
      <w:pPr>
        <w:autoSpaceDE w:val="0"/>
        <w:autoSpaceDN w:val="0"/>
        <w:adjustRightInd w:val="0"/>
        <w:spacing w:line="360" w:lineRule="auto"/>
        <w:rPr>
          <w:rFonts w:ascii="宋体" w:hAnsi="宋体" w:cs="微软雅黑"/>
          <w:b/>
          <w:color w:val="auto"/>
          <w:sz w:val="24"/>
          <w:highlight w:val="none"/>
        </w:rPr>
      </w:pPr>
      <w:r>
        <w:rPr>
          <w:rFonts w:hint="eastAsia" w:ascii="宋体" w:hAnsi="宋体" w:cs="微软雅黑"/>
          <w:b/>
          <w:color w:val="auto"/>
          <w:sz w:val="24"/>
          <w:highlight w:val="none"/>
        </w:rPr>
        <w:t>三、</w:t>
      </w:r>
      <w:r>
        <w:rPr>
          <w:rFonts w:hint="eastAsia" w:ascii="宋体" w:hAnsi="宋体" w:cs="微软雅黑"/>
          <w:b/>
          <w:color w:val="auto"/>
          <w:sz w:val="24"/>
          <w:highlight w:val="none"/>
          <w:lang w:val="en-US" w:eastAsia="zh-CN"/>
        </w:rPr>
        <w:t>标段一及标段二</w:t>
      </w:r>
      <w:r>
        <w:rPr>
          <w:rFonts w:hint="eastAsia" w:ascii="宋体" w:hAnsi="宋体" w:cs="微软雅黑"/>
          <w:b/>
          <w:color w:val="auto"/>
          <w:sz w:val="24"/>
          <w:highlight w:val="none"/>
        </w:rPr>
        <w:t>商务需求</w:t>
      </w:r>
    </w:p>
    <w:tbl>
      <w:tblPr>
        <w:tblStyle w:val="3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4"/>
                <w:highlight w:val="none"/>
              </w:rPr>
            </w:pPr>
            <w:r>
              <w:rPr>
                <w:rFonts w:hint="eastAsia"/>
                <w:color w:val="auto"/>
                <w:sz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360" w:lineRule="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本项目分四期进行付款，</w:t>
            </w:r>
          </w:p>
          <w:p>
            <w:pPr>
              <w:pStyle w:val="17"/>
              <w:snapToGrid w:val="0"/>
              <w:spacing w:before="120" w:after="120" w:line="360" w:lineRule="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第一期：合同签订后，甲方在三个月内支付乙方合同款的30%。</w:t>
            </w:r>
          </w:p>
          <w:p>
            <w:pPr>
              <w:pStyle w:val="17"/>
              <w:snapToGrid w:val="0"/>
              <w:spacing w:before="120" w:after="120" w:line="360" w:lineRule="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第二期：课程拍摄制作完成并上线至相关平台，采购人支付已完成课程总金额的20%款项。</w:t>
            </w:r>
          </w:p>
          <w:p>
            <w:pPr>
              <w:pStyle w:val="17"/>
              <w:snapToGrid w:val="0"/>
              <w:spacing w:before="120" w:after="120" w:line="360" w:lineRule="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第三期：课程运行两个周期后，并符合国省一流课程申报条件，采购人支付已完成课程总金额的20%合同款。</w:t>
            </w:r>
          </w:p>
          <w:p>
            <w:pPr>
              <w:pStyle w:val="17"/>
              <w:snapToGrid w:val="0"/>
              <w:spacing w:before="120" w:after="120" w:line="360" w:lineRule="auto"/>
              <w:outlineLvl w:val="0"/>
              <w:rPr>
                <w:rFonts w:eastAsia="仿宋_GB2312"/>
                <w:color w:val="auto"/>
                <w:highlight w:val="none"/>
              </w:rPr>
            </w:pPr>
            <w:r>
              <w:rPr>
                <w:rFonts w:hint="eastAsia" w:ascii="宋体" w:hAnsi="宋体" w:eastAsia="宋体" w:cs="宋体"/>
                <w:b w:val="0"/>
                <w:bCs w:val="0"/>
                <w:color w:val="auto"/>
                <w:kern w:val="2"/>
                <w:sz w:val="21"/>
                <w:szCs w:val="21"/>
                <w:highlight w:val="none"/>
                <w:lang w:val="en-US" w:eastAsia="zh-CN" w:bidi="ar-SA"/>
              </w:rPr>
              <w:t>第四期：到2022年国省一流课程申报数据填报截止时间，要求每轮选课量通识课达到4000人次，专业课达到2000人次。达到要求的课程，采购人支付课程总金额的剩余款项；未能达到要求的课程，剩余款项按照实际总选课量与要求总选课量比例支付（比如一门通识课程运行两</w:t>
            </w:r>
            <w:r>
              <w:rPr>
                <w:rFonts w:hint="eastAsia" w:hAnsi="宋体" w:cs="宋体"/>
                <w:b w:val="0"/>
                <w:bCs w:val="0"/>
                <w:color w:val="auto"/>
                <w:kern w:val="2"/>
                <w:sz w:val="21"/>
                <w:szCs w:val="21"/>
                <w:highlight w:val="none"/>
                <w:lang w:val="en-US" w:eastAsia="zh-CN" w:bidi="ar-SA"/>
              </w:rPr>
              <w:t>个</w:t>
            </w:r>
            <w:r>
              <w:rPr>
                <w:rFonts w:hint="eastAsia" w:ascii="宋体" w:hAnsi="宋体" w:eastAsia="宋体" w:cs="宋体"/>
                <w:b w:val="0"/>
                <w:bCs w:val="0"/>
                <w:color w:val="auto"/>
                <w:kern w:val="2"/>
                <w:sz w:val="21"/>
                <w:szCs w:val="21"/>
                <w:highlight w:val="none"/>
                <w:lang w:val="en-US" w:eastAsia="zh-CN" w:bidi="ar-SA"/>
              </w:rPr>
              <w:t>周</w:t>
            </w:r>
            <w:r>
              <w:rPr>
                <w:rFonts w:hint="eastAsia" w:hAnsi="宋体" w:cs="宋体"/>
                <w:b w:val="0"/>
                <w:bCs w:val="0"/>
                <w:color w:val="auto"/>
                <w:kern w:val="2"/>
                <w:sz w:val="21"/>
                <w:szCs w:val="21"/>
                <w:highlight w:val="none"/>
                <w:lang w:val="en-US" w:eastAsia="zh-CN" w:bidi="ar-SA"/>
              </w:rPr>
              <w:t>期</w:t>
            </w:r>
            <w:r>
              <w:rPr>
                <w:rFonts w:hint="eastAsia" w:ascii="宋体" w:hAnsi="宋体" w:eastAsia="宋体" w:cs="宋体"/>
                <w:b w:val="0"/>
                <w:bCs w:val="0"/>
                <w:color w:val="auto"/>
                <w:kern w:val="2"/>
                <w:sz w:val="21"/>
                <w:szCs w:val="21"/>
                <w:highlight w:val="none"/>
                <w:lang w:val="en-US" w:eastAsia="zh-CN" w:bidi="ar-SA"/>
              </w:rPr>
              <w:t>后，实际选课量为3000人次，那么采购人支付剩余款项的比例是：3000/4000=75%，以此类推……）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4"/>
                <w:highlight w:val="none"/>
              </w:rPr>
            </w:pPr>
            <w:r>
              <w:rPr>
                <w:rFonts w:hAnsi="宋体"/>
                <w:color w:val="auto"/>
                <w:sz w:val="24"/>
                <w:highlight w:val="none"/>
              </w:rPr>
              <w:t>履约</w:t>
            </w:r>
            <w:r>
              <w:rPr>
                <w:rFonts w:hint="eastAsia" w:hAnsi="宋体"/>
                <w:color w:val="auto"/>
                <w:sz w:val="24"/>
                <w:highlight w:val="none"/>
                <w:lang w:eastAsia="zh-CN"/>
              </w:rPr>
              <w:t>保证</w:t>
            </w:r>
            <w:r>
              <w:rPr>
                <w:rFonts w:hAnsi="宋体"/>
                <w:color w:val="auto"/>
                <w:sz w:val="24"/>
                <w:highlight w:val="none"/>
              </w:rPr>
              <w:t>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line="360" w:lineRule="auto"/>
              <w:outlineLvl w:val="0"/>
              <w:rPr>
                <w:rFonts w:eastAsia="仿宋_GB2312"/>
                <w:color w:val="auto"/>
                <w:highlight w:val="none"/>
              </w:rPr>
            </w:pPr>
            <w:r>
              <w:rPr>
                <w:rFonts w:hint="eastAsia" w:ascii="Times New Roman" w:hAnsi="Times New Roman"/>
                <w:color w:val="auto"/>
                <w:highlight w:val="none"/>
              </w:rPr>
              <w:t>（2）</w:t>
            </w:r>
            <w:r>
              <w:rPr>
                <w:rFonts w:ascii="Times New Roman" w:hAnsi="Times New Roman"/>
                <w:color w:val="auto"/>
                <w:highlight w:val="none"/>
              </w:rPr>
              <w:t>合同签订前，中标人应先缴纳合同总金额</w:t>
            </w:r>
            <w:r>
              <w:rPr>
                <w:rFonts w:hint="eastAsia" w:ascii="Times New Roman" w:hAnsi="Times New Roman"/>
                <w:color w:val="auto"/>
                <w:highlight w:val="none"/>
              </w:rPr>
              <w:t>5</w:t>
            </w:r>
            <w:r>
              <w:rPr>
                <w:rFonts w:ascii="Times New Roman" w:hAnsi="Times New Roman"/>
                <w:color w:val="auto"/>
                <w:highlight w:val="none"/>
              </w:rPr>
              <w:t>%的履约保证金，合同履行结束，对质保期间有无质量、服务投诉和索赔进行最终验收后，该款项无息返还。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Ansi="宋体"/>
                <w:color w:val="auto"/>
                <w:sz w:val="24"/>
                <w:highlight w:val="none"/>
              </w:rPr>
            </w:pPr>
            <w:r>
              <w:rPr>
                <w:rFonts w:hint="eastAsia"/>
                <w:color w:val="auto"/>
                <w:sz w:val="24"/>
                <w:highlight w:val="none"/>
              </w:rPr>
              <w:t>售后服务要求</w:t>
            </w:r>
          </w:p>
        </w:tc>
        <w:tc>
          <w:tcPr>
            <w:tcW w:w="6510"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Cs w:val="21"/>
                <w:highlight w:val="none"/>
              </w:rPr>
            </w:pPr>
            <w:r>
              <w:rPr>
                <w:rFonts w:hint="eastAsia" w:ascii="宋体" w:hAnsi="宋体" w:cs="宋体"/>
                <w:color w:val="auto"/>
                <w:szCs w:val="21"/>
                <w:highlight w:val="none"/>
              </w:rPr>
              <w:t>（1） 中标方在提交视频成片后一月内，须根据采购方需求提供相关成片修改服务，服务次数原则上不多于3次。</w:t>
            </w:r>
          </w:p>
          <w:p>
            <w:pPr>
              <w:spacing w:line="300" w:lineRule="auto"/>
              <w:rPr>
                <w:rFonts w:ascii="宋体" w:hAnsi="宋体" w:cs="宋体"/>
                <w:color w:val="auto"/>
                <w:szCs w:val="21"/>
                <w:highlight w:val="none"/>
              </w:rPr>
            </w:pPr>
            <w:r>
              <w:rPr>
                <w:rFonts w:hint="eastAsia" w:ascii="宋体" w:hAnsi="宋体" w:cs="宋体"/>
                <w:color w:val="auto"/>
                <w:szCs w:val="21"/>
                <w:highlight w:val="none"/>
              </w:rPr>
              <w:t>（2）中标方须免费提供课程服务产品相关的培训、技术支持等服务。</w:t>
            </w:r>
          </w:p>
          <w:p>
            <w:pPr>
              <w:tabs>
                <w:tab w:val="left" w:pos="1680"/>
              </w:tabs>
              <w:spacing w:line="300" w:lineRule="auto"/>
              <w:rPr>
                <w:rFonts w:ascii="宋体" w:hAnsi="宋体" w:cs="宋体"/>
                <w:color w:val="auto"/>
                <w:szCs w:val="21"/>
                <w:highlight w:val="none"/>
              </w:rPr>
            </w:pPr>
            <w:r>
              <w:rPr>
                <w:rFonts w:hint="eastAsia" w:ascii="宋体" w:hAnsi="宋体" w:cs="宋体"/>
                <w:color w:val="auto"/>
                <w:szCs w:val="21"/>
                <w:highlight w:val="none"/>
              </w:rPr>
              <w:t>（3）针对采购方后续扩展需求，中标方须提供相关技术服务，包括平台使用培训、在线课程建设培训，课程运行指导服务等。</w:t>
            </w:r>
          </w:p>
          <w:p>
            <w:pPr>
              <w:tabs>
                <w:tab w:val="left" w:pos="1680"/>
              </w:tabs>
              <w:spacing w:line="300" w:lineRule="auto"/>
              <w:rPr>
                <w:rFonts w:ascii="Times New Roman" w:hAnsi="Times New Roman"/>
                <w:color w:val="auto"/>
                <w:highlight w:val="none"/>
              </w:rPr>
            </w:pPr>
            <w:r>
              <w:rPr>
                <w:rFonts w:hint="eastAsia" w:ascii="宋体" w:hAnsi="宋体" w:cs="宋体"/>
                <w:color w:val="auto"/>
                <w:szCs w:val="21"/>
                <w:highlight w:val="none"/>
              </w:rPr>
              <w:t>（4）中标方须提供四种常规技术服务方式，电话支持、BBS在线支持、电子邮件支持、远程维护支持。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服务期</w:t>
            </w:r>
          </w:p>
          <w:p>
            <w:pPr>
              <w:snapToGrid w:val="0"/>
              <w:spacing w:line="300" w:lineRule="exact"/>
              <w:jc w:val="center"/>
              <w:rPr>
                <w:color w:val="auto"/>
                <w:sz w:val="24"/>
                <w:highlight w:val="none"/>
              </w:rPr>
            </w:pPr>
            <w:r>
              <w:rPr>
                <w:color w:val="auto"/>
                <w:sz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pPr>
              <w:pStyle w:val="17"/>
              <w:snapToGrid w:val="0"/>
              <w:spacing w:before="120" w:after="120" w:line="360" w:lineRule="auto"/>
              <w:outlineLvl w:val="0"/>
              <w:rPr>
                <w:rFonts w:ascii="Times New Roman" w:hAnsi="Times New Roman"/>
                <w:color w:val="auto"/>
                <w:highlight w:val="none"/>
              </w:rPr>
            </w:pPr>
            <w:r>
              <w:rPr>
                <w:rFonts w:ascii="Times New Roman" w:hAnsi="Times New Roman"/>
                <w:color w:val="auto"/>
                <w:highlight w:val="none"/>
              </w:rPr>
              <w:t>时间</w:t>
            </w:r>
            <w:r>
              <w:rPr>
                <w:rFonts w:hint="eastAsia" w:ascii="Times New Roman" w:hAnsi="Times New Roman"/>
                <w:color w:val="auto"/>
                <w:highlight w:val="none"/>
                <w:lang w:eastAsia="zh-CN"/>
              </w:rPr>
              <w:t>要求</w:t>
            </w:r>
            <w:r>
              <w:rPr>
                <w:rFonts w:ascii="Times New Roman" w:hAnsi="Times New Roman"/>
                <w:color w:val="auto"/>
                <w:highlight w:val="none"/>
              </w:rPr>
              <w:t>：</w:t>
            </w:r>
          </w:p>
          <w:p>
            <w:pPr>
              <w:pStyle w:val="17"/>
              <w:snapToGrid w:val="0"/>
              <w:spacing w:before="120" w:after="120" w:line="360" w:lineRule="auto"/>
              <w:outlineLvl w:val="0"/>
              <w:rPr>
                <w:rFonts w:hint="eastAsia" w:ascii="Times New Roman" w:hAnsi="Times New Roman"/>
                <w:color w:val="auto"/>
                <w:highlight w:val="none"/>
              </w:rPr>
            </w:pPr>
            <w:r>
              <w:rPr>
                <w:rFonts w:hint="eastAsia" w:ascii="Times New Roman" w:hAnsi="Times New Roman"/>
                <w:color w:val="auto"/>
                <w:highlight w:val="none"/>
              </w:rPr>
              <w:t>（1）具体开始时间在签订合同时由采购人确定。</w:t>
            </w:r>
          </w:p>
          <w:p>
            <w:pPr>
              <w:pStyle w:val="17"/>
              <w:snapToGrid w:val="0"/>
              <w:spacing w:before="120" w:after="120" w:line="360" w:lineRule="auto"/>
              <w:outlineLvl w:val="0"/>
              <w:rPr>
                <w:rFonts w:hint="eastAsia" w:ascii="Times New Roman" w:hAnsi="Times New Roman" w:eastAsia="宋体"/>
                <w:color w:val="auto"/>
                <w:highlight w:val="none"/>
                <w:lang w:val="en-US" w:eastAsia="zh-CN"/>
              </w:rPr>
            </w:pPr>
            <w:r>
              <w:rPr>
                <w:rFonts w:hint="eastAsia" w:ascii="Times New Roman" w:hAnsi="Times New Roman"/>
                <w:color w:val="auto"/>
                <w:highlight w:val="none"/>
              </w:rPr>
              <w:t>（2）在合同约定的服务期内，按照学校工作需要完成各项摄录制作任务，并经学校审核通过后，正式交付</w:t>
            </w:r>
            <w:r>
              <w:rPr>
                <w:rFonts w:hint="eastAsia" w:ascii="Times New Roman" w:hAnsi="Times New Roman"/>
                <w:color w:val="auto"/>
                <w:highlight w:val="none"/>
                <w:lang w:eastAsia="zh-CN"/>
              </w:rPr>
              <w:t>。</w:t>
            </w:r>
          </w:p>
          <w:p>
            <w:pPr>
              <w:pStyle w:val="17"/>
              <w:snapToGrid w:val="0"/>
              <w:spacing w:before="120" w:after="120" w:line="360" w:lineRule="auto"/>
              <w:outlineLvl w:val="0"/>
              <w:rPr>
                <w:rFonts w:eastAsia="仿宋_GB2312"/>
                <w:color w:val="auto"/>
                <w:highlight w:val="none"/>
              </w:rPr>
            </w:pPr>
            <w:r>
              <w:rPr>
                <w:rFonts w:ascii="Times New Roman" w:hAnsi="Times New Roman"/>
                <w:color w:val="auto"/>
                <w:highlight w:val="none"/>
              </w:rPr>
              <w:t>地点：</w:t>
            </w:r>
            <w:r>
              <w:rPr>
                <w:rFonts w:hint="eastAsia" w:ascii="Times New Roman" w:hAnsi="Times New Roman"/>
                <w:color w:val="auto"/>
                <w:highlight w:val="none"/>
                <w:lang w:eastAsia="zh-CN"/>
              </w:rPr>
              <w:t>采购人指定地点</w:t>
            </w:r>
            <w:r>
              <w:rPr>
                <w:rFonts w:eastAsia="仿宋_GB2312"/>
                <w:color w:val="auto"/>
                <w:highlight w:val="none"/>
              </w:rPr>
              <w:t xml:space="preserve">      </w:t>
            </w:r>
          </w:p>
        </w:tc>
      </w:tr>
    </w:tbl>
    <w:p>
      <w:pPr>
        <w:snapToGrid w:val="0"/>
        <w:spacing w:line="460" w:lineRule="exact"/>
        <w:ind w:firstLine="420"/>
        <w:rPr>
          <w:rFonts w:ascii="宋体" w:hAnsi="宋体" w:cs="Tahoma"/>
          <w:color w:val="auto"/>
          <w:sz w:val="24"/>
          <w:highlight w:val="none"/>
        </w:rPr>
      </w:pPr>
    </w:p>
    <w:p>
      <w:pPr>
        <w:snapToGrid w:val="0"/>
        <w:spacing w:line="460" w:lineRule="exact"/>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w:t>
      </w:r>
      <w:r>
        <w:rPr>
          <w:rFonts w:hint="eastAsia" w:ascii="宋体" w:hAnsi="宋体"/>
          <w:b/>
          <w:color w:val="auto"/>
          <w:sz w:val="24"/>
          <w:highlight w:val="none"/>
        </w:rPr>
        <w:t>其他说明</w:t>
      </w:r>
    </w:p>
    <w:p>
      <w:pPr>
        <w:keepNext w:val="0"/>
        <w:keepLines w:val="0"/>
        <w:widowControl/>
        <w:suppressLineNumbers w:val="0"/>
        <w:jc w:val="left"/>
        <w:rPr>
          <w:rFonts w:hint="eastAsia" w:ascii="宋体"/>
          <w:color w:val="auto"/>
          <w:kern w:val="0"/>
          <w:sz w:val="24"/>
          <w:szCs w:val="20"/>
          <w:highlight w:val="none"/>
        </w:rPr>
      </w:pPr>
      <w:r>
        <w:rPr>
          <w:rFonts w:hint="eastAsia" w:ascii="宋体"/>
          <w:color w:val="auto"/>
          <w:kern w:val="0"/>
          <w:sz w:val="24"/>
          <w:szCs w:val="20"/>
          <w:highlight w:val="none"/>
        </w:rPr>
        <w:t>▲1、所有设备均采用人民币报价。本</w:t>
      </w:r>
      <w:r>
        <w:rPr>
          <w:rFonts w:hint="eastAsia" w:ascii="宋体" w:hAnsi="Times New Roman" w:eastAsia="宋体" w:cs="Times New Roman"/>
          <w:color w:val="auto"/>
          <w:kern w:val="0"/>
          <w:sz w:val="24"/>
          <w:szCs w:val="20"/>
          <w:highlight w:val="none"/>
        </w:rPr>
        <w:t>项目的成交报价应包含</w:t>
      </w:r>
      <w:r>
        <w:rPr>
          <w:rFonts w:hint="eastAsia" w:ascii="宋体" w:hAnsi="Times New Roman" w:eastAsia="宋体" w:cs="Times New Roman"/>
          <w:color w:val="auto"/>
          <w:kern w:val="0"/>
          <w:sz w:val="24"/>
          <w:szCs w:val="20"/>
          <w:highlight w:val="none"/>
          <w:lang w:val="en-US" w:eastAsia="zh-CN"/>
        </w:rPr>
        <w:t>课程视频拍摄及制作、 在线课程制作、线上线下课程运行服务等需要的全部人工费（含 交通、食宿等费用）、设备费、风险费、合理的利润、招标代理服务费、各种税金 以及其他所有与本项目相关的一切费用等</w:t>
      </w:r>
      <w:r>
        <w:rPr>
          <w:rFonts w:hint="eastAsia" w:ascii="宋体" w:hAnsi="Times New Roman" w:eastAsia="宋体" w:cs="Times New Roman"/>
          <w:color w:val="auto"/>
          <w:kern w:val="0"/>
          <w:sz w:val="24"/>
          <w:szCs w:val="20"/>
          <w:highlight w:val="none"/>
        </w:rPr>
        <w:t>。</w:t>
      </w:r>
    </w:p>
    <w:p>
      <w:pPr>
        <w:autoSpaceDE w:val="0"/>
        <w:autoSpaceDN w:val="0"/>
        <w:adjustRightInd w:val="0"/>
        <w:spacing w:line="360" w:lineRule="auto"/>
        <w:rPr>
          <w:rFonts w:hint="eastAsia" w:ascii="宋体"/>
          <w:color w:val="auto"/>
          <w:kern w:val="0"/>
          <w:sz w:val="24"/>
          <w:szCs w:val="20"/>
          <w:highlight w:val="none"/>
          <w:lang w:val="en-US" w:eastAsia="zh-CN"/>
        </w:rPr>
      </w:pPr>
      <w:r>
        <w:rPr>
          <w:rFonts w:hint="eastAsia" w:ascii="宋体"/>
          <w:color w:val="auto"/>
          <w:kern w:val="0"/>
          <w:sz w:val="24"/>
          <w:szCs w:val="20"/>
          <w:highlight w:val="none"/>
          <w:lang w:val="en-US" w:eastAsia="zh-CN"/>
        </w:rPr>
        <w:t>2、现场勘察：无</w:t>
      </w:r>
    </w:p>
    <w:p>
      <w:pPr>
        <w:autoSpaceDE w:val="0"/>
        <w:autoSpaceDN w:val="0"/>
        <w:adjustRightInd w:val="0"/>
        <w:spacing w:line="360" w:lineRule="auto"/>
        <w:ind w:firstLine="480" w:firstLineChars="200"/>
        <w:rPr>
          <w:rFonts w:hint="eastAsia" w:ascii="宋体"/>
          <w:color w:val="auto"/>
          <w:kern w:val="0"/>
          <w:sz w:val="24"/>
          <w:szCs w:val="20"/>
          <w:highlight w:val="none"/>
        </w:rPr>
      </w:pPr>
    </w:p>
    <w:p>
      <w:pPr>
        <w:autoSpaceDE w:val="0"/>
        <w:autoSpaceDN w:val="0"/>
        <w:adjustRightInd w:val="0"/>
        <w:spacing w:line="360" w:lineRule="auto"/>
        <w:ind w:firstLine="480" w:firstLineChars="200"/>
        <w:rPr>
          <w:rFonts w:hint="eastAsia" w:ascii="宋体"/>
          <w:color w:val="auto"/>
          <w:kern w:val="0"/>
          <w:sz w:val="24"/>
          <w:szCs w:val="20"/>
          <w:highlight w:val="none"/>
        </w:rPr>
        <w:sectPr>
          <w:pgSz w:w="11906" w:h="16838"/>
          <w:pgMar w:top="1440" w:right="1800" w:bottom="1440" w:left="1800" w:header="851" w:footer="992" w:gutter="0"/>
          <w:cols w:space="425" w:num="1"/>
          <w:docGrid w:type="lines" w:linePitch="312" w:charSpace="0"/>
        </w:sectPr>
      </w:pPr>
    </w:p>
    <w:p>
      <w:pPr>
        <w:numPr>
          <w:ilvl w:val="0"/>
          <w:numId w:val="3"/>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w:t>
      </w:r>
    </w:p>
    <w:p>
      <w:pPr>
        <w:pStyle w:val="17"/>
        <w:snapToGrid w:val="0"/>
        <w:spacing w:line="360" w:lineRule="auto"/>
        <w:jc w:val="left"/>
        <w:rPr>
          <w:rFonts w:ascii="仿宋" w:hAnsi="仿宋" w:eastAsia="仿宋" w:cs="Times New Roman"/>
          <w:b/>
          <w:color w:val="auto"/>
          <w:kern w:val="0"/>
          <w:sz w:val="30"/>
          <w:szCs w:val="30"/>
          <w:highlight w:val="none"/>
        </w:rPr>
      </w:pPr>
    </w:p>
    <w:p>
      <w:pPr>
        <w:keepNext/>
        <w:keepLines/>
        <w:widowControl w:val="0"/>
        <w:spacing w:before="120" w:after="120" w:line="400" w:lineRule="exact"/>
        <w:jc w:val="center"/>
        <w:outlineLvl w:val="0"/>
        <w:rPr>
          <w:rFonts w:ascii="Times New Roman" w:hAnsi="Times New Roman" w:eastAsia="黑体" w:cs="Times New Roman"/>
          <w:b w:val="0"/>
          <w:bCs w:val="0"/>
          <w:color w:val="auto"/>
          <w:kern w:val="44"/>
          <w:sz w:val="32"/>
          <w:szCs w:val="44"/>
          <w:highlight w:val="none"/>
          <w:lang w:val="en-US" w:eastAsia="zh-CN" w:bidi="ar-SA"/>
        </w:rPr>
      </w:pPr>
      <w:r>
        <w:rPr>
          <w:rFonts w:hint="eastAsia" w:ascii="Times New Roman" w:hAnsi="Times New Roman" w:eastAsia="黑体" w:cs="Times New Roman"/>
          <w:b w:val="0"/>
          <w:bCs w:val="0"/>
          <w:color w:val="auto"/>
          <w:kern w:val="44"/>
          <w:sz w:val="32"/>
          <w:szCs w:val="44"/>
          <w:highlight w:val="none"/>
          <w:lang w:val="en-US" w:eastAsia="zh-CN" w:bidi="ar-SA"/>
        </w:rPr>
        <w:t>合同条款及格式</w:t>
      </w:r>
      <w:r>
        <w:rPr>
          <w:rFonts w:hint="eastAsia" w:eastAsia="黑体" w:cs="Times New Roman"/>
          <w:b w:val="0"/>
          <w:bCs w:val="0"/>
          <w:color w:val="auto"/>
          <w:kern w:val="44"/>
          <w:sz w:val="32"/>
          <w:szCs w:val="44"/>
          <w:highlight w:val="none"/>
          <w:lang w:val="en-US" w:eastAsia="zh-CN" w:bidi="ar-SA"/>
        </w:rPr>
        <w:t>（参考）</w:t>
      </w:r>
    </w:p>
    <w:p>
      <w:pPr>
        <w:rPr>
          <w:rFonts w:ascii="Times New Roman" w:hAnsi="Times New Roman"/>
          <w:color w:val="auto"/>
          <w:highlight w:val="none"/>
        </w:rPr>
      </w:pPr>
    </w:p>
    <w:p>
      <w:pPr>
        <w:widowControl w:val="0"/>
        <w:snapToGrid w:val="0"/>
        <w:spacing w:before="120" w:after="120" w:line="360" w:lineRule="auto"/>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项目名称：                                       </w:t>
      </w:r>
    </w:p>
    <w:p>
      <w:pPr>
        <w:widowControl w:val="0"/>
        <w:snapToGrid w:val="0"/>
        <w:spacing w:before="120" w:after="120" w:line="360" w:lineRule="auto"/>
        <w:jc w:val="both"/>
        <w:rPr>
          <w:rFonts w:ascii="宋体" w:hAnsi="宋体" w:eastAsia="宋体" w:cs="Times New Roman"/>
          <w:color w:val="auto"/>
          <w:kern w:val="2"/>
          <w:sz w:val="21"/>
          <w:szCs w:val="20"/>
          <w:highlight w:val="none"/>
          <w:lang w:val="en-US" w:eastAsia="zh-CN" w:bidi="ar-SA"/>
        </w:rPr>
      </w:pPr>
      <w:r>
        <w:rPr>
          <w:rFonts w:ascii="宋体" w:hAnsi="宋体" w:eastAsia="宋体" w:cs="Times New Roman"/>
          <w:color w:val="auto"/>
          <w:kern w:val="2"/>
          <w:sz w:val="24"/>
          <w:szCs w:val="20"/>
          <w:highlight w:val="none"/>
          <w:lang w:val="en-US" w:eastAsia="zh-CN" w:bidi="ar-SA"/>
        </w:rPr>
        <w:t>甲方：（</w:t>
      </w:r>
      <w:r>
        <w:rPr>
          <w:rFonts w:hint="eastAsia" w:ascii="宋体" w:hAnsi="宋体" w:eastAsia="宋体" w:cs="Times New Roman"/>
          <w:color w:val="auto"/>
          <w:kern w:val="2"/>
          <w:sz w:val="24"/>
          <w:szCs w:val="20"/>
          <w:highlight w:val="none"/>
          <w:lang w:val="en-US" w:eastAsia="zh-CN" w:bidi="ar-SA"/>
        </w:rPr>
        <w:t>采购单位</w:t>
      </w:r>
      <w:r>
        <w:rPr>
          <w:rFonts w:ascii="宋体" w:hAnsi="宋体"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1"/>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 xml:space="preserve"> 所在地： </w:t>
      </w:r>
      <w:r>
        <w:rPr>
          <w:rFonts w:hint="eastAsia" w:ascii="宋体" w:hAnsi="宋体" w:eastAsia="宋体" w:cs="Times New Roman"/>
          <w:color w:val="auto"/>
          <w:kern w:val="2"/>
          <w:sz w:val="21"/>
          <w:szCs w:val="20"/>
          <w:highlight w:val="none"/>
          <w:lang w:val="en-US" w:eastAsia="zh-CN" w:bidi="ar-SA"/>
        </w:rPr>
        <w:t xml:space="preserve">                             </w:t>
      </w:r>
    </w:p>
    <w:p>
      <w:pPr>
        <w:widowControl w:val="0"/>
        <w:snapToGrid w:val="0"/>
        <w:spacing w:before="120" w:after="120" w:line="360" w:lineRule="auto"/>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乙方：（</w:t>
      </w:r>
      <w:r>
        <w:rPr>
          <w:rFonts w:hint="eastAsia" w:ascii="宋体" w:hAnsi="宋体" w:eastAsia="宋体" w:cs="Times New Roman"/>
          <w:color w:val="auto"/>
          <w:kern w:val="2"/>
          <w:sz w:val="24"/>
          <w:szCs w:val="20"/>
          <w:highlight w:val="none"/>
          <w:lang w:val="en-US" w:eastAsia="zh-CN" w:bidi="ar-SA"/>
        </w:rPr>
        <w:t>中标单位</w:t>
      </w:r>
      <w:r>
        <w:rPr>
          <w:rFonts w:ascii="宋体" w:hAnsi="宋体"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1"/>
          <w:szCs w:val="20"/>
          <w:highlight w:val="none"/>
          <w:lang w:val="en-US" w:eastAsia="zh-CN" w:bidi="ar-SA"/>
        </w:rPr>
        <w:t xml:space="preserve">                              </w:t>
      </w:r>
      <w:r>
        <w:rPr>
          <w:rFonts w:hint="eastAsia" w:ascii="宋体" w:hAnsi="宋体" w:eastAsia="宋体" w:cs="Times New Roman"/>
          <w:color w:val="auto"/>
          <w:kern w:val="2"/>
          <w:sz w:val="24"/>
          <w:szCs w:val="20"/>
          <w:highlight w:val="none"/>
          <w:lang w:val="en-US" w:eastAsia="zh-CN" w:bidi="ar-SA"/>
        </w:rPr>
        <w:t>所在地：</w:t>
      </w:r>
      <w:r>
        <w:rPr>
          <w:rFonts w:hint="eastAsia" w:ascii="宋体" w:hAnsi="宋体" w:eastAsia="宋体" w:cs="Times New Roman"/>
          <w:color w:val="auto"/>
          <w:kern w:val="2"/>
          <w:sz w:val="21"/>
          <w:szCs w:val="20"/>
          <w:highlight w:val="none"/>
          <w:lang w:val="en-US" w:eastAsia="zh-CN" w:bidi="ar-SA"/>
        </w:rPr>
        <w:t xml:space="preserve">                              </w:t>
      </w:r>
    </w:p>
    <w:p>
      <w:pPr>
        <w:widowControl w:val="0"/>
        <w:snapToGrid w:val="0"/>
        <w:spacing w:before="120" w:after="120" w:line="360" w:lineRule="auto"/>
        <w:jc w:val="both"/>
        <w:rPr>
          <w:rFonts w:ascii="宋体" w:hAnsi="宋体" w:eastAsia="宋体" w:cs="Times New Roman"/>
          <w:b/>
          <w:color w:val="auto"/>
          <w:kern w:val="2"/>
          <w:sz w:val="24"/>
          <w:szCs w:val="20"/>
          <w:highlight w:val="none"/>
          <w:lang w:val="en-US" w:eastAsia="zh-CN" w:bidi="ar-SA"/>
        </w:rPr>
      </w:pPr>
      <w:r>
        <w:rPr>
          <w:rFonts w:ascii="宋体" w:hAnsi="宋体" w:eastAsia="宋体" w:cs="Times New Roman"/>
          <w:b/>
          <w:color w:val="auto"/>
          <w:kern w:val="2"/>
          <w:sz w:val="24"/>
          <w:szCs w:val="20"/>
          <w:highlight w:val="none"/>
          <w:lang w:val="en-US" w:eastAsia="zh-CN" w:bidi="ar-SA"/>
        </w:rPr>
        <w:t xml:space="preserve">   </w:t>
      </w:r>
      <w:r>
        <w:rPr>
          <w:rFonts w:ascii="宋体" w:hAnsi="宋体" w:eastAsia="宋体" w:cs="Times New Roman"/>
          <w:color w:val="auto"/>
          <w:kern w:val="2"/>
          <w:sz w:val="24"/>
          <w:szCs w:val="20"/>
          <w:highlight w:val="none"/>
          <w:lang w:val="en-US" w:eastAsia="zh-CN" w:bidi="ar-SA"/>
        </w:rPr>
        <w:t>甲、乙双方根据</w:t>
      </w:r>
      <w:r>
        <w:rPr>
          <w:rFonts w:hint="eastAsia" w:ascii="宋体" w:hAnsi="宋体" w:eastAsia="宋体" w:cs="Times New Roman"/>
          <w:color w:val="auto"/>
          <w:kern w:val="2"/>
          <w:sz w:val="24"/>
          <w:szCs w:val="20"/>
          <w:highlight w:val="none"/>
          <w:lang w:val="en-US" w:eastAsia="zh-CN" w:bidi="ar-SA"/>
        </w:rPr>
        <w:t>台州学院一流课程建设及运行服务项目</w:t>
      </w:r>
      <w:r>
        <w:rPr>
          <w:rFonts w:hint="eastAsia" w:ascii="宋体" w:hAnsi="宋体" w:cs="Times New Roman"/>
          <w:color w:val="auto"/>
          <w:kern w:val="2"/>
          <w:sz w:val="24"/>
          <w:szCs w:val="20"/>
          <w:highlight w:val="none"/>
          <w:lang w:val="en-US" w:eastAsia="zh-CN" w:bidi="ar-SA"/>
        </w:rPr>
        <w:t>公开招标</w:t>
      </w:r>
      <w:r>
        <w:rPr>
          <w:rFonts w:ascii="宋体" w:hAnsi="宋体" w:eastAsia="宋体" w:cs="Times New Roman"/>
          <w:color w:val="auto"/>
          <w:kern w:val="2"/>
          <w:sz w:val="24"/>
          <w:szCs w:val="20"/>
          <w:highlight w:val="none"/>
          <w:lang w:val="en-US" w:eastAsia="zh-CN" w:bidi="ar-SA"/>
        </w:rPr>
        <w:t>的结果</w:t>
      </w:r>
      <w:r>
        <w:rPr>
          <w:rFonts w:ascii="宋体" w:hAnsi="宋体" w:eastAsia="宋体" w:cs="Times New Roman"/>
          <w:color w:val="auto"/>
          <w:kern w:val="2"/>
          <w:sz w:val="24"/>
          <w:szCs w:val="20"/>
          <w:highlight w:val="none"/>
          <w:lang w:val="en-US" w:eastAsia="zh-CN" w:bidi="ar-SA"/>
        </w:rPr>
        <w:t>，签署本合同。</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一、服务内容范围</w:t>
      </w:r>
    </w:p>
    <w:p>
      <w:pPr>
        <w:widowControl/>
        <w:shd w:val="clear" w:color="auto" w:fill="FFFFFF"/>
        <w:spacing w:after="150" w:line="375" w:lineRule="atLeast"/>
        <w:ind w:firstLine="480"/>
        <w:jc w:val="left"/>
        <w:rPr>
          <w:rFonts w:ascii="宋体" w:hAnsi="宋体" w:cs="Arial"/>
          <w:color w:val="auto"/>
          <w:kern w:val="0"/>
          <w:sz w:val="24"/>
          <w:highlight w:val="none"/>
        </w:rPr>
      </w:pPr>
      <w:r>
        <w:rPr>
          <w:rFonts w:ascii="宋体" w:hAnsi="宋体" w:cs="Arial"/>
          <w:color w:val="auto"/>
          <w:kern w:val="0"/>
          <w:sz w:val="24"/>
          <w:highlight w:val="none"/>
        </w:rPr>
        <w:t>（具体见项目需求）</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eastAsia="宋体" w:cs="华文仿宋"/>
          <w:b/>
          <w:color w:val="auto"/>
          <w:kern w:val="2"/>
          <w:sz w:val="24"/>
          <w:szCs w:val="24"/>
          <w:highlight w:val="none"/>
          <w:lang w:val="en-US" w:eastAsia="zh-CN" w:bidi="ar-SA"/>
        </w:rPr>
        <w:t>二、合同金额</w:t>
      </w:r>
    </w:p>
    <w:p>
      <w:pPr>
        <w:pStyle w:val="183"/>
        <w:keepNext w:val="0"/>
        <w:keepLines w:val="0"/>
        <w:widowControl w:val="0"/>
        <w:shd w:val="clear" w:color="auto" w:fill="auto"/>
        <w:tabs>
          <w:tab w:val="left" w:pos="907"/>
        </w:tabs>
        <w:bidi w:val="0"/>
        <w:spacing w:before="0" w:after="0" w:line="478" w:lineRule="exact"/>
        <w:ind w:left="0" w:right="0" w:firstLine="52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本合同总金额为（大写）：人民币____________________元（￥_______元）。</w:t>
      </w:r>
    </w:p>
    <w:p>
      <w:pPr>
        <w:pStyle w:val="183"/>
        <w:keepNext w:val="0"/>
        <w:keepLines w:val="0"/>
        <w:widowControl w:val="0"/>
        <w:shd w:val="clear" w:color="auto" w:fill="auto"/>
        <w:tabs>
          <w:tab w:val="left" w:pos="907"/>
        </w:tabs>
        <w:bidi w:val="0"/>
        <w:spacing w:before="0" w:after="0" w:line="478" w:lineRule="exact"/>
        <w:ind w:left="0" w:right="0" w:firstLine="52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此</w:t>
      </w:r>
      <w:r>
        <w:rPr>
          <w:rFonts w:hint="eastAsia" w:cs="宋体"/>
          <w:color w:val="auto"/>
          <w:kern w:val="2"/>
          <w:sz w:val="24"/>
          <w:szCs w:val="24"/>
          <w:highlight w:val="none"/>
          <w:lang w:val="zh-CN" w:eastAsia="zh-CN" w:bidi="ar-SA"/>
        </w:rPr>
        <w:t>合同金额</w:t>
      </w:r>
      <w:r>
        <w:rPr>
          <w:rFonts w:hint="eastAsia" w:ascii="宋体" w:hAnsi="宋体" w:eastAsia="宋体" w:cs="宋体"/>
          <w:color w:val="auto"/>
          <w:kern w:val="2"/>
          <w:sz w:val="24"/>
          <w:szCs w:val="24"/>
          <w:highlight w:val="none"/>
          <w:lang w:val="zh-CN" w:eastAsia="zh-CN" w:bidi="ar-SA"/>
        </w:rPr>
        <w:t>为暂定的25门课程的总</w:t>
      </w:r>
      <w:r>
        <w:rPr>
          <w:rFonts w:hint="eastAsia" w:cs="宋体"/>
          <w:color w:val="auto"/>
          <w:kern w:val="2"/>
          <w:sz w:val="24"/>
          <w:szCs w:val="24"/>
          <w:highlight w:val="none"/>
          <w:lang w:val="zh-CN" w:eastAsia="zh-CN" w:bidi="ar-SA"/>
        </w:rPr>
        <w:t>金额</w:t>
      </w:r>
      <w:r>
        <w:rPr>
          <w:rFonts w:hint="eastAsia" w:ascii="宋体" w:hAnsi="宋体" w:eastAsia="宋体" w:cs="宋体"/>
          <w:color w:val="auto"/>
          <w:kern w:val="2"/>
          <w:sz w:val="24"/>
          <w:szCs w:val="24"/>
          <w:highlight w:val="none"/>
          <w:lang w:val="zh-CN" w:eastAsia="zh-CN" w:bidi="ar-SA"/>
        </w:rPr>
        <w:t>，最终课程门数根据发文确定。实际结算金额按实际拍摄门数与拍摄时长结算。</w:t>
      </w:r>
    </w:p>
    <w:p>
      <w:pPr>
        <w:pStyle w:val="183"/>
        <w:keepNext w:val="0"/>
        <w:keepLines w:val="0"/>
        <w:widowControl w:val="0"/>
        <w:shd w:val="clear" w:color="auto" w:fill="auto"/>
        <w:tabs>
          <w:tab w:val="left" w:pos="907"/>
        </w:tabs>
        <w:bidi w:val="0"/>
        <w:spacing w:before="0" w:after="0" w:line="478" w:lineRule="exact"/>
        <w:ind w:left="0" w:right="0" w:firstLine="520"/>
        <w:jc w:val="left"/>
        <w:rPr>
          <w:rFonts w:hint="eastAsia" w:cs="宋体"/>
          <w:color w:val="auto"/>
          <w:kern w:val="2"/>
          <w:sz w:val="24"/>
          <w:szCs w:val="24"/>
          <w:highlight w:val="none"/>
          <w:lang w:val="zh-CN" w:eastAsia="zh-CN" w:bidi="ar-SA"/>
        </w:rPr>
      </w:pPr>
      <w:r>
        <w:rPr>
          <w:rFonts w:hint="eastAsia" w:cs="宋体"/>
          <w:color w:val="auto"/>
          <w:kern w:val="2"/>
          <w:sz w:val="24"/>
          <w:szCs w:val="24"/>
          <w:highlight w:val="none"/>
          <w:lang w:val="zh-CN" w:eastAsia="zh-CN" w:bidi="ar-SA"/>
        </w:rPr>
        <w:t>每门课程全部完成后，实际支付金额按如下公式结算：</w:t>
      </w:r>
    </w:p>
    <w:p>
      <w:pPr>
        <w:widowControl w:val="0"/>
        <w:spacing w:before="120" w:after="120" w:line="360" w:lineRule="auto"/>
        <w:ind w:firstLine="1200" w:firstLineChars="500"/>
        <w:jc w:val="both"/>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=（实际拍摄时长/480分钟）*每门课程制作运行费报价单价</w:t>
      </w:r>
    </w:p>
    <w:p>
      <w:pPr>
        <w:pStyle w:val="2"/>
        <w:rPr>
          <w:rFonts w:hint="default"/>
          <w:color w:val="auto"/>
          <w:highlight w:val="none"/>
          <w:lang w:val="en-US" w:eastAsia="zh-CN"/>
        </w:rPr>
      </w:pPr>
      <w:r>
        <w:rPr>
          <w:rFonts w:hint="eastAsia" w:cs="宋体"/>
          <w:color w:val="auto"/>
          <w:kern w:val="2"/>
          <w:sz w:val="24"/>
          <w:szCs w:val="24"/>
          <w:highlight w:val="none"/>
          <w:lang w:val="en-US" w:eastAsia="zh-CN" w:bidi="ar-SA"/>
        </w:rPr>
        <w:t>注：实际拍摄时长如果超过480分钟的，按480分钟计算；</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三、技术资料</w:t>
      </w:r>
    </w:p>
    <w:p>
      <w:pPr>
        <w:widowControl w:val="0"/>
        <w:spacing w:before="120" w:after="120" w:line="360" w:lineRule="auto"/>
        <w:ind w:left="479" w:leftChars="228" w:firstLine="69" w:firstLineChars="29"/>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1.乙方应按比选文件规定的时间向甲方提供有关技术资料。</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widowControl w:val="0"/>
        <w:spacing w:before="120" w:after="120" w:line="360" w:lineRule="auto"/>
        <w:ind w:left="412" w:hanging="412" w:hangingChars="171"/>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四、知识产权</w:t>
      </w:r>
    </w:p>
    <w:p>
      <w:pPr>
        <w:widowControl w:val="0"/>
        <w:spacing w:before="120" w:after="120" w:line="360" w:lineRule="auto"/>
        <w:ind w:left="479" w:leftChars="228" w:firstLine="69" w:firstLineChars="29"/>
        <w:jc w:val="both"/>
        <w:rPr>
          <w:rFonts w:ascii="宋体" w:hAnsi="宋体" w:eastAsia="宋体" w:cs="华文仿宋"/>
          <w:b/>
          <w:bCs/>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乙方应保证提供服务过程中不会侵犯任何第三方的知识产权</w:t>
      </w:r>
      <w:r>
        <w:rPr>
          <w:rFonts w:hint="eastAsia" w:ascii="宋体" w:hAnsi="宋体" w:eastAsia="宋体" w:cs="华文仿宋"/>
          <w:b/>
          <w:bCs/>
          <w:color w:val="auto"/>
          <w:kern w:val="2"/>
          <w:sz w:val="24"/>
          <w:szCs w:val="24"/>
          <w:highlight w:val="none"/>
          <w:lang w:val="en-US" w:eastAsia="zh-CN" w:bidi="ar-SA"/>
        </w:rPr>
        <w:t>。</w:t>
      </w:r>
    </w:p>
    <w:p>
      <w:pPr>
        <w:widowControl w:val="0"/>
        <w:spacing w:before="120" w:after="120" w:line="360" w:lineRule="auto"/>
        <w:ind w:left="410" w:hanging="410" w:hangingChars="170"/>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五、履约保证金</w:t>
      </w:r>
    </w:p>
    <w:p>
      <w:pPr>
        <w:snapToGrid w:val="0"/>
        <w:spacing w:beforeLines="50" w:afterLines="50"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在合同签订前乙方应提供合同金额</w:t>
      </w: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%的履约保证金。待合同履约完成后（验收合格）5个工作日内无息返还。</w:t>
      </w:r>
    </w:p>
    <w:p>
      <w:pPr>
        <w:snapToGrid w:val="0"/>
        <w:spacing w:beforeLines="50" w:afterLines="50" w:line="360" w:lineRule="auto"/>
        <w:rPr>
          <w:rFonts w:ascii="宋体" w:hAnsi="宋体" w:cs="华文仿宋"/>
          <w:b/>
          <w:color w:val="auto"/>
          <w:sz w:val="24"/>
          <w:highlight w:val="none"/>
        </w:rPr>
      </w:pPr>
      <w:r>
        <w:rPr>
          <w:rFonts w:hint="eastAsia" w:ascii="宋体" w:hAnsi="宋体" w:cs="华文仿宋"/>
          <w:b/>
          <w:color w:val="auto"/>
          <w:sz w:val="24"/>
          <w:highlight w:val="none"/>
        </w:rPr>
        <w:t>六、转包或分包</w:t>
      </w:r>
    </w:p>
    <w:p>
      <w:pPr>
        <w:snapToGrid w:val="0"/>
        <w:spacing w:beforeLines="50" w:afterLines="50"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1.本合同范围的服务，应由乙方直接供应，不得转让他人供应；</w:t>
      </w:r>
    </w:p>
    <w:p>
      <w:pPr>
        <w:snapToGrid w:val="0"/>
        <w:spacing w:beforeLines="50" w:afterLines="50"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2.除非得到甲方的书面同意，乙方不得将本合同范围的服务全部或部分分包给他人供应；</w:t>
      </w:r>
    </w:p>
    <w:p>
      <w:pPr>
        <w:snapToGrid w:val="0"/>
        <w:spacing w:beforeLines="50" w:afterLines="50"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3.如有转让和未经甲方同意的分包行为，甲方有权解除合同，没收履约保证金并追究乙方的违约责任。</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七、服务期、服务地点</w:t>
      </w:r>
    </w:p>
    <w:p>
      <w:pPr>
        <w:widowControl w:val="0"/>
        <w:spacing w:line="360" w:lineRule="auto"/>
        <w:ind w:firstLine="480" w:firstLineChars="200"/>
        <w:jc w:val="both"/>
        <w:rPr>
          <w:rFonts w:hint="eastAsia" w:ascii="Calibri" w:hAnsi="宋体" w:eastAsia="宋体" w:cs="华文仿宋"/>
          <w:bCs/>
          <w:color w:val="auto"/>
          <w:kern w:val="2"/>
          <w:sz w:val="24"/>
          <w:szCs w:val="24"/>
          <w:highlight w:val="none"/>
          <w:lang w:val="en-US" w:eastAsia="zh-CN" w:bidi="ar-SA"/>
        </w:rPr>
      </w:pPr>
      <w:r>
        <w:rPr>
          <w:rFonts w:hint="eastAsia" w:ascii="Calibri" w:hAnsi="宋体" w:eastAsia="宋体" w:cs="华文仿宋"/>
          <w:bCs/>
          <w:color w:val="auto"/>
          <w:kern w:val="2"/>
          <w:sz w:val="24"/>
          <w:szCs w:val="24"/>
          <w:highlight w:val="none"/>
          <w:lang w:val="en-US" w:eastAsia="zh-CN" w:bidi="ar-SA"/>
        </w:rPr>
        <w:t xml:space="preserve">1. </w:t>
      </w:r>
      <w:r>
        <w:rPr>
          <w:rFonts w:hint="eastAsia" w:ascii="Calibri" w:hAnsi="宋体" w:eastAsia="宋体" w:cs="华文仿宋"/>
          <w:color w:val="auto"/>
          <w:kern w:val="2"/>
          <w:sz w:val="24"/>
          <w:szCs w:val="24"/>
          <w:highlight w:val="none"/>
          <w:lang w:val="en-US" w:eastAsia="zh-CN" w:bidi="ar-SA"/>
        </w:rPr>
        <w:t>服务期</w:t>
      </w:r>
      <w:r>
        <w:rPr>
          <w:rFonts w:hint="eastAsia" w:ascii="Calibri" w:hAnsi="宋体" w:eastAsia="宋体" w:cs="华文仿宋"/>
          <w:bCs/>
          <w:color w:val="auto"/>
          <w:kern w:val="2"/>
          <w:sz w:val="24"/>
          <w:szCs w:val="24"/>
          <w:highlight w:val="none"/>
          <w:lang w:val="en-US" w:eastAsia="zh-CN" w:bidi="ar-SA"/>
        </w:rPr>
        <w:t>：（1）具体开始时间在签订合同时由采购人确定。</w:t>
      </w:r>
    </w:p>
    <w:p>
      <w:pPr>
        <w:widowControl w:val="0"/>
        <w:spacing w:line="360" w:lineRule="auto"/>
        <w:ind w:firstLine="480" w:firstLineChars="200"/>
        <w:jc w:val="both"/>
        <w:rPr>
          <w:rFonts w:hint="eastAsia" w:ascii="Calibri" w:hAnsi="宋体" w:eastAsia="宋体" w:cs="华文仿宋"/>
          <w:bCs/>
          <w:color w:val="auto"/>
          <w:kern w:val="2"/>
          <w:sz w:val="24"/>
          <w:szCs w:val="24"/>
          <w:highlight w:val="none"/>
          <w:lang w:val="en-US" w:eastAsia="zh-CN" w:bidi="ar-SA"/>
        </w:rPr>
      </w:pPr>
      <w:r>
        <w:rPr>
          <w:rFonts w:hint="eastAsia" w:ascii="Calibri" w:hAnsi="宋体" w:eastAsia="宋体" w:cs="华文仿宋"/>
          <w:bCs/>
          <w:color w:val="auto"/>
          <w:kern w:val="2"/>
          <w:sz w:val="24"/>
          <w:szCs w:val="24"/>
          <w:highlight w:val="none"/>
          <w:lang w:val="en-US" w:eastAsia="zh-CN" w:bidi="ar-SA"/>
        </w:rPr>
        <w:t>（2）在合同约定的服务期内，按照学校工作需要完成各项摄录制作任务，并经学校审核通过后，正式交付</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Calibri" w:hAnsi="宋体" w:eastAsia="宋体" w:cs="华文仿宋"/>
          <w:bCs/>
          <w:color w:val="auto"/>
          <w:kern w:val="2"/>
          <w:sz w:val="24"/>
          <w:szCs w:val="24"/>
          <w:highlight w:val="none"/>
          <w:lang w:val="en-US" w:eastAsia="zh-CN" w:bidi="ar-SA"/>
        </w:rPr>
        <w:t>2.</w:t>
      </w:r>
      <w:r>
        <w:rPr>
          <w:rFonts w:hint="eastAsia" w:ascii="宋体" w:hAnsi="宋体" w:eastAsia="宋体" w:cs="华文仿宋"/>
          <w:color w:val="auto"/>
          <w:kern w:val="2"/>
          <w:sz w:val="24"/>
          <w:szCs w:val="24"/>
          <w:highlight w:val="none"/>
          <w:lang w:val="en-US" w:eastAsia="zh-CN" w:bidi="ar-SA"/>
        </w:rPr>
        <w:t>履行地点</w:t>
      </w:r>
      <w:r>
        <w:rPr>
          <w:rFonts w:hint="eastAsia" w:ascii="宋体" w:hAnsi="宋体" w:eastAsia="宋体" w:cs="华文仿宋"/>
          <w:bCs/>
          <w:color w:val="auto"/>
          <w:kern w:val="2"/>
          <w:sz w:val="24"/>
          <w:szCs w:val="24"/>
          <w:highlight w:val="none"/>
          <w:lang w:val="en-US" w:eastAsia="zh-CN" w:bidi="ar-SA"/>
        </w:rPr>
        <w:t>： 甲方指定地点。</w:t>
      </w:r>
    </w:p>
    <w:p>
      <w:pPr>
        <w:widowControl w:val="0"/>
        <w:spacing w:before="120" w:after="120" w:line="360" w:lineRule="auto"/>
        <w:jc w:val="both"/>
        <w:rPr>
          <w:rFonts w:ascii="宋体" w:hAnsi="宋体" w:eastAsia="宋体" w:cs="华文仿宋"/>
          <w:b/>
          <w:bCs/>
          <w:color w:val="auto"/>
          <w:kern w:val="2"/>
          <w:sz w:val="24"/>
          <w:szCs w:val="24"/>
          <w:highlight w:val="none"/>
          <w:lang w:val="en-US" w:eastAsia="zh-CN" w:bidi="ar-SA"/>
        </w:rPr>
      </w:pPr>
      <w:r>
        <w:rPr>
          <w:rFonts w:hint="eastAsia" w:ascii="宋体" w:hAnsi="宋体" w:eastAsia="宋体" w:cs="华文仿宋"/>
          <w:b/>
          <w:bCs/>
          <w:color w:val="auto"/>
          <w:kern w:val="2"/>
          <w:sz w:val="24"/>
          <w:szCs w:val="24"/>
          <w:highlight w:val="none"/>
          <w:lang w:val="en-US" w:eastAsia="zh-CN" w:bidi="ar-SA"/>
        </w:rPr>
        <w:t>八、款项支付</w:t>
      </w:r>
    </w:p>
    <w:p>
      <w:pPr>
        <w:pStyle w:val="4"/>
        <w:bidi w:val="0"/>
        <w:spacing w:line="360" w:lineRule="auto"/>
        <w:ind w:firstLine="480" w:firstLineChars="200"/>
        <w:rPr>
          <w:rFonts w:hint="eastAsia" w:ascii="Calibri" w:hAnsi="宋体" w:cs="华文仿宋"/>
          <w:bCs/>
          <w:color w:val="auto"/>
          <w:kern w:val="2"/>
          <w:sz w:val="24"/>
          <w:szCs w:val="24"/>
          <w:highlight w:val="none"/>
          <w:shd w:val="clear"/>
          <w:lang w:val="en-US" w:eastAsia="zh-CN" w:bidi="ar-SA"/>
        </w:rPr>
      </w:pPr>
      <w:r>
        <w:rPr>
          <w:rFonts w:hint="eastAsia" w:ascii="宋体" w:hAnsi="宋体" w:eastAsia="宋体" w:cs="华文仿宋"/>
          <w:color w:val="auto"/>
          <w:kern w:val="2"/>
          <w:sz w:val="24"/>
          <w:szCs w:val="24"/>
          <w:highlight w:val="none"/>
          <w:shd w:val="clear"/>
          <w:lang w:val="en-US" w:eastAsia="zh-CN" w:bidi="ar-SA"/>
        </w:rPr>
        <w:t xml:space="preserve"> </w:t>
      </w:r>
      <w:r>
        <w:rPr>
          <w:rFonts w:hint="eastAsia" w:ascii="Calibri" w:hAnsi="宋体" w:cs="华文仿宋"/>
          <w:bCs/>
          <w:color w:val="auto"/>
          <w:kern w:val="2"/>
          <w:sz w:val="24"/>
          <w:szCs w:val="24"/>
          <w:highlight w:val="none"/>
          <w:shd w:val="clear"/>
          <w:lang w:val="en-US" w:eastAsia="zh-CN" w:bidi="ar-SA"/>
        </w:rPr>
        <w:t>本项目分四期进行付款，</w:t>
      </w:r>
    </w:p>
    <w:p>
      <w:pPr>
        <w:pStyle w:val="4"/>
        <w:bidi w:val="0"/>
        <w:spacing w:line="360" w:lineRule="auto"/>
        <w:ind w:firstLine="480" w:firstLineChars="200"/>
        <w:rPr>
          <w:rFonts w:hint="eastAsia" w:ascii="Calibri" w:hAnsi="宋体" w:cs="华文仿宋"/>
          <w:bCs/>
          <w:color w:val="auto"/>
          <w:kern w:val="2"/>
          <w:sz w:val="24"/>
          <w:szCs w:val="24"/>
          <w:highlight w:val="none"/>
          <w:shd w:val="clear"/>
          <w:lang w:val="en-US" w:eastAsia="zh-CN" w:bidi="ar-SA"/>
        </w:rPr>
      </w:pPr>
      <w:r>
        <w:rPr>
          <w:rFonts w:hint="eastAsia" w:ascii="Calibri" w:hAnsi="宋体" w:cs="华文仿宋"/>
          <w:bCs/>
          <w:color w:val="auto"/>
          <w:kern w:val="2"/>
          <w:sz w:val="24"/>
          <w:szCs w:val="24"/>
          <w:highlight w:val="none"/>
          <w:shd w:val="clear"/>
          <w:lang w:val="en-US" w:eastAsia="zh-CN" w:bidi="ar-SA"/>
        </w:rPr>
        <w:t>第一期：合同签订后，甲方在三个月内支付乙方合同款的30%。</w:t>
      </w:r>
    </w:p>
    <w:p>
      <w:pPr>
        <w:pStyle w:val="4"/>
        <w:bidi w:val="0"/>
        <w:spacing w:line="360" w:lineRule="auto"/>
        <w:ind w:firstLine="480" w:firstLineChars="200"/>
        <w:rPr>
          <w:rFonts w:hint="eastAsia" w:ascii="Calibri" w:hAnsi="宋体" w:eastAsia="宋体" w:cs="华文仿宋"/>
          <w:bCs/>
          <w:color w:val="auto"/>
          <w:kern w:val="2"/>
          <w:sz w:val="24"/>
          <w:szCs w:val="24"/>
          <w:highlight w:val="none"/>
          <w:shd w:val="clear"/>
          <w:lang w:val="en-US" w:eastAsia="zh-CN" w:bidi="ar-SA"/>
        </w:rPr>
      </w:pPr>
      <w:r>
        <w:rPr>
          <w:rFonts w:hint="eastAsia" w:ascii="Calibri" w:hAnsi="宋体" w:cs="华文仿宋"/>
          <w:bCs/>
          <w:color w:val="auto"/>
          <w:kern w:val="2"/>
          <w:sz w:val="24"/>
          <w:szCs w:val="24"/>
          <w:highlight w:val="none"/>
          <w:shd w:val="clear"/>
          <w:lang w:val="en-US" w:eastAsia="zh-CN" w:bidi="ar-SA"/>
        </w:rPr>
        <w:t>第二期：</w:t>
      </w:r>
      <w:r>
        <w:rPr>
          <w:rFonts w:hint="eastAsia" w:ascii="Calibri" w:hAnsi="宋体" w:eastAsia="宋体" w:cs="华文仿宋"/>
          <w:bCs/>
          <w:color w:val="auto"/>
          <w:kern w:val="2"/>
          <w:sz w:val="24"/>
          <w:szCs w:val="24"/>
          <w:highlight w:val="none"/>
          <w:shd w:val="clear"/>
          <w:lang w:val="en-US" w:eastAsia="zh-CN" w:bidi="ar-SA"/>
        </w:rPr>
        <w:t>课程拍摄制作完成并上线至相关平台，采购人支付</w:t>
      </w:r>
      <w:r>
        <w:rPr>
          <w:rFonts w:hint="eastAsia" w:ascii="Calibri" w:hAnsi="宋体" w:cs="华文仿宋"/>
          <w:bCs/>
          <w:color w:val="auto"/>
          <w:kern w:val="2"/>
          <w:sz w:val="24"/>
          <w:szCs w:val="24"/>
          <w:highlight w:val="none"/>
          <w:shd w:val="clear"/>
          <w:lang w:val="en-US" w:eastAsia="zh-CN" w:bidi="ar-SA"/>
        </w:rPr>
        <w:t>已完成课程</w:t>
      </w:r>
      <w:r>
        <w:rPr>
          <w:rFonts w:hint="eastAsia" w:ascii="Calibri" w:hAnsi="宋体" w:cs="华文仿宋"/>
          <w:bCs/>
          <w:color w:val="auto"/>
          <w:kern w:val="2"/>
          <w:sz w:val="24"/>
          <w:szCs w:val="24"/>
          <w:highlight w:val="none"/>
          <w:shd w:val="clear"/>
          <w:lang w:val="en-US" w:eastAsia="zh-CN" w:bidi="ar-SA"/>
        </w:rPr>
        <w:t>总</w:t>
      </w:r>
      <w:r>
        <w:rPr>
          <w:rFonts w:hint="eastAsia" w:ascii="Calibri" w:hAnsi="宋体" w:eastAsia="宋体" w:cs="华文仿宋"/>
          <w:bCs/>
          <w:color w:val="auto"/>
          <w:kern w:val="2"/>
          <w:sz w:val="24"/>
          <w:szCs w:val="24"/>
          <w:highlight w:val="none"/>
          <w:shd w:val="clear"/>
          <w:lang w:val="en-US" w:eastAsia="zh-CN" w:bidi="ar-SA"/>
        </w:rPr>
        <w:t>金额的</w:t>
      </w:r>
      <w:r>
        <w:rPr>
          <w:rFonts w:hint="eastAsia" w:ascii="Calibri" w:hAnsi="宋体" w:cs="华文仿宋"/>
          <w:bCs/>
          <w:color w:val="auto"/>
          <w:kern w:val="2"/>
          <w:sz w:val="24"/>
          <w:szCs w:val="24"/>
          <w:highlight w:val="none"/>
          <w:shd w:val="clear"/>
          <w:lang w:val="en-US" w:eastAsia="zh-CN" w:bidi="ar-SA"/>
        </w:rPr>
        <w:t>2</w:t>
      </w:r>
      <w:r>
        <w:rPr>
          <w:rFonts w:hint="eastAsia" w:ascii="Calibri" w:hAnsi="宋体" w:eastAsia="宋体" w:cs="华文仿宋"/>
          <w:bCs/>
          <w:color w:val="auto"/>
          <w:kern w:val="2"/>
          <w:sz w:val="24"/>
          <w:szCs w:val="24"/>
          <w:highlight w:val="none"/>
          <w:shd w:val="clear"/>
          <w:lang w:val="en-US" w:eastAsia="zh-CN" w:bidi="ar-SA"/>
        </w:rPr>
        <w:t>0%</w:t>
      </w:r>
      <w:r>
        <w:rPr>
          <w:rFonts w:hint="eastAsia" w:ascii="Calibri" w:hAnsi="宋体" w:cs="华文仿宋"/>
          <w:bCs/>
          <w:color w:val="auto"/>
          <w:kern w:val="2"/>
          <w:sz w:val="24"/>
          <w:szCs w:val="24"/>
          <w:highlight w:val="none"/>
          <w:shd w:val="clear"/>
          <w:lang w:val="en-US" w:eastAsia="zh-CN" w:bidi="ar-SA"/>
        </w:rPr>
        <w:t>款项</w:t>
      </w:r>
      <w:r>
        <w:rPr>
          <w:rFonts w:hint="eastAsia" w:ascii="Calibri" w:hAnsi="宋体" w:eastAsia="宋体" w:cs="华文仿宋"/>
          <w:bCs/>
          <w:color w:val="auto"/>
          <w:kern w:val="2"/>
          <w:sz w:val="24"/>
          <w:szCs w:val="24"/>
          <w:highlight w:val="none"/>
          <w:shd w:val="clear"/>
          <w:lang w:val="en-US" w:eastAsia="zh-CN" w:bidi="ar-SA"/>
        </w:rPr>
        <w:t>。</w:t>
      </w:r>
    </w:p>
    <w:p>
      <w:pPr>
        <w:pStyle w:val="4"/>
        <w:bidi w:val="0"/>
        <w:spacing w:line="360" w:lineRule="auto"/>
        <w:ind w:firstLine="480" w:firstLineChars="200"/>
        <w:rPr>
          <w:rFonts w:hint="eastAsia" w:ascii="Calibri" w:hAnsi="宋体" w:eastAsia="宋体" w:cs="华文仿宋"/>
          <w:bCs/>
          <w:color w:val="auto"/>
          <w:kern w:val="2"/>
          <w:sz w:val="24"/>
          <w:szCs w:val="24"/>
          <w:highlight w:val="none"/>
          <w:shd w:val="clear"/>
          <w:lang w:val="en-US" w:eastAsia="zh-CN" w:bidi="ar-SA"/>
        </w:rPr>
      </w:pPr>
      <w:r>
        <w:rPr>
          <w:rFonts w:hint="eastAsia" w:ascii="Calibri" w:hAnsi="宋体" w:cs="华文仿宋"/>
          <w:bCs/>
          <w:color w:val="auto"/>
          <w:kern w:val="2"/>
          <w:sz w:val="24"/>
          <w:szCs w:val="24"/>
          <w:highlight w:val="none"/>
          <w:shd w:val="clear"/>
          <w:lang w:val="en-US" w:eastAsia="zh-CN" w:bidi="ar-SA"/>
        </w:rPr>
        <w:t>第三期：</w:t>
      </w:r>
      <w:r>
        <w:rPr>
          <w:rFonts w:hint="eastAsia" w:ascii="Calibri" w:hAnsi="宋体" w:eastAsia="宋体" w:cs="华文仿宋"/>
          <w:bCs/>
          <w:color w:val="auto"/>
          <w:kern w:val="2"/>
          <w:sz w:val="24"/>
          <w:szCs w:val="24"/>
          <w:highlight w:val="none"/>
          <w:shd w:val="clear"/>
          <w:lang w:val="en-US" w:eastAsia="zh-CN" w:bidi="ar-SA"/>
        </w:rPr>
        <w:t>课程运行两个周期后，</w:t>
      </w:r>
      <w:r>
        <w:rPr>
          <w:rFonts w:hint="eastAsia" w:ascii="Calibri" w:hAnsi="宋体" w:cs="华文仿宋"/>
          <w:bCs/>
          <w:color w:val="auto"/>
          <w:kern w:val="2"/>
          <w:sz w:val="24"/>
          <w:szCs w:val="24"/>
          <w:highlight w:val="none"/>
          <w:shd w:val="clear"/>
          <w:lang w:val="en-US" w:eastAsia="zh-CN" w:bidi="ar-SA"/>
        </w:rPr>
        <w:t>并符合国省一流课程申报条件，</w:t>
      </w:r>
      <w:r>
        <w:rPr>
          <w:rFonts w:hint="eastAsia" w:ascii="Calibri" w:hAnsi="宋体" w:eastAsia="宋体" w:cs="华文仿宋"/>
          <w:bCs/>
          <w:color w:val="auto"/>
          <w:kern w:val="2"/>
          <w:sz w:val="24"/>
          <w:szCs w:val="24"/>
          <w:highlight w:val="none"/>
          <w:shd w:val="clear"/>
          <w:lang w:val="en-US" w:eastAsia="zh-CN" w:bidi="ar-SA"/>
        </w:rPr>
        <w:t>采购人支付</w:t>
      </w:r>
      <w:r>
        <w:rPr>
          <w:rFonts w:hint="eastAsia" w:ascii="Calibri" w:hAnsi="宋体" w:cs="华文仿宋"/>
          <w:bCs/>
          <w:color w:val="auto"/>
          <w:kern w:val="2"/>
          <w:sz w:val="24"/>
          <w:szCs w:val="24"/>
          <w:highlight w:val="none"/>
          <w:shd w:val="clear"/>
          <w:lang w:val="en-US" w:eastAsia="zh-CN" w:bidi="ar-SA"/>
        </w:rPr>
        <w:t>已完成</w:t>
      </w:r>
      <w:r>
        <w:rPr>
          <w:rFonts w:hint="eastAsia" w:ascii="Calibri" w:hAnsi="宋体" w:cs="华文仿宋"/>
          <w:bCs/>
          <w:color w:val="auto"/>
          <w:kern w:val="2"/>
          <w:sz w:val="24"/>
          <w:szCs w:val="24"/>
          <w:highlight w:val="none"/>
          <w:shd w:val="clear"/>
          <w:lang w:val="en-US" w:eastAsia="zh-CN" w:bidi="ar-SA"/>
        </w:rPr>
        <w:t>课程</w:t>
      </w:r>
      <w:r>
        <w:rPr>
          <w:rFonts w:hint="eastAsia" w:ascii="Calibri" w:hAnsi="宋体" w:eastAsia="宋体" w:cs="华文仿宋"/>
          <w:bCs/>
          <w:color w:val="auto"/>
          <w:kern w:val="2"/>
          <w:sz w:val="24"/>
          <w:szCs w:val="24"/>
          <w:highlight w:val="none"/>
          <w:shd w:val="clear"/>
          <w:lang w:val="en-US" w:eastAsia="zh-CN" w:bidi="ar-SA"/>
        </w:rPr>
        <w:t>总金额的</w:t>
      </w:r>
      <w:r>
        <w:rPr>
          <w:rFonts w:hint="eastAsia" w:ascii="Calibri" w:hAnsi="宋体" w:cs="华文仿宋"/>
          <w:bCs/>
          <w:color w:val="auto"/>
          <w:kern w:val="2"/>
          <w:sz w:val="24"/>
          <w:szCs w:val="24"/>
          <w:highlight w:val="none"/>
          <w:shd w:val="clear"/>
          <w:lang w:val="en-US" w:eastAsia="zh-CN" w:bidi="ar-SA"/>
        </w:rPr>
        <w:t>20</w:t>
      </w:r>
      <w:r>
        <w:rPr>
          <w:rFonts w:hint="eastAsia" w:ascii="Calibri" w:hAnsi="宋体" w:eastAsia="宋体" w:cs="华文仿宋"/>
          <w:bCs/>
          <w:color w:val="auto"/>
          <w:kern w:val="2"/>
          <w:sz w:val="24"/>
          <w:szCs w:val="24"/>
          <w:highlight w:val="none"/>
          <w:shd w:val="clear"/>
          <w:lang w:val="en-US" w:eastAsia="zh-CN" w:bidi="ar-SA"/>
        </w:rPr>
        <w:t>%合同款。</w:t>
      </w:r>
    </w:p>
    <w:p>
      <w:pPr>
        <w:pStyle w:val="4"/>
        <w:bidi w:val="0"/>
        <w:spacing w:line="360" w:lineRule="auto"/>
        <w:ind w:firstLine="480" w:firstLineChars="200"/>
        <w:rPr>
          <w:rFonts w:hint="eastAsia" w:ascii="Calibri" w:hAnsi="宋体" w:eastAsia="宋体" w:cs="华文仿宋"/>
          <w:bCs/>
          <w:color w:val="auto"/>
          <w:kern w:val="2"/>
          <w:sz w:val="24"/>
          <w:szCs w:val="24"/>
          <w:highlight w:val="none"/>
          <w:shd w:val="clear"/>
          <w:lang w:val="en-US" w:eastAsia="zh-CN" w:bidi="ar-SA"/>
        </w:rPr>
      </w:pPr>
      <w:r>
        <w:rPr>
          <w:rFonts w:hint="eastAsia" w:ascii="Calibri" w:hAnsi="宋体" w:cs="华文仿宋"/>
          <w:bCs/>
          <w:color w:val="auto"/>
          <w:kern w:val="2"/>
          <w:sz w:val="24"/>
          <w:szCs w:val="24"/>
          <w:highlight w:val="none"/>
          <w:shd w:val="clear"/>
          <w:lang w:val="en-US" w:eastAsia="zh-CN" w:bidi="ar-SA"/>
        </w:rPr>
        <w:t>第四期：到2022年国省一流课程申报数据填报截止时间，</w:t>
      </w:r>
      <w:r>
        <w:rPr>
          <w:rFonts w:hint="eastAsia" w:ascii="Calibri" w:hAnsi="宋体" w:eastAsia="宋体" w:cs="华文仿宋"/>
          <w:bCs/>
          <w:color w:val="auto"/>
          <w:kern w:val="2"/>
          <w:sz w:val="24"/>
          <w:szCs w:val="24"/>
          <w:highlight w:val="none"/>
          <w:shd w:val="clear"/>
          <w:lang w:val="en-US" w:eastAsia="zh-CN" w:bidi="ar-SA"/>
        </w:rPr>
        <w:t>要求</w:t>
      </w:r>
      <w:r>
        <w:rPr>
          <w:rFonts w:hint="eastAsia" w:ascii="Calibri" w:hAnsi="宋体" w:cs="华文仿宋"/>
          <w:bCs/>
          <w:color w:val="auto"/>
          <w:kern w:val="2"/>
          <w:sz w:val="24"/>
          <w:szCs w:val="24"/>
          <w:highlight w:val="none"/>
          <w:shd w:val="clear"/>
          <w:lang w:val="en-US" w:eastAsia="zh-CN" w:bidi="ar-SA"/>
        </w:rPr>
        <w:t>每轮</w:t>
      </w:r>
      <w:r>
        <w:rPr>
          <w:rFonts w:hint="eastAsia" w:ascii="Calibri" w:hAnsi="宋体" w:eastAsia="宋体" w:cs="华文仿宋"/>
          <w:bCs/>
          <w:color w:val="auto"/>
          <w:kern w:val="2"/>
          <w:sz w:val="24"/>
          <w:szCs w:val="24"/>
          <w:highlight w:val="none"/>
          <w:shd w:val="clear"/>
          <w:lang w:val="zh-CN" w:eastAsia="zh-CN" w:bidi="ar-SA"/>
        </w:rPr>
        <w:t>选课量通识课达到</w:t>
      </w:r>
      <w:r>
        <w:rPr>
          <w:rFonts w:hint="eastAsia" w:ascii="Calibri" w:hAnsi="宋体" w:cs="华文仿宋"/>
          <w:bCs/>
          <w:color w:val="auto"/>
          <w:kern w:val="2"/>
          <w:sz w:val="24"/>
          <w:szCs w:val="24"/>
          <w:highlight w:val="none"/>
          <w:shd w:val="clear"/>
          <w:lang w:val="en-US" w:eastAsia="zh-CN" w:bidi="ar-SA"/>
        </w:rPr>
        <w:t>4</w:t>
      </w:r>
      <w:r>
        <w:rPr>
          <w:rFonts w:hint="eastAsia" w:ascii="Calibri" w:hAnsi="宋体" w:eastAsia="宋体" w:cs="华文仿宋"/>
          <w:bCs/>
          <w:color w:val="auto"/>
          <w:kern w:val="2"/>
          <w:sz w:val="24"/>
          <w:szCs w:val="24"/>
          <w:highlight w:val="none"/>
          <w:shd w:val="clear"/>
          <w:lang w:val="en-US" w:eastAsia="zh-CN" w:bidi="ar-SA"/>
        </w:rPr>
        <w:t>000人次，专业课达到</w:t>
      </w:r>
      <w:r>
        <w:rPr>
          <w:rFonts w:hint="eastAsia" w:ascii="Calibri" w:hAnsi="宋体" w:cs="华文仿宋"/>
          <w:bCs/>
          <w:color w:val="auto"/>
          <w:kern w:val="2"/>
          <w:sz w:val="24"/>
          <w:szCs w:val="24"/>
          <w:highlight w:val="none"/>
          <w:shd w:val="clear"/>
          <w:lang w:val="en-US" w:eastAsia="zh-CN" w:bidi="ar-SA"/>
        </w:rPr>
        <w:t>2</w:t>
      </w:r>
      <w:r>
        <w:rPr>
          <w:rFonts w:hint="eastAsia" w:ascii="Calibri" w:hAnsi="宋体" w:eastAsia="宋体" w:cs="华文仿宋"/>
          <w:bCs/>
          <w:color w:val="auto"/>
          <w:kern w:val="2"/>
          <w:sz w:val="24"/>
          <w:szCs w:val="24"/>
          <w:highlight w:val="none"/>
          <w:shd w:val="clear"/>
          <w:lang w:val="en-US" w:eastAsia="zh-CN" w:bidi="ar-SA"/>
        </w:rPr>
        <w:t>000人次</w:t>
      </w:r>
      <w:r>
        <w:rPr>
          <w:rFonts w:hint="eastAsia" w:ascii="Calibri" w:hAnsi="宋体" w:cs="华文仿宋"/>
          <w:bCs/>
          <w:color w:val="auto"/>
          <w:kern w:val="2"/>
          <w:sz w:val="24"/>
          <w:szCs w:val="24"/>
          <w:highlight w:val="none"/>
          <w:shd w:val="clear"/>
          <w:lang w:val="en-US" w:eastAsia="zh-CN" w:bidi="ar-SA"/>
        </w:rPr>
        <w:t>。达到要求的课程，</w:t>
      </w:r>
      <w:r>
        <w:rPr>
          <w:rFonts w:hint="eastAsia" w:ascii="Calibri" w:hAnsi="宋体" w:eastAsia="宋体" w:cs="华文仿宋"/>
          <w:bCs/>
          <w:color w:val="auto"/>
          <w:kern w:val="2"/>
          <w:sz w:val="24"/>
          <w:szCs w:val="24"/>
          <w:highlight w:val="none"/>
          <w:shd w:val="clear"/>
          <w:lang w:val="en-US" w:eastAsia="zh-CN" w:bidi="ar-SA"/>
        </w:rPr>
        <w:t>采购人</w:t>
      </w:r>
      <w:r>
        <w:rPr>
          <w:rFonts w:hint="eastAsia" w:ascii="Calibri" w:hAnsi="宋体" w:cs="华文仿宋"/>
          <w:bCs/>
          <w:color w:val="auto"/>
          <w:kern w:val="2"/>
          <w:sz w:val="24"/>
          <w:szCs w:val="24"/>
          <w:highlight w:val="none"/>
          <w:shd w:val="clear"/>
          <w:lang w:val="en-US" w:eastAsia="zh-CN" w:bidi="ar-SA"/>
        </w:rPr>
        <w:t>支付课程总金额的剩余款项；</w:t>
      </w:r>
      <w:r>
        <w:rPr>
          <w:rFonts w:hint="eastAsia" w:ascii="Calibri" w:hAnsi="宋体" w:eastAsia="宋体" w:cs="华文仿宋"/>
          <w:bCs/>
          <w:color w:val="auto"/>
          <w:kern w:val="2"/>
          <w:sz w:val="24"/>
          <w:szCs w:val="24"/>
          <w:highlight w:val="none"/>
          <w:shd w:val="clear"/>
          <w:lang w:val="en-US" w:eastAsia="zh-CN" w:bidi="ar-SA"/>
        </w:rPr>
        <w:t>未能达到要求</w:t>
      </w:r>
      <w:r>
        <w:rPr>
          <w:rFonts w:hint="eastAsia" w:ascii="Calibri" w:hAnsi="宋体" w:cs="华文仿宋"/>
          <w:bCs/>
          <w:color w:val="auto"/>
          <w:kern w:val="2"/>
          <w:sz w:val="24"/>
          <w:szCs w:val="24"/>
          <w:highlight w:val="none"/>
          <w:shd w:val="clear"/>
          <w:lang w:val="en-US" w:eastAsia="zh-CN" w:bidi="ar-SA"/>
        </w:rPr>
        <w:t>的课程</w:t>
      </w:r>
      <w:r>
        <w:rPr>
          <w:rFonts w:hint="eastAsia" w:ascii="Calibri" w:hAnsi="宋体" w:eastAsia="宋体" w:cs="华文仿宋"/>
          <w:bCs/>
          <w:color w:val="auto"/>
          <w:kern w:val="2"/>
          <w:sz w:val="24"/>
          <w:szCs w:val="24"/>
          <w:highlight w:val="none"/>
          <w:shd w:val="clear"/>
          <w:lang w:val="en-US" w:eastAsia="zh-CN" w:bidi="ar-SA"/>
        </w:rPr>
        <w:t>，剩余</w:t>
      </w:r>
      <w:r>
        <w:rPr>
          <w:rFonts w:hint="eastAsia" w:ascii="Calibri" w:hAnsi="宋体" w:cs="华文仿宋"/>
          <w:bCs/>
          <w:color w:val="auto"/>
          <w:kern w:val="2"/>
          <w:sz w:val="24"/>
          <w:szCs w:val="24"/>
          <w:highlight w:val="none"/>
          <w:shd w:val="clear"/>
          <w:lang w:val="en-US" w:eastAsia="zh-CN" w:bidi="ar-SA"/>
        </w:rPr>
        <w:t>款项按照</w:t>
      </w:r>
      <w:r>
        <w:rPr>
          <w:rFonts w:hint="eastAsia" w:ascii="Calibri" w:hAnsi="宋体" w:eastAsia="宋体" w:cs="华文仿宋"/>
          <w:bCs/>
          <w:color w:val="auto"/>
          <w:kern w:val="2"/>
          <w:sz w:val="24"/>
          <w:szCs w:val="24"/>
          <w:highlight w:val="none"/>
          <w:shd w:val="clear"/>
          <w:lang w:val="en-US" w:eastAsia="zh-CN" w:bidi="ar-SA"/>
        </w:rPr>
        <w:t>实际</w:t>
      </w:r>
      <w:r>
        <w:rPr>
          <w:rFonts w:hint="eastAsia" w:ascii="Calibri" w:hAnsi="宋体" w:cs="华文仿宋"/>
          <w:bCs/>
          <w:color w:val="auto"/>
          <w:kern w:val="2"/>
          <w:sz w:val="24"/>
          <w:szCs w:val="24"/>
          <w:highlight w:val="none"/>
          <w:shd w:val="clear"/>
          <w:lang w:val="en-US" w:eastAsia="zh-CN" w:bidi="ar-SA"/>
        </w:rPr>
        <w:t>总</w:t>
      </w:r>
      <w:r>
        <w:rPr>
          <w:rFonts w:hint="eastAsia" w:ascii="Calibri" w:hAnsi="宋体" w:eastAsia="宋体" w:cs="华文仿宋"/>
          <w:bCs/>
          <w:color w:val="auto"/>
          <w:kern w:val="2"/>
          <w:sz w:val="24"/>
          <w:szCs w:val="24"/>
          <w:highlight w:val="none"/>
          <w:shd w:val="clear"/>
          <w:lang w:val="en-US" w:eastAsia="zh-CN" w:bidi="ar-SA"/>
        </w:rPr>
        <w:t>选课量与要求</w:t>
      </w:r>
      <w:r>
        <w:rPr>
          <w:rFonts w:hint="eastAsia" w:ascii="Calibri" w:hAnsi="宋体" w:cs="华文仿宋"/>
          <w:bCs/>
          <w:color w:val="auto"/>
          <w:kern w:val="2"/>
          <w:sz w:val="24"/>
          <w:szCs w:val="24"/>
          <w:highlight w:val="none"/>
          <w:shd w:val="clear"/>
          <w:lang w:val="en-US" w:eastAsia="zh-CN" w:bidi="ar-SA"/>
        </w:rPr>
        <w:t>总</w:t>
      </w:r>
      <w:r>
        <w:rPr>
          <w:rFonts w:hint="eastAsia" w:ascii="Calibri" w:hAnsi="宋体" w:eastAsia="宋体" w:cs="华文仿宋"/>
          <w:bCs/>
          <w:color w:val="auto"/>
          <w:kern w:val="2"/>
          <w:sz w:val="24"/>
          <w:szCs w:val="24"/>
          <w:highlight w:val="none"/>
          <w:shd w:val="clear"/>
          <w:lang w:val="en-US" w:eastAsia="zh-CN" w:bidi="ar-SA"/>
        </w:rPr>
        <w:t>选课量比例</w:t>
      </w:r>
      <w:r>
        <w:rPr>
          <w:rFonts w:hint="eastAsia" w:ascii="Calibri" w:hAnsi="宋体" w:cs="华文仿宋"/>
          <w:bCs/>
          <w:color w:val="auto"/>
          <w:kern w:val="2"/>
          <w:sz w:val="24"/>
          <w:szCs w:val="24"/>
          <w:highlight w:val="none"/>
          <w:shd w:val="clear"/>
          <w:lang w:val="en-US" w:eastAsia="zh-CN" w:bidi="ar-SA"/>
        </w:rPr>
        <w:t>支付</w:t>
      </w:r>
      <w:r>
        <w:rPr>
          <w:rFonts w:hint="eastAsia" w:ascii="Calibri" w:hAnsi="宋体" w:cs="华文仿宋"/>
          <w:bCs/>
          <w:color w:val="auto"/>
          <w:kern w:val="2"/>
          <w:sz w:val="24"/>
          <w:szCs w:val="24"/>
          <w:highlight w:val="none"/>
          <w:shd w:val="clear"/>
          <w:lang w:val="en-US" w:eastAsia="zh-CN" w:bidi="ar-SA"/>
        </w:rPr>
        <w:t>（比如一门通识课程运行两个周期后，实际选课量为3000人次，那么采购人支付剩余款项的比例是：3000/4000=75%，以此类推……）</w:t>
      </w:r>
      <w:r>
        <w:rPr>
          <w:rFonts w:hint="eastAsia" w:ascii="Calibri" w:hAnsi="宋体" w:eastAsia="宋体" w:cs="华文仿宋"/>
          <w:bCs/>
          <w:color w:val="auto"/>
          <w:kern w:val="2"/>
          <w:sz w:val="24"/>
          <w:szCs w:val="24"/>
          <w:highlight w:val="none"/>
          <w:shd w:val="clear"/>
          <w:lang w:val="en-US" w:eastAsia="zh-CN" w:bidi="ar-SA"/>
        </w:rPr>
        <w:t>。</w:t>
      </w:r>
    </w:p>
    <w:p>
      <w:pPr>
        <w:widowControl w:val="0"/>
        <w:spacing w:before="120" w:after="120" w:line="360" w:lineRule="auto"/>
        <w:jc w:val="both"/>
        <w:rPr>
          <w:rFonts w:hint="eastAsia" w:ascii="宋体" w:hAnsi="宋体" w:eastAsia="宋体" w:cs="华文仿宋"/>
          <w:color w:val="auto"/>
          <w:kern w:val="2"/>
          <w:sz w:val="24"/>
          <w:szCs w:val="24"/>
          <w:highlight w:val="none"/>
          <w:shd w:val="clear"/>
          <w:lang w:val="en-US" w:eastAsia="zh-CN" w:bidi="ar-SA"/>
        </w:rPr>
      </w:pPr>
    </w:p>
    <w:p>
      <w:pPr>
        <w:snapToGrid w:val="0"/>
        <w:spacing w:beforeLines="50" w:afterLines="50" w:line="360" w:lineRule="auto"/>
        <w:rPr>
          <w:rFonts w:ascii="宋体" w:hAnsi="宋体" w:cs="华文仿宋"/>
          <w:b/>
          <w:color w:val="auto"/>
          <w:sz w:val="24"/>
          <w:highlight w:val="none"/>
        </w:rPr>
      </w:pPr>
      <w:r>
        <w:rPr>
          <w:rFonts w:hint="eastAsia" w:ascii="宋体" w:hAnsi="宋体" w:cs="华文仿宋"/>
          <w:b/>
          <w:color w:val="auto"/>
          <w:sz w:val="24"/>
          <w:highlight w:val="none"/>
        </w:rPr>
        <w:t>九、税费</w:t>
      </w:r>
    </w:p>
    <w:p>
      <w:pPr>
        <w:snapToGrid w:val="0"/>
        <w:spacing w:beforeLines="50" w:afterLines="50"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本合同执行中相关的一切税费均由乙方负担。</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十、违约责任</w:t>
      </w:r>
    </w:p>
    <w:p>
      <w:pPr>
        <w:widowControl w:val="0"/>
        <w:spacing w:before="120" w:after="120" w:line="360" w:lineRule="auto"/>
        <w:ind w:firstLine="542" w:firstLineChars="226"/>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1.甲方无正当理由拒收接受服务的，甲方向乙方偿付合同款项百分之五作为违约金。</w:t>
      </w:r>
    </w:p>
    <w:p>
      <w:pPr>
        <w:widowControl w:val="0"/>
        <w:spacing w:before="120" w:after="120" w:line="360" w:lineRule="auto"/>
        <w:ind w:left="479" w:leftChars="228" w:firstLine="69" w:firstLineChars="29"/>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2.甲方无故逾期验收和办理款项支付手续的,甲方应按逾期付款总额每日万分之</w:t>
      </w:r>
    </w:p>
    <w:p>
      <w:pPr>
        <w:widowControl w:val="0"/>
        <w:spacing w:before="120" w:after="120" w:line="360" w:lineRule="auto"/>
        <w:ind w:left="7" w:hanging="7"/>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五向乙方支付违约金。</w:t>
      </w:r>
    </w:p>
    <w:p>
      <w:pPr>
        <w:widowControl w:val="0"/>
        <w:spacing w:before="120" w:after="120" w:line="360" w:lineRule="auto"/>
        <w:ind w:firstLine="468" w:firstLineChars="195"/>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cs="华文仿宋"/>
          <w:color w:val="auto"/>
          <w:kern w:val="2"/>
          <w:sz w:val="24"/>
          <w:szCs w:val="24"/>
          <w:highlight w:val="none"/>
          <w:lang w:val="en-US" w:eastAsia="zh-CN" w:bidi="ar-SA"/>
        </w:rPr>
        <w:t>20</w:t>
      </w:r>
      <w:r>
        <w:rPr>
          <w:rFonts w:hint="eastAsia" w:ascii="宋体" w:hAnsi="宋体" w:eastAsia="宋体" w:cs="华文仿宋"/>
          <w:color w:val="auto"/>
          <w:kern w:val="2"/>
          <w:sz w:val="24"/>
          <w:szCs w:val="24"/>
          <w:highlight w:val="none"/>
          <w:lang w:val="en-US" w:eastAsia="zh-CN" w:bidi="ar-SA"/>
        </w:rPr>
        <w:t>%</w:t>
      </w:r>
      <w:r>
        <w:rPr>
          <w:rFonts w:hint="eastAsia" w:ascii="宋体" w:hAnsi="宋体" w:eastAsia="宋体" w:cs="华文仿宋"/>
          <w:color w:val="auto"/>
          <w:kern w:val="2"/>
          <w:sz w:val="24"/>
          <w:szCs w:val="24"/>
          <w:highlight w:val="none"/>
          <w:lang w:val="en-US" w:eastAsia="zh-CN" w:bidi="ar-SA"/>
        </w:rPr>
        <w:t xml:space="preserve">的违约金，如造成甲方损失超过违约金的，超出部分由乙方继续承担赔偿责任。 </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十一、不可抗力事件处理</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1.在合同有效期内，任何一方因不可抗力事件导致不能履行合同，则合同履行</w:t>
      </w:r>
    </w:p>
    <w:p>
      <w:pPr>
        <w:widowControl w:val="0"/>
        <w:spacing w:before="120" w:after="120" w:line="360" w:lineRule="auto"/>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期可延长，其延长期与不可抗力影响期相同。</w:t>
      </w:r>
    </w:p>
    <w:p>
      <w:pPr>
        <w:widowControl w:val="0"/>
        <w:spacing w:before="120" w:after="120" w:line="360" w:lineRule="auto"/>
        <w:ind w:left="420" w:left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2.不可抗力事件发生后，应立即通知对方，并寄送有关权威机构出具的证明。</w:t>
      </w:r>
    </w:p>
    <w:p>
      <w:pPr>
        <w:widowControl w:val="0"/>
        <w:spacing w:before="120" w:after="120" w:line="360" w:lineRule="auto"/>
        <w:ind w:left="420" w:left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3.不可抗力事件延续</w:t>
      </w:r>
      <w:r>
        <w:rPr>
          <w:rFonts w:hint="eastAsia" w:ascii="宋体" w:hAnsi="宋体" w:cs="华文仿宋"/>
          <w:color w:val="auto"/>
          <w:kern w:val="2"/>
          <w:sz w:val="24"/>
          <w:szCs w:val="24"/>
          <w:highlight w:val="none"/>
          <w:lang w:val="en-US" w:eastAsia="zh-CN" w:bidi="ar-SA"/>
        </w:rPr>
        <w:t>60</w:t>
      </w:r>
      <w:r>
        <w:rPr>
          <w:rFonts w:hint="eastAsia" w:ascii="宋体" w:hAnsi="宋体" w:eastAsia="宋体" w:cs="华文仿宋"/>
          <w:color w:val="auto"/>
          <w:kern w:val="2"/>
          <w:sz w:val="24"/>
          <w:szCs w:val="24"/>
          <w:highlight w:val="none"/>
          <w:lang w:val="en-US" w:eastAsia="zh-CN" w:bidi="ar-SA"/>
        </w:rPr>
        <w:t>天以上，双方应通过友好协商，确定是否继续履行合同。</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十二、诉讼</w:t>
      </w:r>
    </w:p>
    <w:p>
      <w:pPr>
        <w:widowControl w:val="0"/>
        <w:spacing w:before="120" w:after="120" w:line="360" w:lineRule="auto"/>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 xml:space="preserve">   双方在执行合同中所发生的一切争议，应通过协商解决。如协商不成，可向甲方所在地法院起诉。</w:t>
      </w:r>
    </w:p>
    <w:p>
      <w:pPr>
        <w:widowControl w:val="0"/>
        <w:spacing w:before="120" w:after="120" w:line="360" w:lineRule="auto"/>
        <w:jc w:val="both"/>
        <w:rPr>
          <w:rFonts w:ascii="宋体" w:hAnsi="宋体" w:eastAsia="宋体" w:cs="华文仿宋"/>
          <w:b/>
          <w:color w:val="auto"/>
          <w:kern w:val="2"/>
          <w:sz w:val="24"/>
          <w:szCs w:val="24"/>
          <w:highlight w:val="none"/>
          <w:lang w:val="en-US" w:eastAsia="zh-CN" w:bidi="ar-SA"/>
        </w:rPr>
      </w:pPr>
      <w:r>
        <w:rPr>
          <w:rFonts w:hint="eastAsia" w:ascii="宋体" w:hAnsi="宋体" w:eastAsia="宋体" w:cs="华文仿宋"/>
          <w:b/>
          <w:color w:val="auto"/>
          <w:kern w:val="2"/>
          <w:sz w:val="24"/>
          <w:szCs w:val="24"/>
          <w:highlight w:val="none"/>
          <w:lang w:val="en-US" w:eastAsia="zh-CN" w:bidi="ar-SA"/>
        </w:rPr>
        <w:t>十三、合同生效及其它</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1.合同经双方法定代表人或授权代表签字并加盖单位公章后生效。</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2.合同执行中涉及采购资金和采购内容修改或补充的，须经财政部门审批，并签书面补充协议报政府采购监督管理部门备案，方可作为主合同不可分割的一部分。</w:t>
      </w:r>
    </w:p>
    <w:p>
      <w:pPr>
        <w:widowControl w:val="0"/>
        <w:spacing w:before="120" w:after="120" w:line="360" w:lineRule="auto"/>
        <w:ind w:left="479" w:leftChars="228"/>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3.本合同未尽事宜，遵照《民法典》有关规定执行。</w:t>
      </w:r>
    </w:p>
    <w:p>
      <w:pPr>
        <w:widowControl w:val="0"/>
        <w:spacing w:before="120" w:after="120" w:line="360" w:lineRule="auto"/>
        <w:ind w:firstLine="480" w:firstLineChars="200"/>
        <w:jc w:val="both"/>
        <w:rPr>
          <w:rFonts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4.本合同一式柒份，甲方执伍份、乙方执贰份。本项目未尽事宜以招标文件、投标文件及澄清文件等为准。</w:t>
      </w:r>
    </w:p>
    <w:p>
      <w:pPr>
        <w:widowControl w:val="0"/>
        <w:snapToGrid w:val="0"/>
        <w:spacing w:line="360" w:lineRule="auto"/>
        <w:ind w:firstLine="420" w:firstLineChars="0"/>
        <w:jc w:val="both"/>
        <w:rPr>
          <w:rFonts w:ascii="宋体" w:hAnsi="宋体" w:eastAsia="宋体" w:cs="Times New Roman"/>
          <w:color w:val="auto"/>
          <w:kern w:val="2"/>
          <w:sz w:val="24"/>
          <w:szCs w:val="24"/>
          <w:highlight w:val="none"/>
          <w:lang w:val="en-US" w:eastAsia="zh-CN" w:bidi="ar-SA"/>
        </w:rPr>
      </w:pP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甲方（公章）台州学院                  乙方（公章）</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法定代表人：                          法定代表人：</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委托代理人：                          委托代理人：</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联系电话：0576-88660896               联系电话：</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 xml:space="preserve">开户银行：建行台州市分行              开户银行： </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账号：33050166350000000852            账号：</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地址及邮编：台州市市府大道1139号     地址及邮编：</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pPr>
    </w:p>
    <w:p>
      <w:pPr>
        <w:widowControl w:val="0"/>
        <w:spacing w:before="120" w:after="120" w:line="360" w:lineRule="auto"/>
        <w:ind w:firstLine="480" w:firstLineChars="200"/>
        <w:jc w:val="right"/>
        <w:rPr>
          <w:rFonts w:hint="eastAsia" w:ascii="宋体" w:hAnsi="宋体" w:eastAsia="宋体" w:cs="华文仿宋"/>
          <w:color w:val="auto"/>
          <w:kern w:val="2"/>
          <w:sz w:val="24"/>
          <w:szCs w:val="24"/>
          <w:highlight w:val="none"/>
          <w:lang w:val="en-US" w:eastAsia="zh-CN" w:bidi="ar-SA"/>
        </w:rPr>
      </w:pPr>
      <w:r>
        <w:rPr>
          <w:rFonts w:hint="eastAsia" w:ascii="宋体" w:hAnsi="宋体" w:eastAsia="宋体" w:cs="华文仿宋"/>
          <w:color w:val="auto"/>
          <w:kern w:val="2"/>
          <w:sz w:val="24"/>
          <w:szCs w:val="24"/>
          <w:highlight w:val="none"/>
          <w:lang w:val="en-US" w:eastAsia="zh-CN" w:bidi="ar-SA"/>
        </w:rPr>
        <w:t>签订时间：    年   月  日</w:t>
      </w:r>
    </w:p>
    <w:p>
      <w:pPr>
        <w:widowControl w:val="0"/>
        <w:spacing w:before="120" w:after="120" w:line="360" w:lineRule="auto"/>
        <w:ind w:firstLine="480" w:firstLineChars="200"/>
        <w:jc w:val="both"/>
        <w:rPr>
          <w:rFonts w:hint="eastAsia" w:ascii="宋体" w:hAnsi="宋体" w:eastAsia="宋体" w:cs="华文仿宋"/>
          <w:color w:val="auto"/>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p>
    <w:p>
      <w:pPr>
        <w:numPr>
          <w:ilvl w:val="0"/>
          <w:numId w:val="3"/>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numPr>
          <w:ilvl w:val="0"/>
          <w:numId w:val="13"/>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lang w:val="zh-CN"/>
        </w:rPr>
        <w:t>投标声明书（格式见附件）</w:t>
      </w:r>
    </w:p>
    <w:p>
      <w:pPr>
        <w:numPr>
          <w:ilvl w:val="0"/>
          <w:numId w:val="13"/>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bCs/>
          <w:color w:val="auto"/>
          <w:sz w:val="28"/>
          <w:szCs w:val="28"/>
          <w:highlight w:val="none"/>
        </w:rPr>
        <w:t>（格式见附件）</w:t>
      </w:r>
    </w:p>
    <w:p>
      <w:pPr>
        <w:numPr>
          <w:ilvl w:val="0"/>
          <w:numId w:val="13"/>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rPr>
      </w:pP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napToGrid w:val="0"/>
        <w:spacing w:before="156" w:beforeLines="50" w:after="50" w:line="360" w:lineRule="exact"/>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台州市建设咨询有限公司</w:t>
      </w:r>
      <w:r>
        <w:rPr>
          <w:rFonts w:hint="eastAsia" w:ascii="宋体" w:hAnsi="宋体" w:cs="宋体"/>
          <w:color w:val="auto"/>
          <w:kern w:val="0"/>
          <w:sz w:val="24"/>
          <w:highlight w:val="none"/>
        </w:rPr>
        <w:t>：</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snapToGrid w:val="0"/>
        <w:spacing w:before="156" w:beforeLines="50" w:after="50" w:line="36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numPr>
          <w:ilvl w:val="255"/>
          <w:numId w:val="0"/>
        </w:numPr>
        <w:snapToGrid w:val="0"/>
        <w:spacing w:before="156"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6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156" w:beforeLines="50" w:after="50" w:line="36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exact"/>
        <w:ind w:firstLine="480"/>
        <w:rPr>
          <w:rFonts w:ascii="宋体" w:hAnsi="宋体" w:cs="仿宋_GB2312"/>
          <w:color w:val="auto"/>
          <w:kern w:val="0"/>
          <w:sz w:val="24"/>
          <w:highlight w:val="none"/>
        </w:rPr>
      </w:pPr>
    </w:p>
    <w:p>
      <w:pPr>
        <w:adjustRightInd w:val="0"/>
        <w:snapToGrid w:val="0"/>
        <w:spacing w:line="36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adjustRightInd w:val="0"/>
        <w:snapToGrid w:val="0"/>
        <w:spacing w:line="3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法定代表人或授权委托人(签章或签字)：</w:t>
      </w:r>
    </w:p>
    <w:p>
      <w:pPr>
        <w:adjustRightInd w:val="0"/>
        <w:snapToGrid w:val="0"/>
        <w:spacing w:line="360" w:lineRule="exact"/>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adjustRightInd w:val="0"/>
        <w:snapToGrid w:val="0"/>
        <w:spacing w:line="360" w:lineRule="auto"/>
        <w:ind w:right="480"/>
        <w:rPr>
          <w:rFonts w:ascii="宋体" w:hAnsi="宋体"/>
          <w:b/>
          <w:color w:val="auto"/>
          <w:sz w:val="28"/>
          <w:highlight w:val="none"/>
        </w:rPr>
      </w:pPr>
    </w:p>
    <w:p>
      <w:pPr>
        <w:adjustRightInd w:val="0"/>
        <w:snapToGrid w:val="0"/>
        <w:spacing w:line="360" w:lineRule="auto"/>
        <w:ind w:right="480"/>
        <w:rPr>
          <w:rFonts w:ascii="宋体" w:hAnsi="宋体"/>
          <w:b/>
          <w:color w:val="auto"/>
          <w:sz w:val="28"/>
          <w:highlight w:val="none"/>
        </w:rPr>
      </w:pPr>
    </w:p>
    <w:p>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2</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exact"/>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台州市建设咨询有限公司</w:t>
      </w:r>
      <w:r>
        <w:rPr>
          <w:rFonts w:hint="eastAsia" w:ascii="宋体" w:hAnsi="宋体" w:cs="宋体"/>
          <w:color w:val="auto"/>
          <w:kern w:val="0"/>
          <w:sz w:val="24"/>
          <w:highlight w:val="none"/>
        </w:rPr>
        <w:t>：</w:t>
      </w:r>
    </w:p>
    <w:p>
      <w:pPr>
        <w:pStyle w:val="17"/>
        <w:spacing w:line="500" w:lineRule="exact"/>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7"/>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7"/>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snapToGrid w:val="0"/>
        <w:spacing w:line="360" w:lineRule="auto"/>
        <w:rPr>
          <w:rFonts w:ascii="宋体" w:hAnsi="宋体"/>
          <w:color w:val="auto"/>
          <w:sz w:val="24"/>
          <w:highlight w:val="none"/>
        </w:rPr>
      </w:pPr>
    </w:p>
    <w:p>
      <w:pPr>
        <w:snapToGrid w:val="0"/>
        <w:spacing w:line="360" w:lineRule="auto"/>
        <w:ind w:firstLine="560" w:firstLineChars="200"/>
        <w:rPr>
          <w:rFonts w:ascii="宋体" w:hAnsi="宋体"/>
          <w:color w:val="auto"/>
          <w:sz w:val="24"/>
          <w:highlight w:val="none"/>
        </w:rPr>
      </w:pPr>
      <w:r>
        <w:rPr>
          <w:rFonts w:hint="eastAsia" w:ascii="宋体" w:hAnsi="宋体" w:eastAsia="宋体" w:cs="Times New Roman"/>
          <w:color w:val="auto"/>
          <w:sz w:val="28"/>
          <w:szCs w:val="28"/>
          <w:highlight w:val="none"/>
          <w:lang w:val="zh-CN"/>
        </w:rPr>
        <w:t>1、供应商基本情况表</w:t>
      </w:r>
      <w:r>
        <w:rPr>
          <w:rFonts w:hint="eastAsia" w:ascii="宋体" w:hAnsi="宋体"/>
          <w:color w:val="auto"/>
          <w:sz w:val="28"/>
          <w:szCs w:val="28"/>
          <w:highlight w:val="none"/>
          <w:lang w:val="zh-CN"/>
        </w:rPr>
        <w:t>（格式见附件）；</w:t>
      </w:r>
    </w:p>
    <w:p>
      <w:pPr>
        <w:snapToGrid w:val="0"/>
        <w:spacing w:line="360" w:lineRule="auto"/>
        <w:ind w:firstLine="560" w:firstLineChars="200"/>
        <w:rPr>
          <w:rFonts w:hint="eastAsia" w:ascii="宋体" w:hAnsi="宋体" w:eastAsia="宋体" w:cs="Times New Roman"/>
          <w:color w:val="auto"/>
          <w:sz w:val="28"/>
          <w:szCs w:val="28"/>
          <w:highlight w:val="none"/>
          <w:lang w:val="zh-CN"/>
        </w:rPr>
      </w:pPr>
      <w:r>
        <w:rPr>
          <w:rFonts w:hint="eastAsia" w:ascii="宋体" w:hAnsi="宋体" w:eastAsia="宋体" w:cs="Times New Roman"/>
          <w:color w:val="auto"/>
          <w:sz w:val="28"/>
          <w:szCs w:val="28"/>
          <w:highlight w:val="none"/>
          <w:lang w:val="en-US" w:eastAsia="zh-CN"/>
        </w:rPr>
        <w:t>2</w:t>
      </w:r>
      <w:r>
        <w:rPr>
          <w:rFonts w:hint="eastAsia" w:ascii="宋体" w:hAnsi="宋体" w:eastAsia="宋体" w:cs="Times New Roman"/>
          <w:color w:val="auto"/>
          <w:sz w:val="28"/>
          <w:szCs w:val="28"/>
          <w:highlight w:val="none"/>
          <w:lang w:val="zh-CN"/>
        </w:rPr>
        <w:t>、商务需求响应表（格式见附件）；</w:t>
      </w:r>
    </w:p>
    <w:p>
      <w:pPr>
        <w:snapToGrid w:val="0"/>
        <w:spacing w:line="360" w:lineRule="auto"/>
        <w:ind w:firstLine="560" w:firstLineChars="200"/>
        <w:rPr>
          <w:rFonts w:ascii="宋体" w:hAnsi="宋体" w:cs="宋体"/>
          <w:color w:val="auto"/>
          <w:sz w:val="24"/>
          <w:highlight w:val="none"/>
        </w:rPr>
      </w:pP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lang w:val="zh-CN"/>
        </w:rPr>
        <w:t>、其余内容根据评标办法自拟；（</w:t>
      </w:r>
      <w:r>
        <w:rPr>
          <w:rFonts w:hint="eastAsia" w:ascii="宋体" w:hAnsi="宋体" w:cs="宋体"/>
          <w:color w:val="auto"/>
          <w:sz w:val="24"/>
          <w:highlight w:val="none"/>
        </w:rPr>
        <w:t>格式</w:t>
      </w:r>
      <w:r>
        <w:rPr>
          <w:rFonts w:ascii="宋体" w:hAnsi="宋体" w:cs="宋体"/>
          <w:color w:val="auto"/>
          <w:sz w:val="24"/>
          <w:highlight w:val="none"/>
        </w:rPr>
        <w:t>可参考附件</w:t>
      </w:r>
      <w:r>
        <w:rPr>
          <w:rFonts w:hint="eastAsia" w:ascii="宋体" w:hAnsi="宋体" w:cs="宋体"/>
          <w:color w:val="auto"/>
          <w:sz w:val="24"/>
          <w:highlight w:val="none"/>
        </w:rPr>
        <w:t>）</w:t>
      </w:r>
    </w:p>
    <w:p>
      <w:pPr>
        <w:pStyle w:val="48"/>
        <w:shd w:val="clear" w:color="auto" w:fill="FFFFFF"/>
        <w:spacing w:before="0" w:beforeAutospacing="0" w:after="0" w:afterAutospacing="0" w:line="360" w:lineRule="auto"/>
        <w:ind w:firstLine="562" w:firstLineChars="200"/>
        <w:rPr>
          <w:b/>
          <w:color w:val="auto"/>
          <w:sz w:val="28"/>
          <w:highlight w:val="none"/>
        </w:rPr>
      </w:pPr>
    </w:p>
    <w:p>
      <w:pPr>
        <w:pStyle w:val="48"/>
        <w:shd w:val="clear" w:color="auto" w:fill="FFFFFF"/>
        <w:spacing w:before="0" w:beforeAutospacing="0" w:after="0" w:afterAutospacing="0" w:line="360" w:lineRule="auto"/>
        <w:rPr>
          <w:b/>
          <w:color w:val="auto"/>
          <w:sz w:val="28"/>
          <w:highlight w:val="none"/>
        </w:rPr>
      </w:pPr>
    </w:p>
    <w:p>
      <w:pPr>
        <w:pStyle w:val="48"/>
        <w:shd w:val="clear" w:color="auto" w:fill="FFFFFF"/>
        <w:spacing w:before="0" w:beforeAutospacing="0" w:after="0" w:afterAutospacing="0" w:line="360" w:lineRule="auto"/>
        <w:rPr>
          <w:b/>
          <w:color w:val="auto"/>
          <w:sz w:val="28"/>
          <w:highlight w:val="none"/>
        </w:rPr>
      </w:pPr>
    </w:p>
    <w:p>
      <w:pPr>
        <w:pStyle w:val="48"/>
        <w:shd w:val="clear" w:color="auto" w:fill="FFFFFF"/>
        <w:spacing w:before="0" w:beforeAutospacing="0" w:after="0" w:afterAutospacing="0" w:line="360" w:lineRule="auto"/>
        <w:rPr>
          <w:b/>
          <w:color w:val="auto"/>
          <w:sz w:val="28"/>
          <w:highlight w:val="none"/>
        </w:rPr>
      </w:pPr>
    </w:p>
    <w:p>
      <w:pPr>
        <w:pStyle w:val="48"/>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pPr>
        <w:pStyle w:val="48"/>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w:t>
      </w:r>
      <w:r>
        <w:rPr>
          <w:b/>
          <w:color w:val="auto"/>
          <w:sz w:val="28"/>
          <w:highlight w:val="none"/>
        </w:rPr>
        <w:t>3</w:t>
      </w:r>
    </w:p>
    <w:p>
      <w:pPr>
        <w:pStyle w:val="48"/>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3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4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48"/>
              <w:shd w:val="clear" w:color="auto" w:fill="FFFFFF"/>
              <w:spacing w:line="360" w:lineRule="auto"/>
              <w:rPr>
                <w:bCs/>
                <w:color w:val="auto"/>
                <w:highlight w:val="none"/>
              </w:rPr>
            </w:pPr>
          </w:p>
        </w:tc>
        <w:tc>
          <w:tcPr>
            <w:tcW w:w="2001" w:type="dxa"/>
            <w:gridSpan w:val="3"/>
          </w:tcPr>
          <w:p>
            <w:pPr>
              <w:pStyle w:val="4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4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4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48"/>
              <w:shd w:val="clear" w:color="auto" w:fill="FFFFFF"/>
              <w:spacing w:line="360" w:lineRule="auto"/>
              <w:rPr>
                <w:bCs/>
                <w:color w:val="auto"/>
                <w:spacing w:val="16"/>
                <w:highlight w:val="none"/>
              </w:rPr>
            </w:pPr>
          </w:p>
        </w:tc>
        <w:tc>
          <w:tcPr>
            <w:tcW w:w="2001" w:type="dxa"/>
            <w:gridSpan w:val="3"/>
          </w:tcPr>
          <w:p>
            <w:pPr>
              <w:pStyle w:val="4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4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4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4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4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48"/>
              <w:shd w:val="clear" w:color="auto" w:fill="FFFFFF"/>
              <w:spacing w:line="360" w:lineRule="auto"/>
              <w:rPr>
                <w:bCs/>
                <w:color w:val="auto"/>
                <w:spacing w:val="16"/>
                <w:highlight w:val="none"/>
              </w:rPr>
            </w:pPr>
          </w:p>
        </w:tc>
        <w:tc>
          <w:tcPr>
            <w:tcW w:w="2001" w:type="dxa"/>
            <w:gridSpan w:val="3"/>
          </w:tcPr>
          <w:p>
            <w:pPr>
              <w:pStyle w:val="4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4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4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4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4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48"/>
              <w:shd w:val="clear" w:color="auto" w:fill="FFFFFF"/>
              <w:spacing w:line="360" w:lineRule="auto"/>
              <w:rPr>
                <w:bCs/>
                <w:color w:val="auto"/>
                <w:spacing w:val="16"/>
                <w:highlight w:val="none"/>
              </w:rPr>
            </w:pPr>
          </w:p>
        </w:tc>
        <w:tc>
          <w:tcPr>
            <w:tcW w:w="2001" w:type="dxa"/>
            <w:gridSpan w:val="3"/>
            <w:vMerge w:val="restart"/>
          </w:tcPr>
          <w:p>
            <w:pPr>
              <w:pStyle w:val="4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4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4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4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4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48"/>
              <w:shd w:val="clear" w:color="auto" w:fill="FFFFFF"/>
              <w:spacing w:line="360" w:lineRule="auto"/>
              <w:rPr>
                <w:bCs/>
                <w:color w:val="auto"/>
                <w:spacing w:val="16"/>
                <w:highlight w:val="none"/>
              </w:rPr>
            </w:pPr>
          </w:p>
        </w:tc>
        <w:tc>
          <w:tcPr>
            <w:tcW w:w="2001" w:type="dxa"/>
            <w:gridSpan w:val="3"/>
            <w:vMerge w:val="continue"/>
          </w:tcPr>
          <w:p>
            <w:pPr>
              <w:pStyle w:val="48"/>
              <w:shd w:val="clear" w:color="auto" w:fill="FFFFFF"/>
              <w:spacing w:line="360" w:lineRule="auto"/>
              <w:rPr>
                <w:bCs/>
                <w:color w:val="auto"/>
                <w:spacing w:val="16"/>
                <w:highlight w:val="none"/>
              </w:rPr>
            </w:pPr>
          </w:p>
        </w:tc>
        <w:tc>
          <w:tcPr>
            <w:tcW w:w="2151" w:type="dxa"/>
            <w:gridSpan w:val="2"/>
            <w:vMerge w:val="continue"/>
          </w:tcPr>
          <w:p>
            <w:pPr>
              <w:pStyle w:val="4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4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48"/>
              <w:shd w:val="clear" w:color="auto" w:fill="FFFFFF"/>
              <w:spacing w:line="360" w:lineRule="auto"/>
              <w:ind w:left="107"/>
              <w:rPr>
                <w:bCs/>
                <w:color w:val="auto"/>
                <w:highlight w:val="none"/>
              </w:rPr>
            </w:pPr>
            <w:r>
              <w:rPr>
                <w:rFonts w:hint="eastAsia"/>
                <w:bCs/>
                <w:color w:val="auto"/>
                <w:highlight w:val="none"/>
              </w:rPr>
              <w:t>企</w:t>
            </w:r>
          </w:p>
          <w:p>
            <w:pPr>
              <w:pStyle w:val="48"/>
              <w:shd w:val="clear" w:color="auto" w:fill="FFFFFF"/>
              <w:spacing w:line="360" w:lineRule="auto"/>
              <w:ind w:left="107"/>
              <w:rPr>
                <w:bCs/>
                <w:color w:val="auto"/>
                <w:highlight w:val="none"/>
              </w:rPr>
            </w:pPr>
            <w:r>
              <w:rPr>
                <w:rFonts w:hint="eastAsia"/>
                <w:bCs/>
                <w:color w:val="auto"/>
                <w:highlight w:val="none"/>
              </w:rPr>
              <w:t>业</w:t>
            </w:r>
          </w:p>
          <w:p>
            <w:pPr>
              <w:pStyle w:val="4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4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4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48"/>
              <w:shd w:val="clear" w:color="auto" w:fill="FFFFFF"/>
              <w:spacing w:line="360" w:lineRule="auto"/>
              <w:rPr>
                <w:bCs/>
                <w:color w:val="auto"/>
                <w:spacing w:val="16"/>
                <w:highlight w:val="none"/>
              </w:rPr>
            </w:pPr>
          </w:p>
        </w:tc>
        <w:tc>
          <w:tcPr>
            <w:tcW w:w="1163" w:type="dxa"/>
            <w:tcBorders>
              <w:top w:val="nil"/>
            </w:tcBorders>
          </w:tcPr>
          <w:p>
            <w:pPr>
              <w:pStyle w:val="4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48"/>
              <w:shd w:val="clear" w:color="auto" w:fill="FFFFFF"/>
              <w:spacing w:line="360" w:lineRule="auto"/>
              <w:rPr>
                <w:bCs/>
                <w:color w:val="auto"/>
                <w:spacing w:val="16"/>
                <w:highlight w:val="none"/>
              </w:rPr>
            </w:pPr>
          </w:p>
        </w:tc>
        <w:tc>
          <w:tcPr>
            <w:tcW w:w="2001" w:type="dxa"/>
            <w:gridSpan w:val="3"/>
          </w:tcPr>
          <w:p>
            <w:pPr>
              <w:pStyle w:val="4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4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48"/>
              <w:shd w:val="clear" w:color="auto" w:fill="FFFFFF"/>
              <w:spacing w:line="360" w:lineRule="auto"/>
              <w:ind w:left="107"/>
              <w:rPr>
                <w:bCs/>
                <w:color w:val="auto"/>
                <w:highlight w:val="none"/>
              </w:rPr>
            </w:pPr>
          </w:p>
        </w:tc>
        <w:tc>
          <w:tcPr>
            <w:tcW w:w="701" w:type="dxa"/>
          </w:tcPr>
          <w:p>
            <w:pPr>
              <w:pStyle w:val="4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48"/>
              <w:shd w:val="clear" w:color="auto" w:fill="FFFFFF"/>
              <w:spacing w:line="360" w:lineRule="auto"/>
              <w:rPr>
                <w:bCs/>
                <w:color w:val="auto"/>
                <w:highlight w:val="none"/>
              </w:rPr>
            </w:pPr>
          </w:p>
        </w:tc>
        <w:tc>
          <w:tcPr>
            <w:tcW w:w="1163" w:type="dxa"/>
          </w:tcPr>
          <w:p>
            <w:pPr>
              <w:pStyle w:val="4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48"/>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pPr>
              <w:pStyle w:val="4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4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4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48"/>
              <w:shd w:val="clear" w:color="auto" w:fill="FFFFFF"/>
              <w:spacing w:line="360" w:lineRule="auto"/>
              <w:ind w:left="107"/>
              <w:rPr>
                <w:bCs/>
                <w:color w:val="auto"/>
                <w:highlight w:val="none"/>
              </w:rPr>
            </w:pPr>
          </w:p>
        </w:tc>
        <w:tc>
          <w:tcPr>
            <w:tcW w:w="701" w:type="dxa"/>
          </w:tcPr>
          <w:p>
            <w:pPr>
              <w:pStyle w:val="4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48"/>
              <w:shd w:val="clear" w:color="auto" w:fill="FFFFFF"/>
              <w:spacing w:line="360" w:lineRule="auto"/>
              <w:ind w:left="2"/>
              <w:rPr>
                <w:bCs/>
                <w:color w:val="auto"/>
                <w:highlight w:val="none"/>
              </w:rPr>
            </w:pPr>
          </w:p>
        </w:tc>
        <w:tc>
          <w:tcPr>
            <w:tcW w:w="1163" w:type="dxa"/>
          </w:tcPr>
          <w:p>
            <w:pPr>
              <w:pStyle w:val="4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48"/>
              <w:shd w:val="clear" w:color="auto" w:fill="FFFFFF"/>
              <w:spacing w:line="360" w:lineRule="auto"/>
              <w:ind w:left="107"/>
              <w:rPr>
                <w:bCs/>
                <w:color w:val="auto"/>
                <w:highlight w:val="none"/>
              </w:rPr>
            </w:pPr>
          </w:p>
        </w:tc>
        <w:tc>
          <w:tcPr>
            <w:tcW w:w="1218" w:type="dxa"/>
          </w:tcPr>
          <w:p>
            <w:pPr>
              <w:pStyle w:val="4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4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48"/>
              <w:shd w:val="clear" w:color="auto" w:fill="FFFFFF"/>
              <w:spacing w:line="360" w:lineRule="auto"/>
              <w:ind w:left="107"/>
              <w:rPr>
                <w:bCs/>
                <w:color w:val="auto"/>
                <w:highlight w:val="none"/>
              </w:rPr>
            </w:pPr>
          </w:p>
        </w:tc>
        <w:tc>
          <w:tcPr>
            <w:tcW w:w="701" w:type="dxa"/>
          </w:tcPr>
          <w:p>
            <w:pPr>
              <w:pStyle w:val="4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4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48"/>
              <w:shd w:val="clear" w:color="auto" w:fill="FFFFFF"/>
              <w:spacing w:line="360" w:lineRule="auto"/>
              <w:ind w:left="107"/>
              <w:rPr>
                <w:bCs/>
                <w:color w:val="auto"/>
                <w:highlight w:val="none"/>
              </w:rPr>
            </w:pPr>
          </w:p>
        </w:tc>
        <w:tc>
          <w:tcPr>
            <w:tcW w:w="8131" w:type="dxa"/>
            <w:gridSpan w:val="11"/>
          </w:tcPr>
          <w:p>
            <w:pPr>
              <w:pStyle w:val="4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4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4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4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4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4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4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4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4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48"/>
              <w:shd w:val="clear" w:color="auto" w:fill="FFFFFF"/>
              <w:spacing w:line="360" w:lineRule="auto"/>
              <w:ind w:left="107"/>
              <w:rPr>
                <w:bCs/>
                <w:color w:val="auto"/>
                <w:highlight w:val="none"/>
              </w:rPr>
            </w:pPr>
          </w:p>
        </w:tc>
        <w:tc>
          <w:tcPr>
            <w:tcW w:w="1553" w:type="dxa"/>
            <w:gridSpan w:val="2"/>
            <w:vMerge w:val="continue"/>
          </w:tcPr>
          <w:p>
            <w:pPr>
              <w:pStyle w:val="48"/>
              <w:shd w:val="clear" w:color="auto" w:fill="FFFFFF"/>
              <w:spacing w:line="360" w:lineRule="auto"/>
              <w:rPr>
                <w:bCs/>
                <w:color w:val="auto"/>
                <w:highlight w:val="none"/>
              </w:rPr>
            </w:pPr>
          </w:p>
        </w:tc>
        <w:tc>
          <w:tcPr>
            <w:tcW w:w="1333" w:type="dxa"/>
            <w:gridSpan w:val="3"/>
          </w:tcPr>
          <w:p>
            <w:pPr>
              <w:pStyle w:val="48"/>
              <w:shd w:val="clear" w:color="auto" w:fill="FFFFFF"/>
              <w:spacing w:line="360" w:lineRule="auto"/>
              <w:rPr>
                <w:bCs/>
                <w:color w:val="auto"/>
                <w:highlight w:val="none"/>
              </w:rPr>
            </w:pPr>
          </w:p>
        </w:tc>
        <w:tc>
          <w:tcPr>
            <w:tcW w:w="1418" w:type="dxa"/>
            <w:gridSpan w:val="2"/>
          </w:tcPr>
          <w:p>
            <w:pPr>
              <w:pStyle w:val="48"/>
              <w:shd w:val="clear" w:color="auto" w:fill="FFFFFF"/>
              <w:spacing w:line="360" w:lineRule="auto"/>
              <w:rPr>
                <w:bCs/>
                <w:color w:val="auto"/>
                <w:highlight w:val="none"/>
              </w:rPr>
            </w:pPr>
          </w:p>
        </w:tc>
        <w:tc>
          <w:tcPr>
            <w:tcW w:w="1276" w:type="dxa"/>
          </w:tcPr>
          <w:p>
            <w:pPr>
              <w:pStyle w:val="48"/>
              <w:shd w:val="clear" w:color="auto" w:fill="FFFFFF"/>
              <w:spacing w:line="360" w:lineRule="auto"/>
              <w:rPr>
                <w:bCs/>
                <w:color w:val="auto"/>
                <w:highlight w:val="none"/>
              </w:rPr>
            </w:pPr>
          </w:p>
        </w:tc>
        <w:tc>
          <w:tcPr>
            <w:tcW w:w="2551" w:type="dxa"/>
            <w:gridSpan w:val="3"/>
          </w:tcPr>
          <w:p>
            <w:pPr>
              <w:pStyle w:val="4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48"/>
              <w:shd w:val="clear" w:color="auto" w:fill="FFFFFF"/>
              <w:spacing w:line="360" w:lineRule="auto"/>
              <w:ind w:left="107"/>
              <w:rPr>
                <w:bCs/>
                <w:color w:val="auto"/>
                <w:spacing w:val="16"/>
                <w:highlight w:val="none"/>
              </w:rPr>
            </w:pPr>
          </w:p>
        </w:tc>
        <w:tc>
          <w:tcPr>
            <w:tcW w:w="1553" w:type="dxa"/>
            <w:gridSpan w:val="2"/>
          </w:tcPr>
          <w:p>
            <w:pPr>
              <w:pStyle w:val="4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4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48"/>
              <w:shd w:val="clear" w:color="auto" w:fill="FFFFFF"/>
              <w:spacing w:line="360" w:lineRule="auto"/>
              <w:ind w:left="107"/>
              <w:rPr>
                <w:bCs/>
                <w:color w:val="auto"/>
                <w:spacing w:val="27"/>
                <w:highlight w:val="none"/>
              </w:rPr>
            </w:pPr>
          </w:p>
        </w:tc>
        <w:tc>
          <w:tcPr>
            <w:tcW w:w="1553" w:type="dxa"/>
            <w:gridSpan w:val="2"/>
          </w:tcPr>
          <w:p>
            <w:pPr>
              <w:pStyle w:val="4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48"/>
              <w:shd w:val="clear" w:color="auto" w:fill="FFFFFF"/>
              <w:spacing w:line="360" w:lineRule="auto"/>
              <w:rPr>
                <w:bCs/>
                <w:color w:val="auto"/>
                <w:spacing w:val="16"/>
                <w:highlight w:val="none"/>
              </w:rPr>
            </w:pPr>
          </w:p>
        </w:tc>
      </w:tr>
    </w:tbl>
    <w:p>
      <w:pPr>
        <w:pStyle w:val="4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4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spacing w:line="360" w:lineRule="auto"/>
        <w:ind w:firstLine="435"/>
        <w:rPr>
          <w:rFonts w:hint="eastAsia" w:ascii="宋体" w:hAnsi="宋体"/>
          <w:b/>
          <w:color w:val="auto"/>
          <w:sz w:val="28"/>
          <w:highlight w:val="none"/>
        </w:rPr>
      </w:pPr>
    </w:p>
    <w:p>
      <w:pPr>
        <w:spacing w:line="360" w:lineRule="auto"/>
        <w:ind w:firstLine="435"/>
        <w:rPr>
          <w:rFonts w:ascii="宋体" w:hAnsi="宋体"/>
          <w:color w:val="auto"/>
          <w:sz w:val="24"/>
          <w:highlight w:val="none"/>
        </w:rPr>
      </w:pPr>
      <w:r>
        <w:rPr>
          <w:rFonts w:hint="eastAsia" w:ascii="宋体" w:hAnsi="宋体"/>
          <w:b/>
          <w:color w:val="auto"/>
          <w:sz w:val="28"/>
          <w:highlight w:val="none"/>
        </w:rPr>
        <w:t>附件</w:t>
      </w:r>
      <w:r>
        <w:rPr>
          <w:rFonts w:ascii="宋体" w:hAnsi="宋体"/>
          <w:b/>
          <w:color w:val="auto"/>
          <w:sz w:val="28"/>
          <w:highlight w:val="none"/>
        </w:rPr>
        <w:t>4</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标段）</w:t>
      </w: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3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8"/>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8"/>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49"/>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2.附人员证书扫描件；</w:t>
      </w:r>
    </w:p>
    <w:p>
      <w:pPr>
        <w:pStyle w:val="49"/>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投标截止日之前六个月以内的</w:t>
      </w:r>
      <w:r>
        <w:rPr>
          <w:rFonts w:hint="eastAsia" w:ascii="宋体" w:hAnsi="宋体"/>
          <w:color w:val="auto"/>
          <w:szCs w:val="21"/>
          <w:highlight w:val="none"/>
        </w:rPr>
        <w:t>代缴个税税单、参加社会保险的《投保单》或《社会保险参保人员证明》等。</w:t>
      </w:r>
    </w:p>
    <w:p>
      <w:pPr>
        <w:snapToGrid w:val="0"/>
        <w:spacing w:before="50" w:after="156" w:afterLines="50" w:line="360" w:lineRule="auto"/>
        <w:jc w:val="left"/>
        <w:rPr>
          <w:rFonts w:ascii="宋体" w:hAnsi="宋体"/>
          <w:color w:val="auto"/>
          <w:sz w:val="24"/>
          <w:szCs w:val="20"/>
          <w:highlight w:val="none"/>
        </w:rPr>
      </w:pPr>
    </w:p>
    <w:p>
      <w:pPr>
        <w:snapToGrid w:val="0"/>
        <w:spacing w:before="50" w:after="156"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51"/>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pPr>
        <w:pStyle w:val="5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52"/>
        <w:spacing w:line="360" w:lineRule="auto"/>
        <w:jc w:val="center"/>
        <w:rPr>
          <w:rFonts w:ascii="宋体" w:hAnsi="宋体" w:cs="Arial"/>
          <w:color w:val="auto"/>
          <w:sz w:val="28"/>
          <w:szCs w:val="28"/>
          <w:highlight w:val="none"/>
        </w:rPr>
      </w:pPr>
    </w:p>
    <w:tbl>
      <w:tblPr>
        <w:tblStyle w:val="3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5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5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5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2"/>
              <w:spacing w:line="360" w:lineRule="auto"/>
              <w:jc w:val="center"/>
              <w:rPr>
                <w:rFonts w:ascii="宋体" w:hAnsi="宋体" w:cs="Arial"/>
                <w:color w:val="auto"/>
                <w:szCs w:val="21"/>
                <w:highlight w:val="none"/>
              </w:rPr>
            </w:pPr>
          </w:p>
        </w:tc>
        <w:tc>
          <w:tcPr>
            <w:tcW w:w="2258" w:type="dxa"/>
          </w:tcPr>
          <w:p>
            <w:pPr>
              <w:pStyle w:val="52"/>
              <w:spacing w:line="360" w:lineRule="auto"/>
              <w:jc w:val="center"/>
              <w:rPr>
                <w:rFonts w:ascii="宋体" w:hAnsi="宋体" w:cs="Arial"/>
                <w:color w:val="auto"/>
                <w:szCs w:val="21"/>
                <w:highlight w:val="none"/>
              </w:rPr>
            </w:pPr>
          </w:p>
        </w:tc>
        <w:tc>
          <w:tcPr>
            <w:tcW w:w="2260" w:type="dxa"/>
          </w:tcPr>
          <w:p>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2"/>
              <w:spacing w:line="360" w:lineRule="auto"/>
              <w:jc w:val="center"/>
              <w:rPr>
                <w:rFonts w:ascii="宋体" w:hAnsi="宋体" w:cs="Arial"/>
                <w:color w:val="auto"/>
                <w:szCs w:val="21"/>
                <w:highlight w:val="none"/>
              </w:rPr>
            </w:pPr>
          </w:p>
        </w:tc>
        <w:tc>
          <w:tcPr>
            <w:tcW w:w="2258" w:type="dxa"/>
          </w:tcPr>
          <w:p>
            <w:pPr>
              <w:pStyle w:val="52"/>
              <w:spacing w:line="360" w:lineRule="auto"/>
              <w:jc w:val="center"/>
              <w:rPr>
                <w:rFonts w:ascii="宋体" w:hAnsi="宋体" w:cs="Arial"/>
                <w:color w:val="auto"/>
                <w:szCs w:val="21"/>
                <w:highlight w:val="none"/>
              </w:rPr>
            </w:pPr>
          </w:p>
        </w:tc>
        <w:tc>
          <w:tcPr>
            <w:tcW w:w="2260" w:type="dxa"/>
          </w:tcPr>
          <w:p>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2"/>
              <w:spacing w:line="360" w:lineRule="auto"/>
              <w:jc w:val="center"/>
              <w:rPr>
                <w:rFonts w:ascii="宋体" w:hAnsi="宋体" w:cs="Arial"/>
                <w:color w:val="auto"/>
                <w:szCs w:val="21"/>
                <w:highlight w:val="none"/>
              </w:rPr>
            </w:pPr>
          </w:p>
        </w:tc>
        <w:tc>
          <w:tcPr>
            <w:tcW w:w="2258" w:type="dxa"/>
          </w:tcPr>
          <w:p>
            <w:pPr>
              <w:pStyle w:val="52"/>
              <w:spacing w:line="360" w:lineRule="auto"/>
              <w:jc w:val="center"/>
              <w:rPr>
                <w:rFonts w:ascii="宋体" w:hAnsi="宋体" w:cs="Arial"/>
                <w:color w:val="auto"/>
                <w:szCs w:val="21"/>
                <w:highlight w:val="none"/>
              </w:rPr>
            </w:pPr>
          </w:p>
        </w:tc>
        <w:tc>
          <w:tcPr>
            <w:tcW w:w="2260" w:type="dxa"/>
          </w:tcPr>
          <w:p>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2"/>
              <w:spacing w:line="360" w:lineRule="auto"/>
              <w:jc w:val="center"/>
              <w:rPr>
                <w:rFonts w:ascii="宋体" w:hAnsi="宋体" w:cs="Arial"/>
                <w:color w:val="auto"/>
                <w:szCs w:val="21"/>
                <w:highlight w:val="none"/>
              </w:rPr>
            </w:pPr>
          </w:p>
        </w:tc>
        <w:tc>
          <w:tcPr>
            <w:tcW w:w="2258" w:type="dxa"/>
          </w:tcPr>
          <w:p>
            <w:pPr>
              <w:pStyle w:val="52"/>
              <w:spacing w:line="360" w:lineRule="auto"/>
              <w:jc w:val="center"/>
              <w:rPr>
                <w:rFonts w:ascii="宋体" w:hAnsi="宋体" w:cs="Arial"/>
                <w:color w:val="auto"/>
                <w:szCs w:val="21"/>
                <w:highlight w:val="none"/>
              </w:rPr>
            </w:pPr>
          </w:p>
        </w:tc>
        <w:tc>
          <w:tcPr>
            <w:tcW w:w="2260" w:type="dxa"/>
          </w:tcPr>
          <w:p>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2"/>
              <w:spacing w:line="360" w:lineRule="auto"/>
              <w:jc w:val="center"/>
              <w:rPr>
                <w:rFonts w:ascii="宋体" w:hAnsi="宋体" w:cs="Arial"/>
                <w:color w:val="auto"/>
                <w:szCs w:val="21"/>
                <w:highlight w:val="none"/>
              </w:rPr>
            </w:pPr>
          </w:p>
        </w:tc>
        <w:tc>
          <w:tcPr>
            <w:tcW w:w="2258" w:type="dxa"/>
          </w:tcPr>
          <w:p>
            <w:pPr>
              <w:pStyle w:val="52"/>
              <w:spacing w:line="360" w:lineRule="auto"/>
              <w:jc w:val="center"/>
              <w:rPr>
                <w:rFonts w:ascii="宋体" w:hAnsi="宋体" w:cs="Arial"/>
                <w:color w:val="auto"/>
                <w:szCs w:val="21"/>
                <w:highlight w:val="none"/>
              </w:rPr>
            </w:pPr>
          </w:p>
        </w:tc>
        <w:tc>
          <w:tcPr>
            <w:tcW w:w="2260" w:type="dxa"/>
          </w:tcPr>
          <w:p>
            <w:pPr>
              <w:pStyle w:val="5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5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5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52"/>
              <w:spacing w:line="360" w:lineRule="auto"/>
              <w:jc w:val="center"/>
              <w:rPr>
                <w:rFonts w:ascii="宋体" w:hAnsi="宋体" w:cs="Arial"/>
                <w:color w:val="auto"/>
                <w:szCs w:val="21"/>
                <w:highlight w:val="none"/>
              </w:rPr>
            </w:pPr>
          </w:p>
        </w:tc>
      </w:tr>
    </w:tbl>
    <w:p>
      <w:pPr>
        <w:pStyle w:val="52"/>
        <w:tabs>
          <w:tab w:val="left" w:pos="1050"/>
        </w:tabs>
        <w:spacing w:line="360" w:lineRule="auto"/>
        <w:rPr>
          <w:rFonts w:ascii="仿宋_GB2312" w:hAnsi="宋体" w:eastAsia="仿宋_GB2312"/>
          <w:color w:val="auto"/>
          <w:sz w:val="24"/>
          <w:highlight w:val="none"/>
        </w:rPr>
      </w:pPr>
    </w:p>
    <w:p>
      <w:pPr>
        <w:pStyle w:val="5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5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5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2.附所列证书扫描件或其他证明材料。</w:t>
      </w:r>
    </w:p>
    <w:p>
      <w:pPr>
        <w:pStyle w:val="52"/>
        <w:tabs>
          <w:tab w:val="left" w:pos="1050"/>
        </w:tabs>
        <w:spacing w:line="360" w:lineRule="auto"/>
        <w:ind w:firstLine="720" w:firstLineChars="300"/>
        <w:rPr>
          <w:rFonts w:ascii="仿宋_GB2312" w:hAnsi="宋体" w:eastAsia="仿宋_GB2312"/>
          <w:color w:val="auto"/>
          <w:sz w:val="24"/>
          <w:highlight w:val="none"/>
        </w:rPr>
      </w:pPr>
    </w:p>
    <w:p>
      <w:pPr>
        <w:pStyle w:val="52"/>
        <w:tabs>
          <w:tab w:val="left" w:pos="1050"/>
        </w:tabs>
        <w:spacing w:line="360" w:lineRule="auto"/>
        <w:ind w:firstLine="720" w:firstLineChars="300"/>
        <w:rPr>
          <w:rFonts w:ascii="仿宋_GB2312" w:hAnsi="宋体" w:eastAsia="仿宋_GB2312"/>
          <w:color w:val="auto"/>
          <w:sz w:val="24"/>
          <w:highlight w:val="none"/>
        </w:rPr>
      </w:pPr>
    </w:p>
    <w:p>
      <w:pPr>
        <w:pStyle w:val="5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4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pStyle w:val="5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51"/>
        <w:spacing w:line="360" w:lineRule="auto"/>
        <w:jc w:val="center"/>
        <w:rPr>
          <w:rFonts w:ascii="仿宋_GB2312" w:eastAsia="仿宋_GB2312"/>
          <w:b/>
          <w:color w:val="auto"/>
          <w:sz w:val="28"/>
          <w:szCs w:val="28"/>
          <w:highlight w:val="none"/>
        </w:rPr>
      </w:pP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w:t>
      </w:r>
      <w:r>
        <w:rPr>
          <w:rFonts w:hint="eastAsia" w:ascii="宋体" w:hAnsi="宋体" w:cs="Arial"/>
          <w:color w:val="auto"/>
          <w:szCs w:val="21"/>
          <w:highlight w:val="none"/>
          <w:lang w:eastAsia="zh-CN"/>
        </w:rPr>
        <w:t>或复印件</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52"/>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标段)</w:t>
      </w:r>
    </w:p>
    <w:p>
      <w:pPr>
        <w:spacing w:line="360" w:lineRule="auto"/>
        <w:ind w:left="481" w:leftChars="229" w:firstLine="813" w:firstLineChars="450"/>
        <w:rPr>
          <w:rFonts w:ascii="宋体" w:hAnsi="宋体"/>
          <w:b/>
          <w:color w:val="auto"/>
          <w:sz w:val="18"/>
          <w:szCs w:val="18"/>
          <w:highlight w:val="none"/>
        </w:rPr>
      </w:pPr>
    </w:p>
    <w:tbl>
      <w:tblPr>
        <w:tblStyle w:val="3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1</w:t>
            </w:r>
          </w:p>
        </w:tc>
        <w:tc>
          <w:tcPr>
            <w:tcW w:w="1785" w:type="dxa"/>
            <w:vAlign w:val="center"/>
          </w:tcPr>
          <w:p>
            <w:pPr>
              <w:snapToGrid w:val="0"/>
              <w:jc w:val="center"/>
              <w:rPr>
                <w:rFonts w:ascii="宋体" w:hAnsi="宋体"/>
                <w:color w:val="auto"/>
                <w:sz w:val="24"/>
                <w:highlight w:val="none"/>
              </w:rPr>
            </w:pPr>
            <w:r>
              <w:rPr>
                <w:rFonts w:hint="eastAsia" w:ascii="宋体" w:hAnsi="宋体"/>
                <w:color w:val="auto"/>
                <w:sz w:val="24"/>
                <w:highlight w:val="none"/>
                <w:lang w:eastAsia="zh-CN"/>
              </w:rPr>
              <w:t>服务期</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2</w:t>
            </w:r>
          </w:p>
        </w:tc>
        <w:tc>
          <w:tcPr>
            <w:tcW w:w="1785" w:type="dxa"/>
            <w:vAlign w:val="center"/>
          </w:tcPr>
          <w:p>
            <w:pPr>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rPr>
              <w:t>付款方式</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highlight w:val="none"/>
              </w:rPr>
            </w:pPr>
            <w:r>
              <w:rPr>
                <w:rFonts w:ascii="宋体" w:hAnsi="宋体"/>
                <w:color w:val="auto"/>
                <w:sz w:val="24"/>
                <w:highlight w:val="none"/>
              </w:rPr>
              <w:t>3</w:t>
            </w:r>
          </w:p>
        </w:tc>
        <w:tc>
          <w:tcPr>
            <w:tcW w:w="1785" w:type="dxa"/>
            <w:vAlign w:val="center"/>
          </w:tcPr>
          <w:p>
            <w:pPr>
              <w:snapToGrid w:val="0"/>
              <w:jc w:val="center"/>
              <w:rPr>
                <w:rFonts w:ascii="宋体" w:hAnsi="宋体"/>
                <w:color w:val="auto"/>
                <w:sz w:val="24"/>
                <w:highlight w:val="none"/>
              </w:rPr>
            </w:pPr>
            <w:r>
              <w:rPr>
                <w:rFonts w:hint="eastAsia" w:ascii="宋体" w:hAnsi="宋体"/>
                <w:color w:val="auto"/>
                <w:sz w:val="24"/>
                <w:highlight w:val="none"/>
              </w:rPr>
              <w:t>售后服务要求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1785" w:type="dxa"/>
            <w:vAlign w:val="center"/>
          </w:tcPr>
          <w:p>
            <w:pPr>
              <w:snapToGrid w:val="0"/>
              <w:jc w:val="center"/>
              <w:rPr>
                <w:rFonts w:ascii="宋体" w:hAnsi="宋体"/>
                <w:color w:val="auto"/>
                <w:sz w:val="24"/>
                <w:highlight w:val="none"/>
              </w:rPr>
            </w:pPr>
            <w:r>
              <w:rPr>
                <w:rFonts w:hint="eastAsia" w:ascii="宋体" w:hAnsi="宋体"/>
                <w:color w:val="auto"/>
                <w:sz w:val="24"/>
                <w:highlight w:val="none"/>
              </w:rPr>
              <w:t>履约保证金</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tabs>
                <w:tab w:val="center" w:pos="319"/>
                <w:tab w:val="left" w:pos="506"/>
              </w:tabs>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ab/>
            </w:r>
          </w:p>
        </w:tc>
        <w:tc>
          <w:tcPr>
            <w:tcW w:w="1785" w:type="dxa"/>
            <w:vAlign w:val="center"/>
          </w:tcPr>
          <w:p>
            <w:pPr>
              <w:snapToGrid w:val="0"/>
              <w:jc w:val="center"/>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w:t>
      </w:r>
      <w:r>
        <w:rPr>
          <w:rFonts w:hint="eastAsia" w:ascii="宋体" w:hAnsi="宋体"/>
          <w:color w:val="auto"/>
          <w:sz w:val="24"/>
          <w:highlight w:val="none"/>
        </w:rPr>
        <w:t>商务偏离情况需严格按照招标文件的商务要求一一比对给出。</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tabs>
          <w:tab w:val="left" w:pos="2460"/>
        </w:tabs>
        <w:spacing w:line="360" w:lineRule="auto"/>
        <w:ind w:firstLine="435"/>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pacing w:line="360" w:lineRule="auto"/>
        <w:rPr>
          <w:rFonts w:hint="eastAsia" w:ascii="宋体" w:hAnsi="宋体" w:eastAsia="宋体" w:cs="Times New Roman"/>
          <w:color w:val="auto"/>
          <w:sz w:val="28"/>
          <w:szCs w:val="28"/>
          <w:highlight w:val="none"/>
          <w:lang w:val="zh-CN"/>
        </w:rPr>
      </w:pPr>
      <w:r>
        <w:rPr>
          <w:rFonts w:hint="eastAsia" w:ascii="宋体" w:hAnsi="宋体" w:eastAsia="宋体" w:cs="Times New Roman"/>
          <w:color w:val="auto"/>
          <w:sz w:val="28"/>
          <w:szCs w:val="28"/>
          <w:highlight w:val="none"/>
          <w:lang w:val="zh-CN"/>
        </w:rPr>
        <w:t>1、开标一览表（格式见附件）；</w:t>
      </w:r>
    </w:p>
    <w:p>
      <w:pPr>
        <w:spacing w:line="360" w:lineRule="auto"/>
        <w:rPr>
          <w:rFonts w:hint="eastAsia" w:ascii="宋体" w:hAnsi="宋体" w:eastAsia="宋体" w:cs="Times New Roman"/>
          <w:color w:val="auto"/>
          <w:sz w:val="28"/>
          <w:szCs w:val="28"/>
          <w:highlight w:val="none"/>
          <w:lang w:val="zh-CN"/>
        </w:rPr>
      </w:pPr>
      <w:r>
        <w:rPr>
          <w:rFonts w:hint="eastAsia" w:ascii="宋体" w:hAnsi="宋体" w:eastAsia="宋体" w:cs="Times New Roman"/>
          <w:color w:val="auto"/>
          <w:sz w:val="28"/>
          <w:szCs w:val="28"/>
          <w:highlight w:val="none"/>
          <w:lang w:val="zh-CN"/>
        </w:rPr>
        <w:t>2、报价明细表（格式见附件）；</w:t>
      </w:r>
    </w:p>
    <w:p>
      <w:pPr>
        <w:spacing w:line="360" w:lineRule="auto"/>
        <w:rPr>
          <w:rFonts w:hint="eastAsia" w:ascii="宋体" w:hAnsi="宋体" w:eastAsia="宋体" w:cs="Times New Roman"/>
          <w:color w:val="auto"/>
          <w:sz w:val="28"/>
          <w:szCs w:val="28"/>
          <w:highlight w:val="none"/>
          <w:lang w:val="zh-CN"/>
        </w:rPr>
      </w:pP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lang w:val="zh-CN"/>
        </w:rPr>
        <w:t>、供应商认为其他需要说明的内容组成、中小企业声明函（格式见附件）、</w:t>
      </w:r>
      <w:r>
        <w:rPr>
          <w:rFonts w:hint="eastAsia" w:ascii="宋体" w:hAnsi="宋体" w:eastAsia="宋体" w:cs="Times New Roman"/>
          <w:color w:val="auto"/>
          <w:sz w:val="28"/>
          <w:szCs w:val="28"/>
          <w:highlight w:val="none"/>
          <w:lang w:val="zh-CN" w:eastAsia="zh-CN"/>
        </w:rPr>
        <w:t>小型、微型企业产品</w:t>
      </w:r>
      <w:r>
        <w:rPr>
          <w:rFonts w:hint="eastAsia" w:ascii="宋体" w:hAnsi="宋体" w:eastAsia="宋体" w:cs="Times New Roman"/>
          <w:color w:val="auto"/>
          <w:sz w:val="28"/>
          <w:szCs w:val="28"/>
          <w:highlight w:val="none"/>
          <w:lang w:val="zh-CN"/>
        </w:rPr>
        <w:t>情况表（格式见附件）</w:t>
      </w:r>
      <w:r>
        <w:rPr>
          <w:rFonts w:hint="eastAsia" w:ascii="宋体" w:hAnsi="宋体" w:eastAsia="宋体" w:cs="Times New Roman"/>
          <w:color w:val="auto"/>
          <w:sz w:val="28"/>
          <w:szCs w:val="28"/>
          <w:highlight w:val="none"/>
          <w:lang w:val="zh-CN" w:eastAsia="zh-CN"/>
        </w:rPr>
        <w:t>、</w:t>
      </w:r>
      <w:r>
        <w:rPr>
          <w:rFonts w:hint="eastAsia" w:ascii="宋体" w:hAnsi="宋体" w:eastAsia="宋体" w:cs="Times New Roman"/>
          <w:color w:val="auto"/>
          <w:sz w:val="28"/>
          <w:szCs w:val="28"/>
          <w:highlight w:val="none"/>
          <w:lang w:val="en-GB" w:eastAsia="zh-CN"/>
        </w:rPr>
        <w:t>中型企业</w:t>
      </w:r>
      <w:r>
        <w:rPr>
          <w:rFonts w:hint="eastAsia" w:ascii="宋体" w:hAnsi="宋体" w:eastAsia="宋体" w:cs="Times New Roman"/>
          <w:color w:val="auto"/>
          <w:sz w:val="28"/>
          <w:szCs w:val="28"/>
          <w:highlight w:val="none"/>
          <w:lang w:val="en-GB"/>
        </w:rPr>
        <w:t>产品情况表</w:t>
      </w:r>
      <w:r>
        <w:rPr>
          <w:rFonts w:hint="eastAsia" w:ascii="宋体" w:hAnsi="宋体" w:eastAsia="宋体" w:cs="Times New Roman"/>
          <w:color w:val="auto"/>
          <w:sz w:val="28"/>
          <w:szCs w:val="28"/>
          <w:highlight w:val="none"/>
          <w:lang w:val="zh-CN"/>
        </w:rPr>
        <w:t>（格式见附件）等证明材料）。</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标段）</w:t>
      </w:r>
    </w:p>
    <w:p>
      <w:pPr>
        <w:spacing w:line="360" w:lineRule="auto"/>
        <w:ind w:left="-2" w:hanging="2"/>
        <w:jc w:val="center"/>
        <w:rPr>
          <w:rFonts w:ascii="宋体" w:hAnsi="宋体"/>
          <w:b/>
          <w:color w:val="auto"/>
          <w:sz w:val="32"/>
          <w:szCs w:val="32"/>
          <w:highlight w:val="none"/>
        </w:rPr>
      </w:pPr>
    </w:p>
    <w:p>
      <w:pPr>
        <w:pStyle w:val="17"/>
        <w:spacing w:line="320" w:lineRule="exact"/>
        <w:rPr>
          <w:rFonts w:hAnsi="宋体"/>
          <w:b/>
          <w:color w:val="auto"/>
          <w:sz w:val="24"/>
          <w:highlight w:val="none"/>
        </w:rPr>
      </w:pPr>
      <w:r>
        <w:rPr>
          <w:rFonts w:hAnsi="宋体"/>
          <w:b/>
          <w:color w:val="auto"/>
          <w:sz w:val="24"/>
          <w:highlight w:val="none"/>
        </w:rPr>
        <w:t>项目编号：</w:t>
      </w:r>
    </w:p>
    <w:p>
      <w:pPr>
        <w:pStyle w:val="5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[货币单位：</w:t>
      </w:r>
      <w:r>
        <w:rPr>
          <w:rFonts w:hint="eastAsia" w:ascii="宋体" w:hAnsi="宋体"/>
          <w:color w:val="auto"/>
          <w:sz w:val="24"/>
          <w:highlight w:val="none"/>
          <w:u w:val="single"/>
        </w:rPr>
        <w:t xml:space="preserve"> 人民币元</w:t>
      </w:r>
      <w:r>
        <w:rPr>
          <w:rFonts w:ascii="宋体" w:hAnsi="宋体"/>
          <w:color w:val="auto"/>
          <w:sz w:val="24"/>
          <w:highlight w:val="none"/>
          <w:u w:val="single"/>
        </w:rPr>
        <w:t xml:space="preserve"> </w:t>
      </w:r>
      <w:r>
        <w:rPr>
          <w:rFonts w:hint="eastAsia" w:ascii="宋体" w:hAnsi="宋体"/>
          <w:color w:val="auto"/>
          <w:sz w:val="24"/>
          <w:highlight w:val="none"/>
        </w:rPr>
        <w:t>]</w:t>
      </w:r>
    </w:p>
    <w:tbl>
      <w:tblPr>
        <w:tblStyle w:val="3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投标总报价(元)</w:t>
            </w:r>
          </w:p>
          <w:p>
            <w:pPr>
              <w:autoSpaceDE w:val="0"/>
              <w:autoSpaceDN w:val="0"/>
              <w:spacing w:line="450" w:lineRule="exact"/>
              <w:jc w:val="center"/>
              <w:textAlignment w:val="bottom"/>
              <w:rPr>
                <w:rFonts w:ascii="宋体" w:hAnsi="宋体"/>
                <w:color w:val="auto"/>
                <w:sz w:val="24"/>
                <w:highlight w:val="none"/>
              </w:rPr>
            </w:pP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hint="eastAsia" w:ascii="宋体" w:hAnsi="宋体" w:eastAsia="宋体" w:cstheme="minorBidi"/>
          <w:b/>
          <w:color w:val="auto"/>
          <w:kern w:val="2"/>
          <w:sz w:val="24"/>
          <w:szCs w:val="24"/>
          <w:highlight w:val="none"/>
          <w:lang w:val="en-US" w:eastAsia="zh-CN" w:bidi="ar-SA"/>
        </w:rPr>
      </w:pPr>
      <w:r>
        <w:rPr>
          <w:rFonts w:hint="eastAsia" w:ascii="宋体" w:hAnsi="宋体" w:eastAsia="宋体" w:cstheme="minorBidi"/>
          <w:b/>
          <w:color w:val="auto"/>
          <w:kern w:val="2"/>
          <w:sz w:val="24"/>
          <w:szCs w:val="24"/>
          <w:highlight w:val="none"/>
          <w:lang w:val="en-US" w:eastAsia="zh-CN" w:bidi="ar-SA"/>
        </w:rPr>
        <w:t>注：投标总报价保留两位小数</w:t>
      </w: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9"/>
        <w:numPr>
          <w:ilvl w:val="0"/>
          <w:numId w:val="14"/>
        </w:numPr>
        <w:spacing w:line="360" w:lineRule="auto"/>
        <w:ind w:firstLineChars="200"/>
        <w:rPr>
          <w:rFonts w:hint="eastAsia" w:ascii="宋体" w:hAnsi="宋体"/>
          <w:color w:val="auto"/>
          <w:kern w:val="0"/>
          <w:szCs w:val="21"/>
          <w:highlight w:val="none"/>
        </w:rPr>
      </w:pPr>
      <w:r>
        <w:rPr>
          <w:rFonts w:hint="eastAsia" w:ascii="宋体" w:hAnsi="宋体"/>
          <w:color w:val="auto"/>
          <w:kern w:val="0"/>
          <w:szCs w:val="21"/>
          <w:highlight w:val="none"/>
        </w:rPr>
        <w:t>投标总报价是包括</w:t>
      </w:r>
      <w:r>
        <w:rPr>
          <w:rFonts w:hint="eastAsia" w:ascii="宋体" w:hAnsi="宋体"/>
          <w:color w:val="auto"/>
          <w:kern w:val="0"/>
          <w:szCs w:val="21"/>
          <w:highlight w:val="none"/>
          <w:lang w:val="en-US" w:eastAsia="zh-CN"/>
        </w:rPr>
        <w:t>课程视频拍摄及制作、 在线课程制作、线上线下课程运行服务等需要的全部人工费（含 交通、食宿等费用）、设备费、风险费、合理的利润、招标代理服务费、各种税金 以及其他所有与本项目相关的一切费用等</w:t>
      </w:r>
      <w:r>
        <w:rPr>
          <w:rFonts w:hint="eastAsia" w:ascii="宋体" w:hAnsi="宋体"/>
          <w:color w:val="auto"/>
          <w:kern w:val="0"/>
          <w:szCs w:val="21"/>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此总报价为暂定的25门课程的总报价，</w:t>
      </w:r>
      <w:r>
        <w:rPr>
          <w:rFonts w:hint="default" w:eastAsia="宋体"/>
          <w:color w:val="auto"/>
          <w:highlight w:val="none"/>
          <w:lang w:val="en-US" w:eastAsia="zh-CN"/>
        </w:rPr>
        <w:t>最终课程门数根据发文确定。</w:t>
      </w:r>
      <w:r>
        <w:rPr>
          <w:rFonts w:hint="eastAsia"/>
          <w:color w:val="auto"/>
          <w:highlight w:val="none"/>
          <w:lang w:val="en-US" w:eastAsia="zh-CN"/>
        </w:rPr>
        <w:t>实际结算金额</w:t>
      </w:r>
      <w:r>
        <w:rPr>
          <w:rFonts w:hint="default" w:eastAsia="宋体"/>
          <w:color w:val="auto"/>
          <w:highlight w:val="none"/>
          <w:lang w:val="en-US" w:eastAsia="zh-CN"/>
        </w:rPr>
        <w:t>按实际拍摄门数与拍摄时长结算。</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420" w:firstLineChars="200"/>
        <w:textAlignment w:val="auto"/>
        <w:rPr>
          <w:rFonts w:hint="default" w:eastAsia="宋体"/>
          <w:color w:val="auto"/>
          <w:highlight w:val="none"/>
          <w:lang w:val="en-US" w:eastAsia="zh-CN"/>
        </w:rPr>
      </w:pPr>
      <w:r>
        <w:rPr>
          <w:rFonts w:hint="eastAsia" w:eastAsia="宋体"/>
          <w:color w:val="auto"/>
          <w:highlight w:val="none"/>
          <w:lang w:val="en-US" w:eastAsia="zh-CN"/>
        </w:rPr>
        <w:t>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标段）</w:t>
      </w:r>
    </w:p>
    <w:p>
      <w:pPr>
        <w:pStyle w:val="57"/>
        <w:spacing w:line="360" w:lineRule="auto"/>
        <w:ind w:right="480"/>
        <w:jc w:val="left"/>
        <w:rPr>
          <w:rFonts w:hAnsi="宋体"/>
          <w:color w:val="auto"/>
          <w:sz w:val="24"/>
          <w:highlight w:val="none"/>
        </w:rPr>
      </w:pPr>
      <w:r>
        <w:rPr>
          <w:rFonts w:hint="eastAsia" w:ascii="宋体" w:hAnsi="宋体"/>
          <w:color w:val="auto"/>
          <w:sz w:val="24"/>
          <w:highlight w:val="none"/>
        </w:rPr>
        <w:t xml:space="preserve">  项目编号：  </w:t>
      </w:r>
      <w:r>
        <w:rPr>
          <w:rFonts w:ascii="宋体" w:hAnsi="宋体"/>
          <w:color w:val="auto"/>
          <w:sz w:val="24"/>
          <w:highlight w:val="none"/>
        </w:rPr>
        <w:t xml:space="preserve">                       </w:t>
      </w:r>
      <w:r>
        <w:rPr>
          <w:rFonts w:hint="eastAsia" w:ascii="宋体" w:hAnsi="宋体"/>
          <w:color w:val="auto"/>
          <w:sz w:val="24"/>
          <w:highlight w:val="none"/>
        </w:rPr>
        <w:t>[货币单位：</w:t>
      </w:r>
      <w:r>
        <w:rPr>
          <w:rFonts w:hint="eastAsia" w:ascii="宋体" w:hAnsi="宋体"/>
          <w:color w:val="auto"/>
          <w:sz w:val="24"/>
          <w:highlight w:val="none"/>
          <w:u w:val="single"/>
        </w:rPr>
        <w:t xml:space="preserve"> 人民币</w:t>
      </w:r>
      <w:r>
        <w:rPr>
          <w:rFonts w:ascii="宋体" w:hAnsi="宋体"/>
          <w:color w:val="auto"/>
          <w:sz w:val="24"/>
          <w:highlight w:val="none"/>
          <w:u w:val="single"/>
        </w:rPr>
        <w:t xml:space="preserve">元 </w:t>
      </w:r>
      <w:r>
        <w:rPr>
          <w:rFonts w:hint="eastAsia" w:ascii="宋体" w:hAnsi="宋体"/>
          <w:color w:val="auto"/>
          <w:sz w:val="24"/>
          <w:highlight w:val="none"/>
        </w:rPr>
        <w:t>]</w:t>
      </w:r>
    </w:p>
    <w:p>
      <w:pPr>
        <w:spacing w:line="360" w:lineRule="auto"/>
        <w:rPr>
          <w:rFonts w:ascii="宋体" w:hAnsi="宋体"/>
          <w:color w:val="auto"/>
          <w:sz w:val="24"/>
          <w:highlight w:val="none"/>
        </w:rPr>
      </w:pPr>
    </w:p>
    <w:tbl>
      <w:tblPr>
        <w:tblStyle w:val="3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92"/>
        <w:gridCol w:w="1684"/>
        <w:gridCol w:w="37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2"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68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技术需求</w:t>
            </w:r>
          </w:p>
        </w:tc>
        <w:tc>
          <w:tcPr>
            <w:tcW w:w="3750" w:type="dxa"/>
            <w:vAlign w:val="center"/>
          </w:tcPr>
          <w:p>
            <w:pPr>
              <w:spacing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单价</w:t>
            </w:r>
            <w:r>
              <w:rPr>
                <w:rFonts w:hint="eastAsia" w:ascii="宋体" w:hAnsi="宋体"/>
                <w:b/>
                <w:color w:val="auto"/>
                <w:sz w:val="24"/>
                <w:highlight w:val="none"/>
                <w:lang w:eastAsia="zh-CN"/>
              </w:rPr>
              <w:t>（元</w:t>
            </w:r>
            <w:r>
              <w:rPr>
                <w:rFonts w:hint="eastAsia" w:ascii="宋体" w:hAnsi="宋体"/>
                <w:b/>
                <w:color w:val="auto"/>
                <w:sz w:val="24"/>
                <w:highlight w:val="none"/>
                <w:lang w:val="en-US" w:eastAsia="zh-CN"/>
              </w:rPr>
              <w:t>/门</w:t>
            </w:r>
            <w:r>
              <w:rPr>
                <w:rFonts w:hint="eastAsia" w:ascii="宋体" w:hAnsi="宋体"/>
                <w:b/>
                <w:color w:val="auto"/>
                <w:sz w:val="24"/>
                <w:highlight w:val="none"/>
                <w:lang w:eastAsia="zh-CN"/>
              </w:rPr>
              <w:t>）</w:t>
            </w:r>
          </w:p>
        </w:tc>
        <w:tc>
          <w:tcPr>
            <w:tcW w:w="2105" w:type="dxa"/>
            <w:vAlign w:val="center"/>
          </w:tcPr>
          <w:p>
            <w:pPr>
              <w:spacing w:line="360" w:lineRule="auto"/>
              <w:jc w:val="center"/>
              <w:rPr>
                <w:rFonts w:ascii="宋体" w:hAnsi="宋体"/>
                <w:b/>
                <w:color w:val="auto"/>
                <w:sz w:val="24"/>
                <w:highlight w:val="none"/>
              </w:rPr>
            </w:pPr>
          </w:p>
          <w:p>
            <w:pPr>
              <w:spacing w:line="360" w:lineRule="auto"/>
              <w:jc w:val="center"/>
              <w:rPr>
                <w:rFonts w:hint="eastAsia" w:ascii="宋体" w:hAnsi="宋体"/>
                <w:b/>
                <w:color w:val="auto"/>
                <w:sz w:val="24"/>
                <w:highlight w:val="none"/>
                <w:lang w:eastAsia="zh-CN"/>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525" w:type="dxa"/>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w:t>
            </w:r>
          </w:p>
        </w:tc>
        <w:tc>
          <w:tcPr>
            <w:tcW w:w="1292" w:type="dxa"/>
            <w:vAlign w:val="center"/>
          </w:tcPr>
          <w:p>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课程建设费</w:t>
            </w:r>
          </w:p>
        </w:tc>
        <w:tc>
          <w:tcPr>
            <w:tcW w:w="1684" w:type="dxa"/>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详见采购文件</w:t>
            </w:r>
          </w:p>
        </w:tc>
        <w:tc>
          <w:tcPr>
            <w:tcW w:w="3750" w:type="dxa"/>
            <w:vAlign w:val="center"/>
          </w:tcPr>
          <w:p>
            <w:pPr>
              <w:spacing w:line="360" w:lineRule="auto"/>
              <w:rPr>
                <w:rFonts w:ascii="宋体" w:hAnsi="宋体"/>
                <w:color w:val="auto"/>
                <w:sz w:val="24"/>
                <w:highlight w:val="none"/>
              </w:rPr>
            </w:pPr>
          </w:p>
        </w:tc>
        <w:tc>
          <w:tcPr>
            <w:tcW w:w="2105" w:type="dxa"/>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每门课总价合计不超过</w:t>
            </w:r>
            <w:r>
              <w:rPr>
                <w:rFonts w:hint="eastAsia" w:ascii="宋体" w:hAnsi="宋体"/>
                <w:color w:val="auto"/>
                <w:sz w:val="24"/>
                <w:highlight w:val="none"/>
                <w:lang w:val="en-US" w:eastAsia="zh-CN"/>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356" w:type="dxa"/>
            <w:gridSpan w:val="5"/>
            <w:vAlign w:val="center"/>
          </w:tcPr>
          <w:p>
            <w:pPr>
              <w:spacing w:line="360" w:lineRule="auto"/>
              <w:rPr>
                <w:rFonts w:hint="default" w:ascii="宋体" w:hAnsi="宋体"/>
                <w:b/>
                <w:color w:val="auto"/>
                <w:sz w:val="24"/>
                <w:highlight w:val="none"/>
                <w:u w:val="single"/>
                <w:lang w:val="en-US"/>
              </w:rPr>
            </w:pPr>
            <w:r>
              <w:rPr>
                <w:rFonts w:hint="eastAsia" w:ascii="宋体" w:hAnsi="宋体"/>
                <w:b/>
                <w:color w:val="auto"/>
                <w:sz w:val="24"/>
                <w:highlight w:val="none"/>
                <w:lang w:eastAsia="zh-CN"/>
              </w:rPr>
              <w:t>每门课程</w:t>
            </w:r>
            <w:r>
              <w:rPr>
                <w:rFonts w:hint="eastAsia" w:ascii="宋体" w:hAnsi="宋体"/>
                <w:b/>
                <w:color w:val="auto"/>
                <w:sz w:val="24"/>
                <w:highlight w:val="none"/>
              </w:rPr>
              <w:t xml:space="preserve">合计：大写 </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小写</w:t>
            </w:r>
            <w:r>
              <w:rPr>
                <w:rFonts w:hint="eastAsia" w:ascii="宋体" w:hAnsi="宋体"/>
                <w:b/>
                <w:color w:val="auto"/>
                <w:sz w:val="24"/>
                <w:highlight w:val="none"/>
                <w:lang w:val="en-US" w:eastAsia="zh-CN"/>
              </w:rPr>
              <w:t xml:space="preserve"> </w:t>
            </w:r>
            <w:r>
              <w:rPr>
                <w:rFonts w:hint="eastAsia" w:ascii="宋体" w:hAnsi="宋体"/>
                <w:b/>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356" w:type="dxa"/>
            <w:gridSpan w:val="5"/>
            <w:tcBorders>
              <w:bottom w:val="single" w:color="auto" w:sz="4" w:space="0"/>
            </w:tcBorders>
            <w:vAlign w:val="center"/>
          </w:tcPr>
          <w:p>
            <w:pPr>
              <w:spacing w:line="360" w:lineRule="auto"/>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25门课程总合计</w:t>
            </w:r>
            <w:r>
              <w:rPr>
                <w:rFonts w:hint="eastAsia" w:ascii="宋体" w:hAnsi="宋体"/>
                <w:b/>
                <w:color w:val="auto"/>
                <w:sz w:val="24"/>
                <w:highlight w:val="none"/>
                <w:lang w:val="en-US" w:eastAsia="zh-CN"/>
              </w:rPr>
              <w:t>：</w:t>
            </w:r>
            <w:r>
              <w:rPr>
                <w:rFonts w:hint="eastAsia" w:ascii="宋体" w:hAnsi="宋体"/>
                <w:b/>
                <w:color w:val="auto"/>
                <w:sz w:val="24"/>
                <w:highlight w:val="none"/>
              </w:rPr>
              <w:t xml:space="preserve">大写 </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小写</w:t>
            </w:r>
            <w:r>
              <w:rPr>
                <w:rFonts w:hint="eastAsia" w:ascii="宋体" w:hAnsi="宋体"/>
                <w:b/>
                <w:color w:val="auto"/>
                <w:sz w:val="24"/>
                <w:highlight w:val="none"/>
                <w:lang w:val="en-US" w:eastAsia="zh-CN"/>
              </w:rPr>
              <w:t xml:space="preserve"> </w:t>
            </w:r>
            <w:r>
              <w:rPr>
                <w:rFonts w:hint="eastAsia" w:ascii="宋体" w:hAnsi="宋体"/>
                <w:b/>
                <w:color w:val="auto"/>
                <w:sz w:val="24"/>
                <w:highlight w:val="none"/>
                <w:u w:val="single"/>
                <w:lang w:val="en-US" w:eastAsia="zh-CN"/>
              </w:rPr>
              <w:t xml:space="preserve">                         </w:t>
            </w:r>
          </w:p>
        </w:tc>
      </w:tr>
    </w:tbl>
    <w:p>
      <w:pPr>
        <w:spacing w:line="360" w:lineRule="auto"/>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注：以上单价及合计均保留两位小数，总合计结果</w:t>
      </w:r>
      <w:r>
        <w:rPr>
          <w:rFonts w:hint="eastAsia" w:ascii="宋体" w:hAnsi="宋体"/>
          <w:b/>
          <w:color w:val="auto"/>
          <w:sz w:val="24"/>
          <w:highlight w:val="none"/>
          <w:lang w:val="en-US" w:eastAsia="zh-CN"/>
        </w:rPr>
        <w:t>转结至开标一览表。</w:t>
      </w: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hint="eastAsia" w:ascii="宋体" w:hAnsi="宋体"/>
          <w:color w:val="auto"/>
          <w:szCs w:val="21"/>
          <w:highlight w:val="none"/>
        </w:rPr>
      </w:pPr>
      <w:r>
        <w:rPr>
          <w:rFonts w:hint="eastAsia" w:ascii="宋体" w:hAnsi="宋体"/>
          <w:color w:val="auto"/>
          <w:szCs w:val="21"/>
          <w:highlight w:val="none"/>
        </w:rPr>
        <w:t>1. 每门课程全部完成后，实际支付金额按如下公式结算：=（实际拍摄时长/480分钟）*每门课程制作运行费报价单价</w:t>
      </w:r>
      <w:r>
        <w:rPr>
          <w:rFonts w:hint="eastAsia" w:ascii="宋体" w:hAnsi="宋体"/>
          <w:color w:val="auto"/>
          <w:szCs w:val="21"/>
          <w:highlight w:val="none"/>
          <w:lang w:eastAsia="zh-CN"/>
        </w:rPr>
        <w:t>；</w:t>
      </w:r>
      <w:r>
        <w:rPr>
          <w:rFonts w:hint="eastAsia" w:ascii="宋体" w:hAnsi="宋体"/>
          <w:color w:val="auto"/>
          <w:szCs w:val="21"/>
          <w:highlight w:val="none"/>
        </w:rPr>
        <w:t>注：实际拍摄时长如果超过480分钟</w:t>
      </w:r>
      <w:r>
        <w:rPr>
          <w:rFonts w:hint="eastAsia" w:ascii="宋体" w:hAnsi="宋体"/>
          <w:color w:val="auto"/>
          <w:szCs w:val="21"/>
          <w:highlight w:val="none"/>
          <w:lang w:eastAsia="zh-CN"/>
        </w:rPr>
        <w:t>的</w:t>
      </w:r>
      <w:r>
        <w:rPr>
          <w:rFonts w:hint="eastAsia" w:ascii="宋体" w:hAnsi="宋体"/>
          <w:color w:val="auto"/>
          <w:szCs w:val="21"/>
          <w:highlight w:val="none"/>
        </w:rPr>
        <w:t>，按480分钟计算；</w:t>
      </w:r>
    </w:p>
    <w:p>
      <w:pPr>
        <w:spacing w:line="360" w:lineRule="auto"/>
        <w:ind w:left="435"/>
        <w:rPr>
          <w:rFonts w:ascii="宋体" w:hAnsi="宋体"/>
          <w:color w:val="auto"/>
          <w:szCs w:val="21"/>
          <w:highlight w:val="none"/>
        </w:rPr>
      </w:pP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left="435"/>
        <w:rPr>
          <w:rFonts w:ascii="宋体"/>
          <w:color w:val="auto"/>
          <w:szCs w:val="21"/>
          <w:highlight w:val="none"/>
          <w:lang w:val="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zh-CN"/>
        </w:rPr>
        <w:t>投标报价明细表所填内容参照招标文件采购设备</w:t>
      </w:r>
      <w:r>
        <w:rPr>
          <w:color w:val="auto"/>
          <w:highlight w:val="none"/>
        </w:rPr>
        <w:t>第四章公开招标需求中的</w:t>
      </w:r>
      <w:r>
        <w:rPr>
          <w:rFonts w:hint="eastAsia" w:ascii="宋体"/>
          <w:color w:val="auto"/>
          <w:szCs w:val="21"/>
          <w:highlight w:val="none"/>
          <w:lang w:val="zh-CN"/>
        </w:rPr>
        <w:t>参数需求。如有漏报的，视同已包含在投标总价内或已作优惠处理。有重大缺项的将作无效标处理。</w:t>
      </w:r>
    </w:p>
    <w:p>
      <w:pPr>
        <w:spacing w:line="360" w:lineRule="auto"/>
        <w:ind w:left="435"/>
        <w:rPr>
          <w:rFonts w:ascii="宋体"/>
          <w:color w:val="auto"/>
          <w:szCs w:val="21"/>
          <w:highlight w:val="none"/>
          <w:lang w:val="zh-CN"/>
        </w:rPr>
      </w:pPr>
      <w:r>
        <w:rPr>
          <w:rFonts w:hint="eastAsia" w:ascii="宋体"/>
          <w:color w:val="auto"/>
          <w:szCs w:val="21"/>
          <w:highlight w:val="none"/>
          <w:lang w:val="en-US" w:eastAsia="zh-CN"/>
        </w:rPr>
        <w:t>5</w:t>
      </w:r>
      <w:r>
        <w:rPr>
          <w:rFonts w:hint="eastAsia" w:ascii="宋体"/>
          <w:color w:val="auto"/>
          <w:szCs w:val="21"/>
          <w:highlight w:val="none"/>
          <w:lang w:val="zh-CN"/>
        </w:rPr>
        <w:t>. 本表中的型号规格必须明确，招标文件中明确要求定制的除外。</w:t>
      </w: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156" w:beforeLines="50" w:after="50"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napToGrid w:val="0"/>
        <w:spacing w:before="156" w:beforeLines="50" w:after="50" w:line="360" w:lineRule="auto"/>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line="360" w:lineRule="auto"/>
        <w:ind w:right="-110"/>
        <w:jc w:val="center"/>
        <w:rPr>
          <w:rFonts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中小企业声明函</w:t>
      </w:r>
    </w:p>
    <w:p>
      <w:pPr>
        <w:spacing w:line="360" w:lineRule="auto"/>
        <w:ind w:right="-110"/>
        <w:jc w:val="center"/>
        <w:rPr>
          <w:rFonts w:ascii="宋体"/>
          <w:b/>
          <w:bCs/>
          <w:color w:val="auto"/>
          <w:spacing w:val="21"/>
          <w:kern w:val="0"/>
          <w:sz w:val="32"/>
          <w:szCs w:val="32"/>
          <w:highlight w:val="none"/>
        </w:rPr>
      </w:pP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 号）的规定，本公司（联合体）参加</w:t>
      </w:r>
      <w:r>
        <w:rPr>
          <w:rFonts w:hint="eastAsia" w:ascii="宋体" w:hAnsi="宋体"/>
          <w:color w:val="auto"/>
          <w:spacing w:val="6"/>
          <w:sz w:val="24"/>
          <w:highlight w:val="none"/>
          <w:u w:val="single"/>
        </w:rPr>
        <w:t>（单位名称）的（项目名称）</w:t>
      </w:r>
      <w:r>
        <w:rPr>
          <w:rFonts w:hint="eastAsia" w:ascii="宋体" w:hAnsi="宋体"/>
          <w:color w:val="auto"/>
          <w:spacing w:val="6"/>
          <w:sz w:val="24"/>
          <w:highlight w:val="none"/>
        </w:rPr>
        <w:t>采购活动，工程、服务全部由符合政策要求的中小企业承接。相关企业（含联合体中的中小企业、签订分包意向协议的中小企业）的具体情况如下：</w:t>
      </w: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1. </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 xml:space="preserve"> ，属于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行业；承接企业为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万元（注），属于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2. </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 xml:space="preserve"> ，属于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行业；承接企业为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万元，属于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w:t>
      </w: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5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58"/>
        <w:spacing w:line="360" w:lineRule="auto"/>
        <w:ind w:left="4253" w:leftChars="2025"/>
        <w:rPr>
          <w:rFonts w:ascii="宋体" w:hAnsi="宋体" w:cs="宋体"/>
          <w:color w:val="auto"/>
          <w:sz w:val="24"/>
          <w:highlight w:val="none"/>
        </w:rPr>
      </w:pPr>
    </w:p>
    <w:p>
      <w:pPr>
        <w:pStyle w:val="58"/>
        <w:spacing w:line="360" w:lineRule="auto"/>
        <w:ind w:left="4253" w:leftChars="2025"/>
        <w:rPr>
          <w:rFonts w:ascii="宋体"/>
          <w:color w:val="auto"/>
          <w:sz w:val="24"/>
          <w:highlight w:val="none"/>
        </w:rPr>
      </w:pPr>
      <w:r>
        <w:rPr>
          <w:rFonts w:hint="eastAsia" w:ascii="宋体" w:hAnsi="宋体" w:cs="宋体"/>
          <w:color w:val="auto"/>
          <w:sz w:val="24"/>
          <w:highlight w:val="none"/>
        </w:rPr>
        <w:t>企业名称（公章或CA签章）：</w:t>
      </w:r>
    </w:p>
    <w:p>
      <w:pPr>
        <w:pStyle w:val="58"/>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年  月  日</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58"/>
        <w:spacing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11</w:t>
      </w:r>
    </w:p>
    <w:p>
      <w:pPr>
        <w:pStyle w:val="17"/>
        <w:spacing w:before="120" w:after="120" w:line="360" w:lineRule="auto"/>
        <w:jc w:val="center"/>
        <w:rPr>
          <w:rFonts w:hAnsi="宋体"/>
          <w:b/>
          <w:bCs/>
          <w:color w:val="auto"/>
          <w:sz w:val="30"/>
          <w:szCs w:val="30"/>
          <w:highlight w:val="none"/>
        </w:rPr>
      </w:pPr>
      <w:r>
        <w:rPr>
          <w:rFonts w:hint="eastAsia" w:hAnsi="宋体" w:cs="宋体"/>
          <w:b/>
          <w:bCs/>
          <w:color w:val="auto"/>
          <w:sz w:val="30"/>
          <w:szCs w:val="30"/>
          <w:highlight w:val="none"/>
        </w:rPr>
        <w:t>小型、微型企业产品情况表</w:t>
      </w:r>
    </w:p>
    <w:tbl>
      <w:tblPr>
        <w:tblStyle w:val="3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1218"/>
        <w:gridCol w:w="37"/>
        <w:gridCol w:w="110"/>
        <w:gridCol w:w="1136"/>
        <w:gridCol w:w="17"/>
        <w:gridCol w:w="65"/>
        <w:gridCol w:w="957"/>
        <w:gridCol w:w="18"/>
        <w:gridCol w:w="61"/>
        <w:gridCol w:w="176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13" w:type="dxa"/>
            <w:vMerge w:val="restart"/>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bookmarkStart w:id="2" w:name="_Toc19917"/>
            <w:bookmarkStart w:id="3" w:name="_Toc470007449"/>
            <w:r>
              <w:rPr>
                <w:rFonts w:hint="eastAsia" w:ascii="宋体" w:hAnsi="宋体" w:cs="宋体"/>
                <w:color w:val="auto"/>
                <w:szCs w:val="21"/>
                <w:highlight w:val="none"/>
              </w:rPr>
              <w:t>小型、微型企业产品</w:t>
            </w:r>
          </w:p>
        </w:tc>
        <w:tc>
          <w:tcPr>
            <w:tcW w:w="121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8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39"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84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1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8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039"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84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1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8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039"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84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金额合计</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w:t>
            </w: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金额/投标总价）</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6644" w:type="dxa"/>
            <w:gridSpan w:val="11"/>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小型、微型企业证明材料见投标文件第至页。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713" w:type="dxa"/>
            <w:vMerge w:val="restart"/>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p>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业产品</w:t>
            </w:r>
          </w:p>
        </w:tc>
        <w:tc>
          <w:tcPr>
            <w:tcW w:w="125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6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101" w:type="dxa"/>
            <w:gridSpan w:val="4"/>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64"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5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101" w:type="dxa"/>
            <w:gridSpan w:val="4"/>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764"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5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3"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101" w:type="dxa"/>
            <w:gridSpan w:val="4"/>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764"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金额合计</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金额/投标总价）</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6644" w:type="dxa"/>
            <w:gridSpan w:val="11"/>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业证明材料见投标文件第至页。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713" w:type="dxa"/>
            <w:vMerge w:val="restart"/>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残疾人福利性单位产品</w:t>
            </w:r>
          </w:p>
        </w:tc>
        <w:tc>
          <w:tcPr>
            <w:tcW w:w="1365"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18"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97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82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365"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18"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97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82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365"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18" w:type="dxa"/>
            <w:gridSpan w:val="3"/>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97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825" w:type="dxa"/>
            <w:gridSpan w:val="2"/>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金额合计</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383" w:type="dxa"/>
            <w:gridSpan w:val="10"/>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金额/投标总价）</w:t>
            </w:r>
          </w:p>
        </w:tc>
        <w:tc>
          <w:tcPr>
            <w:tcW w:w="126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713"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6644" w:type="dxa"/>
            <w:gridSpan w:val="11"/>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证明材料见投标文件部分第至页。</w:t>
            </w:r>
          </w:p>
        </w:tc>
      </w:tr>
    </w:tbl>
    <w:p>
      <w:pPr>
        <w:pStyle w:val="17"/>
        <w:spacing w:before="120" w:after="120" w:line="240" w:lineRule="auto"/>
        <w:rPr>
          <w:rFonts w:hAnsi="宋体" w:cs="宋体"/>
          <w:color w:val="auto"/>
          <w:szCs w:val="21"/>
          <w:highlight w:val="none"/>
        </w:rPr>
      </w:pPr>
      <w:r>
        <w:rPr>
          <w:rFonts w:hint="eastAsia" w:hAnsi="宋体" w:cs="宋体"/>
          <w:color w:val="auto"/>
          <w:szCs w:val="21"/>
          <w:highlight w:val="none"/>
        </w:rPr>
        <w:t>填报要求：</w:t>
      </w:r>
      <w:bookmarkEnd w:id="2"/>
      <w:bookmarkEnd w:id="3"/>
    </w:p>
    <w:p>
      <w:pPr>
        <w:pStyle w:val="17"/>
        <w:spacing w:before="120" w:after="120" w:line="240" w:lineRule="auto"/>
        <w:rPr>
          <w:rFonts w:hAnsi="宋体" w:cs="宋体"/>
          <w:color w:val="auto"/>
          <w:szCs w:val="21"/>
          <w:highlight w:val="none"/>
        </w:rPr>
      </w:pPr>
      <w:bookmarkStart w:id="4" w:name="_Toc29781"/>
      <w:bookmarkStart w:id="5" w:name="_Toc470007450"/>
      <w:r>
        <w:rPr>
          <w:rFonts w:hint="eastAsia" w:hAnsi="宋体" w:cs="宋体"/>
          <w:color w:val="auto"/>
          <w:szCs w:val="21"/>
          <w:highlight w:val="none"/>
        </w:rPr>
        <w:t>1. 本表的产品名称、品牌型号、金额应与《投标报价明细表》一致。</w:t>
      </w:r>
      <w:bookmarkEnd w:id="4"/>
      <w:bookmarkEnd w:id="5"/>
    </w:p>
    <w:p>
      <w:pPr>
        <w:pStyle w:val="17"/>
        <w:spacing w:before="120" w:after="120" w:line="240" w:lineRule="auto"/>
        <w:rPr>
          <w:rFonts w:hAnsi="宋体" w:cs="宋体"/>
          <w:color w:val="auto"/>
          <w:szCs w:val="21"/>
          <w:highlight w:val="none"/>
        </w:rPr>
      </w:pPr>
      <w:bookmarkStart w:id="6" w:name="_Toc6260"/>
      <w:bookmarkStart w:id="7" w:name="_Toc470007451"/>
      <w:r>
        <w:rPr>
          <w:rFonts w:hint="eastAsia" w:hAnsi="宋体" w:cs="宋体"/>
          <w:color w:val="auto"/>
          <w:szCs w:val="21"/>
          <w:highlight w:val="none"/>
        </w:rPr>
        <w:t>2. 制造商为小型或微型企业时才需要填“制造商企业类型”栏，填写内容为“小型”或“微型”。</w:t>
      </w:r>
      <w:bookmarkEnd w:id="6"/>
      <w:bookmarkEnd w:id="7"/>
    </w:p>
    <w:p>
      <w:pPr>
        <w:pStyle w:val="17"/>
        <w:spacing w:before="120" w:after="120" w:line="240" w:lineRule="auto"/>
        <w:rPr>
          <w:rFonts w:hAnsi="宋体"/>
          <w:color w:val="auto"/>
          <w:szCs w:val="21"/>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投标人：（盖章或CA签章）</w:t>
      </w:r>
    </w:p>
    <w:p>
      <w:pPr>
        <w:tabs>
          <w:tab w:val="left" w:pos="1418"/>
        </w:tabs>
        <w:autoSpaceDE w:val="0"/>
        <w:autoSpaceDN w:val="0"/>
        <w:adjustRightInd w:val="0"/>
        <w:spacing w:line="360" w:lineRule="auto"/>
        <w:ind w:firstLine="480" w:firstLineChars="200"/>
        <w:rPr>
          <w:rFonts w:ascii="宋体"/>
          <w:color w:val="auto"/>
          <w:kern w:val="0"/>
          <w:sz w:val="24"/>
          <w:highlight w:val="none"/>
          <w:lang w:val="en-GB"/>
        </w:rPr>
      </w:pPr>
      <w:r>
        <w:rPr>
          <w:rFonts w:hint="eastAsia" w:ascii="宋体" w:hAnsi="宋体" w:cs="宋体"/>
          <w:color w:val="auto"/>
          <w:sz w:val="24"/>
          <w:highlight w:val="none"/>
        </w:rPr>
        <w:t>日期：</w:t>
      </w: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pStyle w:val="58"/>
        <w:spacing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12</w:t>
      </w:r>
    </w:p>
    <w:p>
      <w:pPr>
        <w:pStyle w:val="59"/>
        <w:spacing w:line="360" w:lineRule="auto"/>
        <w:rPr>
          <w:color w:val="auto"/>
          <w:highlight w:val="none"/>
        </w:rPr>
      </w:pPr>
    </w:p>
    <w:p>
      <w:pPr>
        <w:pStyle w:val="56"/>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eastAsia="zh-CN"/>
        </w:rPr>
        <w:t>中型企业</w:t>
      </w:r>
      <w:r>
        <w:rPr>
          <w:rFonts w:hint="eastAsia" w:ascii="宋体" w:hAnsi="宋体"/>
          <w:b/>
          <w:color w:val="auto"/>
          <w:sz w:val="32"/>
          <w:szCs w:val="32"/>
          <w:highlight w:val="none"/>
          <w:lang w:val="en-GB"/>
        </w:rPr>
        <w:t>产品情况表</w:t>
      </w:r>
    </w:p>
    <w:p>
      <w:pPr>
        <w:pStyle w:val="56"/>
        <w:spacing w:line="360" w:lineRule="auto"/>
        <w:jc w:val="center"/>
        <w:rPr>
          <w:rFonts w:ascii="宋体" w:hAnsi="宋体"/>
          <w:b/>
          <w:color w:val="auto"/>
          <w:sz w:val="32"/>
          <w:szCs w:val="32"/>
          <w:highlight w:val="none"/>
          <w:lang w:val="en-GB"/>
        </w:rPr>
      </w:pPr>
    </w:p>
    <w:tbl>
      <w:tblPr>
        <w:tblStyle w:val="3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187"/>
        <w:gridCol w:w="1251"/>
        <w:gridCol w:w="1013"/>
        <w:gridCol w:w="179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642" w:type="dxa"/>
            <w:vMerge w:val="restart"/>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型企业产品</w:t>
            </w:r>
          </w:p>
        </w:tc>
        <w:tc>
          <w:tcPr>
            <w:tcW w:w="1187"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5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13"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96"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型企业</w:t>
            </w:r>
          </w:p>
        </w:tc>
        <w:tc>
          <w:tcPr>
            <w:tcW w:w="122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42"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187"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5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013"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796"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2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42"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187"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51"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013"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796"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122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642"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247" w:type="dxa"/>
            <w:gridSpan w:val="4"/>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型企业产品</w:t>
            </w:r>
            <w:r>
              <w:rPr>
                <w:rFonts w:hint="eastAsia" w:ascii="宋体" w:hAnsi="宋体" w:cs="宋体"/>
                <w:color w:val="auto"/>
                <w:szCs w:val="21"/>
                <w:highlight w:val="none"/>
                <w:lang w:val="en-GB"/>
              </w:rPr>
              <w:t>金额合计</w:t>
            </w:r>
          </w:p>
        </w:tc>
        <w:tc>
          <w:tcPr>
            <w:tcW w:w="122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42"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5247" w:type="dxa"/>
            <w:gridSpan w:val="4"/>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w:t>
            </w:r>
            <w:r>
              <w:rPr>
                <w:rFonts w:hint="eastAsia" w:ascii="宋体" w:hAnsi="宋体" w:cs="宋体"/>
                <w:color w:val="auto"/>
                <w:szCs w:val="21"/>
                <w:highlight w:val="none"/>
                <w:lang w:eastAsia="zh-CN"/>
              </w:rPr>
              <w:t>中</w:t>
            </w:r>
            <w:r>
              <w:rPr>
                <w:rFonts w:hint="eastAsia" w:ascii="宋体" w:hAnsi="宋体" w:cs="宋体"/>
                <w:color w:val="auto"/>
                <w:szCs w:val="21"/>
                <w:highlight w:val="none"/>
              </w:rPr>
              <w:t>型企业产品</w:t>
            </w:r>
            <w:r>
              <w:rPr>
                <w:rFonts w:hint="eastAsia" w:ascii="宋体" w:hAnsi="宋体" w:cs="宋体"/>
                <w:color w:val="auto"/>
                <w:szCs w:val="21"/>
                <w:highlight w:val="none"/>
                <w:lang w:val="en-GB"/>
              </w:rPr>
              <w:t>金额/投标总价）</w:t>
            </w:r>
          </w:p>
        </w:tc>
        <w:tc>
          <w:tcPr>
            <w:tcW w:w="1228" w:type="dxa"/>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42" w:type="dxa"/>
            <w:vMerge w:val="continue"/>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p>
        </w:tc>
        <w:tc>
          <w:tcPr>
            <w:tcW w:w="6475" w:type="dxa"/>
            <w:gridSpan w:val="5"/>
            <w:noWrap w:val="0"/>
            <w:vAlign w:val="center"/>
          </w:tcPr>
          <w:p>
            <w:pPr>
              <w:pStyle w:val="178"/>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eastAsia="zh-CN"/>
              </w:rPr>
              <w:t>中</w:t>
            </w:r>
            <w:r>
              <w:rPr>
                <w:rFonts w:hint="eastAsia" w:ascii="宋体" w:hAnsi="宋体" w:cs="宋体"/>
                <w:color w:val="auto"/>
                <w:szCs w:val="21"/>
                <w:highlight w:val="none"/>
              </w:rPr>
              <w:t>型企业证明材料见投标文件第至页。</w:t>
            </w:r>
          </w:p>
        </w:tc>
      </w:tr>
    </w:tbl>
    <w:p>
      <w:pPr>
        <w:pStyle w:val="56"/>
        <w:spacing w:line="360" w:lineRule="auto"/>
        <w:rPr>
          <w:rFonts w:ascii="宋体" w:hAnsi="宋体"/>
          <w:color w:val="auto"/>
          <w:szCs w:val="21"/>
          <w:highlight w:val="none"/>
          <w:lang w:val="en-GB"/>
        </w:rPr>
      </w:pPr>
    </w:p>
    <w:p>
      <w:pPr>
        <w:pStyle w:val="56"/>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56"/>
        <w:widowControl/>
        <w:numPr>
          <w:ilvl w:val="0"/>
          <w:numId w:val="0"/>
        </w:numPr>
        <w:spacing w:line="360" w:lineRule="auto"/>
        <w:ind w:leftChars="0" w:right="84" w:rightChars="4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本表的产品名称、规格型号和注册商标、金额要与《报价明细表》一致。</w:t>
      </w:r>
    </w:p>
    <w:p>
      <w:pPr>
        <w:pStyle w:val="15"/>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投标人：（盖章或CA签章）</w:t>
      </w:r>
    </w:p>
    <w:p>
      <w:pPr>
        <w:tabs>
          <w:tab w:val="left" w:pos="1418"/>
        </w:tabs>
        <w:autoSpaceDE w:val="0"/>
        <w:autoSpaceDN w:val="0"/>
        <w:adjustRightInd w:val="0"/>
        <w:spacing w:line="360" w:lineRule="auto"/>
        <w:ind w:firstLine="480" w:firstLineChars="200"/>
        <w:rPr>
          <w:rFonts w:ascii="宋体"/>
          <w:color w:val="auto"/>
          <w:kern w:val="0"/>
          <w:sz w:val="24"/>
          <w:highlight w:val="none"/>
          <w:lang w:val="en-GB"/>
        </w:rPr>
      </w:pPr>
      <w:r>
        <w:rPr>
          <w:rFonts w:hint="eastAsia" w:ascii="宋体" w:hAnsi="宋体" w:cs="宋体"/>
          <w:color w:val="auto"/>
          <w:sz w:val="24"/>
          <w:highlight w:val="none"/>
        </w:rPr>
        <w:t>日期：</w:t>
      </w:r>
    </w:p>
    <w:p>
      <w:pPr>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br w:type="page"/>
      </w:r>
    </w:p>
    <w:p>
      <w:pPr>
        <w:tabs>
          <w:tab w:val="left" w:pos="1418"/>
        </w:tabs>
        <w:autoSpaceDE w:val="0"/>
        <w:autoSpaceDN w:val="0"/>
        <w:adjustRightInd w:val="0"/>
        <w:spacing w:line="360" w:lineRule="auto"/>
        <w:jc w:val="both"/>
        <w:rPr>
          <w:rFonts w:hint="default"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附件13</w:t>
      </w:r>
    </w:p>
    <w:p>
      <w:pPr>
        <w:tabs>
          <w:tab w:val="left" w:pos="1418"/>
        </w:tabs>
        <w:autoSpaceDE w:val="0"/>
        <w:autoSpaceDN w:val="0"/>
        <w:adjustRightInd w:val="0"/>
        <w:spacing w:line="360" w:lineRule="auto"/>
        <w:jc w:val="center"/>
        <w:rPr>
          <w:rFonts w:hint="eastAsia" w:ascii="宋体" w:hAnsi="宋体" w:eastAsia="宋体" w:cs="Times New Roman"/>
          <w:b w:val="0"/>
          <w:bCs/>
          <w:color w:val="auto"/>
          <w:kern w:val="2"/>
          <w:sz w:val="28"/>
          <w:szCs w:val="28"/>
          <w:highlight w:val="none"/>
          <w:lang w:val="en-US" w:eastAsia="zh-CN" w:bidi="ar-SA"/>
        </w:rPr>
      </w:pPr>
      <w:r>
        <w:rPr>
          <w:rFonts w:hint="eastAsia" w:ascii="宋体" w:hAnsi="宋体" w:eastAsia="宋体" w:cs="Times New Roman"/>
          <w:b w:val="0"/>
          <w:bCs/>
          <w:color w:val="auto"/>
          <w:kern w:val="2"/>
          <w:sz w:val="28"/>
          <w:szCs w:val="28"/>
          <w:highlight w:val="none"/>
          <w:lang w:val="en-US" w:eastAsia="zh-CN" w:bidi="ar-SA"/>
        </w:rPr>
        <w:t>政府采购活动现场确认声明书</w:t>
      </w:r>
    </w:p>
    <w:p>
      <w:pPr>
        <w:tabs>
          <w:tab w:val="left" w:pos="1418"/>
        </w:tabs>
        <w:autoSpaceDE w:val="0"/>
        <w:autoSpaceDN w:val="0"/>
        <w:adjustRightInd w:val="0"/>
        <w:spacing w:line="360" w:lineRule="auto"/>
        <w:rPr>
          <w:rFonts w:hint="eastAsia" w:ascii="宋体" w:hAnsi="宋体" w:eastAsia="宋体" w:cs="Times New Roman"/>
          <w:b/>
          <w:color w:val="auto"/>
          <w:kern w:val="2"/>
          <w:sz w:val="28"/>
          <w:szCs w:val="28"/>
          <w:highlight w:val="none"/>
          <w:lang w:val="en-US" w:eastAsia="zh-CN" w:bidi="ar-SA"/>
        </w:rPr>
      </w:pPr>
    </w:p>
    <w:p>
      <w:pPr>
        <w:pStyle w:val="13"/>
        <w:spacing w:before="1" w:line="240" w:lineRule="auto"/>
        <w:ind w:left="159"/>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台州市建设咨询有限公司 :</w:t>
      </w:r>
    </w:p>
    <w:p>
      <w:pPr>
        <w:pStyle w:val="13"/>
        <w:tabs>
          <w:tab w:val="left" w:pos="2213"/>
          <w:tab w:val="left" w:pos="7529"/>
          <w:tab w:val="left" w:pos="9677"/>
        </w:tabs>
        <w:spacing w:before="176" w:line="240" w:lineRule="auto"/>
        <w:ind w:left="111" w:right="236" w:firstLine="384"/>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rPr>
        <w:tab/>
      </w:r>
      <w:r>
        <w:rPr>
          <w:rFonts w:hint="eastAsia" w:ascii="宋体" w:hAnsi="宋体" w:eastAsia="宋体" w:cs="宋体"/>
          <w:color w:val="auto"/>
          <w:sz w:val="20"/>
          <w:szCs w:val="20"/>
          <w:highlight w:val="none"/>
        </w:rPr>
        <w:t>（授权代表姓名），经由</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rPr>
        <w:tab/>
      </w:r>
      <w:r>
        <w:rPr>
          <w:rFonts w:hint="eastAsia" w:ascii="宋体" w:hAnsi="宋体" w:eastAsia="宋体" w:cs="宋体"/>
          <w:color w:val="auto"/>
          <w:sz w:val="20"/>
          <w:szCs w:val="20"/>
          <w:highlight w:val="none"/>
        </w:rPr>
        <w:t>（单位）</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rPr>
        <w:tab/>
      </w:r>
      <w:r>
        <w:rPr>
          <w:rFonts w:hint="eastAsia" w:ascii="宋体" w:hAnsi="宋体" w:eastAsia="宋体" w:cs="宋体"/>
          <w:color w:val="auto"/>
          <w:sz w:val="20"/>
          <w:szCs w:val="20"/>
          <w:highlight w:val="none"/>
        </w:rPr>
        <w:t>（法定代表人姓名）合法授权参加</w:t>
      </w:r>
      <w:r>
        <w:rPr>
          <w:rFonts w:hint="eastAsia" w:ascii="宋体" w:hAnsi="宋体" w:eastAsia="宋体" w:cs="宋体"/>
          <w:color w:val="auto"/>
          <w:spacing w:val="41"/>
          <w:sz w:val="20"/>
          <w:szCs w:val="20"/>
          <w:highlight w:val="none"/>
          <w:lang w:val="en-US" w:eastAsia="zh-CN"/>
        </w:rPr>
        <w:t xml:space="preserve"> </w:t>
      </w:r>
      <w:r>
        <w:rPr>
          <w:rFonts w:hint="eastAsia" w:ascii="宋体" w:hAnsi="宋体" w:eastAsia="宋体" w:cs="宋体"/>
          <w:color w:val="auto"/>
          <w:spacing w:val="41"/>
          <w:sz w:val="20"/>
          <w:szCs w:val="20"/>
          <w:highlight w:val="none"/>
          <w:u w:val="single"/>
          <w:lang w:val="en-US" w:eastAsia="zh-CN"/>
        </w:rPr>
        <w:t xml:space="preserve">              </w:t>
      </w:r>
      <w:r>
        <w:rPr>
          <w:rFonts w:hint="eastAsia" w:ascii="宋体" w:hAnsi="宋体" w:eastAsia="宋体" w:cs="宋体"/>
          <w:color w:val="auto"/>
          <w:spacing w:val="-27"/>
          <w:sz w:val="20"/>
          <w:szCs w:val="20"/>
          <w:highlight w:val="none"/>
          <w:u w:val="single"/>
        </w:rPr>
        <w:t xml:space="preserve"> </w:t>
      </w:r>
      <w:r>
        <w:rPr>
          <w:rFonts w:hint="eastAsia" w:ascii="宋体" w:hAnsi="宋体" w:eastAsia="宋体" w:cs="宋体"/>
          <w:color w:val="auto"/>
          <w:sz w:val="20"/>
          <w:szCs w:val="20"/>
          <w:highlight w:val="none"/>
        </w:rPr>
        <w:t>（编号：</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z w:val="20"/>
          <w:szCs w:val="20"/>
          <w:highlight w:val="none"/>
        </w:rPr>
        <w:t>）政府采购活动．经与本单位法人代表（负责人）联系确认，现就有关公平竞争事项郑重声明如下:</w:t>
      </w:r>
    </w:p>
    <w:p>
      <w:pPr>
        <w:pStyle w:val="13"/>
        <w:spacing w:line="240" w:lineRule="auto"/>
        <w:ind w:left="4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一、本单位与采购人之间口不存在利害关系口存在下列利害关系:</w:t>
      </w:r>
    </w:p>
    <w:p>
      <w:pPr>
        <w:pStyle w:val="13"/>
        <w:tabs>
          <w:tab w:val="left" w:pos="1903"/>
          <w:tab w:val="left" w:pos="3696"/>
        </w:tabs>
        <w:spacing w:before="177" w:line="240" w:lineRule="auto"/>
        <w:ind w:left="4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A．投资关系</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B．行政隶属关系</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C．业务指导关系</w:t>
      </w:r>
    </w:p>
    <w:p>
      <w:pPr>
        <w:pStyle w:val="13"/>
        <w:spacing w:before="177" w:line="240" w:lineRule="auto"/>
        <w:ind w:left="4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D．其他可能影响采购公正的利害关系（如有，请如实说明）。</w:t>
      </w:r>
    </w:p>
    <w:p>
      <w:pPr>
        <w:pStyle w:val="13"/>
        <w:tabs>
          <w:tab w:val="left" w:pos="1797"/>
        </w:tabs>
        <w:spacing w:before="177" w:line="240" w:lineRule="auto"/>
        <w:ind w:left="111" w:right="98" w:firstLine="38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二、现己清楚知道参加本项目采购活动的其他所有供应商名称，本单位</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z w:val="20"/>
          <w:szCs w:val="20"/>
          <w:highlight w:val="none"/>
        </w:rPr>
        <w:t>口与其他所有供应商之间均不存在利害关系</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17"/>
          <w:sz w:val="20"/>
          <w:szCs w:val="20"/>
          <w:highlight w:val="none"/>
        </w:rPr>
        <w:t>口</w:t>
      </w:r>
      <w:r>
        <w:rPr>
          <w:rFonts w:hint="eastAsia" w:ascii="宋体" w:hAnsi="宋体" w:eastAsia="宋体" w:cs="宋体"/>
          <w:color w:val="auto"/>
          <w:sz w:val="20"/>
          <w:szCs w:val="20"/>
          <w:highlight w:val="none"/>
        </w:rPr>
        <w:t>与</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rPr>
        <w:tab/>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（供应商名称）之间存在下列利害关系: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A．法定代表人或负责人或实际控制人是同一人</w:t>
      </w:r>
    </w:p>
    <w:p>
      <w:pPr>
        <w:pStyle w:val="13"/>
        <w:keepNext w:val="0"/>
        <w:keepLines w:val="0"/>
        <w:pageBreakBefore w:val="0"/>
        <w:widowControl w:val="0"/>
        <w:kinsoku/>
        <w:wordWrap/>
        <w:overflowPunct/>
        <w:topLinePunct w:val="0"/>
        <w:autoSpaceDE/>
        <w:autoSpaceDN/>
        <w:bidi w:val="0"/>
        <w:adjustRightInd/>
        <w:snapToGrid/>
        <w:spacing w:line="360" w:lineRule="auto"/>
        <w:ind w:left="495" w:right="567"/>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B．法定代表人或负责人或实际控制人是夫妻关系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C.</w:t>
      </w:r>
      <w:r>
        <w:rPr>
          <w:rFonts w:hint="eastAsia" w:ascii="宋体" w:hAnsi="宋体" w:eastAsia="宋体" w:cs="宋体"/>
          <w:color w:val="auto"/>
          <w:sz w:val="20"/>
          <w:szCs w:val="20"/>
          <w:highlight w:val="none"/>
        </w:rPr>
        <w:t>法定代表人或负责人或实际控制人是直系血亲关系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D.</w:t>
      </w:r>
      <w:r>
        <w:rPr>
          <w:rFonts w:hint="eastAsia" w:ascii="宋体" w:hAnsi="宋体" w:eastAsia="宋体" w:cs="宋体"/>
          <w:color w:val="auto"/>
          <w:sz w:val="20"/>
          <w:szCs w:val="20"/>
          <w:highlight w:val="none"/>
        </w:rPr>
        <w:t>法定代表人或负责人或实际控制人存在三代以内旁系血亲关系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E．法定代表人或负责人或实际控制人存在近姻亲关系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F.</w:t>
      </w:r>
      <w:r>
        <w:rPr>
          <w:rFonts w:hint="eastAsia" w:ascii="宋体" w:hAnsi="宋体" w:eastAsia="宋体" w:cs="宋体"/>
          <w:color w:val="auto"/>
          <w:sz w:val="20"/>
          <w:szCs w:val="20"/>
          <w:highlight w:val="none"/>
        </w:rPr>
        <w:t>法定代表人或负责人或实际控制人存在股份控制或实际控制关系</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G投资设立子公司、联营企业和合营企业情况</w:t>
      </w:r>
    </w:p>
    <w:p>
      <w:pPr>
        <w:pStyle w:val="13"/>
        <w:keepNext w:val="0"/>
        <w:keepLines w:val="0"/>
        <w:pageBreakBefore w:val="0"/>
        <w:widowControl w:val="0"/>
        <w:kinsoku/>
        <w:wordWrap/>
        <w:overflowPunct/>
        <w:topLinePunct w:val="0"/>
        <w:autoSpaceDE/>
        <w:autoSpaceDN/>
        <w:bidi w:val="0"/>
        <w:adjustRightInd/>
        <w:snapToGrid/>
        <w:spacing w:line="360" w:lineRule="auto"/>
        <w:ind w:left="493" w:right="567"/>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r>
        <w:rPr>
          <w:rFonts w:hint="eastAsia" w:ascii="宋体" w:hAnsi="宋体" w:eastAsia="宋体" w:cs="宋体"/>
          <w:color w:val="auto"/>
          <w:sz w:val="20"/>
          <w:szCs w:val="20"/>
          <w:highlight w:val="none"/>
        </w:rPr>
        <w:t>存在分级代理或代销关系、同一生产制造商关系、管理关系、重要业务（占主营业务收入 50 ％以上）或重要财务往来关系（如融资）等其他实质性控制关系</w:t>
      </w:r>
    </w:p>
    <w:p>
      <w:pPr>
        <w:pStyle w:val="44"/>
        <w:numPr>
          <w:ilvl w:val="0"/>
          <w:numId w:val="0"/>
        </w:numPr>
        <w:tabs>
          <w:tab w:val="left" w:pos="742"/>
          <w:tab w:val="left" w:pos="6600"/>
        </w:tabs>
        <w:spacing w:before="0" w:after="0" w:line="360" w:lineRule="auto"/>
        <w:ind w:leftChars="200" w:right="3705" w:rightChars="0"/>
        <w:jc w:val="left"/>
        <w:rPr>
          <w:rFonts w:hint="eastAsia" w:ascii="宋体" w:hAnsi="宋体" w:eastAsia="宋体" w:cs="宋体"/>
          <w:color w:val="auto"/>
          <w:spacing w:val="-18"/>
          <w:sz w:val="20"/>
          <w:szCs w:val="20"/>
          <w:highlight w:val="none"/>
        </w:rPr>
      </w:pPr>
      <w:r>
        <w:rPr>
          <w:rFonts w:hint="eastAsia" w:ascii="宋体" w:hAnsi="宋体" w:eastAsia="宋体" w:cs="宋体"/>
          <w:color w:val="auto"/>
          <w:kern w:val="2"/>
          <w:sz w:val="20"/>
          <w:szCs w:val="20"/>
          <w:highlight w:val="none"/>
          <w:lang w:val="en-US" w:eastAsia="zh-CN" w:bidi="ar-SA"/>
        </w:rPr>
        <w:t xml:space="preserve">I.其他利害关系情况 </w:t>
      </w:r>
      <w:r>
        <w:rPr>
          <w:rFonts w:hint="eastAsia" w:ascii="宋体" w:hAnsi="宋体" w:eastAsia="宋体" w:cs="宋体"/>
          <w:color w:val="auto"/>
          <w:sz w:val="20"/>
          <w:szCs w:val="20"/>
          <w:highlight w:val="none"/>
          <w:u w:val="single"/>
        </w:rPr>
        <w:tab/>
      </w:r>
      <w:r>
        <w:rPr>
          <w:rFonts w:hint="eastAsia" w:ascii="宋体" w:hAnsi="宋体" w:eastAsia="宋体" w:cs="宋体"/>
          <w:color w:val="auto"/>
          <w:spacing w:val="-18"/>
          <w:sz w:val="20"/>
          <w:szCs w:val="20"/>
          <w:highlight w:val="none"/>
        </w:rPr>
        <w:t>。</w:t>
      </w:r>
    </w:p>
    <w:p>
      <w:pPr>
        <w:pStyle w:val="44"/>
        <w:numPr>
          <w:ilvl w:val="0"/>
          <w:numId w:val="0"/>
        </w:numPr>
        <w:tabs>
          <w:tab w:val="left" w:pos="742"/>
          <w:tab w:val="left" w:pos="6600"/>
        </w:tabs>
        <w:spacing w:before="0" w:after="0" w:line="360" w:lineRule="auto"/>
        <w:ind w:leftChars="200" w:right="3705" w:right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三、现己清楚知道并严格遵守政府采购法律法规和现场纪律。</w:t>
      </w:r>
    </w:p>
    <w:p>
      <w:pPr>
        <w:pStyle w:val="13"/>
        <w:tabs>
          <w:tab w:val="left" w:pos="3643"/>
          <w:tab w:val="left" w:pos="8436"/>
        </w:tabs>
        <w:spacing w:line="360" w:lineRule="auto"/>
        <w:ind w:left="49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四、我发现</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供应商之间存在或可能存在上述第二条第</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项利害关系。</w:t>
      </w:r>
    </w:p>
    <w:p>
      <w:pPr>
        <w:pStyle w:val="13"/>
        <w:rPr>
          <w:rFonts w:hint="eastAsia" w:ascii="宋体" w:hAnsi="宋体" w:eastAsia="宋体" w:cs="宋体"/>
          <w:color w:val="auto"/>
          <w:sz w:val="18"/>
          <w:szCs w:val="18"/>
          <w:highlight w:val="none"/>
        </w:rPr>
      </w:pPr>
    </w:p>
    <w:p>
      <w:pPr>
        <w:pStyle w:val="13"/>
        <w:tabs>
          <w:tab w:val="left" w:pos="3643"/>
          <w:tab w:val="left" w:pos="8436"/>
        </w:tabs>
        <w:spacing w:line="360" w:lineRule="auto"/>
        <w:ind w:left="495"/>
        <w:jc w:val="righ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(供应商代表签名)</w:t>
      </w:r>
    </w:p>
    <w:p>
      <w:pPr>
        <w:pStyle w:val="13"/>
        <w:tabs>
          <w:tab w:val="left" w:pos="3643"/>
          <w:tab w:val="left" w:pos="8436"/>
        </w:tabs>
        <w:spacing w:line="360" w:lineRule="auto"/>
        <w:ind w:left="495"/>
        <w:jc w:val="righ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2021年  月  日</w:t>
      </w:r>
    </w:p>
    <w:p>
      <w:pPr>
        <w:pStyle w:val="13"/>
        <w:tabs>
          <w:tab w:val="left" w:pos="3643"/>
          <w:tab w:val="left" w:pos="8436"/>
        </w:tabs>
        <w:spacing w:line="360" w:lineRule="auto"/>
        <w:ind w:left="495"/>
        <w:jc w:val="right"/>
        <w:rPr>
          <w:rFonts w:hint="eastAsia" w:ascii="宋体" w:hAnsi="宋体" w:eastAsia="宋体" w:cs="宋体"/>
          <w:color w:val="auto"/>
          <w:sz w:val="20"/>
          <w:szCs w:val="2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BB3E196E"/>
    <w:multiLevelType w:val="multilevel"/>
    <w:tmpl w:val="BB3E196E"/>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E8F8418B"/>
    <w:multiLevelType w:val="singleLevel"/>
    <w:tmpl w:val="E8F8418B"/>
    <w:lvl w:ilvl="0" w:tentative="0">
      <w:start w:val="1"/>
      <w:numFmt w:val="decimal"/>
      <w:lvlText w:val="%1."/>
      <w:lvlJc w:val="left"/>
      <w:pPr>
        <w:tabs>
          <w:tab w:val="left" w:pos="312"/>
        </w:tabs>
      </w:pPr>
    </w:lvl>
  </w:abstractNum>
  <w:abstractNum w:abstractNumId="6">
    <w:nsid w:val="FFF7C4D5"/>
    <w:multiLevelType w:val="singleLevel"/>
    <w:tmpl w:val="FFF7C4D5"/>
    <w:lvl w:ilvl="0" w:tentative="0">
      <w:start w:val="1"/>
      <w:numFmt w:val="decimal"/>
      <w:suff w:val="nothing"/>
      <w:lvlText w:val="%1）"/>
      <w:lvlJc w:val="left"/>
    </w:lvl>
  </w:abstractNum>
  <w:abstractNum w:abstractNumId="7">
    <w:nsid w:val="00000004"/>
    <w:multiLevelType w:val="multilevel"/>
    <w:tmpl w:val="0000000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F5AEFE"/>
    <w:multiLevelType w:val="singleLevel"/>
    <w:tmpl w:val="00F5AEFE"/>
    <w:lvl w:ilvl="0" w:tentative="0">
      <w:start w:val="2"/>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1">
    <w:nsid w:val="60C87D52"/>
    <w:multiLevelType w:val="singleLevel"/>
    <w:tmpl w:val="60C87D52"/>
    <w:lvl w:ilvl="0" w:tentative="0">
      <w:start w:val="2"/>
      <w:numFmt w:val="decimal"/>
      <w:suff w:val="nothing"/>
      <w:lvlText w:val="（%1）"/>
      <w:lvlJc w:val="left"/>
    </w:lvl>
  </w:abstractNum>
  <w:abstractNum w:abstractNumId="12">
    <w:nsid w:val="61B1E561"/>
    <w:multiLevelType w:val="singleLevel"/>
    <w:tmpl w:val="61B1E561"/>
    <w:lvl w:ilvl="0" w:tentative="0">
      <w:start w:val="1"/>
      <w:numFmt w:val="decimal"/>
      <w:suff w:val="nothing"/>
      <w:lvlText w:val="%1）"/>
      <w:lvlJc w:val="left"/>
    </w:lvl>
  </w:abstractNum>
  <w:abstractNum w:abstractNumId="13">
    <w:nsid w:val="71989513"/>
    <w:multiLevelType w:val="singleLevel"/>
    <w:tmpl w:val="71989513"/>
    <w:lvl w:ilvl="0" w:tentative="0">
      <w:start w:val="1"/>
      <w:numFmt w:val="decimal"/>
      <w:suff w:val="nothing"/>
      <w:lvlText w:val="%1）"/>
      <w:lvlJc w:val="left"/>
    </w:lvl>
  </w:abstractNum>
  <w:num w:numId="1">
    <w:abstractNumId w:val="1"/>
  </w:num>
  <w:num w:numId="2">
    <w:abstractNumId w:val="10"/>
  </w:num>
  <w:num w:numId="3">
    <w:abstractNumId w:val="9"/>
  </w:num>
  <w:num w:numId="4">
    <w:abstractNumId w:val="2"/>
  </w:num>
  <w:num w:numId="5">
    <w:abstractNumId w:val="4"/>
  </w:num>
  <w:num w:numId="6">
    <w:abstractNumId w:val="8"/>
  </w:num>
  <w:num w:numId="7">
    <w:abstractNumId w:val="12"/>
  </w:num>
  <w:num w:numId="8">
    <w:abstractNumId w:val="13"/>
  </w:num>
  <w:num w:numId="9">
    <w:abstractNumId w:val="5"/>
  </w:num>
  <w:num w:numId="10">
    <w:abstractNumId w:val="7"/>
  </w:num>
  <w:num w:numId="11">
    <w:abstractNumId w:val="11"/>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00A1F"/>
    <w:rsid w:val="000012EE"/>
    <w:rsid w:val="00002B91"/>
    <w:rsid w:val="00004407"/>
    <w:rsid w:val="000179A6"/>
    <w:rsid w:val="00020E90"/>
    <w:rsid w:val="000324EE"/>
    <w:rsid w:val="00033938"/>
    <w:rsid w:val="00034A5D"/>
    <w:rsid w:val="0003792E"/>
    <w:rsid w:val="00037D40"/>
    <w:rsid w:val="0004278A"/>
    <w:rsid w:val="00054DFA"/>
    <w:rsid w:val="00055A66"/>
    <w:rsid w:val="0006294D"/>
    <w:rsid w:val="00062AB3"/>
    <w:rsid w:val="00063A0C"/>
    <w:rsid w:val="00065C59"/>
    <w:rsid w:val="00076D31"/>
    <w:rsid w:val="00081D5D"/>
    <w:rsid w:val="000860EE"/>
    <w:rsid w:val="000975EF"/>
    <w:rsid w:val="000A2F82"/>
    <w:rsid w:val="000B121B"/>
    <w:rsid w:val="000D0A82"/>
    <w:rsid w:val="000D2FA7"/>
    <w:rsid w:val="000D742E"/>
    <w:rsid w:val="000E57DA"/>
    <w:rsid w:val="000E6703"/>
    <w:rsid w:val="00107BF6"/>
    <w:rsid w:val="001101D9"/>
    <w:rsid w:val="00117E9B"/>
    <w:rsid w:val="001271B9"/>
    <w:rsid w:val="00131F54"/>
    <w:rsid w:val="00165F2A"/>
    <w:rsid w:val="00180F2C"/>
    <w:rsid w:val="001845AB"/>
    <w:rsid w:val="00184FFD"/>
    <w:rsid w:val="001A4CFB"/>
    <w:rsid w:val="001A5F7E"/>
    <w:rsid w:val="001D2294"/>
    <w:rsid w:val="001F591C"/>
    <w:rsid w:val="001F7B03"/>
    <w:rsid w:val="00201D62"/>
    <w:rsid w:val="002107B6"/>
    <w:rsid w:val="00210A46"/>
    <w:rsid w:val="0021318F"/>
    <w:rsid w:val="00213A85"/>
    <w:rsid w:val="00214B69"/>
    <w:rsid w:val="00216708"/>
    <w:rsid w:val="00221F01"/>
    <w:rsid w:val="0024785A"/>
    <w:rsid w:val="00252867"/>
    <w:rsid w:val="002622FF"/>
    <w:rsid w:val="0026707C"/>
    <w:rsid w:val="00272065"/>
    <w:rsid w:val="0027310E"/>
    <w:rsid w:val="00273FDD"/>
    <w:rsid w:val="00285293"/>
    <w:rsid w:val="00287053"/>
    <w:rsid w:val="00297EEF"/>
    <w:rsid w:val="002A1620"/>
    <w:rsid w:val="002B1184"/>
    <w:rsid w:val="002B1EB9"/>
    <w:rsid w:val="002C60A1"/>
    <w:rsid w:val="002D01AA"/>
    <w:rsid w:val="002F4191"/>
    <w:rsid w:val="00306BFC"/>
    <w:rsid w:val="003102FB"/>
    <w:rsid w:val="0031338C"/>
    <w:rsid w:val="003166FE"/>
    <w:rsid w:val="0033170B"/>
    <w:rsid w:val="00331F05"/>
    <w:rsid w:val="00332E30"/>
    <w:rsid w:val="003451F4"/>
    <w:rsid w:val="00356DC0"/>
    <w:rsid w:val="00377A88"/>
    <w:rsid w:val="00384E5C"/>
    <w:rsid w:val="00387302"/>
    <w:rsid w:val="003944D3"/>
    <w:rsid w:val="003A2D6C"/>
    <w:rsid w:val="003A66B4"/>
    <w:rsid w:val="003C3087"/>
    <w:rsid w:val="003C5E00"/>
    <w:rsid w:val="003D5072"/>
    <w:rsid w:val="003D539D"/>
    <w:rsid w:val="003E21D2"/>
    <w:rsid w:val="003F11E6"/>
    <w:rsid w:val="003F595C"/>
    <w:rsid w:val="003F723C"/>
    <w:rsid w:val="003F78E0"/>
    <w:rsid w:val="004153B8"/>
    <w:rsid w:val="00423623"/>
    <w:rsid w:val="00432077"/>
    <w:rsid w:val="00441FAE"/>
    <w:rsid w:val="00442C98"/>
    <w:rsid w:val="00446CEF"/>
    <w:rsid w:val="00460C1E"/>
    <w:rsid w:val="004610FC"/>
    <w:rsid w:val="0046588B"/>
    <w:rsid w:val="00472B66"/>
    <w:rsid w:val="00474D5F"/>
    <w:rsid w:val="00484610"/>
    <w:rsid w:val="00491BDF"/>
    <w:rsid w:val="00495885"/>
    <w:rsid w:val="004A2700"/>
    <w:rsid w:val="004A4AAB"/>
    <w:rsid w:val="004A6896"/>
    <w:rsid w:val="004B38BE"/>
    <w:rsid w:val="004B4165"/>
    <w:rsid w:val="004C13DF"/>
    <w:rsid w:val="004E1E28"/>
    <w:rsid w:val="004E2AA9"/>
    <w:rsid w:val="004E32A5"/>
    <w:rsid w:val="004F0C47"/>
    <w:rsid w:val="004F252C"/>
    <w:rsid w:val="004F4484"/>
    <w:rsid w:val="004F55B1"/>
    <w:rsid w:val="00503ED5"/>
    <w:rsid w:val="0050703E"/>
    <w:rsid w:val="005259DF"/>
    <w:rsid w:val="0052783C"/>
    <w:rsid w:val="005307B2"/>
    <w:rsid w:val="00531C72"/>
    <w:rsid w:val="00546CBC"/>
    <w:rsid w:val="00547DA9"/>
    <w:rsid w:val="00554B41"/>
    <w:rsid w:val="005576EA"/>
    <w:rsid w:val="00565754"/>
    <w:rsid w:val="005B5E5F"/>
    <w:rsid w:val="005D077B"/>
    <w:rsid w:val="005D091B"/>
    <w:rsid w:val="005D3C85"/>
    <w:rsid w:val="005E2B1F"/>
    <w:rsid w:val="005F3941"/>
    <w:rsid w:val="00616E31"/>
    <w:rsid w:val="0062552F"/>
    <w:rsid w:val="00635533"/>
    <w:rsid w:val="0064240B"/>
    <w:rsid w:val="00653ACD"/>
    <w:rsid w:val="006545CE"/>
    <w:rsid w:val="00655E3C"/>
    <w:rsid w:val="00664258"/>
    <w:rsid w:val="0066667C"/>
    <w:rsid w:val="00674C42"/>
    <w:rsid w:val="006774B4"/>
    <w:rsid w:val="00677C02"/>
    <w:rsid w:val="00693638"/>
    <w:rsid w:val="006A58CA"/>
    <w:rsid w:val="006B631C"/>
    <w:rsid w:val="006C2CB3"/>
    <w:rsid w:val="006C44D8"/>
    <w:rsid w:val="006C4FA8"/>
    <w:rsid w:val="006D1134"/>
    <w:rsid w:val="006D3852"/>
    <w:rsid w:val="006D77EB"/>
    <w:rsid w:val="006E04A5"/>
    <w:rsid w:val="006F4DFE"/>
    <w:rsid w:val="006F6A03"/>
    <w:rsid w:val="006F7852"/>
    <w:rsid w:val="007029EF"/>
    <w:rsid w:val="00716B82"/>
    <w:rsid w:val="0072140C"/>
    <w:rsid w:val="007319D9"/>
    <w:rsid w:val="00745D9F"/>
    <w:rsid w:val="007621E0"/>
    <w:rsid w:val="00791440"/>
    <w:rsid w:val="007A1062"/>
    <w:rsid w:val="007A2629"/>
    <w:rsid w:val="007B2E48"/>
    <w:rsid w:val="007C1005"/>
    <w:rsid w:val="007C1F92"/>
    <w:rsid w:val="007F25B7"/>
    <w:rsid w:val="007F4C4D"/>
    <w:rsid w:val="00802325"/>
    <w:rsid w:val="008124FD"/>
    <w:rsid w:val="0081782E"/>
    <w:rsid w:val="00820E0C"/>
    <w:rsid w:val="00834715"/>
    <w:rsid w:val="00836212"/>
    <w:rsid w:val="008379C8"/>
    <w:rsid w:val="00843D2E"/>
    <w:rsid w:val="00847BE5"/>
    <w:rsid w:val="00867908"/>
    <w:rsid w:val="00873045"/>
    <w:rsid w:val="0088066B"/>
    <w:rsid w:val="00893240"/>
    <w:rsid w:val="008962E7"/>
    <w:rsid w:val="008966EE"/>
    <w:rsid w:val="008A5CD2"/>
    <w:rsid w:val="008A6B8A"/>
    <w:rsid w:val="008C12A7"/>
    <w:rsid w:val="008D0189"/>
    <w:rsid w:val="008E040E"/>
    <w:rsid w:val="00901C1A"/>
    <w:rsid w:val="00912983"/>
    <w:rsid w:val="00912B5A"/>
    <w:rsid w:val="00923F81"/>
    <w:rsid w:val="0094125C"/>
    <w:rsid w:val="00945123"/>
    <w:rsid w:val="00984085"/>
    <w:rsid w:val="00985036"/>
    <w:rsid w:val="00986698"/>
    <w:rsid w:val="00993836"/>
    <w:rsid w:val="009A0DB9"/>
    <w:rsid w:val="009B3E22"/>
    <w:rsid w:val="009B5342"/>
    <w:rsid w:val="009B65CE"/>
    <w:rsid w:val="009B79BC"/>
    <w:rsid w:val="009C0219"/>
    <w:rsid w:val="009C65B2"/>
    <w:rsid w:val="009E7BE7"/>
    <w:rsid w:val="009F0A52"/>
    <w:rsid w:val="009F3459"/>
    <w:rsid w:val="00A01FC4"/>
    <w:rsid w:val="00A030FD"/>
    <w:rsid w:val="00A1276F"/>
    <w:rsid w:val="00A15388"/>
    <w:rsid w:val="00A17C2A"/>
    <w:rsid w:val="00A30B75"/>
    <w:rsid w:val="00A45775"/>
    <w:rsid w:val="00A63C73"/>
    <w:rsid w:val="00A6421B"/>
    <w:rsid w:val="00A643F5"/>
    <w:rsid w:val="00A730CA"/>
    <w:rsid w:val="00A81F26"/>
    <w:rsid w:val="00A934F6"/>
    <w:rsid w:val="00A942FA"/>
    <w:rsid w:val="00AA77BB"/>
    <w:rsid w:val="00AB0780"/>
    <w:rsid w:val="00AB5BD7"/>
    <w:rsid w:val="00AC4DC2"/>
    <w:rsid w:val="00AC602B"/>
    <w:rsid w:val="00AD670C"/>
    <w:rsid w:val="00AD797E"/>
    <w:rsid w:val="00B05B5A"/>
    <w:rsid w:val="00B31221"/>
    <w:rsid w:val="00B323E3"/>
    <w:rsid w:val="00B45AA3"/>
    <w:rsid w:val="00B4751C"/>
    <w:rsid w:val="00B50A84"/>
    <w:rsid w:val="00B569F5"/>
    <w:rsid w:val="00B63877"/>
    <w:rsid w:val="00B92443"/>
    <w:rsid w:val="00BA63AC"/>
    <w:rsid w:val="00BB1762"/>
    <w:rsid w:val="00BB245E"/>
    <w:rsid w:val="00BD5108"/>
    <w:rsid w:val="00BD591A"/>
    <w:rsid w:val="00BD6AD7"/>
    <w:rsid w:val="00BF3315"/>
    <w:rsid w:val="00C117CC"/>
    <w:rsid w:val="00C2435C"/>
    <w:rsid w:val="00C33BF9"/>
    <w:rsid w:val="00C422FA"/>
    <w:rsid w:val="00C50152"/>
    <w:rsid w:val="00C50C5D"/>
    <w:rsid w:val="00C52E14"/>
    <w:rsid w:val="00C56652"/>
    <w:rsid w:val="00C738ED"/>
    <w:rsid w:val="00C767D4"/>
    <w:rsid w:val="00C930A1"/>
    <w:rsid w:val="00C94719"/>
    <w:rsid w:val="00CB2C5C"/>
    <w:rsid w:val="00CB78AC"/>
    <w:rsid w:val="00CC009A"/>
    <w:rsid w:val="00CC232E"/>
    <w:rsid w:val="00CC5D06"/>
    <w:rsid w:val="00CC69F5"/>
    <w:rsid w:val="00CD1804"/>
    <w:rsid w:val="00CD47BA"/>
    <w:rsid w:val="00CE1F1D"/>
    <w:rsid w:val="00CF0883"/>
    <w:rsid w:val="00CF3E88"/>
    <w:rsid w:val="00CF5F65"/>
    <w:rsid w:val="00D00953"/>
    <w:rsid w:val="00D05438"/>
    <w:rsid w:val="00D15657"/>
    <w:rsid w:val="00D15E7E"/>
    <w:rsid w:val="00D73530"/>
    <w:rsid w:val="00D73C23"/>
    <w:rsid w:val="00D81DEA"/>
    <w:rsid w:val="00D82544"/>
    <w:rsid w:val="00D82E2D"/>
    <w:rsid w:val="00D91FF6"/>
    <w:rsid w:val="00D93227"/>
    <w:rsid w:val="00DA69C6"/>
    <w:rsid w:val="00DB43BB"/>
    <w:rsid w:val="00DB5CF0"/>
    <w:rsid w:val="00DE4DA0"/>
    <w:rsid w:val="00DE651D"/>
    <w:rsid w:val="00DF0AC9"/>
    <w:rsid w:val="00DF75A0"/>
    <w:rsid w:val="00DF7827"/>
    <w:rsid w:val="00E10555"/>
    <w:rsid w:val="00E11093"/>
    <w:rsid w:val="00E1554C"/>
    <w:rsid w:val="00E319E7"/>
    <w:rsid w:val="00E40A83"/>
    <w:rsid w:val="00E55978"/>
    <w:rsid w:val="00E64767"/>
    <w:rsid w:val="00E77804"/>
    <w:rsid w:val="00E936F8"/>
    <w:rsid w:val="00E96871"/>
    <w:rsid w:val="00EB4631"/>
    <w:rsid w:val="00ED0E77"/>
    <w:rsid w:val="00ED362A"/>
    <w:rsid w:val="00EF2797"/>
    <w:rsid w:val="00EF50B7"/>
    <w:rsid w:val="00F0010A"/>
    <w:rsid w:val="00F019AD"/>
    <w:rsid w:val="00F10BC1"/>
    <w:rsid w:val="00F127FF"/>
    <w:rsid w:val="00F1535C"/>
    <w:rsid w:val="00F24C9C"/>
    <w:rsid w:val="00F44969"/>
    <w:rsid w:val="00F52EC8"/>
    <w:rsid w:val="00F65B3D"/>
    <w:rsid w:val="00F7133B"/>
    <w:rsid w:val="00F71D82"/>
    <w:rsid w:val="00F76FC7"/>
    <w:rsid w:val="00FA509A"/>
    <w:rsid w:val="00FB283E"/>
    <w:rsid w:val="00FB35A2"/>
    <w:rsid w:val="00FC3306"/>
    <w:rsid w:val="00FD384F"/>
    <w:rsid w:val="01935887"/>
    <w:rsid w:val="02256940"/>
    <w:rsid w:val="0250367B"/>
    <w:rsid w:val="0363750F"/>
    <w:rsid w:val="03A334A9"/>
    <w:rsid w:val="043B3024"/>
    <w:rsid w:val="045C0714"/>
    <w:rsid w:val="04CC341D"/>
    <w:rsid w:val="05077E24"/>
    <w:rsid w:val="05137CD7"/>
    <w:rsid w:val="05517FCF"/>
    <w:rsid w:val="060B26E0"/>
    <w:rsid w:val="06686B14"/>
    <w:rsid w:val="06C93960"/>
    <w:rsid w:val="06D36F6C"/>
    <w:rsid w:val="06ED0FF5"/>
    <w:rsid w:val="071404EE"/>
    <w:rsid w:val="07A22A39"/>
    <w:rsid w:val="07AB0CDF"/>
    <w:rsid w:val="07AF68DC"/>
    <w:rsid w:val="0A677B1C"/>
    <w:rsid w:val="0B0C18AD"/>
    <w:rsid w:val="0C1E2BA0"/>
    <w:rsid w:val="0C765CB2"/>
    <w:rsid w:val="0D6D48AD"/>
    <w:rsid w:val="0E8D017F"/>
    <w:rsid w:val="0E970358"/>
    <w:rsid w:val="0EF27B91"/>
    <w:rsid w:val="0F1113D0"/>
    <w:rsid w:val="10392EAE"/>
    <w:rsid w:val="10706EC2"/>
    <w:rsid w:val="1076416E"/>
    <w:rsid w:val="108439AD"/>
    <w:rsid w:val="109020D1"/>
    <w:rsid w:val="10D30C71"/>
    <w:rsid w:val="11392026"/>
    <w:rsid w:val="12807280"/>
    <w:rsid w:val="13EC13CC"/>
    <w:rsid w:val="148463E6"/>
    <w:rsid w:val="14D20D9B"/>
    <w:rsid w:val="15A72BED"/>
    <w:rsid w:val="1621170E"/>
    <w:rsid w:val="16975DFB"/>
    <w:rsid w:val="189612F2"/>
    <w:rsid w:val="18B91D2B"/>
    <w:rsid w:val="18C40414"/>
    <w:rsid w:val="18D54C5C"/>
    <w:rsid w:val="18F577AF"/>
    <w:rsid w:val="191F289E"/>
    <w:rsid w:val="198022D7"/>
    <w:rsid w:val="1A6A6D44"/>
    <w:rsid w:val="1A817123"/>
    <w:rsid w:val="1AD65D47"/>
    <w:rsid w:val="1B28286D"/>
    <w:rsid w:val="1B65613C"/>
    <w:rsid w:val="1C093ECB"/>
    <w:rsid w:val="1C314498"/>
    <w:rsid w:val="1C4B7544"/>
    <w:rsid w:val="1CA932E8"/>
    <w:rsid w:val="1CE4433A"/>
    <w:rsid w:val="1D33169F"/>
    <w:rsid w:val="1D841AD6"/>
    <w:rsid w:val="1DC53ABB"/>
    <w:rsid w:val="1EDA4E1E"/>
    <w:rsid w:val="1EE84AA8"/>
    <w:rsid w:val="1F033A97"/>
    <w:rsid w:val="1FC23053"/>
    <w:rsid w:val="202B48C4"/>
    <w:rsid w:val="21B428F4"/>
    <w:rsid w:val="228447E5"/>
    <w:rsid w:val="23424F53"/>
    <w:rsid w:val="236E14E2"/>
    <w:rsid w:val="23FF5D06"/>
    <w:rsid w:val="247B37F2"/>
    <w:rsid w:val="24FF3353"/>
    <w:rsid w:val="251C7851"/>
    <w:rsid w:val="260D1CE9"/>
    <w:rsid w:val="26686892"/>
    <w:rsid w:val="26AB0660"/>
    <w:rsid w:val="26BA78BC"/>
    <w:rsid w:val="26ED71EB"/>
    <w:rsid w:val="29440126"/>
    <w:rsid w:val="29D148D0"/>
    <w:rsid w:val="29F14B1F"/>
    <w:rsid w:val="2AC803DC"/>
    <w:rsid w:val="2ADA66CC"/>
    <w:rsid w:val="2B6B5A1D"/>
    <w:rsid w:val="2E624CCD"/>
    <w:rsid w:val="2E8E6247"/>
    <w:rsid w:val="2F6205CA"/>
    <w:rsid w:val="30143D85"/>
    <w:rsid w:val="304D0C50"/>
    <w:rsid w:val="31752B09"/>
    <w:rsid w:val="31996F5E"/>
    <w:rsid w:val="31B809C3"/>
    <w:rsid w:val="32571F4D"/>
    <w:rsid w:val="32592D73"/>
    <w:rsid w:val="326558F8"/>
    <w:rsid w:val="32E16A42"/>
    <w:rsid w:val="341548E3"/>
    <w:rsid w:val="36B26322"/>
    <w:rsid w:val="373D7CF5"/>
    <w:rsid w:val="37712A39"/>
    <w:rsid w:val="377C16DD"/>
    <w:rsid w:val="37F74231"/>
    <w:rsid w:val="38687FEC"/>
    <w:rsid w:val="388268B5"/>
    <w:rsid w:val="3A110CC0"/>
    <w:rsid w:val="3AE50133"/>
    <w:rsid w:val="3B345EA5"/>
    <w:rsid w:val="3BC7163B"/>
    <w:rsid w:val="3C0C5CC4"/>
    <w:rsid w:val="3D0B56F6"/>
    <w:rsid w:val="3D6E1335"/>
    <w:rsid w:val="3DB531EC"/>
    <w:rsid w:val="3E4E07E0"/>
    <w:rsid w:val="3E9C16ED"/>
    <w:rsid w:val="4015549D"/>
    <w:rsid w:val="421E35AB"/>
    <w:rsid w:val="43036342"/>
    <w:rsid w:val="44E965E4"/>
    <w:rsid w:val="44FA5D99"/>
    <w:rsid w:val="4563730C"/>
    <w:rsid w:val="480A5722"/>
    <w:rsid w:val="480D1A37"/>
    <w:rsid w:val="48694FA0"/>
    <w:rsid w:val="488E768B"/>
    <w:rsid w:val="495C0149"/>
    <w:rsid w:val="49D22586"/>
    <w:rsid w:val="49F41D5E"/>
    <w:rsid w:val="4B1E31F7"/>
    <w:rsid w:val="4B6213D4"/>
    <w:rsid w:val="4B8D3DD0"/>
    <w:rsid w:val="4BCB3573"/>
    <w:rsid w:val="4C372D43"/>
    <w:rsid w:val="4C4F720B"/>
    <w:rsid w:val="4CE75373"/>
    <w:rsid w:val="4DF13AE3"/>
    <w:rsid w:val="4F3069FA"/>
    <w:rsid w:val="4F933AFC"/>
    <w:rsid w:val="50676D89"/>
    <w:rsid w:val="510B2B35"/>
    <w:rsid w:val="51556292"/>
    <w:rsid w:val="5237730C"/>
    <w:rsid w:val="52D417DA"/>
    <w:rsid w:val="534101B4"/>
    <w:rsid w:val="53605CB8"/>
    <w:rsid w:val="53870461"/>
    <w:rsid w:val="53D363AF"/>
    <w:rsid w:val="54C110FE"/>
    <w:rsid w:val="566D4B95"/>
    <w:rsid w:val="572656D4"/>
    <w:rsid w:val="57AE5FBE"/>
    <w:rsid w:val="57EA5A03"/>
    <w:rsid w:val="591443AB"/>
    <w:rsid w:val="592A1388"/>
    <w:rsid w:val="59AD06A4"/>
    <w:rsid w:val="5A4D586D"/>
    <w:rsid w:val="5A6249B0"/>
    <w:rsid w:val="5A9D420C"/>
    <w:rsid w:val="5C1D1692"/>
    <w:rsid w:val="5C332D95"/>
    <w:rsid w:val="5CA87213"/>
    <w:rsid w:val="5CF27A88"/>
    <w:rsid w:val="5D1B2712"/>
    <w:rsid w:val="5EA85303"/>
    <w:rsid w:val="5EB915AD"/>
    <w:rsid w:val="5EE84C68"/>
    <w:rsid w:val="5EF846DD"/>
    <w:rsid w:val="5F8951BA"/>
    <w:rsid w:val="5FC5296A"/>
    <w:rsid w:val="603D4941"/>
    <w:rsid w:val="6182070D"/>
    <w:rsid w:val="61E12369"/>
    <w:rsid w:val="620F428A"/>
    <w:rsid w:val="621D5BA4"/>
    <w:rsid w:val="625E1B01"/>
    <w:rsid w:val="635B6748"/>
    <w:rsid w:val="63947A95"/>
    <w:rsid w:val="64AE2ADC"/>
    <w:rsid w:val="64B83CEE"/>
    <w:rsid w:val="64BB4509"/>
    <w:rsid w:val="64D5266D"/>
    <w:rsid w:val="651C5A32"/>
    <w:rsid w:val="660245F2"/>
    <w:rsid w:val="66050786"/>
    <w:rsid w:val="66D85FD7"/>
    <w:rsid w:val="67B167D1"/>
    <w:rsid w:val="685F1C50"/>
    <w:rsid w:val="6868154A"/>
    <w:rsid w:val="68DA1027"/>
    <w:rsid w:val="699022E9"/>
    <w:rsid w:val="6A26383A"/>
    <w:rsid w:val="6A714498"/>
    <w:rsid w:val="6ACB2B4C"/>
    <w:rsid w:val="6B651FC1"/>
    <w:rsid w:val="6B6839DB"/>
    <w:rsid w:val="6B6A4DFB"/>
    <w:rsid w:val="6C1170D7"/>
    <w:rsid w:val="6C65086D"/>
    <w:rsid w:val="6E377367"/>
    <w:rsid w:val="6E503F51"/>
    <w:rsid w:val="6EAB38B7"/>
    <w:rsid w:val="6F3B1CB6"/>
    <w:rsid w:val="6FA26D78"/>
    <w:rsid w:val="6FBA6E7F"/>
    <w:rsid w:val="6FCC29C9"/>
    <w:rsid w:val="6FF906F2"/>
    <w:rsid w:val="72A34B00"/>
    <w:rsid w:val="73237A17"/>
    <w:rsid w:val="737F74FC"/>
    <w:rsid w:val="73FF41E8"/>
    <w:rsid w:val="745919C6"/>
    <w:rsid w:val="74702A9A"/>
    <w:rsid w:val="749B766A"/>
    <w:rsid w:val="74AF5740"/>
    <w:rsid w:val="757819F8"/>
    <w:rsid w:val="761C2BBB"/>
    <w:rsid w:val="7675438D"/>
    <w:rsid w:val="776A1DE8"/>
    <w:rsid w:val="77BE9FD5"/>
    <w:rsid w:val="77D17F41"/>
    <w:rsid w:val="77F3282C"/>
    <w:rsid w:val="781B0871"/>
    <w:rsid w:val="785D00CA"/>
    <w:rsid w:val="786F570D"/>
    <w:rsid w:val="78E12088"/>
    <w:rsid w:val="7991624D"/>
    <w:rsid w:val="79D711C2"/>
    <w:rsid w:val="7AA56AA4"/>
    <w:rsid w:val="7B144AA1"/>
    <w:rsid w:val="7C087823"/>
    <w:rsid w:val="7C293920"/>
    <w:rsid w:val="7C496CD1"/>
    <w:rsid w:val="7CC453E8"/>
    <w:rsid w:val="7CF410E0"/>
    <w:rsid w:val="7DDD6CEA"/>
    <w:rsid w:val="7E12359F"/>
    <w:rsid w:val="7E27473C"/>
    <w:rsid w:val="7E636E14"/>
    <w:rsid w:val="7F9B7E89"/>
    <w:rsid w:val="9F6B3D07"/>
    <w:rsid w:val="FB3DD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qFormat/>
    <w:uiPriority w:val="9"/>
    <w:pPr>
      <w:outlineLvl w:val="0"/>
    </w:pPr>
    <w:rPr>
      <w:color w:val="000000"/>
      <w:kern w:val="0"/>
      <w:sz w:val="20"/>
      <w:shd w:val="clear" w:color="auto" w:fill="FFFFFF"/>
    </w:rPr>
  </w:style>
  <w:style w:type="paragraph" w:styleId="5">
    <w:name w:val="heading 2"/>
    <w:basedOn w:val="1"/>
    <w:next w:val="1"/>
    <w:link w:val="65"/>
    <w:qFormat/>
    <w:uiPriority w:val="8"/>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5"/>
    <w:qFormat/>
    <w:uiPriority w:val="9"/>
    <w:pPr>
      <w:keepNext/>
      <w:keepLines/>
      <w:spacing w:before="280" w:after="290" w:line="376" w:lineRule="auto"/>
      <w:outlineLvl w:val="3"/>
    </w:pPr>
    <w:rPr>
      <w:rFonts w:ascii="Cambria" w:hAnsi="Cambria"/>
      <w:b/>
      <w:bCs/>
      <w:sz w:val="28"/>
      <w:szCs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Normal Indent"/>
    <w:basedOn w:val="1"/>
    <w:next w:val="1"/>
    <w:link w:val="83"/>
    <w:qFormat/>
    <w:uiPriority w:val="0"/>
    <w:pPr>
      <w:ind w:firstLine="420"/>
    </w:pPr>
    <w:rPr>
      <w:szCs w:val="20"/>
    </w:rPr>
  </w:style>
  <w:style w:type="paragraph" w:styleId="10">
    <w:name w:val="Document Map"/>
    <w:basedOn w:val="1"/>
    <w:link w:val="66"/>
    <w:qFormat/>
    <w:uiPriority w:val="99"/>
    <w:pPr>
      <w:shd w:val="clear" w:color="auto" w:fill="000080"/>
    </w:pPr>
    <w:rPr>
      <w:kern w:val="0"/>
      <w:sz w:val="2"/>
    </w:rPr>
  </w:style>
  <w:style w:type="paragraph" w:styleId="11">
    <w:name w:val="annotation text"/>
    <w:basedOn w:val="1"/>
    <w:link w:val="60"/>
    <w:qFormat/>
    <w:uiPriority w:val="99"/>
    <w:pPr>
      <w:jc w:val="left"/>
    </w:pPr>
  </w:style>
  <w:style w:type="paragraph" w:styleId="12">
    <w:name w:val="Body Text 3"/>
    <w:basedOn w:val="1"/>
    <w:link w:val="174"/>
    <w:unhideWhenUsed/>
    <w:qFormat/>
    <w:uiPriority w:val="0"/>
    <w:pPr>
      <w:spacing w:after="120"/>
    </w:pPr>
    <w:rPr>
      <w:sz w:val="16"/>
      <w:szCs w:val="16"/>
    </w:rPr>
  </w:style>
  <w:style w:type="paragraph" w:styleId="13">
    <w:name w:val="Body Text"/>
    <w:basedOn w:val="1"/>
    <w:link w:val="71"/>
    <w:qFormat/>
    <w:uiPriority w:val="99"/>
    <w:pPr>
      <w:spacing w:line="360" w:lineRule="exact"/>
    </w:pPr>
    <w:rPr>
      <w:sz w:val="24"/>
    </w:rPr>
  </w:style>
  <w:style w:type="paragraph" w:styleId="14">
    <w:name w:val="Body Text Indent"/>
    <w:basedOn w:val="1"/>
    <w:next w:val="1"/>
    <w:link w:val="63"/>
    <w:qFormat/>
    <w:uiPriority w:val="99"/>
    <w:pPr>
      <w:spacing w:after="120"/>
      <w:ind w:left="420" w:leftChars="200"/>
    </w:pPr>
  </w:style>
  <w:style w:type="paragraph" w:styleId="15">
    <w:name w:val="Block Text"/>
    <w:basedOn w:val="1"/>
    <w:next w:val="7"/>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16">
    <w:name w:val="toc 3"/>
    <w:basedOn w:val="1"/>
    <w:next w:val="1"/>
    <w:qFormat/>
    <w:uiPriority w:val="39"/>
    <w:pPr>
      <w:tabs>
        <w:tab w:val="left" w:pos="1440"/>
        <w:tab w:val="right" w:leader="dot" w:pos="8302"/>
      </w:tabs>
      <w:ind w:left="718" w:leftChars="342" w:firstLine="120" w:firstLineChars="60"/>
    </w:pPr>
    <w:rPr>
      <w:rFonts w:ascii="Arial" w:hAnsi="Arial"/>
      <w:smallCaps/>
      <w:sz w:val="20"/>
    </w:rPr>
  </w:style>
  <w:style w:type="paragraph" w:styleId="17">
    <w:name w:val="Plain Text"/>
    <w:basedOn w:val="1"/>
    <w:link w:val="79"/>
    <w:qFormat/>
    <w:uiPriority w:val="0"/>
    <w:rPr>
      <w:rFonts w:ascii="宋体" w:hAnsi="Courier New" w:cstheme="minorBidi"/>
    </w:rPr>
  </w:style>
  <w:style w:type="paragraph" w:styleId="18">
    <w:name w:val="Date"/>
    <w:basedOn w:val="1"/>
    <w:next w:val="1"/>
    <w:link w:val="99"/>
    <w:qFormat/>
    <w:uiPriority w:val="99"/>
    <w:pPr>
      <w:ind w:left="2500" w:leftChars="2500"/>
    </w:pPr>
    <w:rPr>
      <w:rFonts w:eastAsia="楷体_GB2312" w:asciiTheme="minorHAnsi" w:hAnsiTheme="minorHAnsi" w:cstheme="minorBidi"/>
      <w:sz w:val="32"/>
      <w:szCs w:val="22"/>
    </w:rPr>
  </w:style>
  <w:style w:type="paragraph" w:styleId="19">
    <w:name w:val="Body Text Indent 2"/>
    <w:basedOn w:val="1"/>
    <w:link w:val="175"/>
    <w:unhideWhenUsed/>
    <w:qFormat/>
    <w:uiPriority w:val="0"/>
    <w:pPr>
      <w:spacing w:after="120" w:line="480" w:lineRule="auto"/>
      <w:ind w:left="420" w:leftChars="200"/>
    </w:pPr>
  </w:style>
  <w:style w:type="paragraph" w:styleId="20">
    <w:name w:val="Balloon Text"/>
    <w:basedOn w:val="1"/>
    <w:link w:val="62"/>
    <w:qFormat/>
    <w:uiPriority w:val="99"/>
    <w:rPr>
      <w:sz w:val="18"/>
      <w:szCs w:val="18"/>
    </w:rPr>
  </w:style>
  <w:style w:type="paragraph" w:styleId="21">
    <w:name w:val="footer"/>
    <w:basedOn w:val="1"/>
    <w:link w:val="68"/>
    <w:qFormat/>
    <w:uiPriority w:val="99"/>
    <w:pPr>
      <w:tabs>
        <w:tab w:val="center" w:pos="4153"/>
        <w:tab w:val="right" w:pos="8306"/>
      </w:tabs>
      <w:snapToGrid w:val="0"/>
      <w:jc w:val="left"/>
    </w:pPr>
    <w:rPr>
      <w:sz w:val="18"/>
    </w:rPr>
  </w:style>
  <w:style w:type="paragraph" w:styleId="22">
    <w:name w:val="header"/>
    <w:basedOn w:val="1"/>
    <w:link w:val="6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pPr>
      <w:tabs>
        <w:tab w:val="right" w:leader="middleDot" w:pos="8789"/>
      </w:tabs>
      <w:spacing w:line="360" w:lineRule="auto"/>
    </w:pPr>
    <w:rPr>
      <w:sz w:val="24"/>
      <w:szCs w:val="20"/>
    </w:rPr>
  </w:style>
  <w:style w:type="paragraph" w:styleId="24">
    <w:name w:val="Subtitle"/>
    <w:basedOn w:val="1"/>
    <w:next w:val="1"/>
    <w:link w:val="76"/>
    <w:qFormat/>
    <w:uiPriority w:val="0"/>
    <w:pPr>
      <w:spacing w:before="240" w:after="60" w:line="312" w:lineRule="auto"/>
      <w:jc w:val="center"/>
      <w:outlineLvl w:val="1"/>
    </w:pPr>
    <w:rPr>
      <w:rFonts w:ascii="等线 Light" w:hAnsi="等线 Light"/>
      <w:b/>
      <w:bCs/>
      <w:kern w:val="28"/>
      <w:sz w:val="32"/>
      <w:szCs w:val="32"/>
    </w:rPr>
  </w:style>
  <w:style w:type="paragraph" w:styleId="25">
    <w:name w:val="Body Text Indent 3"/>
    <w:basedOn w:val="1"/>
    <w:link w:val="176"/>
    <w:unhideWhenUsed/>
    <w:qFormat/>
    <w:uiPriority w:val="0"/>
    <w:pPr>
      <w:spacing w:after="120"/>
      <w:ind w:left="420" w:leftChars="200"/>
    </w:pPr>
    <w:rPr>
      <w:sz w:val="16"/>
      <w:szCs w:val="16"/>
    </w:rPr>
  </w:style>
  <w:style w:type="paragraph" w:styleId="26">
    <w:name w:val="toc 2"/>
    <w:basedOn w:val="1"/>
    <w:next w:val="1"/>
    <w:qFormat/>
    <w:uiPriority w:val="39"/>
    <w:pPr>
      <w:tabs>
        <w:tab w:val="right" w:leader="middleDot" w:pos="8948"/>
      </w:tabs>
      <w:spacing w:before="60" w:after="60"/>
      <w:ind w:left="210"/>
    </w:pPr>
    <w:rPr>
      <w:rFonts w:ascii="等线" w:hAnsi="等线"/>
      <w:smallCaps/>
    </w:rPr>
  </w:style>
  <w:style w:type="paragraph" w:styleId="27">
    <w:name w:val="Body Text 2"/>
    <w:basedOn w:val="1"/>
    <w:link w:val="177"/>
    <w:unhideWhenUsed/>
    <w:qFormat/>
    <w:uiPriority w:val="0"/>
    <w:pPr>
      <w:spacing w:after="120" w:line="480" w:lineRule="auto"/>
    </w:pPr>
  </w:style>
  <w:style w:type="paragraph" w:styleId="2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0">
    <w:name w:val="Title"/>
    <w:basedOn w:val="1"/>
    <w:next w:val="1"/>
    <w:link w:val="75"/>
    <w:qFormat/>
    <w:uiPriority w:val="0"/>
    <w:pPr>
      <w:spacing w:before="240" w:after="60"/>
      <w:jc w:val="center"/>
      <w:outlineLvl w:val="0"/>
    </w:pPr>
    <w:rPr>
      <w:rFonts w:ascii="等线 Light" w:hAnsi="等线 Light"/>
      <w:b/>
      <w:bCs/>
      <w:sz w:val="32"/>
      <w:szCs w:val="32"/>
    </w:rPr>
  </w:style>
  <w:style w:type="paragraph" w:styleId="31">
    <w:name w:val="annotation subject"/>
    <w:basedOn w:val="11"/>
    <w:next w:val="11"/>
    <w:link w:val="61"/>
    <w:qFormat/>
    <w:uiPriority w:val="99"/>
    <w:rPr>
      <w:b/>
      <w:bCs/>
    </w:rPr>
  </w:style>
  <w:style w:type="paragraph" w:styleId="32">
    <w:name w:val="Body Text First Indent"/>
    <w:basedOn w:val="13"/>
    <w:link w:val="90"/>
    <w:unhideWhenUsed/>
    <w:qFormat/>
    <w:uiPriority w:val="99"/>
    <w:pPr>
      <w:spacing w:after="120" w:line="240" w:lineRule="auto"/>
      <w:ind w:firstLine="420" w:firstLineChars="100"/>
    </w:pPr>
    <w:rPr>
      <w:rFonts w:ascii="Calibri" w:hAnsi="Calibri" w:eastAsia="Times New Roman" w:cs="黑体"/>
      <w:sz w:val="21"/>
      <w:szCs w:val="22"/>
    </w:rPr>
  </w:style>
  <w:style w:type="paragraph" w:styleId="33">
    <w:name w:val="Body Text First Indent 2"/>
    <w:basedOn w:val="14"/>
    <w:next w:val="1"/>
    <w:link w:val="84"/>
    <w:unhideWhenUsed/>
    <w:qFormat/>
    <w:uiPriority w:val="99"/>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qFormat/>
    <w:uiPriority w:val="0"/>
    <w:rPr>
      <w:color w:val="800080"/>
      <w:u w:val="none"/>
    </w:rPr>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6"/>
    <w:qFormat/>
    <w:uiPriority w:val="0"/>
    <w:rPr>
      <w:sz w:val="21"/>
      <w:szCs w:val="21"/>
    </w:rPr>
  </w:style>
  <w:style w:type="paragraph" w:customStyle="1" w:styleId="4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4">
    <w:name w:val="List Paragraph"/>
    <w:basedOn w:val="1"/>
    <w:link w:val="110"/>
    <w:qFormat/>
    <w:uiPriority w:val="34"/>
    <w:pPr>
      <w:ind w:firstLine="420" w:firstLineChars="200"/>
    </w:pPr>
    <w:rPr>
      <w:rFonts w:ascii="Calibri" w:hAnsi="Calibri"/>
      <w:szCs w:val="22"/>
    </w:rPr>
  </w:style>
  <w:style w:type="paragraph" w:customStyle="1" w:styleId="4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6">
    <w:name w:val="列出段落1"/>
    <w:basedOn w:val="1"/>
    <w:qFormat/>
    <w:uiPriority w:val="34"/>
    <w:pPr>
      <w:ind w:firstLine="420" w:firstLineChars="200"/>
    </w:pPr>
    <w:rPr>
      <w:rFonts w:ascii="Calibri" w:hAnsi="Calibri"/>
      <w:kern w:val="0"/>
      <w:szCs w:val="20"/>
    </w:rPr>
  </w:style>
  <w:style w:type="paragraph" w:customStyle="1" w:styleId="4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4"/>
    <w:qFormat/>
    <w:uiPriority w:val="0"/>
    <w:rPr>
      <w:rFonts w:ascii="Times New Roman" w:hAnsi="Times New Roman" w:eastAsia="宋体" w:cs="Times New Roman"/>
      <w:sz w:val="21"/>
      <w:szCs w:val="22"/>
      <w:lang w:val="en-US" w:eastAsia="zh-CN" w:bidi="ar-SA"/>
    </w:rPr>
  </w:style>
  <w:style w:type="paragraph" w:customStyle="1" w:styleId="5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3"/>
    <w:link w:val="120"/>
    <w:qFormat/>
    <w:uiPriority w:val="0"/>
    <w:pPr>
      <w:widowControl/>
      <w:jc w:val="left"/>
    </w:pPr>
    <w:rPr>
      <w:rFonts w:ascii="宋体" w:hAnsi="Courier New" w:eastAsiaTheme="minorEastAsia" w:cstheme="minorBidi"/>
      <w:szCs w:val="21"/>
    </w:rPr>
  </w:style>
  <w:style w:type="paragraph" w:customStyle="1" w:styleId="55">
    <w:name w:val="纯文本_0_1"/>
    <w:basedOn w:val="1"/>
    <w:link w:val="125"/>
    <w:qFormat/>
    <w:uiPriority w:val="0"/>
    <w:pPr>
      <w:widowControl/>
      <w:jc w:val="left"/>
    </w:pPr>
    <w:rPr>
      <w:rFonts w:ascii="宋体" w:hAnsi="Courier New" w:eastAsiaTheme="minorEastAsia" w:cstheme="minorBidi"/>
      <w:szCs w:val="21"/>
    </w:rPr>
  </w:style>
  <w:style w:type="paragraph" w:customStyle="1" w:styleId="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6"/>
    <w:link w:val="11"/>
    <w:qFormat/>
    <w:uiPriority w:val="99"/>
    <w:rPr>
      <w:rFonts w:ascii="Times New Roman" w:hAnsi="Times New Roman" w:eastAsia="宋体" w:cs="Times New Roman"/>
      <w:kern w:val="2"/>
      <w:sz w:val="21"/>
      <w:szCs w:val="24"/>
    </w:rPr>
  </w:style>
  <w:style w:type="character" w:customStyle="1" w:styleId="61">
    <w:name w:val="批注主题 Char"/>
    <w:basedOn w:val="60"/>
    <w:link w:val="31"/>
    <w:qFormat/>
    <w:uiPriority w:val="99"/>
    <w:rPr>
      <w:rFonts w:ascii="Times New Roman" w:hAnsi="Times New Roman" w:eastAsia="宋体" w:cs="Times New Roman"/>
      <w:b/>
      <w:bCs/>
      <w:kern w:val="2"/>
      <w:sz w:val="21"/>
      <w:szCs w:val="24"/>
    </w:rPr>
  </w:style>
  <w:style w:type="character" w:customStyle="1" w:styleId="62">
    <w:name w:val="批注框文本 Char"/>
    <w:basedOn w:val="36"/>
    <w:link w:val="20"/>
    <w:qFormat/>
    <w:uiPriority w:val="99"/>
    <w:rPr>
      <w:rFonts w:ascii="Times New Roman" w:hAnsi="Times New Roman" w:eastAsia="宋体" w:cs="Times New Roman"/>
      <w:kern w:val="2"/>
      <w:sz w:val="18"/>
      <w:szCs w:val="18"/>
    </w:rPr>
  </w:style>
  <w:style w:type="character" w:customStyle="1" w:styleId="63">
    <w:name w:val="正文文本缩进 Char"/>
    <w:basedOn w:val="36"/>
    <w:link w:val="14"/>
    <w:qFormat/>
    <w:uiPriority w:val="99"/>
    <w:rPr>
      <w:kern w:val="2"/>
      <w:sz w:val="21"/>
      <w:szCs w:val="24"/>
    </w:rPr>
  </w:style>
  <w:style w:type="character" w:customStyle="1" w:styleId="64">
    <w:name w:val="标题 1 Char"/>
    <w:basedOn w:val="36"/>
    <w:link w:val="4"/>
    <w:qFormat/>
    <w:uiPriority w:val="9"/>
    <w:rPr>
      <w:color w:val="000000"/>
      <w:szCs w:val="24"/>
    </w:rPr>
  </w:style>
  <w:style w:type="character" w:customStyle="1" w:styleId="65">
    <w:name w:val="标题 2 Char"/>
    <w:basedOn w:val="36"/>
    <w:link w:val="5"/>
    <w:qFormat/>
    <w:uiPriority w:val="8"/>
    <w:rPr>
      <w:rFonts w:ascii="Arial" w:hAnsi="Arial" w:eastAsia="黑体"/>
      <w:b/>
      <w:bCs/>
      <w:kern w:val="2"/>
      <w:sz w:val="32"/>
      <w:szCs w:val="32"/>
    </w:rPr>
  </w:style>
  <w:style w:type="character" w:customStyle="1" w:styleId="66">
    <w:name w:val="文档结构图 Char"/>
    <w:basedOn w:val="36"/>
    <w:link w:val="10"/>
    <w:qFormat/>
    <w:uiPriority w:val="99"/>
    <w:rPr>
      <w:sz w:val="2"/>
      <w:szCs w:val="24"/>
      <w:shd w:val="clear" w:color="auto" w:fill="000080"/>
    </w:rPr>
  </w:style>
  <w:style w:type="character" w:customStyle="1" w:styleId="67">
    <w:name w:val="页眉 Char"/>
    <w:link w:val="22"/>
    <w:qFormat/>
    <w:locked/>
    <w:uiPriority w:val="99"/>
    <w:rPr>
      <w:kern w:val="2"/>
      <w:sz w:val="18"/>
      <w:szCs w:val="24"/>
    </w:rPr>
  </w:style>
  <w:style w:type="character" w:customStyle="1" w:styleId="68">
    <w:name w:val="页脚 Char"/>
    <w:link w:val="21"/>
    <w:qFormat/>
    <w:locked/>
    <w:uiPriority w:val="99"/>
    <w:rPr>
      <w:kern w:val="2"/>
      <w:sz w:val="18"/>
      <w:szCs w:val="24"/>
    </w:rPr>
  </w:style>
  <w:style w:type="paragraph" w:customStyle="1" w:styleId="69">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70">
    <w:name w:val="[Normal]"/>
    <w:next w:val="1"/>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1">
    <w:name w:val="正文文本 Char"/>
    <w:link w:val="13"/>
    <w:qFormat/>
    <w:locked/>
    <w:uiPriority w:val="99"/>
    <w:rPr>
      <w:kern w:val="2"/>
      <w:sz w:val="24"/>
      <w:szCs w:val="24"/>
    </w:rPr>
  </w:style>
  <w:style w:type="paragraph" w:customStyle="1" w:styleId="72">
    <w:name w:val="KTG"/>
    <w:next w:val="1"/>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_Style 2"/>
    <w:basedOn w:val="1"/>
    <w:qFormat/>
    <w:uiPriority w:val="99"/>
    <w:pPr>
      <w:ind w:firstLine="420" w:firstLineChars="200"/>
    </w:pPr>
  </w:style>
  <w:style w:type="character" w:customStyle="1" w:styleId="75">
    <w:name w:val="标题 Char"/>
    <w:basedOn w:val="36"/>
    <w:link w:val="30"/>
    <w:qFormat/>
    <w:uiPriority w:val="0"/>
    <w:rPr>
      <w:rFonts w:ascii="等线 Light" w:hAnsi="等线 Light"/>
      <w:b/>
      <w:bCs/>
      <w:kern w:val="2"/>
      <w:sz w:val="32"/>
      <w:szCs w:val="32"/>
    </w:rPr>
  </w:style>
  <w:style w:type="character" w:customStyle="1" w:styleId="76">
    <w:name w:val="副标题 Char"/>
    <w:basedOn w:val="36"/>
    <w:link w:val="24"/>
    <w:qFormat/>
    <w:uiPriority w:val="0"/>
    <w:rPr>
      <w:rFonts w:ascii="等线 Light" w:hAnsi="等线 Light"/>
      <w:b/>
      <w:bCs/>
      <w:kern w:val="28"/>
      <w:sz w:val="32"/>
      <w:szCs w:val="32"/>
    </w:rPr>
  </w:style>
  <w:style w:type="table" w:customStyle="1" w:styleId="77">
    <w:name w:val="网格型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
    <w:name w:val="HTML 预设格式 Char"/>
    <w:basedOn w:val="36"/>
    <w:link w:val="28"/>
    <w:qFormat/>
    <w:uiPriority w:val="0"/>
    <w:rPr>
      <w:rFonts w:ascii="黑体" w:hAnsi="Courier New" w:eastAsia="黑体" w:cs="Courier New"/>
    </w:rPr>
  </w:style>
  <w:style w:type="character" w:customStyle="1" w:styleId="79">
    <w:name w:val="纯文本 Char"/>
    <w:basedOn w:val="36"/>
    <w:link w:val="17"/>
    <w:qFormat/>
    <w:uiPriority w:val="99"/>
    <w:rPr>
      <w:rFonts w:ascii="宋体" w:hAnsi="Courier New" w:cstheme="minorBidi"/>
      <w:kern w:val="2"/>
      <w:sz w:val="21"/>
      <w:szCs w:val="24"/>
    </w:rPr>
  </w:style>
  <w:style w:type="paragraph" w:customStyle="1" w:styleId="8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1">
    <w:name w:val="my正文"/>
    <w:basedOn w:val="1"/>
    <w:qFormat/>
    <w:uiPriority w:val="0"/>
    <w:pPr>
      <w:widowControl/>
      <w:ind w:firstLine="480"/>
    </w:pPr>
    <w:rPr>
      <w:rFonts w:ascii="Calibri" w:hAnsi="Calibri"/>
      <w:lang w:val="zh-CN"/>
    </w:rPr>
  </w:style>
  <w:style w:type="table" w:customStyle="1" w:styleId="82">
    <w:name w:val="网格型3"/>
    <w:basedOn w:val="3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3">
    <w:name w:val="正文缩进 Char"/>
    <w:link w:val="9"/>
    <w:qFormat/>
    <w:uiPriority w:val="99"/>
    <w:rPr>
      <w:kern w:val="2"/>
      <w:sz w:val="21"/>
    </w:rPr>
  </w:style>
  <w:style w:type="character" w:customStyle="1" w:styleId="84">
    <w:name w:val="正文首行缩进 2 Char"/>
    <w:basedOn w:val="63"/>
    <w:link w:val="33"/>
    <w:qFormat/>
    <w:uiPriority w:val="99"/>
    <w:rPr>
      <w:kern w:val="2"/>
      <w:sz w:val="21"/>
      <w:szCs w:val="24"/>
    </w:rPr>
  </w:style>
  <w:style w:type="character" w:customStyle="1" w:styleId="85">
    <w:name w:val="标题 4 Char"/>
    <w:basedOn w:val="36"/>
    <w:link w:val="7"/>
    <w:qFormat/>
    <w:uiPriority w:val="9"/>
    <w:rPr>
      <w:rFonts w:ascii="Cambria" w:hAnsi="Cambria"/>
      <w:b/>
      <w:bCs/>
      <w:kern w:val="2"/>
      <w:sz w:val="28"/>
      <w:szCs w:val="28"/>
    </w:rPr>
  </w:style>
  <w:style w:type="paragraph" w:customStyle="1" w:styleId="86">
    <w:name w:val="正文文本 31"/>
    <w:basedOn w:val="1"/>
    <w:next w:val="12"/>
    <w:link w:val="121"/>
    <w:qFormat/>
    <w:uiPriority w:val="0"/>
    <w:pPr>
      <w:spacing w:after="120"/>
    </w:pPr>
    <w:rPr>
      <w:sz w:val="16"/>
      <w:szCs w:val="16"/>
    </w:rPr>
  </w:style>
  <w:style w:type="paragraph" w:customStyle="1" w:styleId="87">
    <w:name w:val="正文文本缩进 21"/>
    <w:basedOn w:val="1"/>
    <w:next w:val="19"/>
    <w:link w:val="112"/>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customStyle="1" w:styleId="88">
    <w:name w:val="正文文本缩进 31"/>
    <w:basedOn w:val="1"/>
    <w:next w:val="25"/>
    <w:link w:val="122"/>
    <w:qFormat/>
    <w:uiPriority w:val="0"/>
    <w:pPr>
      <w:autoSpaceDE w:val="0"/>
      <w:autoSpaceDN w:val="0"/>
      <w:adjustRightInd w:val="0"/>
      <w:spacing w:line="360" w:lineRule="atLeast"/>
      <w:ind w:left="1853"/>
      <w:jc w:val="center"/>
    </w:pPr>
    <w:rPr>
      <w:rFonts w:ascii="宋体"/>
      <w:b/>
      <w:color w:val="000000"/>
      <w:kern w:val="0"/>
      <w:sz w:val="36"/>
    </w:rPr>
  </w:style>
  <w:style w:type="paragraph" w:customStyle="1" w:styleId="89">
    <w:name w:val="正文文本 21"/>
    <w:basedOn w:val="1"/>
    <w:next w:val="27"/>
    <w:link w:val="115"/>
    <w:qFormat/>
    <w:uiPriority w:val="0"/>
    <w:pPr>
      <w:autoSpaceDE w:val="0"/>
      <w:autoSpaceDN w:val="0"/>
      <w:adjustRightInd w:val="0"/>
      <w:spacing w:line="360" w:lineRule="auto"/>
    </w:pPr>
    <w:rPr>
      <w:rFonts w:ascii="宋体"/>
      <w:color w:val="000000"/>
      <w:kern w:val="0"/>
      <w:sz w:val="24"/>
    </w:rPr>
  </w:style>
  <w:style w:type="character" w:customStyle="1" w:styleId="90">
    <w:name w:val="正文首行缩进 Char"/>
    <w:basedOn w:val="71"/>
    <w:link w:val="32"/>
    <w:qFormat/>
    <w:uiPriority w:val="99"/>
    <w:rPr>
      <w:rFonts w:ascii="Calibri" w:hAnsi="Calibri" w:eastAsia="Times New Roman" w:cs="黑体"/>
      <w:kern w:val="2"/>
      <w:sz w:val="21"/>
      <w:szCs w:val="22"/>
    </w:rPr>
  </w:style>
  <w:style w:type="table" w:customStyle="1" w:styleId="91">
    <w:name w:val="网格型2"/>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文本缩进 Char1"/>
    <w:basedOn w:val="36"/>
    <w:qFormat/>
    <w:uiPriority w:val="99"/>
    <w:rPr>
      <w:rFonts w:ascii="等线" w:hAnsi="等线" w:eastAsia="宋体" w:cs="Times New Roman"/>
      <w:szCs w:val="24"/>
    </w:rPr>
  </w:style>
  <w:style w:type="paragraph" w:customStyle="1" w:styleId="93">
    <w:name w:val="WPSOffice手动目录 1"/>
    <w:qFormat/>
    <w:uiPriority w:val="0"/>
    <w:rPr>
      <w:rFonts w:ascii="Times New Roman" w:hAnsi="Times New Roman" w:eastAsia="宋体" w:cs="Times New Roman"/>
      <w:lang w:val="en-US" w:eastAsia="zh-CN" w:bidi="ar-SA"/>
    </w:rPr>
  </w:style>
  <w:style w:type="character" w:customStyle="1" w:styleId="94">
    <w:name w:val="正文2 Char"/>
    <w:link w:val="95"/>
    <w:qFormat/>
    <w:locked/>
    <w:uiPriority w:val="0"/>
    <w:rPr>
      <w:rFonts w:eastAsia="??"/>
      <w:sz w:val="24"/>
      <w:szCs w:val="28"/>
    </w:rPr>
  </w:style>
  <w:style w:type="paragraph" w:customStyle="1" w:styleId="95">
    <w:name w:val="正文2"/>
    <w:basedOn w:val="1"/>
    <w:link w:val="94"/>
    <w:qFormat/>
    <w:uiPriority w:val="0"/>
    <w:pPr>
      <w:spacing w:before="156" w:line="360" w:lineRule="auto"/>
      <w:ind w:firstLine="200" w:firstLineChars="200"/>
    </w:pPr>
    <w:rPr>
      <w:rFonts w:eastAsia="??"/>
      <w:kern w:val="0"/>
      <w:sz w:val="24"/>
      <w:szCs w:val="28"/>
    </w:rPr>
  </w:style>
  <w:style w:type="character" w:customStyle="1" w:styleId="96">
    <w:name w:val="标题 3 Char"/>
    <w:basedOn w:val="36"/>
    <w:link w:val="6"/>
    <w:qFormat/>
    <w:uiPriority w:val="0"/>
    <w:rPr>
      <w:b/>
      <w:bCs/>
      <w:kern w:val="2"/>
      <w:sz w:val="32"/>
      <w:szCs w:val="32"/>
    </w:rPr>
  </w:style>
  <w:style w:type="character" w:customStyle="1" w:styleId="97">
    <w:name w:val="纯文本 Char1"/>
    <w:qFormat/>
    <w:uiPriority w:val="99"/>
    <w:rPr>
      <w:rFonts w:ascii="??" w:hAnsi="??" w:eastAsia="??" w:cs="宋体"/>
      <w:szCs w:val="21"/>
    </w:rPr>
  </w:style>
  <w:style w:type="character" w:customStyle="1" w:styleId="98">
    <w:name w:val="批注文字 Char1"/>
    <w:basedOn w:val="36"/>
    <w:semiHidden/>
    <w:qFormat/>
    <w:uiPriority w:val="99"/>
    <w:rPr>
      <w:rFonts w:ascii="等线" w:hAnsi="等线" w:eastAsia="宋体" w:cs="Times New Roman"/>
      <w:szCs w:val="24"/>
    </w:rPr>
  </w:style>
  <w:style w:type="character" w:customStyle="1" w:styleId="99">
    <w:name w:val="日期 Char"/>
    <w:basedOn w:val="36"/>
    <w:link w:val="18"/>
    <w:qFormat/>
    <w:uiPriority w:val="99"/>
    <w:rPr>
      <w:rFonts w:eastAsia="楷体_GB2312" w:asciiTheme="minorHAnsi" w:hAnsiTheme="minorHAnsi" w:cstheme="minorBidi"/>
      <w:kern w:val="2"/>
      <w:sz w:val="32"/>
      <w:szCs w:val="22"/>
    </w:rPr>
  </w:style>
  <w:style w:type="character" w:customStyle="1" w:styleId="100">
    <w:name w:val="纯文本 Char_1"/>
    <w:link w:val="101"/>
    <w:qFormat/>
    <w:uiPriority w:val="0"/>
    <w:rPr>
      <w:rFonts w:ascii="宋体" w:hAnsi="Courier New"/>
      <w:szCs w:val="21"/>
    </w:rPr>
  </w:style>
  <w:style w:type="paragraph" w:customStyle="1" w:styleId="101">
    <w:name w:val="纯文本_1"/>
    <w:basedOn w:val="1"/>
    <w:link w:val="100"/>
    <w:qFormat/>
    <w:uiPriority w:val="0"/>
    <w:pPr>
      <w:widowControl/>
      <w:jc w:val="left"/>
    </w:pPr>
    <w:rPr>
      <w:rFonts w:ascii="宋体" w:hAnsi="Courier New"/>
      <w:kern w:val="0"/>
      <w:sz w:val="20"/>
      <w:szCs w:val="21"/>
    </w:rPr>
  </w:style>
  <w:style w:type="paragraph" w:customStyle="1" w:styleId="102">
    <w:name w:val="纯文本1"/>
    <w:basedOn w:val="73"/>
    <w:qFormat/>
    <w:uiPriority w:val="0"/>
    <w:pPr>
      <w:widowControl/>
      <w:adjustRightInd/>
      <w:spacing w:line="240" w:lineRule="auto"/>
      <w:jc w:val="left"/>
      <w:textAlignment w:val="auto"/>
    </w:pPr>
    <w:rPr>
      <w:rFonts w:hint="eastAsia" w:hAnsi="Courier New"/>
      <w:kern w:val="2"/>
      <w:sz w:val="21"/>
    </w:rPr>
  </w:style>
  <w:style w:type="paragraph" w:customStyle="1" w:styleId="103">
    <w:name w:val="p0"/>
    <w:basedOn w:val="1"/>
    <w:qFormat/>
    <w:uiPriority w:val="0"/>
    <w:pPr>
      <w:widowControl/>
    </w:pPr>
    <w:rPr>
      <w:rFonts w:ascii="宋体" w:hAnsi="宋体" w:cs="宋体"/>
      <w:kern w:val="0"/>
      <w:szCs w:val="21"/>
    </w:rPr>
  </w:style>
  <w:style w:type="character" w:customStyle="1" w:styleId="104">
    <w:name w:val="内容文本 Char"/>
    <w:link w:val="105"/>
    <w:qFormat/>
    <w:uiPriority w:val="0"/>
    <w:rPr>
      <w:rFonts w:ascii="宋体" w:hAnsi="宋体"/>
      <w:sz w:val="24"/>
      <w:szCs w:val="24"/>
      <w:lang w:eastAsia="en-US" w:bidi="en-US"/>
    </w:rPr>
  </w:style>
  <w:style w:type="paragraph" w:customStyle="1" w:styleId="105">
    <w:name w:val="内容文本"/>
    <w:basedOn w:val="1"/>
    <w:link w:val="104"/>
    <w:qFormat/>
    <w:uiPriority w:val="0"/>
    <w:pPr>
      <w:spacing w:line="360" w:lineRule="auto"/>
      <w:ind w:firstLine="200" w:firstLineChars="200"/>
      <w:contextualSpacing/>
      <w:jc w:val="left"/>
    </w:pPr>
    <w:rPr>
      <w:rFonts w:ascii="宋体" w:hAnsi="宋体"/>
      <w:kern w:val="0"/>
      <w:sz w:val="24"/>
      <w:lang w:eastAsia="en-US" w:bidi="en-US"/>
    </w:rPr>
  </w:style>
  <w:style w:type="character" w:customStyle="1" w:styleId="106">
    <w:name w:val="样式1 Char_1"/>
    <w:link w:val="107"/>
    <w:qFormat/>
    <w:uiPriority w:val="0"/>
    <w:rPr>
      <w:rFonts w:ascii="宋体" w:hAnsi="Arial"/>
      <w:b/>
      <w:sz w:val="32"/>
    </w:rPr>
  </w:style>
  <w:style w:type="paragraph" w:customStyle="1" w:styleId="107">
    <w:name w:val="样式1_1"/>
    <w:basedOn w:val="1"/>
    <w:link w:val="106"/>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08">
    <w:name w:val="列出段落 Char1"/>
    <w:basedOn w:val="36"/>
    <w:qFormat/>
    <w:uiPriority w:val="34"/>
  </w:style>
  <w:style w:type="character" w:customStyle="1" w:styleId="109">
    <w:name w:val="标题 4 Char1"/>
    <w:semiHidden/>
    <w:qFormat/>
    <w:uiPriority w:val="9"/>
    <w:rPr>
      <w:rFonts w:ascii="Cambria" w:hAnsi="Cambria" w:eastAsia="宋体" w:cs="Times New Roman"/>
      <w:b/>
      <w:bCs/>
      <w:sz w:val="28"/>
      <w:szCs w:val="28"/>
    </w:rPr>
  </w:style>
  <w:style w:type="character" w:customStyle="1" w:styleId="110">
    <w:name w:val="列出段落 Char"/>
    <w:link w:val="44"/>
    <w:qFormat/>
    <w:uiPriority w:val="99"/>
    <w:rPr>
      <w:rFonts w:ascii="Calibri" w:hAnsi="Calibri"/>
      <w:kern w:val="2"/>
      <w:sz w:val="21"/>
      <w:szCs w:val="22"/>
    </w:rPr>
  </w:style>
  <w:style w:type="character" w:customStyle="1" w:styleId="111">
    <w:name w:val="p141"/>
    <w:qFormat/>
    <w:uiPriority w:val="0"/>
    <w:rPr>
      <w:sz w:val="21"/>
      <w:szCs w:val="21"/>
    </w:rPr>
  </w:style>
  <w:style w:type="character" w:customStyle="1" w:styleId="112">
    <w:name w:val="正文文本缩进 2 Char"/>
    <w:link w:val="87"/>
    <w:qFormat/>
    <w:uiPriority w:val="0"/>
    <w:rPr>
      <w:rFonts w:ascii="宋体"/>
      <w:color w:val="000000"/>
      <w:sz w:val="24"/>
    </w:rPr>
  </w:style>
  <w:style w:type="character" w:customStyle="1" w:styleId="113">
    <w:name w:val="样式5 Char"/>
    <w:link w:val="114"/>
    <w:qFormat/>
    <w:uiPriority w:val="0"/>
    <w:rPr>
      <w:rFonts w:ascii="方正书宋简体" w:hAnsi="Calibri" w:eastAsia="方正书宋简体" w:cs="黑体"/>
    </w:rPr>
  </w:style>
  <w:style w:type="paragraph" w:customStyle="1" w:styleId="114">
    <w:name w:val="样式5"/>
    <w:basedOn w:val="1"/>
    <w:link w:val="113"/>
    <w:qFormat/>
    <w:uiPriority w:val="0"/>
    <w:pPr>
      <w:spacing w:line="340" w:lineRule="exact"/>
      <w:ind w:firstLine="420" w:firstLineChars="200"/>
    </w:pPr>
    <w:rPr>
      <w:rFonts w:ascii="方正书宋简体" w:hAnsi="Calibri" w:eastAsia="方正书宋简体" w:cs="黑体"/>
      <w:kern w:val="0"/>
      <w:sz w:val="20"/>
      <w:szCs w:val="20"/>
    </w:rPr>
  </w:style>
  <w:style w:type="character" w:customStyle="1" w:styleId="115">
    <w:name w:val="正文文本 2 Char"/>
    <w:link w:val="89"/>
    <w:qFormat/>
    <w:uiPriority w:val="0"/>
    <w:rPr>
      <w:rFonts w:ascii="宋体"/>
      <w:color w:val="000000"/>
      <w:sz w:val="24"/>
      <w:szCs w:val="24"/>
    </w:rPr>
  </w:style>
  <w:style w:type="character" w:customStyle="1" w:styleId="116">
    <w:name w:val="正文文本 Char1"/>
    <w:qFormat/>
    <w:uiPriority w:val="99"/>
    <w:rPr>
      <w:rFonts w:eastAsia="Times New Roman"/>
      <w:kern w:val="2"/>
      <w:sz w:val="24"/>
      <w:szCs w:val="24"/>
    </w:rPr>
  </w:style>
  <w:style w:type="character" w:customStyle="1" w:styleId="117">
    <w:name w:val="日期 Char1"/>
    <w:qFormat/>
    <w:uiPriority w:val="99"/>
    <w:rPr>
      <w:rFonts w:ascii="Calibri" w:hAnsi="Calibri" w:eastAsia="楷体_GB2312"/>
      <w:kern w:val="2"/>
      <w:sz w:val="32"/>
      <w:szCs w:val="22"/>
    </w:rPr>
  </w:style>
  <w:style w:type="character" w:customStyle="1" w:styleId="118">
    <w:name w:val="*正文 Char"/>
    <w:link w:val="119"/>
    <w:qFormat/>
    <w:uiPriority w:val="0"/>
    <w:rPr>
      <w:rFonts w:ascii="宋体" w:hAnsi="宋体"/>
      <w:sz w:val="22"/>
    </w:rPr>
  </w:style>
  <w:style w:type="paragraph" w:customStyle="1" w:styleId="119">
    <w:name w:val="*正文"/>
    <w:basedOn w:val="1"/>
    <w:link w:val="118"/>
    <w:qFormat/>
    <w:uiPriority w:val="0"/>
    <w:pPr>
      <w:spacing w:line="360" w:lineRule="auto"/>
      <w:ind w:left="420" w:leftChars="200" w:firstLine="200" w:firstLineChars="200"/>
    </w:pPr>
    <w:rPr>
      <w:rFonts w:ascii="宋体" w:hAnsi="宋体"/>
      <w:kern w:val="0"/>
      <w:sz w:val="22"/>
      <w:szCs w:val="20"/>
    </w:rPr>
  </w:style>
  <w:style w:type="character" w:customStyle="1" w:styleId="120">
    <w:name w:val="纯文本 Char_3"/>
    <w:link w:val="54"/>
    <w:qFormat/>
    <w:uiPriority w:val="0"/>
    <w:rPr>
      <w:rFonts w:ascii="宋体" w:hAnsi="Courier New" w:eastAsiaTheme="minorEastAsia" w:cstheme="minorBidi"/>
      <w:kern w:val="2"/>
      <w:sz w:val="21"/>
      <w:szCs w:val="21"/>
    </w:rPr>
  </w:style>
  <w:style w:type="character" w:customStyle="1" w:styleId="121">
    <w:name w:val="正文文本 3 Char"/>
    <w:link w:val="86"/>
    <w:qFormat/>
    <w:uiPriority w:val="0"/>
    <w:rPr>
      <w:kern w:val="2"/>
      <w:sz w:val="16"/>
      <w:szCs w:val="16"/>
    </w:rPr>
  </w:style>
  <w:style w:type="character" w:customStyle="1" w:styleId="122">
    <w:name w:val="正文文本缩进 3 Char"/>
    <w:link w:val="88"/>
    <w:qFormat/>
    <w:uiPriority w:val="0"/>
    <w:rPr>
      <w:rFonts w:ascii="宋体"/>
      <w:b/>
      <w:color w:val="000000"/>
      <w:sz w:val="36"/>
      <w:szCs w:val="24"/>
    </w:rPr>
  </w:style>
  <w:style w:type="character" w:customStyle="1" w:styleId="123">
    <w:name w:val="标题 Char1"/>
    <w:qFormat/>
    <w:uiPriority w:val="0"/>
    <w:rPr>
      <w:rFonts w:ascii="Cambria" w:hAnsi="Cambria" w:eastAsia="Times New Roman"/>
      <w:b/>
      <w:bCs/>
      <w:kern w:val="2"/>
      <w:sz w:val="32"/>
      <w:szCs w:val="32"/>
    </w:rPr>
  </w:style>
  <w:style w:type="character" w:customStyle="1" w:styleId="124">
    <w:name w:val="标题 3 Char1"/>
    <w:qFormat/>
    <w:uiPriority w:val="9"/>
    <w:rPr>
      <w:b/>
      <w:bCs/>
      <w:sz w:val="32"/>
      <w:szCs w:val="32"/>
    </w:rPr>
  </w:style>
  <w:style w:type="character" w:customStyle="1" w:styleId="125">
    <w:name w:val="纯文本 Char_1_0"/>
    <w:link w:val="55"/>
    <w:qFormat/>
    <w:uiPriority w:val="0"/>
    <w:rPr>
      <w:rFonts w:ascii="宋体" w:hAnsi="Courier New" w:eastAsiaTheme="minorEastAsia" w:cstheme="minorBidi"/>
      <w:kern w:val="2"/>
      <w:sz w:val="21"/>
      <w:szCs w:val="21"/>
    </w:rPr>
  </w:style>
  <w:style w:type="character" w:customStyle="1" w:styleId="126">
    <w:name w:val="样式1 Char"/>
    <w:link w:val="127"/>
    <w:qFormat/>
    <w:uiPriority w:val="0"/>
    <w:rPr>
      <w:rFonts w:ascii="宋体" w:hAnsi="Arial"/>
      <w:b/>
      <w:sz w:val="32"/>
    </w:rPr>
  </w:style>
  <w:style w:type="paragraph" w:customStyle="1" w:styleId="127">
    <w:name w:val="样式1_0"/>
    <w:basedOn w:val="1"/>
    <w:link w:val="126"/>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28">
    <w:name w:val="样式44 Char"/>
    <w:basedOn w:val="85"/>
    <w:link w:val="129"/>
    <w:qFormat/>
    <w:uiPriority w:val="0"/>
    <w:rPr>
      <w:rFonts w:ascii="Cambria" w:hAnsi="Cambria"/>
      <w:kern w:val="2"/>
      <w:sz w:val="28"/>
      <w:szCs w:val="28"/>
    </w:rPr>
  </w:style>
  <w:style w:type="paragraph" w:customStyle="1" w:styleId="129">
    <w:name w:val="样式44"/>
    <w:basedOn w:val="7"/>
    <w:link w:val="128"/>
    <w:qFormat/>
    <w:uiPriority w:val="0"/>
  </w:style>
  <w:style w:type="character" w:customStyle="1" w:styleId="130">
    <w:name w:val="apple-converted-space"/>
    <w:basedOn w:val="36"/>
    <w:qFormat/>
    <w:uiPriority w:val="0"/>
  </w:style>
  <w:style w:type="character" w:customStyle="1" w:styleId="131">
    <w:name w:val="纯文本 Char_0_0"/>
    <w:link w:val="132"/>
    <w:qFormat/>
    <w:locked/>
    <w:uiPriority w:val="0"/>
    <w:rPr>
      <w:rFonts w:ascii="宋体" w:hAnsi="Courier New"/>
      <w:szCs w:val="21"/>
    </w:rPr>
  </w:style>
  <w:style w:type="paragraph" w:customStyle="1" w:styleId="132">
    <w:name w:val="纯文本_0"/>
    <w:basedOn w:val="1"/>
    <w:link w:val="131"/>
    <w:unhideWhenUsed/>
    <w:qFormat/>
    <w:uiPriority w:val="0"/>
    <w:pPr>
      <w:widowControl/>
      <w:jc w:val="left"/>
    </w:pPr>
    <w:rPr>
      <w:rFonts w:ascii="宋体" w:hAnsi="Courier New"/>
      <w:kern w:val="0"/>
      <w:sz w:val="20"/>
      <w:szCs w:val="21"/>
    </w:rPr>
  </w:style>
  <w:style w:type="character" w:customStyle="1" w:styleId="133">
    <w:name w:val="文档结构图 Char1"/>
    <w:qFormat/>
    <w:uiPriority w:val="99"/>
    <w:rPr>
      <w:rFonts w:ascii="宋体" w:hAnsi="Calibri"/>
      <w:kern w:val="2"/>
      <w:sz w:val="18"/>
      <w:szCs w:val="18"/>
    </w:rPr>
  </w:style>
  <w:style w:type="character" w:customStyle="1" w:styleId="134">
    <w:name w:val="Placeholder Text"/>
    <w:semiHidden/>
    <w:qFormat/>
    <w:uiPriority w:val="99"/>
    <w:rPr>
      <w:color w:val="808080"/>
    </w:rPr>
  </w:style>
  <w:style w:type="character" w:customStyle="1" w:styleId="135">
    <w:name w:val="日期 Char2"/>
    <w:basedOn w:val="36"/>
    <w:semiHidden/>
    <w:qFormat/>
    <w:uiPriority w:val="99"/>
    <w:rPr>
      <w:kern w:val="2"/>
      <w:sz w:val="21"/>
    </w:rPr>
  </w:style>
  <w:style w:type="character" w:customStyle="1" w:styleId="136">
    <w:name w:val="批注文字 Char2"/>
    <w:basedOn w:val="36"/>
    <w:semiHidden/>
    <w:qFormat/>
    <w:uiPriority w:val="99"/>
    <w:rPr>
      <w:kern w:val="2"/>
      <w:sz w:val="21"/>
    </w:rPr>
  </w:style>
  <w:style w:type="character" w:customStyle="1" w:styleId="137">
    <w:name w:val="批注主题 Char1"/>
    <w:basedOn w:val="136"/>
    <w:semiHidden/>
    <w:qFormat/>
    <w:uiPriority w:val="99"/>
    <w:rPr>
      <w:b/>
      <w:bCs/>
      <w:kern w:val="2"/>
      <w:sz w:val="21"/>
    </w:rPr>
  </w:style>
  <w:style w:type="character" w:customStyle="1" w:styleId="138">
    <w:name w:val="正文文本缩进 2 Char1"/>
    <w:basedOn w:val="36"/>
    <w:semiHidden/>
    <w:qFormat/>
    <w:uiPriority w:val="99"/>
    <w:rPr>
      <w:rFonts w:ascii="等线" w:hAnsi="等线" w:eastAsia="宋体" w:cs="Times New Roman"/>
      <w:kern w:val="2"/>
      <w:sz w:val="21"/>
      <w:szCs w:val="24"/>
    </w:rPr>
  </w:style>
  <w:style w:type="character" w:customStyle="1" w:styleId="139">
    <w:name w:val="文档结构图 Char2"/>
    <w:basedOn w:val="36"/>
    <w:semiHidden/>
    <w:qFormat/>
    <w:uiPriority w:val="99"/>
    <w:rPr>
      <w:rFonts w:ascii="宋体" w:hAnsi="等线" w:eastAsia="宋体" w:cs="Times New Roman"/>
      <w:kern w:val="2"/>
      <w:sz w:val="18"/>
      <w:szCs w:val="18"/>
    </w:rPr>
  </w:style>
  <w:style w:type="character" w:customStyle="1" w:styleId="140">
    <w:name w:val="正文文本缩进 Char2"/>
    <w:basedOn w:val="36"/>
    <w:semiHidden/>
    <w:qFormat/>
    <w:uiPriority w:val="99"/>
    <w:rPr>
      <w:kern w:val="2"/>
      <w:sz w:val="21"/>
    </w:rPr>
  </w:style>
  <w:style w:type="character" w:customStyle="1" w:styleId="141">
    <w:name w:val="正文首行缩进 2 Char1"/>
    <w:basedOn w:val="63"/>
    <w:semiHidden/>
    <w:qFormat/>
    <w:uiPriority w:val="99"/>
    <w:rPr>
      <w:rFonts w:ascii="等线" w:hAnsi="等线" w:eastAsia="宋体" w:cs="Times New Roman"/>
      <w:kern w:val="2"/>
      <w:sz w:val="21"/>
      <w:szCs w:val="24"/>
    </w:rPr>
  </w:style>
  <w:style w:type="character" w:customStyle="1" w:styleId="142">
    <w:name w:val="页脚 Char1"/>
    <w:basedOn w:val="36"/>
    <w:semiHidden/>
    <w:qFormat/>
    <w:uiPriority w:val="99"/>
    <w:rPr>
      <w:kern w:val="2"/>
      <w:sz w:val="18"/>
      <w:szCs w:val="18"/>
    </w:rPr>
  </w:style>
  <w:style w:type="character" w:customStyle="1" w:styleId="143">
    <w:name w:val="正文首行缩进 Char1"/>
    <w:basedOn w:val="71"/>
    <w:semiHidden/>
    <w:qFormat/>
    <w:uiPriority w:val="99"/>
    <w:rPr>
      <w:rFonts w:ascii="等线" w:hAnsi="等线" w:eastAsia="宋体" w:cs="Times New Roman"/>
      <w:kern w:val="2"/>
      <w:sz w:val="21"/>
      <w:szCs w:val="24"/>
    </w:rPr>
  </w:style>
  <w:style w:type="character" w:customStyle="1" w:styleId="144">
    <w:name w:val="正文文本 2 Char1"/>
    <w:basedOn w:val="36"/>
    <w:semiHidden/>
    <w:qFormat/>
    <w:uiPriority w:val="99"/>
    <w:rPr>
      <w:rFonts w:ascii="等线" w:hAnsi="等线" w:eastAsia="宋体" w:cs="Times New Roman"/>
      <w:kern w:val="2"/>
      <w:sz w:val="21"/>
      <w:szCs w:val="24"/>
    </w:rPr>
  </w:style>
  <w:style w:type="character" w:customStyle="1" w:styleId="145">
    <w:name w:val="正文文本 3 Char1"/>
    <w:basedOn w:val="36"/>
    <w:semiHidden/>
    <w:qFormat/>
    <w:uiPriority w:val="99"/>
    <w:rPr>
      <w:rFonts w:ascii="等线" w:hAnsi="等线" w:eastAsia="宋体" w:cs="Times New Roman"/>
      <w:kern w:val="2"/>
      <w:sz w:val="16"/>
      <w:szCs w:val="16"/>
    </w:rPr>
  </w:style>
  <w:style w:type="character" w:customStyle="1" w:styleId="146">
    <w:name w:val="页眉 Char1"/>
    <w:basedOn w:val="36"/>
    <w:semiHidden/>
    <w:qFormat/>
    <w:uiPriority w:val="99"/>
    <w:rPr>
      <w:kern w:val="2"/>
      <w:sz w:val="18"/>
      <w:szCs w:val="18"/>
    </w:rPr>
  </w:style>
  <w:style w:type="character" w:customStyle="1" w:styleId="147">
    <w:name w:val="标题 Char2"/>
    <w:basedOn w:val="36"/>
    <w:qFormat/>
    <w:uiPriority w:val="10"/>
    <w:rPr>
      <w:rFonts w:ascii="Cambria" w:hAnsi="Cambria" w:cs="Times New Roman"/>
      <w:b/>
      <w:bCs/>
      <w:kern w:val="2"/>
      <w:sz w:val="32"/>
      <w:szCs w:val="32"/>
    </w:rPr>
  </w:style>
  <w:style w:type="character" w:customStyle="1" w:styleId="148">
    <w:name w:val="正文文本缩进 3 Char1"/>
    <w:basedOn w:val="36"/>
    <w:semiHidden/>
    <w:qFormat/>
    <w:uiPriority w:val="99"/>
    <w:rPr>
      <w:rFonts w:ascii="等线" w:hAnsi="等线" w:eastAsia="宋体" w:cs="Times New Roman"/>
      <w:kern w:val="2"/>
      <w:sz w:val="16"/>
      <w:szCs w:val="16"/>
    </w:rPr>
  </w:style>
  <w:style w:type="character" w:customStyle="1" w:styleId="149">
    <w:name w:val="批注框文本 Char1"/>
    <w:basedOn w:val="36"/>
    <w:semiHidden/>
    <w:qFormat/>
    <w:uiPriority w:val="99"/>
    <w:rPr>
      <w:kern w:val="2"/>
      <w:sz w:val="18"/>
      <w:szCs w:val="18"/>
    </w:rPr>
  </w:style>
  <w:style w:type="character" w:customStyle="1" w:styleId="150">
    <w:name w:val="纯文本 Char2"/>
    <w:basedOn w:val="36"/>
    <w:semiHidden/>
    <w:qFormat/>
    <w:uiPriority w:val="99"/>
    <w:rPr>
      <w:rFonts w:ascii="宋体" w:hAnsi="Courier New" w:cs="Courier New"/>
      <w:kern w:val="2"/>
      <w:sz w:val="21"/>
      <w:szCs w:val="21"/>
    </w:rPr>
  </w:style>
  <w:style w:type="paragraph" w:customStyle="1" w:styleId="151">
    <w:name w:val="默认段落字体 Para Char Char Char Char Char Char Char Char Char1 Char Char Char Char"/>
    <w:basedOn w:val="1"/>
    <w:qFormat/>
    <w:uiPriority w:val="0"/>
    <w:rPr>
      <w:rFonts w:ascii="Tahoma" w:hAnsi="Tahoma"/>
      <w:sz w:val="24"/>
      <w:szCs w:val="20"/>
    </w:rPr>
  </w:style>
  <w:style w:type="paragraph" w:customStyle="1" w:styleId="152">
    <w:name w:val="Char Char1 Char Char Char Char Char Char Char Char"/>
    <w:basedOn w:val="1"/>
    <w:qFormat/>
    <w:uiPriority w:val="0"/>
    <w:pPr>
      <w:widowControl/>
      <w:spacing w:after="160" w:line="240" w:lineRule="exact"/>
      <w:jc w:val="left"/>
    </w:pPr>
    <w:rPr>
      <w:szCs w:val="20"/>
    </w:rPr>
  </w:style>
  <w:style w:type="paragraph" w:customStyle="1" w:styleId="153">
    <w:name w:val="1"/>
    <w:basedOn w:val="1"/>
    <w:next w:val="17"/>
    <w:qFormat/>
    <w:uiPriority w:val="0"/>
    <w:rPr>
      <w:rFonts w:ascii="宋体" w:hAnsi="Courier New"/>
      <w:szCs w:val="22"/>
    </w:rPr>
  </w:style>
  <w:style w:type="paragraph" w:customStyle="1" w:styleId="15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
    <w:basedOn w:val="1"/>
    <w:qFormat/>
    <w:uiPriority w:val="99"/>
    <w:pPr>
      <w:spacing w:beforeLines="50" w:afterLines="50"/>
      <w:ind w:firstLine="200" w:firstLineChars="200"/>
    </w:pPr>
    <w:rPr>
      <w:rFonts w:ascii="Calibri" w:hAnsi="Calibri"/>
      <w:szCs w:val="22"/>
    </w:rPr>
  </w:style>
  <w:style w:type="paragraph" w:customStyle="1" w:styleId="156">
    <w:name w:val="列出段落3"/>
    <w:basedOn w:val="1"/>
    <w:qFormat/>
    <w:uiPriority w:val="99"/>
    <w:pPr>
      <w:ind w:firstLine="420" w:firstLineChars="200"/>
    </w:pPr>
    <w:rPr>
      <w:rFonts w:ascii="Calibri" w:hAnsi="Calibri"/>
      <w:szCs w:val="22"/>
    </w:rPr>
  </w:style>
  <w:style w:type="paragraph" w:customStyle="1" w:styleId="157">
    <w:name w:val="_Style 22"/>
    <w:basedOn w:val="1"/>
    <w:qFormat/>
    <w:uiPriority w:val="0"/>
  </w:style>
  <w:style w:type="paragraph" w:customStyle="1" w:styleId="158">
    <w:name w:val="自定义正文"/>
    <w:basedOn w:val="1"/>
    <w:qFormat/>
    <w:uiPriority w:val="0"/>
    <w:pPr>
      <w:spacing w:before="120" w:after="60" w:line="400" w:lineRule="exact"/>
      <w:ind w:firstLine="200" w:firstLineChars="200"/>
    </w:pPr>
    <w:rPr>
      <w:rFonts w:ascii="仿宋_GB2312" w:eastAsia="仿宋_GB2312"/>
    </w:rPr>
  </w:style>
  <w:style w:type="paragraph" w:customStyle="1" w:styleId="159">
    <w:name w:val="DAS正文"/>
    <w:basedOn w:val="1"/>
    <w:qFormat/>
    <w:uiPriority w:val="0"/>
    <w:pPr>
      <w:spacing w:line="360" w:lineRule="auto"/>
      <w:ind w:right="181" w:firstLine="480" w:firstLineChars="200"/>
    </w:pPr>
    <w:rPr>
      <w:rFonts w:ascii="Verdana" w:hAnsi="Verdana"/>
      <w:sz w:val="24"/>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har1"/>
    <w:basedOn w:val="1"/>
    <w:qFormat/>
    <w:uiPriority w:val="0"/>
    <w:rPr>
      <w:rFonts w:ascii="Tahoma" w:hAnsi="Tahoma"/>
      <w:sz w:val="24"/>
      <w:szCs w:val="20"/>
    </w:rPr>
  </w:style>
  <w:style w:type="paragraph" w:customStyle="1" w:styleId="162">
    <w:name w:val="列出段落11"/>
    <w:basedOn w:val="1"/>
    <w:qFormat/>
    <w:uiPriority w:val="99"/>
    <w:pPr>
      <w:ind w:firstLine="200" w:firstLineChars="200"/>
    </w:pPr>
    <w:rPr>
      <w:rFonts w:ascii="Calibri" w:hAnsi="Calibri"/>
    </w:rPr>
  </w:style>
  <w:style w:type="paragraph" w:customStyle="1" w:styleId="163">
    <w:name w:val="Char"/>
    <w:basedOn w:val="1"/>
    <w:qFormat/>
    <w:uiPriority w:val="0"/>
  </w:style>
  <w:style w:type="paragraph" w:customStyle="1" w:styleId="164">
    <w:name w:val="WW-正文文字缩进 2"/>
    <w:basedOn w:val="1"/>
    <w:qFormat/>
    <w:uiPriority w:val="0"/>
    <w:pPr>
      <w:suppressAutoHyphens/>
      <w:ind w:firstLine="420"/>
    </w:pPr>
    <w:rPr>
      <w:kern w:val="1"/>
      <w:szCs w:val="20"/>
    </w:rPr>
  </w:style>
  <w:style w:type="paragraph" w:customStyle="1" w:styleId="165">
    <w:name w:val="列出段落2"/>
    <w:qFormat/>
    <w:uiPriority w:val="0"/>
    <w:pPr>
      <w:ind w:firstLine="420" w:firstLineChars="200"/>
    </w:pPr>
    <w:rPr>
      <w:rFonts w:ascii="Times New Roman" w:hAnsi="Times New Roman" w:eastAsia="宋体" w:cs="Times New Roman"/>
      <w:lang w:val="en-US" w:eastAsia="zh-CN" w:bidi="ar-SA"/>
    </w:rPr>
  </w:style>
  <w:style w:type="paragraph" w:customStyle="1" w:styleId="166">
    <w:name w:val="此正文"/>
    <w:basedOn w:val="1"/>
    <w:qFormat/>
    <w:uiPriority w:val="99"/>
    <w:pPr>
      <w:spacing w:line="360" w:lineRule="auto"/>
      <w:ind w:firstLine="200" w:firstLineChars="200"/>
    </w:pPr>
    <w:rPr>
      <w:sz w:val="24"/>
    </w:rPr>
  </w:style>
  <w:style w:type="paragraph" w:customStyle="1" w:styleId="16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68">
    <w:name w:val="TOC 标题1"/>
    <w:basedOn w:val="4"/>
    <w:next w:val="1"/>
    <w:unhideWhenUsed/>
    <w:qFormat/>
    <w:uiPriority w:val="39"/>
    <w:pPr>
      <w:keepNext/>
      <w:keepLines/>
      <w:widowControl/>
      <w:spacing w:before="480" w:line="276" w:lineRule="auto"/>
      <w:jc w:val="left"/>
      <w:outlineLvl w:val="9"/>
    </w:pPr>
    <w:rPr>
      <w:rFonts w:ascii="Cambria" w:hAnsi="Cambria"/>
      <w:b/>
      <w:bCs/>
      <w:color w:val="365F91"/>
      <w:sz w:val="28"/>
      <w:szCs w:val="28"/>
      <w:shd w:val="clear" w:color="auto" w:fill="auto"/>
    </w:rPr>
  </w:style>
  <w:style w:type="paragraph" w:customStyle="1" w:styleId="169">
    <w:name w:val="列出段落61"/>
    <w:basedOn w:val="1"/>
    <w:unhideWhenUsed/>
    <w:qFormat/>
    <w:uiPriority w:val="0"/>
    <w:pPr>
      <w:ind w:firstLine="420" w:firstLineChars="200"/>
    </w:pPr>
    <w:rPr>
      <w:rFonts w:ascii="Calibri" w:hAnsi="Calibri" w:cs="黑体"/>
      <w:szCs w:val="22"/>
    </w:rPr>
  </w:style>
  <w:style w:type="table" w:customStyle="1" w:styleId="170">
    <w:name w:val="网格型11"/>
    <w:basedOn w:val="3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1">
    <w:name w:val="font11"/>
    <w:qFormat/>
    <w:uiPriority w:val="0"/>
    <w:rPr>
      <w:rFonts w:hint="eastAsia" w:ascii="宋体" w:hAnsi="宋体" w:eastAsia="宋体" w:cs="宋体"/>
      <w:color w:val="000000"/>
      <w:sz w:val="24"/>
      <w:szCs w:val="24"/>
      <w:u w:val="none"/>
    </w:rPr>
  </w:style>
  <w:style w:type="character" w:customStyle="1" w:styleId="172">
    <w:name w:val="DS-正文样式 字符"/>
    <w:link w:val="173"/>
    <w:qFormat/>
    <w:uiPriority w:val="0"/>
    <w:rPr>
      <w:b/>
      <w:color w:val="000000"/>
      <w:kern w:val="2"/>
      <w:sz w:val="24"/>
      <w:szCs w:val="22"/>
    </w:rPr>
  </w:style>
  <w:style w:type="paragraph" w:customStyle="1" w:styleId="173">
    <w:name w:val="DS-正文样式"/>
    <w:basedOn w:val="1"/>
    <w:link w:val="172"/>
    <w:qFormat/>
    <w:uiPriority w:val="0"/>
    <w:pPr>
      <w:spacing w:line="360" w:lineRule="auto"/>
    </w:pPr>
    <w:rPr>
      <w:b/>
      <w:color w:val="000000"/>
      <w:sz w:val="24"/>
      <w:szCs w:val="22"/>
      <w:shd w:val="clear" w:color="auto" w:fill="FFFFFF"/>
    </w:rPr>
  </w:style>
  <w:style w:type="character" w:customStyle="1" w:styleId="174">
    <w:name w:val="正文文本 3 Char2"/>
    <w:basedOn w:val="36"/>
    <w:link w:val="12"/>
    <w:semiHidden/>
    <w:qFormat/>
    <w:uiPriority w:val="0"/>
    <w:rPr>
      <w:kern w:val="2"/>
      <w:sz w:val="16"/>
      <w:szCs w:val="16"/>
    </w:rPr>
  </w:style>
  <w:style w:type="character" w:customStyle="1" w:styleId="175">
    <w:name w:val="正文文本缩进 2 Char2"/>
    <w:basedOn w:val="36"/>
    <w:link w:val="19"/>
    <w:semiHidden/>
    <w:qFormat/>
    <w:uiPriority w:val="0"/>
    <w:rPr>
      <w:kern w:val="2"/>
      <w:sz w:val="21"/>
      <w:szCs w:val="24"/>
    </w:rPr>
  </w:style>
  <w:style w:type="character" w:customStyle="1" w:styleId="176">
    <w:name w:val="正文文本缩进 3 Char2"/>
    <w:basedOn w:val="36"/>
    <w:link w:val="25"/>
    <w:semiHidden/>
    <w:qFormat/>
    <w:uiPriority w:val="0"/>
    <w:rPr>
      <w:kern w:val="2"/>
      <w:sz w:val="16"/>
      <w:szCs w:val="16"/>
    </w:rPr>
  </w:style>
  <w:style w:type="character" w:customStyle="1" w:styleId="177">
    <w:name w:val="正文文本 2 Char2"/>
    <w:basedOn w:val="36"/>
    <w:link w:val="27"/>
    <w:semiHidden/>
    <w:qFormat/>
    <w:uiPriority w:val="0"/>
    <w:rPr>
      <w:kern w:val="2"/>
      <w:sz w:val="21"/>
      <w:szCs w:val="24"/>
    </w:rPr>
  </w:style>
  <w:style w:type="paragraph" w:customStyle="1" w:styleId="17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表格"/>
    <w:basedOn w:val="1"/>
    <w:qFormat/>
    <w:uiPriority w:val="0"/>
    <w:pPr>
      <w:widowControl/>
      <w:spacing w:line="300" w:lineRule="auto"/>
      <w:jc w:val="center"/>
    </w:pPr>
    <w:rPr>
      <w:rFonts w:ascii="宋体" w:hAnsi="宋体" w:cs="宋体"/>
      <w:bCs/>
      <w:kern w:val="0"/>
    </w:rPr>
  </w:style>
  <w:style w:type="paragraph" w:customStyle="1" w:styleId="180">
    <w:name w:val="表内文字"/>
    <w:qFormat/>
    <w:uiPriority w:val="0"/>
    <w:pPr>
      <w:widowControl w:val="0"/>
      <w:tabs>
        <w:tab w:val="left" w:pos="1418"/>
      </w:tabs>
      <w:spacing w:line="360" w:lineRule="auto"/>
      <w:jc w:val="center"/>
    </w:pPr>
    <w:rPr>
      <w:rFonts w:hint="eastAsia" w:ascii="仿宋_GB2312" w:hAnsi="Calibri" w:eastAsia="仿宋_GB2312" w:cs="Times New Roman"/>
      <w:spacing w:val="-20"/>
      <w:kern w:val="0"/>
      <w:sz w:val="28"/>
      <w:szCs w:val="24"/>
      <w:lang w:val="en-US" w:eastAsia="zh-CN" w:bidi="ar-SA"/>
    </w:rPr>
  </w:style>
  <w:style w:type="character" w:customStyle="1" w:styleId="181">
    <w:name w:val="NormalCharacter"/>
    <w:qFormat/>
    <w:uiPriority w:val="0"/>
  </w:style>
  <w:style w:type="paragraph" w:customStyle="1" w:styleId="182">
    <w:name w:val="PlainText"/>
    <w:basedOn w:val="1"/>
    <w:qFormat/>
    <w:uiPriority w:val="0"/>
    <w:pPr>
      <w:textAlignment w:val="baseline"/>
    </w:pPr>
    <w:rPr>
      <w:rFonts w:ascii="宋体" w:hAnsi="Courier New"/>
    </w:rPr>
  </w:style>
  <w:style w:type="paragraph" w:customStyle="1" w:styleId="183">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4294</Words>
  <Characters>24481</Characters>
  <Lines>204</Lines>
  <Paragraphs>57</Paragraphs>
  <TotalTime>58</TotalTime>
  <ScaleCrop>false</ScaleCrop>
  <LinksUpToDate>false</LinksUpToDate>
  <CharactersWithSpaces>28718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2021-05-12T21:06:00Z</dcterms:created>
  <dc:creator>S-mile</dc:creator>
  <cp:lastModifiedBy>洗尽铅华</cp:lastModifiedBy>
  <cp:lastPrinted>2021-06-07T01:57:00Z</cp:lastPrinted>
  <dcterms:modified xsi:type="dcterms:W3CDTF">2021-12-21T01:53:48Z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B37941650C8E4B53A5D82265997F2B64</vt:lpwstr>
  </property>
</Properties>
</file>