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项目名称：</w:t>
      </w:r>
      <w:r>
        <w:rPr>
          <w:rFonts w:hint="eastAsia" w:ascii="仿宋" w:hAnsi="仿宋" w:eastAsia="仿宋" w:cs="仿宋"/>
          <w:b/>
          <w:bCs/>
          <w:sz w:val="44"/>
          <w:szCs w:val="44"/>
          <w:lang w:eastAsia="zh-CN"/>
        </w:rPr>
        <w:t>2025年台州市生态环境监测----大气颗粒物组分分析委托监测、重点断面水生态监测</w:t>
      </w:r>
    </w:p>
    <w:p>
      <w:pPr>
        <w:snapToGrid w:val="0"/>
        <w:spacing w:line="360" w:lineRule="auto"/>
        <w:jc w:val="center"/>
        <w:rPr>
          <w:rFonts w:hint="eastAsia" w:ascii="仿宋" w:hAnsi="仿宋" w:eastAsia="仿宋" w:cs="仿宋"/>
          <w:b/>
          <w:bCs/>
          <w:sz w:val="30"/>
          <w:szCs w:val="30"/>
          <w:lang w:val="en-US" w:eastAsia="zh-CN"/>
        </w:rPr>
      </w:pPr>
    </w:p>
    <w:p>
      <w:pPr>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招标</w:t>
      </w:r>
      <w:r>
        <w:rPr>
          <w:rFonts w:hint="eastAsia" w:ascii="仿宋" w:hAnsi="仿宋" w:eastAsia="仿宋" w:cs="仿宋"/>
          <w:b/>
          <w:bCs/>
          <w:sz w:val="30"/>
          <w:szCs w:val="30"/>
        </w:rPr>
        <w:t>编号:</w:t>
      </w:r>
      <w:bookmarkStart w:id="0" w:name="OLE_LINK1"/>
      <w:r>
        <w:rPr>
          <w:rFonts w:hint="eastAsia" w:ascii="仿宋" w:hAnsi="仿宋" w:eastAsia="仿宋" w:cs="仿宋"/>
          <w:b/>
          <w:bCs/>
          <w:sz w:val="30"/>
          <w:szCs w:val="30"/>
        </w:rPr>
        <w:t>TZFD(</w:t>
      </w:r>
      <w:r>
        <w:rPr>
          <w:rFonts w:hint="eastAsia" w:ascii="仿宋" w:hAnsi="仿宋" w:eastAsia="仿宋" w:cs="仿宋"/>
          <w:b/>
          <w:bCs/>
          <w:sz w:val="30"/>
          <w:szCs w:val="30"/>
          <w:lang w:eastAsia="zh-CN"/>
        </w:rPr>
        <w:t>2025</w:t>
      </w:r>
      <w:r>
        <w:rPr>
          <w:rFonts w:hint="eastAsia" w:ascii="仿宋" w:hAnsi="仿宋" w:eastAsia="仿宋" w:cs="仿宋"/>
          <w:b/>
          <w:bCs/>
          <w:sz w:val="30"/>
          <w:szCs w:val="30"/>
        </w:rPr>
        <w:t>)-</w:t>
      </w:r>
      <w:bookmarkEnd w:id="0"/>
      <w:r>
        <w:rPr>
          <w:rFonts w:hint="eastAsia" w:ascii="仿宋" w:hAnsi="仿宋" w:eastAsia="仿宋" w:cs="仿宋"/>
          <w:b/>
          <w:bCs/>
          <w:sz w:val="30"/>
          <w:szCs w:val="30"/>
          <w:lang w:eastAsia="zh-CN"/>
        </w:rPr>
        <w:t>1028号</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pStyle w:val="5"/>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pacing w:line="360" w:lineRule="auto"/>
        <w:ind w:left="-21" w:leftChars="-200" w:hanging="399" w:hangingChars="116"/>
        <w:jc w:val="center"/>
        <w:rPr>
          <w:rFonts w:hint="eastAsia" w:ascii="仿宋" w:hAnsi="仿宋" w:eastAsia="仿宋" w:cs="仿宋"/>
          <w:spacing w:val="12"/>
          <w:sz w:val="32"/>
          <w:szCs w:val="32"/>
        </w:rPr>
      </w:pPr>
    </w:p>
    <w:p>
      <w:pPr>
        <w:spacing w:line="360" w:lineRule="auto"/>
        <w:ind w:left="-21" w:leftChars="-200" w:hanging="399" w:hangingChars="116"/>
        <w:jc w:val="center"/>
        <w:rPr>
          <w:rFonts w:hint="eastAsia" w:ascii="仿宋" w:hAnsi="仿宋" w:eastAsia="仿宋" w:cs="仿宋"/>
          <w:sz w:val="32"/>
          <w:szCs w:val="32"/>
          <w:lang w:eastAsia="zh-CN"/>
        </w:rPr>
      </w:pPr>
      <w:r>
        <w:rPr>
          <w:rFonts w:hint="eastAsia" w:ascii="仿宋" w:hAnsi="仿宋" w:eastAsia="仿宋" w:cs="仿宋"/>
          <w:spacing w:val="12"/>
          <w:sz w:val="32"/>
          <w:szCs w:val="32"/>
        </w:rPr>
        <w:t>采购人：</w:t>
      </w:r>
      <w:r>
        <w:rPr>
          <w:rFonts w:hint="eastAsia" w:ascii="仿宋" w:hAnsi="仿宋" w:eastAsia="仿宋" w:cs="仿宋"/>
          <w:spacing w:val="12"/>
          <w:sz w:val="32"/>
          <w:szCs w:val="32"/>
          <w:lang w:eastAsia="zh-CN"/>
        </w:rPr>
        <w:t>浙江省台州生态环境监测中心</w:t>
      </w:r>
    </w:p>
    <w:p>
      <w:pPr>
        <w:spacing w:line="360" w:lineRule="auto"/>
        <w:ind w:left="-49" w:leftChars="-200" w:hanging="371" w:hangingChars="116"/>
        <w:jc w:val="center"/>
        <w:rPr>
          <w:rFonts w:ascii="仿宋" w:hAnsi="仿宋" w:eastAsia="仿宋" w:cs="仿宋"/>
          <w:spacing w:val="12"/>
          <w:sz w:val="32"/>
          <w:szCs w:val="32"/>
        </w:rPr>
      </w:pPr>
      <w:r>
        <w:rPr>
          <w:rFonts w:hint="eastAsia" w:ascii="仿宋" w:hAnsi="仿宋" w:eastAsia="仿宋" w:cs="仿宋"/>
          <w:bCs/>
          <w:sz w:val="32"/>
          <w:szCs w:val="32"/>
        </w:rPr>
        <w:t>采购代理机构</w:t>
      </w:r>
      <w:r>
        <w:rPr>
          <w:rFonts w:hint="eastAsia" w:ascii="仿宋" w:hAnsi="仿宋" w:eastAsia="仿宋" w:cs="仿宋"/>
          <w:spacing w:val="12"/>
          <w:sz w:val="32"/>
          <w:szCs w:val="32"/>
        </w:rPr>
        <w:t>：台州锋鼎工程项目管理有限公司</w:t>
      </w:r>
    </w:p>
    <w:p>
      <w:pPr>
        <w:spacing w:line="360" w:lineRule="auto"/>
        <w:jc w:val="both"/>
        <w:rPr>
          <w:rFonts w:ascii="仿宋" w:hAnsi="仿宋" w:eastAsia="仿宋" w:cs="仿宋"/>
          <w:sz w:val="32"/>
          <w:szCs w:val="32"/>
        </w:rPr>
      </w:pPr>
    </w:p>
    <w:p>
      <w:pPr>
        <w:spacing w:line="360" w:lineRule="auto"/>
        <w:jc w:val="center"/>
        <w:rPr>
          <w:rFonts w:hint="eastAsia" w:ascii="仿宋" w:hAnsi="仿宋" w:eastAsia="仿宋" w:cs="仿宋"/>
          <w:bCs/>
          <w:sz w:val="32"/>
          <w:szCs w:val="32"/>
        </w:rPr>
        <w:sectPr>
          <w:headerReference r:id="rId4" w:type="first"/>
          <w:headerReference r:id="rId3" w:type="default"/>
          <w:pgSz w:w="11905" w:h="16838"/>
          <w:pgMar w:top="1440" w:right="1083" w:bottom="1440" w:left="1083" w:header="567" w:footer="567" w:gutter="0"/>
          <w:pgNumType w:fmt="decimal" w:start="1"/>
          <w:cols w:space="0" w:num="1"/>
          <w:titlePg/>
          <w:docGrid w:linePitch="312" w:charSpace="0"/>
        </w:sect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62832"/>
        <w15:color w:val="DBDBDB"/>
        <w:docPartObj>
          <w:docPartGallery w:val="Table of Contents"/>
          <w:docPartUnique/>
        </w:docPartObj>
      </w:sdtPr>
      <w:sdtEndPr>
        <w:rPr>
          <w:rFonts w:ascii="宋体" w:hAnsi="宋体"/>
        </w:rPr>
      </w:sdtEndPr>
      <w:sdtContent>
        <w:p>
          <w:pPr>
            <w:jc w:val="center"/>
          </w:pPr>
        </w:p>
        <w:p>
          <w:pPr>
            <w:pStyle w:val="970"/>
            <w:tabs>
              <w:tab w:val="right" w:leader="dot" w:pos="9739"/>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"_Toc24240"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"_Toc32713"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_Toc32713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"_Toc29425"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_Toc29425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"_Toc19373" </w:instrText>
          </w:r>
          <w:r>
            <w:fldChar w:fldCharType="separate"/>
          </w:r>
          <w:r>
            <w:rPr>
              <w:rFonts w:hint="eastAsia" w:ascii="仿宋" w:hAnsi="仿宋" w:eastAsia="仿宋" w:cs="仿宋"/>
              <w:bCs/>
              <w:kern w:val="44"/>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_Toc19373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rPr>
              <w:rFonts w:ascii="仿宋" w:hAnsi="仿宋" w:eastAsia="仿宋" w:cs="仿宋"/>
              <w:sz w:val="32"/>
              <w:szCs w:val="32"/>
            </w:rPr>
          </w:pPr>
          <w:r>
            <w:fldChar w:fldCharType="begin"/>
          </w:r>
          <w:r>
            <w:instrText xml:space="preserve"> HYPERLINK \l "_Toc16397"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_Toc16397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70"/>
            <w:tabs>
              <w:tab w:val="right" w:leader="dot" w:pos="9739"/>
            </w:tabs>
            <w:spacing w:line="360" w:lineRule="auto"/>
          </w:pPr>
          <w:r>
            <w:fldChar w:fldCharType="begin"/>
          </w:r>
          <w:r>
            <w:instrText xml:space="preserve"> HYPERLINK \l "_Toc4250"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_Toc4250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bookmarkEnd w:id="2"/>
    <w:p>
      <w:pPr>
        <w:adjustRightInd/>
        <w:spacing w:line="360" w:lineRule="auto"/>
        <w:jc w:val="center"/>
        <w:outlineLvl w:val="0"/>
        <w:rPr>
          <w:rStyle w:val="285"/>
          <w:rFonts w:hint="eastAsia" w:ascii="仿宋" w:hAnsi="仿宋" w:eastAsia="仿宋" w:cs="仿宋"/>
        </w:rPr>
        <w:sectPr>
          <w:footerReference r:id="rId6" w:type="first"/>
          <w:footerReference r:id="rId5" w:type="default"/>
          <w:pgSz w:w="11905" w:h="16838"/>
          <w:pgMar w:top="1440" w:right="1083" w:bottom="1440" w:left="1083" w:header="567" w:footer="567" w:gutter="0"/>
          <w:pgNumType w:fmt="decimal" w:start="1"/>
          <w:cols w:space="0" w:num="1"/>
          <w:docGrid w:linePitch="312" w:charSpace="0"/>
        </w:sectPr>
      </w:pPr>
      <w:bookmarkStart w:id="444" w:name="_GoBack"/>
      <w:bookmarkEnd w:id="444"/>
      <w:bookmarkStart w:id="3" w:name="_Hlt74728647"/>
      <w:bookmarkEnd w:id="3"/>
      <w:bookmarkStart w:id="4" w:name="_Hlt74729822"/>
      <w:bookmarkEnd w:id="4"/>
      <w:bookmarkStart w:id="5" w:name="_Hlt74707423"/>
      <w:bookmarkEnd w:id="5"/>
      <w:bookmarkStart w:id="6" w:name="_Hlt74649545"/>
      <w:bookmarkEnd w:id="6"/>
      <w:bookmarkStart w:id="7" w:name="_Toc24240"/>
      <w:bookmarkStart w:id="8" w:name="第二部分"/>
      <w:bookmarkStart w:id="9" w:name="_Toc91899870"/>
      <w:bookmarkStart w:id="10" w:name="_Toc91899871"/>
    </w:p>
    <w:p>
      <w:pPr>
        <w:adjustRightInd/>
        <w:spacing w:line="360" w:lineRule="auto"/>
        <w:jc w:val="center"/>
        <w:outlineLvl w:val="0"/>
        <w:rPr>
          <w:rFonts w:ascii="仿宋" w:hAnsi="仿宋" w:eastAsia="仿宋" w:cs="仿宋"/>
          <w:b/>
          <w:sz w:val="36"/>
          <w:szCs w:val="20"/>
        </w:rPr>
      </w:pPr>
      <w:r>
        <w:rPr>
          <w:rStyle w:val="285"/>
          <w:rFonts w:hint="eastAsia" w:ascii="仿宋" w:hAnsi="仿宋" w:eastAsia="仿宋" w:cs="仿宋"/>
        </w:rPr>
        <w:t>第一部分 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2025年台州市生态环境监测----大气颗粒物组分分析委托监测、重点断面水生态监测</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仿宋" w:hAnsi="仿宋" w:eastAsia="仿宋" w:cs="仿宋"/>
          <w:snapToGrid/>
          <w:color w:val="auto"/>
          <w:kern w:val="2"/>
          <w:sz w:val="24"/>
          <w:szCs w:val="24"/>
        </w:rPr>
        <w:t>https://www.zcygov.cn</w:t>
      </w:r>
      <w:r>
        <w:rPr>
          <w:rStyle w:val="80"/>
          <w:rFonts w:hint="eastAsia" w:ascii="仿宋" w:hAnsi="仿宋" w:eastAsia="仿宋" w:cs="仿宋"/>
          <w:snapToGrid/>
          <w:color w:val="auto"/>
          <w:kern w:val="2"/>
          <w:sz w:val="24"/>
          <w:szCs w:val="24"/>
          <w:lang w:eastAsia="zh-CN"/>
        </w:rPr>
        <w:t>）</w:t>
      </w:r>
      <w:r>
        <w:rPr>
          <w:rStyle w:val="80"/>
          <w:rFonts w:hint="eastAsia" w:ascii="仿宋" w:hAnsi="仿宋" w:eastAsia="仿宋" w:cs="仿宋"/>
          <w:snapToGrid/>
          <w:color w:val="auto"/>
          <w:kern w:val="2"/>
          <w:sz w:val="24"/>
          <w:szCs w:val="24"/>
        </w:rPr>
        <w:t>获取（下载）招标文件，并于</w:t>
      </w:r>
      <w:bookmarkStart w:id="11" w:name="OLE_LINK29"/>
      <w:r>
        <w:rPr>
          <w:rStyle w:val="80"/>
          <w:rFonts w:hint="eastAsia" w:ascii="仿宋" w:hAnsi="仿宋" w:eastAsia="仿宋" w:cs="仿宋"/>
          <w:snapToGrid/>
          <w:color w:val="auto"/>
          <w:kern w:val="2"/>
          <w:sz w:val="24"/>
          <w:szCs w:val="24"/>
          <w:lang w:eastAsia="zh-CN"/>
        </w:rPr>
        <w:t>2025</w:t>
      </w:r>
      <w:r>
        <w:rPr>
          <w:rStyle w:val="80"/>
          <w:rFonts w:hint="eastAsia" w:ascii="仿宋" w:hAnsi="仿宋" w:eastAsia="仿宋" w:cs="仿宋"/>
          <w:snapToGrid/>
          <w:color w:val="auto"/>
          <w:kern w:val="2"/>
          <w:sz w:val="24"/>
          <w:szCs w:val="24"/>
        </w:rPr>
        <w:t>年</w:t>
      </w:r>
      <w:r>
        <w:rPr>
          <w:rStyle w:val="80"/>
          <w:rFonts w:hint="eastAsia" w:ascii="仿宋" w:hAnsi="仿宋" w:eastAsia="仿宋" w:cs="仿宋"/>
          <w:snapToGrid/>
          <w:color w:val="auto"/>
          <w:kern w:val="2"/>
          <w:sz w:val="24"/>
          <w:szCs w:val="24"/>
          <w:lang w:val="en-US" w:eastAsia="zh-CN"/>
        </w:rPr>
        <w:t>08月04</w:t>
      </w:r>
      <w:r>
        <w:rPr>
          <w:rStyle w:val="80"/>
          <w:rFonts w:hint="eastAsia" w:ascii="仿宋" w:hAnsi="仿宋" w:eastAsia="仿宋" w:cs="仿宋"/>
          <w:snapToGrid/>
          <w:color w:val="auto"/>
          <w:kern w:val="2"/>
          <w:sz w:val="24"/>
          <w:szCs w:val="24"/>
        </w:rPr>
        <w:t>日09</w:t>
      </w:r>
      <w:r>
        <w:rPr>
          <w:rStyle w:val="80"/>
          <w:rFonts w:hint="eastAsia" w:ascii="仿宋" w:hAnsi="仿宋" w:eastAsia="仿宋" w:cs="仿宋"/>
          <w:snapToGrid/>
          <w:color w:val="auto"/>
          <w:kern w:val="2"/>
          <w:sz w:val="24"/>
          <w:szCs w:val="24"/>
          <w:lang w:eastAsia="zh-CN"/>
        </w:rPr>
        <w:t>:</w:t>
      </w:r>
      <w:r>
        <w:rPr>
          <w:rStyle w:val="80"/>
          <w:rFonts w:hint="eastAsia" w:ascii="仿宋" w:hAnsi="仿宋" w:eastAsia="仿宋" w:cs="仿宋"/>
          <w:snapToGrid/>
          <w:color w:val="auto"/>
          <w:kern w:val="2"/>
          <w:sz w:val="24"/>
          <w:szCs w:val="24"/>
        </w:rPr>
        <w:t>00</w:t>
      </w:r>
      <w:bookmarkEnd w:id="11"/>
      <w:r>
        <w:rPr>
          <w:rStyle w:val="80"/>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1658000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sz w:val="24"/>
          <w:lang w:eastAsia="zh-CN"/>
        </w:rPr>
        <w:t>1658000</w:t>
      </w: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6"/>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936"/>
        <w:gridCol w:w="1718"/>
        <w:gridCol w:w="764"/>
        <w:gridCol w:w="968"/>
        <w:gridCol w:w="132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37"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标项号</w:t>
            </w:r>
          </w:p>
        </w:tc>
        <w:tc>
          <w:tcPr>
            <w:tcW w:w="2936"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主要内容</w:t>
            </w:r>
          </w:p>
        </w:tc>
        <w:tc>
          <w:tcPr>
            <w:tcW w:w="764"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数量</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单位</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预算价格</w:t>
            </w:r>
          </w:p>
        </w:tc>
        <w:tc>
          <w:tcPr>
            <w:tcW w:w="870"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37" w:type="dxa"/>
            <w:vAlign w:val="center"/>
          </w:tcPr>
          <w:p>
            <w:pPr>
              <w:tabs>
                <w:tab w:val="left" w:pos="8280"/>
              </w:tabs>
              <w:autoSpaceDE w:val="0"/>
              <w:autoSpaceDN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一</w:t>
            </w:r>
          </w:p>
        </w:tc>
        <w:tc>
          <w:tcPr>
            <w:tcW w:w="2936" w:type="dxa"/>
            <w:vAlign w:val="center"/>
          </w:tcPr>
          <w:p>
            <w:pPr>
              <w:tabs>
                <w:tab w:val="left" w:pos="8280"/>
              </w:tabs>
              <w:autoSpaceDE w:val="0"/>
              <w:autoSpaceDN w:val="0"/>
              <w:spacing w:line="560" w:lineRule="atLeast"/>
              <w:ind w:right="25"/>
              <w:jc w:val="center"/>
              <w:rPr>
                <w:rFonts w:ascii="仿宋" w:hAnsi="仿宋" w:eastAsia="仿宋" w:cs="仿宋"/>
                <w:bCs/>
                <w:sz w:val="24"/>
              </w:rPr>
            </w:pPr>
            <w:r>
              <w:rPr>
                <w:rFonts w:hint="eastAsia" w:ascii="仿宋" w:hAnsi="仿宋" w:eastAsia="仿宋" w:cs="仿宋"/>
                <w:sz w:val="24"/>
                <w:lang w:eastAsia="zh-CN"/>
              </w:rPr>
              <w:t>2025年台州市生态环境监测----大气颗粒物组分分析委托监测、重点断面水生态监测</w:t>
            </w:r>
          </w:p>
        </w:tc>
        <w:tc>
          <w:tcPr>
            <w:tcW w:w="1718" w:type="dxa"/>
            <w:vAlign w:val="center"/>
          </w:tcPr>
          <w:p>
            <w:pPr>
              <w:tabs>
                <w:tab w:val="left" w:pos="8280"/>
              </w:tabs>
              <w:autoSpaceDE w:val="0"/>
              <w:autoSpaceDN w:val="0"/>
              <w:snapToGrid w:val="0"/>
              <w:spacing w:line="360" w:lineRule="auto"/>
              <w:jc w:val="center"/>
              <w:rPr>
                <w:rFonts w:ascii="仿宋" w:hAnsi="仿宋" w:eastAsia="仿宋" w:cs="仿宋"/>
                <w:bCs/>
                <w:sz w:val="24"/>
              </w:rPr>
            </w:pPr>
            <w:bookmarkStart w:id="12" w:name="OLE_LINK3"/>
            <w:r>
              <w:rPr>
                <w:rFonts w:hint="eastAsia" w:ascii="仿宋" w:hAnsi="仿宋" w:eastAsia="仿宋" w:cs="仿宋"/>
                <w:bCs/>
                <w:sz w:val="24"/>
              </w:rPr>
              <w:t>详见</w:t>
            </w:r>
            <w:r>
              <w:rPr>
                <w:rFonts w:hint="eastAsia" w:ascii="仿宋" w:hAnsi="仿宋" w:eastAsia="仿宋" w:cs="仿宋"/>
                <w:bCs/>
                <w:sz w:val="24"/>
                <w:lang w:val="en-US" w:eastAsia="zh-CN"/>
              </w:rPr>
              <w:t>采购</w:t>
            </w:r>
            <w:r>
              <w:rPr>
                <w:rFonts w:hint="eastAsia" w:ascii="仿宋" w:hAnsi="仿宋" w:eastAsia="仿宋" w:cs="仿宋"/>
                <w:bCs/>
                <w:sz w:val="24"/>
              </w:rPr>
              <w:t>需求</w:t>
            </w:r>
            <w:bookmarkEnd w:id="12"/>
          </w:p>
        </w:tc>
        <w:tc>
          <w:tcPr>
            <w:tcW w:w="764" w:type="dxa"/>
            <w:vAlign w:val="center"/>
          </w:tcPr>
          <w:p>
            <w:pPr>
              <w:tabs>
                <w:tab w:val="left" w:pos="8280"/>
              </w:tabs>
              <w:autoSpaceDE w:val="0"/>
              <w:autoSpaceDN w:val="0"/>
              <w:snapToGrid w:val="0"/>
              <w:spacing w:line="360" w:lineRule="auto"/>
              <w:jc w:val="center"/>
              <w:rPr>
                <w:rFonts w:hint="eastAsia" w:ascii="仿宋" w:hAnsi="仿宋" w:eastAsia="仿宋" w:cs="仿宋"/>
                <w:bCs/>
                <w:sz w:val="24"/>
                <w:lang w:eastAsia="zh-CN"/>
              </w:rPr>
            </w:pPr>
            <w:r>
              <w:rPr>
                <w:rFonts w:hint="eastAsia" w:ascii="仿宋" w:hAnsi="仿宋" w:eastAsia="仿宋" w:cs="仿宋"/>
                <w:bCs/>
                <w:sz w:val="24"/>
                <w:lang w:val="en-US" w:eastAsia="zh-CN"/>
              </w:rPr>
              <w:t>1</w:t>
            </w:r>
          </w:p>
        </w:tc>
        <w:tc>
          <w:tcPr>
            <w:tcW w:w="968"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rPr>
              <w:t>个</w:t>
            </w:r>
          </w:p>
        </w:tc>
        <w:tc>
          <w:tcPr>
            <w:tcW w:w="1323"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bCs/>
                <w:sz w:val="24"/>
                <w:lang w:val="en-US" w:eastAsia="zh-CN"/>
              </w:rPr>
              <w:t>1658000</w:t>
            </w:r>
            <w:r>
              <w:rPr>
                <w:rFonts w:hint="eastAsia" w:ascii="仿宋" w:hAnsi="仿宋" w:eastAsia="仿宋" w:cs="仿宋"/>
                <w:bCs/>
                <w:sz w:val="24"/>
              </w:rPr>
              <w:t>元</w:t>
            </w:r>
          </w:p>
        </w:tc>
        <w:tc>
          <w:tcPr>
            <w:tcW w:w="870" w:type="dxa"/>
            <w:vAlign w:val="center"/>
          </w:tcPr>
          <w:p>
            <w:pPr>
              <w:snapToGrid w:val="0"/>
              <w:spacing w:line="360" w:lineRule="auto"/>
              <w:jc w:val="center"/>
              <w:rPr>
                <w:rFonts w:ascii="仿宋" w:hAnsi="仿宋" w:eastAsia="仿宋" w:cs="仿宋"/>
                <w:sz w:val="22"/>
                <w:szCs w:val="28"/>
                <w:highlight w:val="yellow"/>
              </w:rPr>
            </w:pPr>
          </w:p>
        </w:tc>
      </w:tr>
    </w:tbl>
    <w:p>
      <w:pPr>
        <w:pStyle w:val="6"/>
        <w:spacing w:line="360" w:lineRule="auto"/>
        <w:ind w:firstLine="480"/>
        <w:rPr>
          <w:rFonts w:ascii="仿宋" w:hAnsi="仿宋" w:eastAsia="仿宋" w:cs="仿宋"/>
          <w:bCs/>
          <w:snapToGrid/>
          <w:color w:val="auto"/>
          <w:kern w:val="2"/>
          <w:sz w:val="24"/>
          <w:szCs w:val="24"/>
        </w:rPr>
      </w:pP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具体以招标文件采购需求为准，供应商可点击本公告下方“浏览采购文件”查看采购需求。</w:t>
      </w:r>
    </w:p>
    <w:p>
      <w:pPr>
        <w:pStyle w:val="133"/>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 /</w:t>
      </w:r>
    </w:p>
    <w:p>
      <w:pPr>
        <w:pStyle w:val="6"/>
        <w:spacing w:line="360" w:lineRule="auto"/>
        <w:ind w:firstLine="480"/>
        <w:rPr>
          <w:rFonts w:ascii="仿宋" w:hAnsi="仿宋" w:eastAsia="仿宋" w:cs="仿宋"/>
          <w:b/>
          <w:color w:val="auto"/>
        </w:rPr>
      </w:pPr>
      <w:r>
        <w:rPr>
          <w:rFonts w:hint="eastAsia" w:ascii="仿宋" w:hAnsi="仿宋" w:eastAsia="仿宋" w:cs="仿宋"/>
          <w:b/>
          <w:color w:val="auto"/>
          <w:sz w:val="24"/>
        </w:rPr>
        <w:t>本项目是否接受联合体投标：否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szCs w:val="20"/>
        </w:rPr>
        <w:t>1. 满足《中华人民共和国政府采购法》第二十二条规定；未被“信用中国”（w</w:t>
      </w:r>
      <w:r>
        <w:rPr>
          <w:rFonts w:hint="eastAsia" w:ascii="仿宋" w:hAnsi="仿宋" w:eastAsia="仿宋" w:cs="仿宋"/>
          <w:sz w:val="24"/>
        </w:rPr>
        <w:t>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bookmarkStart w:id="13" w:name="OLE_LINK2"/>
      <w:bookmarkStart w:id="14" w:name="OLE_LINK10"/>
      <w:bookmarkStart w:id="15" w:name="OLE_LINK5"/>
      <w:r>
        <w:rPr>
          <w:rFonts w:hint="eastAsia" w:ascii="仿宋" w:hAnsi="仿宋" w:eastAsia="仿宋" w:cs="仿宋"/>
          <w:sz w:val="24"/>
          <w:szCs w:val="24"/>
        </w:rPr>
        <w:t>专门面向中小企业采购。参与投标的供应商出具《中小企业声明函（</w:t>
      </w:r>
      <w:r>
        <w:rPr>
          <w:rFonts w:hint="eastAsia" w:ascii="仿宋" w:hAnsi="仿宋" w:eastAsia="仿宋" w:cs="仿宋"/>
          <w:sz w:val="24"/>
          <w:szCs w:val="24"/>
          <w:lang w:val="en-US" w:eastAsia="zh-CN"/>
        </w:rPr>
        <w:t>服务</w:t>
      </w:r>
      <w:r>
        <w:rPr>
          <w:rFonts w:hint="eastAsia" w:ascii="仿宋" w:hAnsi="仿宋" w:eastAsia="仿宋" w:cs="仿宋"/>
          <w:sz w:val="24"/>
          <w:szCs w:val="24"/>
        </w:rPr>
        <w:t>）》，监狱企业、残疾人福利性单位视同小型、微型企业</w:t>
      </w:r>
      <w:r>
        <w:rPr>
          <w:rFonts w:hint="eastAsia" w:ascii="仿宋" w:hAnsi="仿宋" w:eastAsia="仿宋" w:cs="仿宋"/>
          <w:sz w:val="24"/>
        </w:rPr>
        <w:t>；</w:t>
      </w:r>
      <w:bookmarkEnd w:id="13"/>
      <w:bookmarkEnd w:id="14"/>
    </w:p>
    <w:bookmarkEnd w:id="15"/>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时间：至提交投标文件截止之前均可获取</w:t>
      </w:r>
      <w:r>
        <w:rPr>
          <w:rFonts w:hint="eastAsia" w:ascii="仿宋" w:hAnsi="仿宋" w:eastAsia="仿宋" w:cs="仿宋"/>
          <w:sz w:val="24"/>
        </w:rPr>
        <w:t>（北京时间，线上获取法定节假日均可，线下获取文件法定节假日除外）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Style w:val="80"/>
          <w:rFonts w:hint="eastAsia" w:ascii="仿宋" w:hAnsi="仿宋" w:eastAsia="仿宋" w:cs="仿宋"/>
          <w:snapToGrid/>
          <w:color w:val="auto"/>
          <w:kern w:val="2"/>
          <w:sz w:val="24"/>
          <w:szCs w:val="24"/>
          <w:lang w:eastAsia="zh-CN"/>
        </w:rPr>
        <w:t>2025</w:t>
      </w:r>
      <w:r>
        <w:rPr>
          <w:rStyle w:val="80"/>
          <w:rFonts w:hint="eastAsia" w:ascii="仿宋" w:hAnsi="仿宋" w:eastAsia="仿宋" w:cs="仿宋"/>
          <w:snapToGrid/>
          <w:color w:val="auto"/>
          <w:kern w:val="2"/>
          <w:sz w:val="24"/>
          <w:szCs w:val="24"/>
        </w:rPr>
        <w:t>年</w:t>
      </w:r>
      <w:r>
        <w:rPr>
          <w:rStyle w:val="80"/>
          <w:rFonts w:hint="eastAsia" w:ascii="仿宋" w:hAnsi="仿宋" w:eastAsia="仿宋" w:cs="仿宋"/>
          <w:snapToGrid/>
          <w:color w:val="auto"/>
          <w:kern w:val="2"/>
          <w:sz w:val="24"/>
          <w:szCs w:val="24"/>
          <w:lang w:val="en-US" w:eastAsia="zh-CN"/>
        </w:rPr>
        <w:t>08月04</w:t>
      </w:r>
      <w:r>
        <w:rPr>
          <w:rStyle w:val="80"/>
          <w:rFonts w:hint="eastAsia" w:ascii="仿宋" w:hAnsi="仿宋" w:eastAsia="仿宋" w:cs="仿宋"/>
          <w:snapToGrid/>
          <w:color w:val="auto"/>
          <w:kern w:val="2"/>
          <w:sz w:val="24"/>
          <w:szCs w:val="24"/>
        </w:rPr>
        <w:t>日09</w:t>
      </w:r>
      <w:r>
        <w:rPr>
          <w:rStyle w:val="80"/>
          <w:rFonts w:hint="eastAsia" w:ascii="仿宋" w:hAnsi="仿宋" w:eastAsia="仿宋" w:cs="仿宋"/>
          <w:snapToGrid/>
          <w:color w:val="auto"/>
          <w:kern w:val="2"/>
          <w:sz w:val="24"/>
          <w:szCs w:val="24"/>
          <w:lang w:eastAsia="zh-CN"/>
        </w:rPr>
        <w:t>:</w:t>
      </w:r>
      <w:r>
        <w:rPr>
          <w:rStyle w:val="80"/>
          <w:rFonts w:hint="eastAsia" w:ascii="仿宋" w:hAnsi="仿宋" w:eastAsia="仿宋" w:cs="仿宋"/>
          <w:snapToGrid/>
          <w:color w:val="auto"/>
          <w:kern w:val="2"/>
          <w:sz w:val="24"/>
          <w:szCs w:val="24"/>
        </w:rPr>
        <w:t>00</w:t>
      </w:r>
      <w:bookmarkStart w:id="16" w:name="OLE_LINK30"/>
      <w:r>
        <w:rPr>
          <w:rFonts w:hint="eastAsia" w:ascii="仿宋" w:hAnsi="仿宋" w:eastAsia="仿宋" w:cs="仿宋"/>
          <w:sz w:val="24"/>
        </w:rPr>
        <w:t>（北京时间）</w:t>
      </w:r>
    </w:p>
    <w:bookmarkEnd w:id="16"/>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Style w:val="80"/>
          <w:rFonts w:hint="eastAsia" w:ascii="仿宋" w:hAnsi="仿宋" w:eastAsia="仿宋" w:cs="仿宋"/>
          <w:snapToGrid/>
          <w:color w:val="auto"/>
          <w:kern w:val="2"/>
          <w:sz w:val="24"/>
          <w:szCs w:val="24"/>
          <w:lang w:eastAsia="zh-CN"/>
        </w:rPr>
        <w:t>2025</w:t>
      </w:r>
      <w:r>
        <w:rPr>
          <w:rStyle w:val="80"/>
          <w:rFonts w:hint="eastAsia" w:ascii="仿宋" w:hAnsi="仿宋" w:eastAsia="仿宋" w:cs="仿宋"/>
          <w:snapToGrid/>
          <w:color w:val="auto"/>
          <w:kern w:val="2"/>
          <w:sz w:val="24"/>
          <w:szCs w:val="24"/>
        </w:rPr>
        <w:t>年</w:t>
      </w:r>
      <w:r>
        <w:rPr>
          <w:rStyle w:val="80"/>
          <w:rFonts w:hint="eastAsia" w:ascii="仿宋" w:hAnsi="仿宋" w:eastAsia="仿宋" w:cs="仿宋"/>
          <w:snapToGrid/>
          <w:color w:val="auto"/>
          <w:kern w:val="2"/>
          <w:sz w:val="24"/>
          <w:szCs w:val="24"/>
          <w:lang w:val="en-US" w:eastAsia="zh-CN"/>
        </w:rPr>
        <w:t>08月04</w:t>
      </w:r>
      <w:r>
        <w:rPr>
          <w:rStyle w:val="80"/>
          <w:rFonts w:hint="eastAsia" w:ascii="仿宋" w:hAnsi="仿宋" w:eastAsia="仿宋" w:cs="仿宋"/>
          <w:snapToGrid/>
          <w:color w:val="auto"/>
          <w:kern w:val="2"/>
          <w:sz w:val="24"/>
          <w:szCs w:val="24"/>
        </w:rPr>
        <w:t>日09</w:t>
      </w:r>
      <w:r>
        <w:rPr>
          <w:rStyle w:val="80"/>
          <w:rFonts w:hint="eastAsia" w:ascii="仿宋" w:hAnsi="仿宋" w:eastAsia="仿宋" w:cs="仿宋"/>
          <w:snapToGrid/>
          <w:color w:val="auto"/>
          <w:kern w:val="2"/>
          <w:sz w:val="24"/>
          <w:szCs w:val="24"/>
          <w:lang w:eastAsia="zh-CN"/>
        </w:rPr>
        <w:t>:</w:t>
      </w:r>
      <w:r>
        <w:rPr>
          <w:rStyle w:val="80"/>
          <w:rFonts w:hint="eastAsia" w:ascii="仿宋" w:hAnsi="仿宋" w:eastAsia="仿宋" w:cs="仿宋"/>
          <w:snapToGrid/>
          <w:color w:val="auto"/>
          <w:kern w:val="2"/>
          <w:sz w:val="24"/>
          <w:szCs w:val="24"/>
        </w:rPr>
        <w:t>00</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r>
        <w:rPr>
          <w:rFonts w:hint="eastAsia" w:ascii="仿宋" w:hAnsi="仿宋" w:eastAsia="仿宋" w:cs="仿宋"/>
          <w:sz w:val="24"/>
          <w:lang w:eastAsia="zh-CN"/>
        </w:rPr>
        <w:t>）</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1.根据《浙江省财政厅关于进一步促进政府采购公平竞争打造最优营商环境的通知》（浙财采监</w:t>
      </w:r>
      <w:r>
        <w:rPr>
          <w:rFonts w:hint="eastAsia" w:ascii="仿宋" w:hAnsi="仿宋" w:eastAsia="仿宋" w:cs="仿宋"/>
          <w:sz w:val="24"/>
          <w:lang w:eastAsia="zh-CN"/>
        </w:rPr>
        <w:t>〔2021〕22号</w:t>
      </w:r>
      <w:r>
        <w:rPr>
          <w:rFonts w:hint="eastAsia" w:ascii="仿宋" w:hAnsi="仿宋" w:eastAsia="仿宋" w:cs="仿宋"/>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认为招标文件使自己的权益受到损害的，可以自招标文件公告期限届满之日起7个工作日内，以书面形式一次性针对同一环节（包括招标过程、中标结果等也应一次性在同一环节提出）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浙江省台州生态环境监测中心</w:t>
      </w:r>
    </w:p>
    <w:p>
      <w:pPr>
        <w:spacing w:line="360" w:lineRule="auto"/>
        <w:rPr>
          <w:rFonts w:ascii="仿宋" w:hAnsi="仿宋" w:eastAsia="仿宋" w:cs="仿宋"/>
          <w:sz w:val="24"/>
        </w:rPr>
      </w:pPr>
      <w:r>
        <w:rPr>
          <w:rFonts w:hint="eastAsia" w:ascii="仿宋" w:hAnsi="仿宋" w:eastAsia="仿宋" w:cs="仿宋"/>
          <w:sz w:val="24"/>
        </w:rPr>
        <w:t xml:space="preserve">    地    址： 台州市椒江区白云山南路108号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default" w:ascii="仿宋" w:hAnsi="仿宋" w:eastAsia="仿宋" w:cs="仿宋"/>
          <w:sz w:val="24"/>
          <w:lang w:val="en-US"/>
        </w:rPr>
      </w:pPr>
      <w:r>
        <w:rPr>
          <w:rFonts w:hint="eastAsia" w:ascii="仿宋" w:hAnsi="仿宋" w:eastAsia="仿宋" w:cs="仿宋"/>
          <w:sz w:val="24"/>
        </w:rPr>
        <w:t>项目联系人（询问）：</w:t>
      </w:r>
      <w:r>
        <w:rPr>
          <w:rFonts w:hint="eastAsia" w:ascii="仿宋" w:hAnsi="仿宋" w:eastAsia="仿宋" w:cs="仿宋"/>
          <w:color w:val="auto"/>
          <w:sz w:val="24"/>
          <w:szCs w:val="24"/>
          <w:highlight w:val="none"/>
          <w:lang w:val="en-US" w:eastAsia="zh-CN"/>
        </w:rPr>
        <w:t>徐先生</w:t>
      </w:r>
    </w:p>
    <w:p>
      <w:pPr>
        <w:spacing w:line="360" w:lineRule="auto"/>
        <w:ind w:firstLine="480"/>
        <w:rPr>
          <w:rFonts w:hint="default" w:ascii="仿宋" w:hAnsi="仿宋" w:eastAsia="仿宋" w:cs="仿宋"/>
          <w:sz w:val="24"/>
          <w:lang w:val="en-US"/>
        </w:rPr>
      </w:pPr>
      <w:r>
        <w:rPr>
          <w:rFonts w:hint="eastAsia" w:ascii="仿宋" w:hAnsi="仿宋" w:eastAsia="仿宋" w:cs="仿宋"/>
          <w:sz w:val="24"/>
        </w:rPr>
        <w:t>项目联系方式（询问）：0576-88581953</w:t>
      </w:r>
    </w:p>
    <w:p>
      <w:pPr>
        <w:snapToGrid w:val="0"/>
        <w:spacing w:line="360" w:lineRule="auto"/>
        <w:ind w:firstLine="480" w:firstLineChars="200"/>
        <w:rPr>
          <w:rFonts w:hint="default" w:ascii="仿宋" w:hAnsi="仿宋" w:eastAsia="仿宋" w:cs="仿宋"/>
          <w:sz w:val="24"/>
          <w:lang w:val="en-US" w:eastAsia="zh-CN"/>
        </w:rPr>
      </w:pPr>
      <w:bookmarkStart w:id="17" w:name="OLE_LINK4"/>
      <w:r>
        <w:rPr>
          <w:rFonts w:hint="eastAsia" w:ascii="仿宋" w:hAnsi="仿宋" w:eastAsia="仿宋" w:cs="仿宋"/>
          <w:sz w:val="24"/>
        </w:rPr>
        <w:t>质疑联系人：</w:t>
      </w:r>
      <w:r>
        <w:rPr>
          <w:rFonts w:hint="eastAsia" w:ascii="仿宋" w:hAnsi="仿宋" w:eastAsia="仿宋" w:cs="仿宋"/>
          <w:sz w:val="24"/>
          <w:lang w:eastAsia="zh-CN"/>
        </w:rPr>
        <w:t>丁女士</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质疑联系方式：0576-88581135</w:t>
      </w:r>
    </w:p>
    <w:bookmarkEnd w:id="17"/>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2.采购代理机构信息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浙江省台州市椒江区万达大厦3号楼2512室</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bookmarkStart w:id="18" w:name="_Toc28359010"/>
      <w:bookmarkStart w:id="19" w:name="_Toc28359087"/>
      <w:r>
        <w:rPr>
          <w:rFonts w:hint="eastAsia" w:ascii="仿宋" w:hAnsi="仿宋" w:eastAsia="仿宋" w:cs="仿宋"/>
          <w:sz w:val="24"/>
        </w:rPr>
        <w:t>传  真：0576-</w:t>
      </w:r>
      <w:r>
        <w:rPr>
          <w:rFonts w:hint="eastAsia" w:ascii="仿宋" w:hAnsi="仿宋" w:eastAsia="仿宋" w:cs="仿宋"/>
          <w:sz w:val="24"/>
          <w:lang w:eastAsia="zh-CN"/>
        </w:rPr>
        <w:t>88133987</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项目联系人（询问）：蔡女士</w:t>
      </w:r>
      <w:r>
        <w:rPr>
          <w:rFonts w:hint="eastAsia" w:ascii="仿宋" w:hAnsi="仿宋" w:eastAsia="仿宋" w:cs="仿宋"/>
          <w:sz w:val="24"/>
          <w:lang w:eastAsia="zh-CN"/>
        </w:rPr>
        <w:t>、</w:t>
      </w:r>
      <w:r>
        <w:rPr>
          <w:rFonts w:hint="eastAsia" w:ascii="仿宋" w:hAnsi="仿宋" w:eastAsia="仿宋" w:cs="仿宋"/>
          <w:sz w:val="24"/>
          <w:lang w:val="en-US" w:eastAsia="zh-CN"/>
        </w:rPr>
        <w:t>陶女士</w:t>
      </w:r>
      <w:r>
        <w:rPr>
          <w:rFonts w:hint="eastAsia" w:ascii="仿宋" w:hAnsi="仿宋" w:eastAsia="仿宋" w:cs="仿宋"/>
          <w:sz w:val="24"/>
        </w:rPr>
        <w:t>　   　　　　　　　　　　　</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 15372111333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w:t>
      </w:r>
      <w:r>
        <w:rPr>
          <w:rFonts w:hint="eastAsia" w:ascii="仿宋" w:hAnsi="仿宋" w:eastAsia="仿宋" w:cs="仿宋"/>
          <w:sz w:val="24"/>
          <w:lang w:val="en-US" w:eastAsia="zh-CN"/>
        </w:rPr>
        <w:t>余先生</w:t>
      </w:r>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w:t>
      </w:r>
      <w:r>
        <w:rPr>
          <w:rFonts w:hint="eastAsia" w:ascii="仿宋" w:hAnsi="仿宋" w:eastAsia="仿宋" w:cs="仿宋"/>
          <w:sz w:val="24"/>
          <w:lang w:val="en-US" w:eastAsia="zh-CN"/>
        </w:rPr>
        <w:t>88217987</w:t>
      </w:r>
      <w:r>
        <w:rPr>
          <w:rFonts w:hint="eastAsia" w:ascii="仿宋" w:hAnsi="仿宋" w:eastAsia="仿宋" w:cs="仿宋"/>
          <w:sz w:val="24"/>
        </w:rPr>
        <w:t>　</w:t>
      </w:r>
    </w:p>
    <w:bookmarkEnd w:id="18"/>
    <w:bookmarkEnd w:id="19"/>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名   称： </w:t>
      </w:r>
      <w:bookmarkStart w:id="20" w:name="OLE_LINK7"/>
      <w:r>
        <w:rPr>
          <w:rFonts w:hint="eastAsia" w:ascii="仿宋" w:hAnsi="仿宋" w:eastAsia="仿宋" w:cs="仿宋"/>
          <w:sz w:val="24"/>
        </w:rPr>
        <w:t>台州市财政局政府采购监管处</w:t>
      </w:r>
      <w:bookmarkEnd w:id="20"/>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地  址： </w:t>
      </w:r>
      <w:bookmarkStart w:id="21" w:name="OLE_LINK8"/>
      <w:r>
        <w:rPr>
          <w:rFonts w:hint="eastAsia" w:ascii="仿宋" w:hAnsi="仿宋" w:eastAsia="仿宋" w:cs="仿宋"/>
          <w:sz w:val="24"/>
        </w:rPr>
        <w:t>台州市椒江区纬一路66号天元大厦</w:t>
      </w:r>
      <w:bookmarkEnd w:id="21"/>
      <w:r>
        <w:rPr>
          <w:rFonts w:hint="eastAsia" w:ascii="仿宋" w:hAnsi="仿宋" w:eastAsia="仿宋" w:cs="仿宋"/>
          <w:sz w:val="24"/>
        </w:rPr>
        <w:t>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传  真： 0576-88200827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联系人 ： 陈女士   　　　　　　　　</w:t>
      </w:r>
    </w:p>
    <w:p>
      <w:pPr>
        <w:spacing w:line="360" w:lineRule="auto"/>
        <w:ind w:firstLine="480"/>
        <w:rPr>
          <w:rFonts w:ascii="仿宋" w:hAnsi="仿宋" w:eastAsia="仿宋" w:cs="仿宋"/>
          <w:sz w:val="24"/>
        </w:rPr>
      </w:pPr>
      <w:r>
        <w:rPr>
          <w:rFonts w:hint="eastAsia" w:ascii="仿宋" w:hAnsi="仿宋" w:eastAsia="仿宋" w:cs="仿宋"/>
          <w:sz w:val="24"/>
        </w:rPr>
        <w:t>监督投诉电话：0576-88206705　</w:t>
      </w:r>
    </w:p>
    <w:p>
      <w:pPr>
        <w:spacing w:line="360" w:lineRule="auto"/>
        <w:outlineLvl w:val="1"/>
        <w:rPr>
          <w:rFonts w:ascii="仿宋" w:hAnsi="仿宋" w:eastAsia="仿宋" w:cs="仿宋"/>
          <w:b/>
          <w:sz w:val="24"/>
        </w:rPr>
      </w:pPr>
      <w:r>
        <w:rPr>
          <w:rFonts w:hint="eastAsia" w:ascii="仿宋" w:hAnsi="仿宋" w:eastAsia="仿宋" w:cs="仿宋"/>
          <w:b/>
          <w:sz w:val="24"/>
        </w:rPr>
        <w:t>八、中标供应商如有融资需求，可使用以下服务</w:t>
      </w:r>
    </w:p>
    <w:p>
      <w:pPr>
        <w:pStyle w:val="26"/>
        <w:ind w:firstLine="0" w:firstLineChars="0"/>
        <w:jc w:val="center"/>
        <w:rPr>
          <w:rFonts w:ascii="仿宋" w:hAnsi="仿宋" w:eastAsia="仿宋" w:cs="仿宋"/>
        </w:rPr>
      </w:pPr>
      <w:r>
        <w:rPr>
          <w:rFonts w:hint="eastAsia" w:ascii="仿宋" w:hAnsi="仿宋" w:eastAsia="仿宋" w:cs="仿宋"/>
        </w:rPr>
        <w:t>政采贷联系方式</w:t>
      </w:r>
    </w:p>
    <w:tbl>
      <w:tblPr>
        <w:tblStyle w:val="6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贷款年利率</w:t>
            </w:r>
          </w:p>
        </w:tc>
        <w:tc>
          <w:tcPr>
            <w:tcW w:w="168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2131" w:type="dxa"/>
            <w:vAlign w:val="center"/>
          </w:tcPr>
          <w:p>
            <w:pPr>
              <w:jc w:val="center"/>
              <w:rPr>
                <w:rFonts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中国工商银行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王霖</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中国农业银行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龚盛</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中国建设银行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梅晶晶</w:t>
            </w:r>
          </w:p>
        </w:tc>
        <w:tc>
          <w:tcPr>
            <w:tcW w:w="2131" w:type="dxa"/>
            <w:vAlign w:val="center"/>
          </w:tcPr>
          <w:p>
            <w:pPr>
              <w:jc w:val="center"/>
              <w:rPr>
                <w:rFonts w:ascii="仿宋" w:hAnsi="仿宋" w:eastAsia="仿宋" w:cs="仿宋"/>
                <w:sz w:val="24"/>
              </w:rPr>
            </w:pPr>
            <w:r>
              <w:rPr>
                <w:rFonts w:hint="eastAsia" w:ascii="仿宋" w:hAnsi="仿宋" w:eastAsia="仿宋" w:cs="仿宋"/>
                <w:sz w:val="24"/>
              </w:rPr>
              <w:t>88525339</w:t>
            </w:r>
          </w:p>
          <w:p>
            <w:pPr>
              <w:jc w:val="center"/>
              <w:rPr>
                <w:rFonts w:ascii="仿宋" w:hAnsi="仿宋" w:eastAsia="仿宋" w:cs="仿宋"/>
                <w:sz w:val="24"/>
              </w:rPr>
            </w:pPr>
            <w:r>
              <w:rPr>
                <w:rFonts w:hint="eastAsia" w:ascii="仿宋" w:hAnsi="仿宋" w:eastAsia="仿宋" w:cs="仿宋"/>
                <w:sz w:val="24"/>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中国银行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王渊</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浦发银行椒江分行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孙瑞华</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交通银行台州分行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3.75%起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周翔宇</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招商银行台州分行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4.32%起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王海玲</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浙商银行台州分行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5.01%起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章涉漪</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81880185</w:t>
            </w:r>
          </w:p>
          <w:p>
            <w:pPr>
              <w:jc w:val="center"/>
              <w:rPr>
                <w:rFonts w:ascii="仿宋" w:hAnsi="仿宋" w:eastAsia="仿宋" w:cs="仿宋"/>
                <w:sz w:val="24"/>
              </w:rPr>
            </w:pPr>
            <w:r>
              <w:rPr>
                <w:rFonts w:hint="eastAsia" w:ascii="仿宋" w:hAnsi="仿宋" w:eastAsia="仿宋" w:cs="仿宋"/>
                <w:sz w:val="24"/>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中信银行台州分行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4.15%起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陈金园</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华夏银行台州分行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邱明达</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81871518</w:t>
            </w:r>
          </w:p>
          <w:p>
            <w:pPr>
              <w:jc w:val="center"/>
              <w:rPr>
                <w:rFonts w:ascii="仿宋" w:hAnsi="仿宋" w:eastAsia="仿宋" w:cs="仿宋"/>
                <w:sz w:val="24"/>
              </w:rPr>
            </w:pPr>
            <w:r>
              <w:rPr>
                <w:rFonts w:hint="eastAsia" w:ascii="仿宋" w:hAnsi="仿宋" w:eastAsia="仿宋" w:cs="仿宋"/>
                <w:sz w:val="24"/>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泰隆银行开发区支行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梁宛莉</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民泰银行椒江支行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5.8%起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陈慧珠</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绍兴银行台州分行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5.1%起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郭庭斌</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温州银行台州分行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4.55%起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王晓波</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平安银行台州分行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6.53%起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李俊丽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宁波银行台州分行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4.35%起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戴莉丽</w:t>
            </w:r>
          </w:p>
        </w:tc>
        <w:tc>
          <w:tcPr>
            <w:tcW w:w="2131" w:type="dxa"/>
            <w:vAlign w:val="center"/>
          </w:tcPr>
          <w:p>
            <w:pPr>
              <w:jc w:val="center"/>
              <w:rPr>
                <w:rFonts w:ascii="仿宋" w:hAnsi="仿宋" w:eastAsia="仿宋" w:cs="仿宋"/>
                <w:sz w:val="24"/>
              </w:rPr>
            </w:pPr>
            <w:r>
              <w:rPr>
                <w:rFonts w:hint="eastAsia" w:ascii="仿宋" w:hAnsi="仿宋" w:eastAsia="仿宋" w:cs="仿宋"/>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金华银行台州分行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4.05%起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金雪婷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81886670</w:t>
            </w:r>
          </w:p>
          <w:p>
            <w:pPr>
              <w:jc w:val="center"/>
              <w:rPr>
                <w:rFonts w:ascii="仿宋" w:hAnsi="仿宋" w:eastAsia="仿宋" w:cs="仿宋"/>
                <w:sz w:val="24"/>
              </w:rPr>
            </w:pPr>
            <w:r>
              <w:rPr>
                <w:rFonts w:hint="eastAsia" w:ascii="仿宋" w:hAnsi="仿宋" w:eastAsia="仿宋" w:cs="仿宋"/>
                <w:sz w:val="24"/>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台州银行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5.6%起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洪婷</w:t>
            </w:r>
          </w:p>
        </w:tc>
        <w:tc>
          <w:tcPr>
            <w:tcW w:w="2131" w:type="dxa"/>
            <w:vAlign w:val="center"/>
          </w:tcPr>
          <w:p>
            <w:pPr>
              <w:jc w:val="center"/>
              <w:rPr>
                <w:rFonts w:ascii="仿宋" w:hAnsi="仿宋" w:eastAsia="仿宋" w:cs="仿宋"/>
                <w:sz w:val="24"/>
              </w:rPr>
            </w:pPr>
            <w:r>
              <w:rPr>
                <w:rFonts w:hint="eastAsia" w:ascii="仿宋" w:hAnsi="仿宋" w:eastAsia="仿宋" w:cs="仿宋"/>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rPr>
            </w:pPr>
            <w:r>
              <w:rPr>
                <w:rFonts w:hint="eastAsia" w:ascii="仿宋" w:hAnsi="仿宋" w:eastAsia="仿宋" w:cs="仿宋"/>
                <w:sz w:val="24"/>
              </w:rPr>
              <w:t>邮储银行台州分行</w:t>
            </w:r>
          </w:p>
        </w:tc>
        <w:tc>
          <w:tcPr>
            <w:tcW w:w="1725" w:type="dxa"/>
            <w:vAlign w:val="center"/>
          </w:tcPr>
          <w:p>
            <w:pPr>
              <w:jc w:val="center"/>
              <w:rPr>
                <w:rFonts w:ascii="仿宋" w:hAnsi="仿宋" w:eastAsia="仿宋" w:cs="仿宋"/>
                <w:sz w:val="24"/>
              </w:rPr>
            </w:pPr>
            <w:r>
              <w:rPr>
                <w:rFonts w:hint="eastAsia" w:ascii="仿宋" w:hAnsi="仿宋" w:eastAsia="仿宋" w:cs="仿宋"/>
                <w:sz w:val="24"/>
              </w:rPr>
              <w:t>3.85%起</w:t>
            </w:r>
          </w:p>
        </w:tc>
        <w:tc>
          <w:tcPr>
            <w:tcW w:w="1688" w:type="dxa"/>
            <w:vAlign w:val="center"/>
          </w:tcPr>
          <w:p>
            <w:pPr>
              <w:jc w:val="center"/>
              <w:rPr>
                <w:rFonts w:ascii="仿宋" w:hAnsi="仿宋" w:eastAsia="仿宋" w:cs="仿宋"/>
                <w:sz w:val="24"/>
              </w:rPr>
            </w:pPr>
            <w:r>
              <w:rPr>
                <w:rFonts w:hint="eastAsia" w:ascii="仿宋" w:hAnsi="仿宋" w:eastAsia="仿宋" w:cs="仿宋"/>
                <w:sz w:val="24"/>
              </w:rPr>
              <w:t>董庆</w:t>
            </w:r>
          </w:p>
        </w:tc>
        <w:tc>
          <w:tcPr>
            <w:tcW w:w="2131" w:type="dxa"/>
            <w:vAlign w:val="center"/>
          </w:tcPr>
          <w:p>
            <w:pPr>
              <w:jc w:val="center"/>
              <w:rPr>
                <w:rFonts w:ascii="仿宋" w:hAnsi="仿宋" w:eastAsia="仿宋" w:cs="仿宋"/>
                <w:sz w:val="24"/>
              </w:rPr>
            </w:pPr>
            <w:r>
              <w:rPr>
                <w:rFonts w:hint="eastAsia" w:ascii="仿宋" w:hAnsi="仿宋" w:eastAsia="仿宋" w:cs="仿宋"/>
                <w:sz w:val="24"/>
              </w:rPr>
              <w:t>81888982</w:t>
            </w:r>
          </w:p>
          <w:p>
            <w:pPr>
              <w:jc w:val="center"/>
              <w:rPr>
                <w:rFonts w:ascii="仿宋" w:hAnsi="仿宋" w:eastAsia="仿宋" w:cs="仿宋"/>
                <w:sz w:val="24"/>
              </w:rPr>
            </w:pPr>
            <w:r>
              <w:rPr>
                <w:rFonts w:hint="eastAsia" w:ascii="仿宋" w:hAnsi="仿宋" w:eastAsia="仿宋" w:cs="仿宋"/>
                <w:sz w:val="24"/>
              </w:rPr>
              <w:t>18957683435</w:t>
            </w:r>
          </w:p>
        </w:tc>
      </w:tr>
    </w:tbl>
    <w:p>
      <w:pPr>
        <w:ind w:firstLine="840" w:firstLineChars="350"/>
        <w:jc w:val="center"/>
        <w:rPr>
          <w:rFonts w:ascii="仿宋" w:hAnsi="仿宋" w:eastAsia="仿宋" w:cs="仿宋"/>
          <w:sz w:val="24"/>
        </w:rPr>
      </w:pPr>
    </w:p>
    <w:p>
      <w:pPr>
        <w:ind w:firstLine="840" w:firstLineChars="350"/>
        <w:jc w:val="center"/>
        <w:outlineLvl w:val="0"/>
        <w:rPr>
          <w:rFonts w:ascii="仿宋" w:hAnsi="仿宋" w:eastAsia="仿宋" w:cs="仿宋"/>
          <w:sz w:val="24"/>
        </w:rPr>
      </w:pPr>
      <w:bookmarkStart w:id="22" w:name="_Toc25850"/>
      <w:r>
        <w:rPr>
          <w:rFonts w:hint="eastAsia" w:ascii="仿宋" w:hAnsi="仿宋" w:eastAsia="仿宋" w:cs="仿宋"/>
          <w:sz w:val="24"/>
        </w:rPr>
        <w:t>合同履约保函联系方式</w:t>
      </w:r>
      <w:bookmarkEnd w:id="22"/>
    </w:p>
    <w:tbl>
      <w:tblPr>
        <w:tblStyle w:val="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73"/>
        <w:gridCol w:w="2633"/>
        <w:gridCol w:w="98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rPr>
            </w:pPr>
            <w:r>
              <w:rPr>
                <w:rFonts w:hint="eastAsia" w:ascii="仿宋" w:hAnsi="仿宋" w:eastAsia="仿宋" w:cs="仿宋"/>
                <w:sz w:val="24"/>
              </w:rPr>
              <w:t>保险公司名称</w:t>
            </w:r>
          </w:p>
        </w:tc>
        <w:tc>
          <w:tcPr>
            <w:tcW w:w="2633" w:type="dxa"/>
            <w:vAlign w:val="center"/>
          </w:tcPr>
          <w:p>
            <w:pPr>
              <w:rPr>
                <w:rFonts w:ascii="仿宋" w:hAnsi="仿宋" w:eastAsia="仿宋" w:cs="仿宋"/>
                <w:sz w:val="24"/>
              </w:rPr>
            </w:pPr>
            <w:r>
              <w:rPr>
                <w:rFonts w:hint="eastAsia" w:ascii="仿宋" w:hAnsi="仿宋" w:eastAsia="仿宋" w:cs="仿宋"/>
                <w:sz w:val="24"/>
              </w:rPr>
              <w:t>保费率</w:t>
            </w:r>
          </w:p>
        </w:tc>
        <w:tc>
          <w:tcPr>
            <w:tcW w:w="986" w:type="dxa"/>
            <w:vAlign w:val="center"/>
          </w:tcPr>
          <w:p>
            <w:pPr>
              <w:rPr>
                <w:rFonts w:ascii="仿宋" w:hAnsi="仿宋" w:eastAsia="仿宋" w:cs="仿宋"/>
                <w:sz w:val="24"/>
              </w:rPr>
            </w:pPr>
            <w:r>
              <w:rPr>
                <w:rFonts w:hint="eastAsia" w:ascii="仿宋" w:hAnsi="仿宋" w:eastAsia="仿宋" w:cs="仿宋"/>
                <w:sz w:val="24"/>
              </w:rPr>
              <w:t>联系人</w:t>
            </w:r>
          </w:p>
        </w:tc>
        <w:tc>
          <w:tcPr>
            <w:tcW w:w="1536"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徐凌</w:t>
            </w:r>
          </w:p>
        </w:tc>
        <w:tc>
          <w:tcPr>
            <w:tcW w:w="1536"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永诚财产保险股份有限公司台州分公司</w:t>
            </w:r>
          </w:p>
        </w:tc>
        <w:tc>
          <w:tcPr>
            <w:tcW w:w="2633" w:type="dxa"/>
          </w:tcPr>
          <w:p>
            <w:pPr>
              <w:rPr>
                <w:rFonts w:ascii="仿宋" w:hAnsi="仿宋" w:eastAsia="仿宋" w:cs="仿宋"/>
                <w:sz w:val="24"/>
              </w:rPr>
            </w:pPr>
            <w:r>
              <w:rPr>
                <w:rFonts w:hint="eastAsia" w:ascii="仿宋" w:hAnsi="仿宋" w:eastAsia="仿宋" w:cs="仿宋"/>
                <w:sz w:val="24"/>
              </w:rPr>
              <w:t>年费率1%，最低保费1000元</w:t>
            </w:r>
          </w:p>
        </w:tc>
        <w:tc>
          <w:tcPr>
            <w:tcW w:w="986" w:type="dxa"/>
          </w:tcPr>
          <w:p>
            <w:pPr>
              <w:rPr>
                <w:rFonts w:ascii="仿宋" w:hAnsi="仿宋" w:eastAsia="仿宋" w:cs="仿宋"/>
                <w:sz w:val="24"/>
              </w:rPr>
            </w:pPr>
            <w:r>
              <w:rPr>
                <w:rFonts w:hint="eastAsia" w:ascii="仿宋" w:hAnsi="仿宋" w:eastAsia="仿宋" w:cs="仿宋"/>
                <w:sz w:val="24"/>
              </w:rPr>
              <w:t>尹刚强</w:t>
            </w:r>
          </w:p>
        </w:tc>
        <w:tc>
          <w:tcPr>
            <w:tcW w:w="1536" w:type="dxa"/>
          </w:tcPr>
          <w:p>
            <w:pPr>
              <w:rPr>
                <w:rFonts w:ascii="仿宋" w:hAnsi="仿宋" w:eastAsia="仿宋" w:cs="仿宋"/>
                <w:sz w:val="24"/>
              </w:rPr>
            </w:pPr>
            <w:r>
              <w:rPr>
                <w:rFonts w:hint="eastAsia" w:ascii="仿宋" w:hAnsi="仿宋" w:eastAsia="仿宋" w:cs="仿宋"/>
                <w:sz w:val="24"/>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华泰财产保险有限公司台州中心支公司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年费率0.5%，最低保费1000元</w:t>
            </w:r>
          </w:p>
        </w:tc>
        <w:tc>
          <w:tcPr>
            <w:tcW w:w="986" w:type="dxa"/>
          </w:tcPr>
          <w:p>
            <w:pPr>
              <w:rPr>
                <w:rFonts w:ascii="仿宋" w:hAnsi="仿宋" w:eastAsia="仿宋" w:cs="仿宋"/>
                <w:sz w:val="24"/>
              </w:rPr>
            </w:pPr>
            <w:r>
              <w:rPr>
                <w:rFonts w:hint="eastAsia" w:ascii="仿宋" w:hAnsi="仿宋" w:eastAsia="仿宋" w:cs="仿宋"/>
                <w:sz w:val="24"/>
              </w:rPr>
              <w:t>王灵芳</w:t>
            </w:r>
          </w:p>
        </w:tc>
        <w:tc>
          <w:tcPr>
            <w:tcW w:w="1536" w:type="dxa"/>
          </w:tcPr>
          <w:p>
            <w:pPr>
              <w:rPr>
                <w:rFonts w:ascii="仿宋" w:hAnsi="仿宋" w:eastAsia="仿宋" w:cs="仿宋"/>
                <w:sz w:val="24"/>
              </w:rPr>
            </w:pPr>
            <w:r>
              <w:rPr>
                <w:rFonts w:hint="eastAsia" w:ascii="仿宋" w:hAnsi="仿宋" w:eastAsia="仿宋" w:cs="仿宋"/>
                <w:sz w:val="24"/>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中国大地财产保险股份有限公司台州中心支公司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年费率1.5%，最低保费1000元</w:t>
            </w:r>
          </w:p>
        </w:tc>
        <w:tc>
          <w:tcPr>
            <w:tcW w:w="986" w:type="dxa"/>
          </w:tcPr>
          <w:p>
            <w:pPr>
              <w:rPr>
                <w:rFonts w:ascii="仿宋" w:hAnsi="仿宋" w:eastAsia="仿宋" w:cs="仿宋"/>
                <w:sz w:val="24"/>
              </w:rPr>
            </w:pPr>
            <w:r>
              <w:rPr>
                <w:rFonts w:hint="eastAsia" w:ascii="仿宋" w:hAnsi="仿宋" w:eastAsia="仿宋" w:cs="仿宋"/>
                <w:sz w:val="24"/>
              </w:rPr>
              <w:t>徐小明</w:t>
            </w:r>
          </w:p>
        </w:tc>
        <w:tc>
          <w:tcPr>
            <w:tcW w:w="1536" w:type="dxa"/>
          </w:tcPr>
          <w:p>
            <w:pPr>
              <w:rPr>
                <w:rFonts w:ascii="仿宋" w:hAnsi="仿宋" w:eastAsia="仿宋" w:cs="仿宋"/>
                <w:sz w:val="24"/>
              </w:rPr>
            </w:pPr>
            <w:r>
              <w:rPr>
                <w:rFonts w:hint="eastAsia" w:ascii="仿宋" w:hAnsi="仿宋" w:eastAsia="仿宋" w:cs="仿宋"/>
                <w:sz w:val="24"/>
              </w:rPr>
              <w:t>885523108      13968603112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阳光保险台州中心支公司</w:t>
            </w:r>
          </w:p>
        </w:tc>
        <w:tc>
          <w:tcPr>
            <w:tcW w:w="2633" w:type="dxa"/>
          </w:tcPr>
          <w:p>
            <w:pPr>
              <w:rPr>
                <w:rFonts w:ascii="仿宋" w:hAnsi="仿宋" w:eastAsia="仿宋" w:cs="仿宋"/>
                <w:sz w:val="24"/>
              </w:rPr>
            </w:pPr>
            <w:r>
              <w:rPr>
                <w:rFonts w:hint="eastAsia" w:ascii="仿宋" w:hAnsi="仿宋" w:eastAsia="仿宋" w:cs="仿宋"/>
                <w:sz w:val="24"/>
              </w:rPr>
              <w:t>年费率1%，最低保费500元</w:t>
            </w:r>
          </w:p>
        </w:tc>
        <w:tc>
          <w:tcPr>
            <w:tcW w:w="986" w:type="dxa"/>
          </w:tcPr>
          <w:p>
            <w:pPr>
              <w:rPr>
                <w:rFonts w:ascii="仿宋" w:hAnsi="仿宋" w:eastAsia="仿宋" w:cs="仿宋"/>
                <w:sz w:val="24"/>
              </w:rPr>
            </w:pPr>
            <w:r>
              <w:rPr>
                <w:rFonts w:hint="eastAsia" w:ascii="仿宋" w:hAnsi="仿宋" w:eastAsia="仿宋" w:cs="仿宋"/>
                <w:sz w:val="24"/>
              </w:rPr>
              <w:t>林高明</w:t>
            </w:r>
          </w:p>
        </w:tc>
        <w:tc>
          <w:tcPr>
            <w:tcW w:w="1536"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中华联合财产保险股份有限公司台州中心支公司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年费率2%，最低保费500元</w:t>
            </w:r>
          </w:p>
        </w:tc>
        <w:tc>
          <w:tcPr>
            <w:tcW w:w="986" w:type="dxa"/>
          </w:tcPr>
          <w:p>
            <w:pPr>
              <w:rPr>
                <w:rFonts w:ascii="仿宋" w:hAnsi="仿宋" w:eastAsia="仿宋" w:cs="仿宋"/>
                <w:sz w:val="24"/>
              </w:rPr>
            </w:pPr>
            <w:r>
              <w:rPr>
                <w:rFonts w:hint="eastAsia" w:ascii="仿宋" w:hAnsi="仿宋" w:eastAsia="仿宋" w:cs="仿宋"/>
                <w:sz w:val="24"/>
              </w:rPr>
              <w:t>王仙高</w:t>
            </w:r>
          </w:p>
        </w:tc>
        <w:tc>
          <w:tcPr>
            <w:tcW w:w="1536" w:type="dxa"/>
          </w:tcPr>
          <w:p>
            <w:pPr>
              <w:rPr>
                <w:rFonts w:ascii="仿宋" w:hAnsi="仿宋" w:eastAsia="仿宋" w:cs="仿宋"/>
                <w:sz w:val="24"/>
              </w:rPr>
            </w:pPr>
            <w:r>
              <w:rPr>
                <w:rFonts w:hint="eastAsia" w:ascii="仿宋" w:hAnsi="仿宋" w:eastAsia="仿宋" w:cs="仿宋"/>
                <w:sz w:val="24"/>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中国人民财产保险股份有限公司台州中心支公司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年费率0.3%，最低保费1000元</w:t>
            </w:r>
          </w:p>
        </w:tc>
        <w:tc>
          <w:tcPr>
            <w:tcW w:w="986" w:type="dxa"/>
          </w:tcPr>
          <w:p>
            <w:pPr>
              <w:rPr>
                <w:rFonts w:ascii="仿宋" w:hAnsi="仿宋" w:eastAsia="仿宋" w:cs="仿宋"/>
                <w:sz w:val="24"/>
              </w:rPr>
            </w:pPr>
            <w:r>
              <w:rPr>
                <w:rFonts w:hint="eastAsia" w:ascii="仿宋" w:hAnsi="仿宋" w:eastAsia="仿宋" w:cs="仿宋"/>
                <w:sz w:val="24"/>
              </w:rPr>
              <w:t>王仙春</w:t>
            </w:r>
          </w:p>
        </w:tc>
        <w:tc>
          <w:tcPr>
            <w:tcW w:w="1536" w:type="dxa"/>
          </w:tcPr>
          <w:p>
            <w:pPr>
              <w:rPr>
                <w:rFonts w:ascii="仿宋" w:hAnsi="仿宋" w:eastAsia="仿宋" w:cs="仿宋"/>
                <w:sz w:val="24"/>
              </w:rPr>
            </w:pPr>
            <w:r>
              <w:rPr>
                <w:rFonts w:hint="eastAsia" w:ascii="仿宋" w:hAnsi="仿宋" w:eastAsia="仿宋" w:cs="仿宋"/>
                <w:sz w:val="24"/>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rPr>
            </w:pPr>
            <w:r>
              <w:rPr>
                <w:rFonts w:hint="eastAsia" w:ascii="仿宋" w:hAnsi="仿宋" w:eastAsia="仿宋" w:cs="仿宋"/>
                <w:sz w:val="24"/>
              </w:rPr>
              <w:t>永安财产保险股份有限公司台州中心支公司</w:t>
            </w:r>
          </w:p>
        </w:tc>
        <w:tc>
          <w:tcPr>
            <w:tcW w:w="2633" w:type="dxa"/>
          </w:tcPr>
          <w:p>
            <w:pPr>
              <w:rPr>
                <w:rFonts w:ascii="仿宋" w:hAnsi="仿宋" w:eastAsia="仿宋" w:cs="仿宋"/>
                <w:sz w:val="24"/>
              </w:rPr>
            </w:pPr>
            <w:r>
              <w:rPr>
                <w:rFonts w:hint="eastAsia" w:ascii="仿宋" w:hAnsi="仿宋" w:eastAsia="仿宋" w:cs="仿宋"/>
                <w:sz w:val="24"/>
              </w:rPr>
              <w:t>年费率0.3%，最低保费1000</w:t>
            </w:r>
          </w:p>
        </w:tc>
        <w:tc>
          <w:tcPr>
            <w:tcW w:w="986" w:type="dxa"/>
          </w:tcPr>
          <w:p>
            <w:pPr>
              <w:rPr>
                <w:rFonts w:ascii="仿宋" w:hAnsi="仿宋" w:eastAsia="仿宋" w:cs="仿宋"/>
                <w:sz w:val="24"/>
              </w:rPr>
            </w:pPr>
            <w:r>
              <w:rPr>
                <w:rFonts w:hint="eastAsia" w:ascii="仿宋" w:hAnsi="仿宋" w:eastAsia="仿宋" w:cs="仿宋"/>
                <w:sz w:val="24"/>
              </w:rPr>
              <w:t>王春宇</w:t>
            </w:r>
          </w:p>
        </w:tc>
        <w:tc>
          <w:tcPr>
            <w:tcW w:w="1536" w:type="dxa"/>
          </w:tcPr>
          <w:p>
            <w:pPr>
              <w:rPr>
                <w:rFonts w:ascii="仿宋" w:hAnsi="仿宋" w:eastAsia="仿宋" w:cs="仿宋"/>
                <w:sz w:val="24"/>
              </w:rPr>
            </w:pPr>
            <w:r>
              <w:rPr>
                <w:rFonts w:hint="eastAsia" w:ascii="仿宋" w:hAnsi="仿宋" w:eastAsia="仿宋" w:cs="仿宋"/>
                <w:sz w:val="24"/>
              </w:rPr>
              <w:t>13676675331</w:t>
            </w:r>
          </w:p>
        </w:tc>
      </w:tr>
    </w:tbl>
    <w:p>
      <w:pPr>
        <w:ind w:firstLine="840" w:firstLineChars="350"/>
        <w:jc w:val="center"/>
        <w:rPr>
          <w:rFonts w:ascii="仿宋" w:hAnsi="仿宋" w:eastAsia="仿宋" w:cs="仿宋"/>
          <w:sz w:val="24"/>
        </w:rPr>
      </w:pPr>
    </w:p>
    <w:p>
      <w:pPr>
        <w:ind w:firstLine="840" w:firstLineChars="350"/>
        <w:jc w:val="center"/>
        <w:rPr>
          <w:rFonts w:ascii="仿宋" w:hAnsi="仿宋" w:eastAsia="仿宋" w:cs="仿宋"/>
          <w:sz w:val="24"/>
        </w:rPr>
      </w:pPr>
      <w:r>
        <w:rPr>
          <w:rFonts w:hint="eastAsia" w:ascii="仿宋" w:hAnsi="仿宋" w:eastAsia="仿宋" w:cs="仿宋"/>
          <w:sz w:val="24"/>
        </w:rPr>
        <w:t>预付款保函联系方式</w:t>
      </w:r>
    </w:p>
    <w:tbl>
      <w:tblPr>
        <w:tblStyle w:val="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1701"/>
        <w:gridCol w:w="992"/>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rPr>
            </w:pPr>
            <w:r>
              <w:rPr>
                <w:rFonts w:hint="eastAsia" w:ascii="仿宋" w:hAnsi="仿宋" w:eastAsia="仿宋" w:cs="仿宋"/>
                <w:sz w:val="24"/>
              </w:rPr>
              <w:t>保险公司名称</w:t>
            </w:r>
          </w:p>
        </w:tc>
        <w:tc>
          <w:tcPr>
            <w:tcW w:w="1701" w:type="dxa"/>
            <w:vAlign w:val="center"/>
          </w:tcPr>
          <w:p>
            <w:pPr>
              <w:rPr>
                <w:rFonts w:ascii="仿宋" w:hAnsi="仿宋" w:eastAsia="仿宋" w:cs="仿宋"/>
                <w:sz w:val="24"/>
              </w:rPr>
            </w:pPr>
            <w:r>
              <w:rPr>
                <w:rFonts w:hint="eastAsia" w:ascii="仿宋" w:hAnsi="仿宋" w:eastAsia="仿宋" w:cs="仿宋"/>
                <w:sz w:val="24"/>
              </w:rPr>
              <w:t>保费率</w:t>
            </w:r>
          </w:p>
        </w:tc>
        <w:tc>
          <w:tcPr>
            <w:tcW w:w="992" w:type="dxa"/>
            <w:vAlign w:val="center"/>
          </w:tcPr>
          <w:p>
            <w:pPr>
              <w:rPr>
                <w:rFonts w:ascii="仿宋" w:hAnsi="仿宋" w:eastAsia="仿宋" w:cs="仿宋"/>
                <w:sz w:val="24"/>
              </w:rPr>
            </w:pPr>
            <w:r>
              <w:rPr>
                <w:rFonts w:hint="eastAsia" w:ascii="仿宋" w:hAnsi="仿宋" w:eastAsia="仿宋" w:cs="仿宋"/>
                <w:sz w:val="24"/>
              </w:rPr>
              <w:t>联系人</w:t>
            </w:r>
          </w:p>
        </w:tc>
        <w:tc>
          <w:tcPr>
            <w:tcW w:w="1468" w:type="dxa"/>
            <w:vAlign w:val="center"/>
          </w:tcPr>
          <w:p>
            <w:pPr>
              <w:rPr>
                <w:rFonts w:ascii="仿宋" w:hAnsi="仿宋" w:eastAsia="仿宋" w:cs="仿宋"/>
                <w:sz w:val="24"/>
              </w:rPr>
            </w:pPr>
            <w:r>
              <w:rPr>
                <w:rFonts w:hint="eastAsia" w:ascii="仿宋" w:hAnsi="仿宋" w:eastAsia="仿宋" w:cs="仿宋"/>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中国人寿财产保险股份有限公司台州中心支公司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年费率3%，最低保费500元</w:t>
            </w:r>
          </w:p>
        </w:tc>
        <w:tc>
          <w:tcPr>
            <w:tcW w:w="992" w:type="dxa"/>
          </w:tcPr>
          <w:p>
            <w:pPr>
              <w:rPr>
                <w:rFonts w:ascii="仿宋" w:hAnsi="仿宋" w:eastAsia="仿宋" w:cs="仿宋"/>
                <w:sz w:val="24"/>
              </w:rPr>
            </w:pPr>
            <w:r>
              <w:rPr>
                <w:rFonts w:hint="eastAsia" w:ascii="仿宋" w:hAnsi="仿宋" w:eastAsia="仿宋" w:cs="仿宋"/>
                <w:sz w:val="24"/>
              </w:rPr>
              <w:t>徐凌</w:t>
            </w:r>
          </w:p>
        </w:tc>
        <w:tc>
          <w:tcPr>
            <w:tcW w:w="1468" w:type="dxa"/>
          </w:tcPr>
          <w:p>
            <w:pPr>
              <w:rPr>
                <w:rFonts w:ascii="仿宋" w:hAnsi="仿宋" w:eastAsia="仿宋" w:cs="仿宋"/>
                <w:sz w:val="24"/>
              </w:rPr>
            </w:pPr>
            <w:r>
              <w:rPr>
                <w:rFonts w:hint="eastAsia" w:ascii="仿宋" w:hAnsi="仿宋" w:eastAsia="仿宋" w:cs="仿宋"/>
                <w:sz w:val="24"/>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阳光保险台州中心支公司</w:t>
            </w:r>
          </w:p>
        </w:tc>
        <w:tc>
          <w:tcPr>
            <w:tcW w:w="1701" w:type="dxa"/>
          </w:tcPr>
          <w:p>
            <w:pPr>
              <w:rPr>
                <w:rFonts w:ascii="仿宋" w:hAnsi="仿宋" w:eastAsia="仿宋" w:cs="仿宋"/>
                <w:sz w:val="24"/>
              </w:rPr>
            </w:pPr>
            <w:r>
              <w:rPr>
                <w:rFonts w:hint="eastAsia" w:ascii="仿宋" w:hAnsi="仿宋" w:eastAsia="仿宋" w:cs="仿宋"/>
                <w:sz w:val="24"/>
              </w:rPr>
              <w:t>年费率1%，最低保费500元</w:t>
            </w:r>
          </w:p>
        </w:tc>
        <w:tc>
          <w:tcPr>
            <w:tcW w:w="992" w:type="dxa"/>
          </w:tcPr>
          <w:p>
            <w:pPr>
              <w:rPr>
                <w:rFonts w:ascii="仿宋" w:hAnsi="仿宋" w:eastAsia="仿宋" w:cs="仿宋"/>
                <w:sz w:val="24"/>
              </w:rPr>
            </w:pPr>
            <w:r>
              <w:rPr>
                <w:rFonts w:hint="eastAsia" w:ascii="仿宋" w:hAnsi="仿宋" w:eastAsia="仿宋" w:cs="仿宋"/>
                <w:sz w:val="24"/>
              </w:rPr>
              <w:t>林高明</w:t>
            </w:r>
          </w:p>
        </w:tc>
        <w:tc>
          <w:tcPr>
            <w:tcW w:w="1468" w:type="dxa"/>
          </w:tcPr>
          <w:p>
            <w:pPr>
              <w:rPr>
                <w:rFonts w:ascii="仿宋" w:hAnsi="仿宋" w:eastAsia="仿宋" w:cs="仿宋"/>
                <w:sz w:val="24"/>
              </w:rPr>
            </w:pPr>
            <w:r>
              <w:rPr>
                <w:rFonts w:hint="eastAsia" w:ascii="仿宋" w:hAnsi="仿宋" w:eastAsia="仿宋" w:cs="仿宋"/>
                <w:sz w:val="24"/>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rPr>
            </w:pPr>
            <w:r>
              <w:rPr>
                <w:rFonts w:hint="eastAsia" w:ascii="仿宋" w:hAnsi="仿宋" w:eastAsia="仿宋" w:cs="仿宋"/>
                <w:sz w:val="24"/>
              </w:rPr>
              <w:t>天安财产保险股份有限公司台州中心支公司</w:t>
            </w:r>
          </w:p>
        </w:tc>
        <w:tc>
          <w:tcPr>
            <w:tcW w:w="1701" w:type="dxa"/>
          </w:tcPr>
          <w:p>
            <w:pPr>
              <w:rPr>
                <w:rFonts w:ascii="仿宋" w:hAnsi="仿宋" w:eastAsia="仿宋" w:cs="仿宋"/>
                <w:sz w:val="24"/>
              </w:rPr>
            </w:pPr>
            <w:r>
              <w:rPr>
                <w:rFonts w:hint="eastAsia" w:ascii="仿宋" w:hAnsi="仿宋" w:eastAsia="仿宋" w:cs="仿宋"/>
                <w:sz w:val="24"/>
              </w:rPr>
              <w:t>年费率1%-2%，最低保费500元</w:t>
            </w:r>
          </w:p>
        </w:tc>
        <w:tc>
          <w:tcPr>
            <w:tcW w:w="992" w:type="dxa"/>
          </w:tcPr>
          <w:p>
            <w:pPr>
              <w:rPr>
                <w:rFonts w:ascii="仿宋" w:hAnsi="仿宋" w:eastAsia="仿宋" w:cs="仿宋"/>
                <w:sz w:val="24"/>
              </w:rPr>
            </w:pPr>
            <w:r>
              <w:rPr>
                <w:rFonts w:hint="eastAsia" w:ascii="仿宋" w:hAnsi="仿宋" w:eastAsia="仿宋" w:cs="仿宋"/>
                <w:sz w:val="24"/>
              </w:rPr>
              <w:t>罗赛</w:t>
            </w:r>
          </w:p>
        </w:tc>
        <w:tc>
          <w:tcPr>
            <w:tcW w:w="1468" w:type="dxa"/>
          </w:tcPr>
          <w:p>
            <w:pPr>
              <w:rPr>
                <w:rFonts w:ascii="仿宋" w:hAnsi="仿宋" w:eastAsia="仿宋" w:cs="仿宋"/>
                <w:sz w:val="24"/>
              </w:rPr>
            </w:pPr>
            <w:r>
              <w:rPr>
                <w:rFonts w:hint="eastAsia" w:ascii="仿宋" w:hAnsi="仿宋" w:eastAsia="仿宋" w:cs="仿宋"/>
                <w:sz w:val="24"/>
              </w:rPr>
              <w:t>13736605643</w:t>
            </w:r>
          </w:p>
        </w:tc>
      </w:tr>
    </w:tbl>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w:t>
      </w:r>
      <w:r>
        <w:rPr>
          <w:rFonts w:hint="eastAsia" w:ascii="仿宋" w:hAnsi="仿宋" w:eastAsia="仿宋" w:cs="仿宋"/>
          <w:sz w:val="24"/>
          <w:lang w:eastAsia="zh-CN"/>
        </w:rPr>
        <w:t>）</w:t>
      </w:r>
      <w:r>
        <w:rPr>
          <w:rFonts w:hint="eastAsia" w:ascii="仿宋" w:hAnsi="仿宋" w:eastAsia="仿宋" w:cs="仿宋"/>
          <w:sz w:val="24"/>
        </w:rPr>
        <w:t>，点击右侧咨询小采，获取采小蜜智能服务管家帮助，或拨打政采云服务热线95763获取热线服务帮助。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pPr>
        <w:pStyle w:val="4"/>
        <w:spacing w:after="0" w:line="360" w:lineRule="auto"/>
        <w:ind w:left="431" w:hanging="431"/>
        <w:jc w:val="center"/>
        <w:rPr>
          <w:rFonts w:ascii="仿宋" w:hAnsi="仿宋" w:eastAsia="仿宋" w:cs="仿宋"/>
        </w:rPr>
      </w:pPr>
      <w:bookmarkStart w:id="23" w:name="_Toc32713"/>
      <w:r>
        <w:rPr>
          <w:rFonts w:hint="eastAsia" w:ascii="仿宋" w:hAnsi="仿宋" w:eastAsia="仿宋" w:cs="仿宋"/>
        </w:rPr>
        <w:t>第二部分</w:t>
      </w:r>
      <w:bookmarkEnd w:id="8"/>
      <w:r>
        <w:rPr>
          <w:rFonts w:hint="eastAsia" w:ascii="仿宋" w:hAnsi="仿宋" w:eastAsia="仿宋" w:cs="仿宋"/>
        </w:rPr>
        <w:t xml:space="preserve"> 投标人须知</w:t>
      </w:r>
      <w:bookmarkEnd w:id="9"/>
      <w:bookmarkEnd w:id="23"/>
    </w:p>
    <w:p>
      <w:pPr>
        <w:adjustRightInd/>
        <w:spacing w:line="360" w:lineRule="auto"/>
        <w:ind w:firstLine="3845" w:firstLineChars="1197"/>
        <w:outlineLvl w:val="0"/>
        <w:rPr>
          <w:rFonts w:ascii="仿宋" w:hAnsi="仿宋" w:eastAsia="仿宋" w:cs="仿宋"/>
          <w:b/>
          <w:sz w:val="32"/>
          <w:szCs w:val="20"/>
        </w:rPr>
      </w:pPr>
      <w:bookmarkStart w:id="24" w:name="_Toc1353"/>
      <w:r>
        <w:rPr>
          <w:rFonts w:hint="eastAsia" w:ascii="仿宋" w:hAnsi="仿宋" w:eastAsia="仿宋" w:cs="仿宋"/>
          <w:b/>
          <w:sz w:val="32"/>
          <w:szCs w:val="20"/>
        </w:rPr>
        <w:t>前附表</w:t>
      </w:r>
      <w:bookmarkEnd w:id="24"/>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6"/>
        <w:gridCol w:w="1560"/>
        <w:gridCol w:w="7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4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748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服务类，核心产品</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2"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7481"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2025年台州市生态环境监测----大气颗粒物组分分析委托监测、重点断面水生态监测</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仿宋"/>
                <w:sz w:val="24"/>
                <w:u w:val="single"/>
              </w:rPr>
              <w:t>（行业划分按《工信部关于印发中小企业划型标准规定的通知（工信部联企业〔2011〕300号》执行） 其他未列明</w:t>
            </w:r>
            <w:r>
              <w:rPr>
                <w:rFonts w:hint="eastAsia" w:ascii="仿宋" w:hAnsi="仿宋" w:eastAsia="仿宋" w:cs="仿宋"/>
                <w:kern w:val="0"/>
                <w:sz w:val="24"/>
                <w:u w:val="single"/>
              </w:rPr>
              <w:t>行业</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288"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288"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7481" w:type="dxa"/>
            <w:tcBorders>
              <w:top w:val="single" w:color="000000" w:sz="8" w:space="0"/>
              <w:left w:val="single" w:color="000000" w:sz="2" w:space="0"/>
              <w:bottom w:val="single" w:color="000000" w:sz="8" w:space="0"/>
              <w:right w:val="single" w:color="000000" w:sz="8" w:space="0"/>
            </w:tcBorders>
            <w:vAlign w:val="center"/>
          </w:tcPr>
          <w:p>
            <w:pPr>
              <w:spacing w:line="288"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本项目不允许采购进口产品。</w:t>
            </w:r>
          </w:p>
          <w:p>
            <w:pPr>
              <w:spacing w:line="288"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现场勘察</w:t>
            </w:r>
          </w:p>
        </w:tc>
        <w:tc>
          <w:tcPr>
            <w:tcW w:w="7481"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z w:val="24"/>
              </w:rPr>
            </w:pPr>
            <w:r>
              <w:rPr>
                <w:rFonts w:hint="eastAsia" w:ascii="仿宋" w:hAnsi="仿宋" w:eastAsia="仿宋" w:cs="仿宋"/>
                <w:sz w:val="24"/>
              </w:rPr>
              <w:t>本项目不组织现场勘察。</w:t>
            </w:r>
          </w:p>
          <w:p>
            <w:pPr>
              <w:spacing w:line="360" w:lineRule="auto"/>
              <w:rPr>
                <w:rFonts w:ascii="仿宋" w:hAnsi="仿宋" w:eastAsia="仿宋" w:cs="仿宋"/>
                <w:sz w:val="24"/>
                <w:szCs w:val="20"/>
              </w:rPr>
            </w:pPr>
            <w:r>
              <w:rPr>
                <w:rFonts w:hint="eastAsia" w:ascii="仿宋" w:hAnsi="仿宋" w:eastAsia="仿宋" w:cs="仿宋"/>
                <w:sz w:val="24"/>
              </w:rPr>
              <w:t>踏勘联系人：</w:t>
            </w:r>
            <w:r>
              <w:rPr>
                <w:rFonts w:hint="eastAsia" w:ascii="仿宋" w:hAnsi="仿宋" w:eastAsia="仿宋" w:cs="仿宋"/>
                <w:sz w:val="24"/>
                <w:u w:val="single"/>
              </w:rPr>
              <w:t xml:space="preserve">     /      </w:t>
            </w:r>
            <w:r>
              <w:rPr>
                <w:rFonts w:hint="eastAsia" w:ascii="仿宋" w:hAnsi="仿宋" w:eastAsia="仿宋" w:cs="仿宋"/>
                <w:sz w:val="24"/>
              </w:rPr>
              <w:t>，联系电话：</w:t>
            </w:r>
            <w:r>
              <w:rPr>
                <w:rFonts w:hint="eastAsia" w:ascii="仿宋" w:hAnsi="仿宋" w:eastAsia="仿宋" w:cs="仿宋"/>
                <w:sz w:val="24"/>
                <w:u w:val="single"/>
              </w:rPr>
              <w:t xml:space="preserve"> /     </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48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不要求提供。</w:t>
            </w:r>
          </w:p>
          <w:p>
            <w:pPr>
              <w:spacing w:line="360" w:lineRule="auto"/>
              <w:rPr>
                <w:rFonts w:ascii="仿宋" w:hAnsi="仿宋" w:eastAsia="仿宋" w:cs="仿宋"/>
                <w:b/>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48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不组织。</w:t>
            </w:r>
          </w:p>
          <w:p>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vMerge w:val="restart"/>
            <w:tcBorders>
              <w:top w:val="single" w:color="auto" w:sz="4" w:space="0"/>
              <w:left w:val="single" w:color="auto" w:sz="4" w:space="0"/>
              <w:right w:val="single" w:color="auto" w:sz="4"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481" w:type="dxa"/>
            <w:tcBorders>
              <w:top w:val="single" w:color="000000" w:sz="8" w:space="0"/>
              <w:left w:val="single" w:color="000000" w:sz="2" w:space="0"/>
              <w:bottom w:val="single" w:color="auto" w:sz="4" w:space="0"/>
              <w:right w:val="single" w:color="000000" w:sz="8" w:space="0"/>
            </w:tcBorders>
            <w:vAlign w:val="center"/>
          </w:tcPr>
          <w:p>
            <w:pPr>
              <w:spacing w:line="288"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288"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vMerge w:val="continue"/>
            <w:tcBorders>
              <w:left w:val="single" w:color="auto" w:sz="4" w:space="0"/>
              <w:bottom w:val="single" w:color="auto" w:sz="4" w:space="0"/>
              <w:right w:val="single" w:color="auto" w:sz="4" w:space="0"/>
            </w:tcBorders>
            <w:vAlign w:val="center"/>
          </w:tcPr>
          <w:p>
            <w:pPr>
              <w:snapToGrid w:val="0"/>
              <w:spacing w:line="360" w:lineRule="auto"/>
              <w:jc w:val="right"/>
              <w:rPr>
                <w:rFonts w:ascii="仿宋" w:hAnsi="仿宋" w:eastAsia="仿宋" w:cs="仿宋"/>
                <w:sz w:val="24"/>
              </w:rPr>
            </w:pPr>
          </w:p>
        </w:tc>
        <w:tc>
          <w:tcPr>
            <w:tcW w:w="1560"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748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748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rPr>
            </w:pPr>
            <w:r>
              <w:rPr>
                <w:rFonts w:hint="eastAsia" w:ascii="仿宋" w:hAnsi="仿宋" w:eastAsia="仿宋" w:cs="仿宋"/>
                <w:kern w:val="0"/>
                <w:sz w:val="24"/>
              </w:rPr>
              <w:t>采购人拟采购的产品如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48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提醒：验收时产生的所有费用由中标人承担，包含在投标总价中。</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88" w:lineRule="auto"/>
              <w:ind w:firstLine="241" w:firstLineChars="100"/>
              <w:jc w:val="left"/>
              <w:textAlignment w:val="auto"/>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adjustRightInd w:val="0"/>
              <w:spacing w:line="288" w:lineRule="auto"/>
              <w:ind w:firstLine="241" w:firstLineChars="100"/>
              <w:textAlignment w:val="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000000" w:sz="2"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7481" w:type="dxa"/>
            <w:tcBorders>
              <w:top w:val="single" w:color="000000" w:sz="8" w:space="0"/>
              <w:left w:val="single" w:color="000000" w:sz="2" w:space="0"/>
              <w:right w:val="single" w:color="000000" w:sz="8" w:space="0"/>
            </w:tcBorders>
            <w:vAlign w:val="center"/>
          </w:tcPr>
          <w:p>
            <w:pPr>
              <w:pStyle w:val="34"/>
              <w:rPr>
                <w:rFonts w:ascii="仿宋" w:hAnsi="仿宋" w:eastAsia="仿宋" w:cs="仿宋"/>
                <w:sz w:val="24"/>
              </w:rPr>
            </w:pPr>
            <w:r>
              <w:rPr>
                <w:rFonts w:hint="eastAsia" w:ascii="仿宋" w:hAnsi="仿宋" w:eastAsia="仿宋" w:cs="仿宋"/>
                <w:kern w:val="28"/>
                <w:sz w:val="24"/>
                <w:szCs w:val="24"/>
                <w:lang w:val="en-US" w:eastAsia="zh-CN"/>
              </w:rPr>
              <w:t>如提供，</w:t>
            </w:r>
            <w:r>
              <w:rPr>
                <w:rFonts w:hint="eastAsia" w:ascii="仿宋" w:hAnsi="仿宋" w:eastAsia="仿宋" w:cs="仿宋"/>
                <w:kern w:val="28"/>
                <w:sz w:val="24"/>
                <w:szCs w:val="24"/>
              </w:rPr>
              <w:t>纸质备份投标文件送达地点：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浙江省台州市椒江区万达大厦3号楼2512室</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15372111333 </w:t>
            </w:r>
            <w:r>
              <w:rPr>
                <w:rFonts w:hint="eastAsia" w:ascii="仿宋" w:hAnsi="仿宋" w:eastAsia="仿宋" w:cs="仿宋"/>
                <w:sz w:val="24"/>
                <w:szCs w:val="24"/>
              </w:rPr>
              <w:t>。</w:t>
            </w:r>
            <w:r>
              <w:rPr>
                <w:rFonts w:hint="eastAsia" w:ascii="仿宋" w:hAnsi="仿宋" w:eastAsia="仿宋" w:cs="仿宋"/>
                <w:sz w:val="24"/>
                <w:szCs w:val="24"/>
                <w:lang w:val="zh-CN"/>
              </w:rPr>
              <w:t>（正本一份，副本一份）</w:t>
            </w:r>
            <w:r>
              <w:rPr>
                <w:rFonts w:hint="eastAsia" w:ascii="仿宋" w:hAnsi="仿宋" w:eastAsia="仿宋" w:cs="仿宋"/>
                <w:sz w:val="24"/>
              </w:rPr>
              <w:t>并确保纸质投标文件与最终上传电子加密投标文件一致，因纸质投标文件与电子投标文件不一致产生的一切结果，均由投标人自行承担。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000000" w:sz="8" w:space="0"/>
              <w:bottom w:val="single" w:color="auto" w:sz="4" w:space="0"/>
              <w:right w:val="single" w:color="000000" w:sz="2"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招标服务费：</w:t>
            </w:r>
          </w:p>
        </w:tc>
        <w:tc>
          <w:tcPr>
            <w:tcW w:w="7481"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rPr>
              <w:t>1.本项目的采购代理服务费为：</w:t>
            </w:r>
          </w:p>
          <w:p>
            <w:pPr>
              <w:snapToGrid w:val="0"/>
              <w:rPr>
                <w:rFonts w:ascii="仿宋" w:hAnsi="仿宋" w:eastAsia="仿宋" w:cs="仿宋"/>
                <w:sz w:val="24"/>
              </w:rPr>
            </w:pPr>
            <w:bookmarkStart w:id="25" w:name="OLE_LINK6"/>
            <w:r>
              <w:rPr>
                <w:rFonts w:hint="eastAsia" w:ascii="仿宋" w:hAnsi="仿宋" w:eastAsia="仿宋" w:cs="仿宋"/>
                <w:sz w:val="24"/>
              </w:rPr>
              <w:t>（1）采购代理服务收费采用差额定率累进计费方式，以中标金额为计算基数。</w:t>
            </w:r>
          </w:p>
          <w:p>
            <w:pPr>
              <w:snapToGrid w:val="0"/>
              <w:rPr>
                <w:rFonts w:ascii="仿宋" w:hAnsi="仿宋" w:eastAsia="仿宋" w:cs="仿宋"/>
                <w:sz w:val="24"/>
              </w:rPr>
            </w:pPr>
            <w:r>
              <w:rPr>
                <w:rFonts w:hint="eastAsia" w:ascii="仿宋" w:hAnsi="仿宋" w:eastAsia="仿宋" w:cs="仿宋"/>
                <w:sz w:val="24"/>
              </w:rPr>
              <w:t>（2）各区段具体收费标准如下：</w:t>
            </w:r>
          </w:p>
          <w:p>
            <w:pPr>
              <w:snapToGrid w:val="0"/>
              <w:rPr>
                <w:rFonts w:ascii="仿宋" w:hAnsi="仿宋" w:eastAsia="仿宋" w:cs="仿宋"/>
                <w:sz w:val="24"/>
              </w:rPr>
            </w:pPr>
            <w:r>
              <w:rPr>
                <w:rFonts w:hint="eastAsia" w:ascii="仿宋" w:hAnsi="仿宋" w:eastAsia="仿宋" w:cs="仿宋"/>
                <w:sz w:val="24"/>
              </w:rPr>
              <w:t>中标金额              费率</w:t>
            </w:r>
          </w:p>
          <w:p>
            <w:pPr>
              <w:snapToGrid w:val="0"/>
              <w:rPr>
                <w:rFonts w:ascii="仿宋" w:hAnsi="仿宋" w:eastAsia="仿宋" w:cs="仿宋"/>
                <w:sz w:val="24"/>
              </w:rPr>
            </w:pPr>
            <w:r>
              <w:rPr>
                <w:rFonts w:hint="eastAsia" w:ascii="仿宋" w:hAnsi="仿宋" w:eastAsia="仿宋" w:cs="仿宋"/>
                <w:sz w:val="24"/>
              </w:rPr>
              <w:t>100万元以下          1.5%</w:t>
            </w:r>
          </w:p>
          <w:p>
            <w:pPr>
              <w:snapToGrid w:val="0"/>
              <w:rPr>
                <w:rFonts w:ascii="仿宋" w:hAnsi="仿宋" w:eastAsia="仿宋" w:cs="仿宋"/>
                <w:sz w:val="24"/>
              </w:rPr>
            </w:pPr>
            <w:r>
              <w:rPr>
                <w:rFonts w:hint="eastAsia" w:ascii="仿宋" w:hAnsi="仿宋" w:eastAsia="仿宋" w:cs="仿宋"/>
                <w:sz w:val="24"/>
              </w:rPr>
              <w:t>100-500万元          0.8%</w:t>
            </w:r>
          </w:p>
          <w:p>
            <w:pPr>
              <w:snapToGrid w:val="0"/>
              <w:rPr>
                <w:rFonts w:ascii="仿宋" w:hAnsi="仿宋" w:eastAsia="仿宋" w:cs="仿宋"/>
                <w:sz w:val="24"/>
              </w:rPr>
            </w:pPr>
            <w:r>
              <w:rPr>
                <w:rFonts w:hint="eastAsia" w:ascii="仿宋" w:hAnsi="仿宋" w:eastAsia="仿宋" w:cs="仿宋"/>
                <w:sz w:val="24"/>
              </w:rPr>
              <w:t>500-1000万元         0.45%</w:t>
            </w:r>
          </w:p>
          <w:bookmarkEnd w:id="25"/>
          <w:p>
            <w:pPr>
              <w:snapToGrid w:val="0"/>
              <w:rPr>
                <w:rFonts w:hint="default" w:ascii="仿宋" w:hAnsi="仿宋" w:eastAsia="仿宋" w:cs="仿宋"/>
                <w:sz w:val="24"/>
                <w:lang w:val="en-US" w:eastAsia="zh-CN"/>
              </w:rPr>
            </w:pPr>
            <w:r>
              <w:rPr>
                <w:rFonts w:hint="eastAsia" w:ascii="仿宋" w:hAnsi="仿宋" w:eastAsia="仿宋" w:cs="仿宋"/>
                <w:sz w:val="24"/>
              </w:rPr>
              <w:t>备注：（1）本项费用在报价表中不单列报价子项，由供应商自行在企业运营成本等或各单价中列支。（2）由中标人在结果公告发布之日起5个工作日内，向采购代理机构一次性交纳采购代理服务费。</w:t>
            </w: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采购代理服务费</w:t>
            </w:r>
            <w:r>
              <w:rPr>
                <w:rFonts w:hint="eastAsia" w:ascii="仿宋" w:hAnsi="仿宋" w:eastAsia="仿宋" w:cs="仿宋"/>
                <w:sz w:val="24"/>
                <w:szCs w:val="24"/>
              </w:rPr>
              <w:t>不足陆仟元按定额陆仟元收取</w:t>
            </w:r>
            <w:r>
              <w:rPr>
                <w:rFonts w:hint="eastAsia" w:ascii="仿宋" w:hAnsi="仿宋" w:eastAsia="仿宋" w:cs="仿宋"/>
                <w:sz w:val="24"/>
                <w:lang w:val="en-US" w:eastAsia="zh-CN"/>
              </w:rPr>
              <w:t>。</w:t>
            </w:r>
          </w:p>
          <w:p>
            <w:pPr>
              <w:snapToGrid w:val="0"/>
              <w:rPr>
                <w:rFonts w:ascii="仿宋" w:hAnsi="仿宋" w:eastAsia="仿宋" w:cs="仿宋"/>
                <w:sz w:val="24"/>
              </w:rPr>
            </w:pPr>
            <w:r>
              <w:rPr>
                <w:rFonts w:hint="eastAsia" w:ascii="仿宋" w:hAnsi="仿宋" w:eastAsia="仿宋" w:cs="仿宋"/>
                <w:sz w:val="24"/>
              </w:rPr>
              <w:t>2.收费账号：</w:t>
            </w:r>
          </w:p>
          <w:p>
            <w:pPr>
              <w:snapToGrid w:val="0"/>
              <w:rPr>
                <w:rFonts w:ascii="仿宋" w:hAnsi="仿宋" w:eastAsia="仿宋" w:cs="仿宋"/>
                <w:sz w:val="24"/>
              </w:rPr>
            </w:pPr>
            <w:r>
              <w:rPr>
                <w:rFonts w:hint="eastAsia" w:ascii="仿宋" w:hAnsi="仿宋" w:eastAsia="仿宋" w:cs="仿宋"/>
                <w:sz w:val="24"/>
              </w:rPr>
              <w:t>账户名称：台州锋鼎工程项目管理有限公司</w:t>
            </w:r>
          </w:p>
          <w:p>
            <w:pPr>
              <w:snapToGrid w:val="0"/>
              <w:rPr>
                <w:rFonts w:ascii="仿宋" w:hAnsi="仿宋" w:eastAsia="仿宋" w:cs="仿宋"/>
                <w:sz w:val="24"/>
              </w:rPr>
            </w:pPr>
            <w:r>
              <w:rPr>
                <w:rFonts w:hint="eastAsia" w:ascii="仿宋" w:hAnsi="仿宋" w:eastAsia="仿宋" w:cs="仿宋"/>
                <w:sz w:val="24"/>
              </w:rPr>
              <w:t>开户银行：中国工商银行股份有限公司台州分行</w:t>
            </w:r>
          </w:p>
          <w:p>
            <w:pPr>
              <w:rPr>
                <w:rFonts w:hint="eastAsia" w:ascii="仿宋" w:hAnsi="仿宋" w:eastAsia="仿宋" w:cs="仿宋"/>
                <w:kern w:val="28"/>
                <w:sz w:val="24"/>
                <w:lang w:eastAsia="zh-CN"/>
              </w:rPr>
            </w:pPr>
            <w:r>
              <w:rPr>
                <w:rFonts w:hint="eastAsia" w:ascii="仿宋" w:hAnsi="仿宋" w:eastAsia="仿宋" w:cs="仿宋"/>
                <w:sz w:val="24"/>
              </w:rPr>
              <w:t>银行账号：1207 0212 0920 0306 679</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46" w:type="dxa"/>
            <w:tcBorders>
              <w:top w:val="single" w:color="auto" w:sz="4" w:space="0"/>
              <w:left w:val="single" w:color="000000" w:sz="8" w:space="0"/>
              <w:right w:val="single" w:color="000000" w:sz="2" w:space="0"/>
            </w:tcBorders>
            <w:vAlign w:val="center"/>
          </w:tcPr>
          <w:p>
            <w:pPr>
              <w:numPr>
                <w:ilvl w:val="0"/>
                <w:numId w:val="2"/>
              </w:numPr>
              <w:snapToGrid w:val="0"/>
              <w:spacing w:line="360" w:lineRule="auto"/>
              <w:ind w:left="425" w:leftChars="0" w:hanging="425" w:firstLineChars="0"/>
              <w:jc w:val="right"/>
              <w:rPr>
                <w:rFonts w:ascii="仿宋" w:hAnsi="仿宋" w:eastAsia="仿宋" w:cs="仿宋"/>
                <w:sz w:val="24"/>
              </w:rPr>
            </w:pPr>
          </w:p>
        </w:tc>
        <w:tc>
          <w:tcPr>
            <w:tcW w:w="1560" w:type="dxa"/>
            <w:tcBorders>
              <w:top w:val="single" w:color="000000" w:sz="8" w:space="0"/>
              <w:left w:val="single" w:color="000000" w:sz="2" w:space="0"/>
              <w:right w:val="single" w:color="000000" w:sz="8" w:space="0"/>
            </w:tcBorders>
            <w:vAlign w:val="center"/>
          </w:tcPr>
          <w:p>
            <w:pPr>
              <w:snapToGrid w:val="0"/>
              <w:rPr>
                <w:rFonts w:ascii="仿宋" w:hAnsi="仿宋" w:eastAsia="仿宋" w:cs="仿宋"/>
                <w:b/>
                <w:sz w:val="24"/>
              </w:rPr>
            </w:pPr>
            <w:r>
              <w:rPr>
                <w:rFonts w:hint="eastAsia" w:ascii="仿宋" w:hAnsi="仿宋" w:eastAsia="仿宋" w:cs="仿宋"/>
                <w:b/>
                <w:sz w:val="24"/>
              </w:rPr>
              <w:t>其他</w:t>
            </w:r>
          </w:p>
        </w:tc>
        <w:tc>
          <w:tcPr>
            <w:tcW w:w="7481"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 w:hAnsi="仿宋" w:eastAsia="仿宋" w:cs="仿宋"/>
                <w:sz w:val="24"/>
              </w:rPr>
            </w:pPr>
            <w:r>
              <w:rPr>
                <w:rFonts w:hint="eastAsia" w:ascii="仿宋" w:hAnsi="仿宋" w:eastAsia="仿宋" w:cs="仿宋"/>
                <w:sz w:val="24"/>
              </w:rPr>
              <w:t>1、各供应商自行在浙江政府采购网下载或查阅采购文件和相关更正公告等，不另行通知，如有遗漏采购人、采购代理机构概不负责。</w:t>
            </w:r>
          </w:p>
          <w:p>
            <w:pPr>
              <w:snapToGrid w:val="0"/>
              <w:rPr>
                <w:rFonts w:hint="eastAsia" w:ascii="仿宋" w:hAnsi="仿宋" w:eastAsia="仿宋" w:cs="仿宋"/>
                <w:sz w:val="24"/>
              </w:rPr>
            </w:pPr>
            <w:r>
              <w:rPr>
                <w:rFonts w:hint="eastAsia" w:ascii="仿宋" w:hAnsi="仿宋" w:eastAsia="仿宋" w:cs="仿宋"/>
                <w:sz w:val="24"/>
              </w:rPr>
              <w:t>2、两家或两家以上供应商提供的投标文件出自同一终端设备的，或在相同Internet主机分配地址（相同IP地址）报名或网上投标的，后果由供应商自行承担。</w:t>
            </w:r>
          </w:p>
          <w:p>
            <w:pPr>
              <w:snapToGrid w:val="0"/>
              <w:rPr>
                <w:rFonts w:ascii="仿宋" w:hAnsi="仿宋" w:eastAsia="仿宋" w:cs="仿宋"/>
                <w:snapToGrid w:val="0"/>
                <w:kern w:val="28"/>
                <w:sz w:val="24"/>
              </w:rPr>
            </w:pPr>
            <w:r>
              <w:rPr>
                <w:rFonts w:hint="eastAsia" w:ascii="仿宋" w:hAnsi="仿宋" w:eastAsia="仿宋" w:cs="仿宋"/>
                <w:sz w:val="24"/>
              </w:rPr>
              <w:t>3、开标时间后30分钟内供应商须携带CA自备电脑登录“政采云”平台，用“项目采购-开标评标”功能解密投标文件，投标人未按时解密或解密失败的，其上传的电子投标文件自动失效。</w:t>
            </w:r>
          </w:p>
        </w:tc>
      </w:tr>
    </w:tbl>
    <w:p>
      <w:pPr>
        <w:snapToGrid w:val="0"/>
        <w:spacing w:line="360" w:lineRule="auto"/>
        <w:jc w:val="center"/>
        <w:rPr>
          <w:rFonts w:ascii="仿宋" w:hAnsi="仿宋" w:eastAsia="仿宋" w:cs="仿宋"/>
          <w:b/>
          <w:sz w:val="32"/>
          <w:szCs w:val="20"/>
        </w:rPr>
      </w:pPr>
    </w:p>
    <w:bookmarkEnd w:id="10"/>
    <w:p>
      <w:pPr>
        <w:rPr>
          <w:rFonts w:ascii="仿宋" w:hAnsi="仿宋" w:eastAsia="仿宋" w:cs="仿宋"/>
          <w:b/>
          <w:sz w:val="32"/>
          <w:szCs w:val="20"/>
        </w:rPr>
      </w:pPr>
      <w:bookmarkStart w:id="26" w:name="第三部分"/>
      <w:bookmarkStart w:id="27" w:name="_Toc164416483"/>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bookmarkStart w:id="28" w:name="_Toc5676"/>
      <w:r>
        <w:rPr>
          <w:rFonts w:hint="eastAsia" w:ascii="仿宋" w:hAnsi="仿宋" w:eastAsia="仿宋" w:cs="仿宋"/>
          <w:b/>
          <w:sz w:val="32"/>
          <w:szCs w:val="20"/>
        </w:rPr>
        <w:t>一、总则</w:t>
      </w:r>
      <w:bookmarkEnd w:id="28"/>
    </w:p>
    <w:p>
      <w:pPr>
        <w:snapToGrid w:val="0"/>
        <w:spacing w:line="360" w:lineRule="auto"/>
        <w:ind w:firstLine="361" w:firstLineChars="150"/>
        <w:jc w:val="left"/>
        <w:outlineLvl w:val="1"/>
        <w:rPr>
          <w:rFonts w:ascii="仿宋" w:hAnsi="仿宋" w:eastAsia="仿宋" w:cs="仿宋"/>
          <w:b/>
          <w:sz w:val="24"/>
        </w:rPr>
      </w:pPr>
      <w:bookmarkStart w:id="29" w:name="_Hlt74730295"/>
      <w:bookmarkEnd w:id="29"/>
      <w:bookmarkStart w:id="30" w:name="_Hlt75236290"/>
      <w:bookmarkEnd w:id="30"/>
      <w:bookmarkStart w:id="31" w:name="_Hlt68073093"/>
      <w:bookmarkEnd w:id="31"/>
      <w:bookmarkStart w:id="32" w:name="_Hlt75236101"/>
      <w:bookmarkEnd w:id="32"/>
      <w:bookmarkStart w:id="33" w:name="_Hlt68072998"/>
      <w:bookmarkEnd w:id="33"/>
      <w:bookmarkStart w:id="34" w:name="_Hlt68403820"/>
      <w:bookmarkEnd w:id="34"/>
      <w:bookmarkStart w:id="35" w:name="_Hlt68057669"/>
      <w:bookmarkEnd w:id="35"/>
      <w:bookmarkStart w:id="36" w:name="_Hlt74707468"/>
      <w:bookmarkEnd w:id="36"/>
      <w:bookmarkStart w:id="37" w:name="_Hlt75236011"/>
      <w:bookmarkEnd w:id="37"/>
      <w:bookmarkStart w:id="38" w:name="_Hlt68072990"/>
      <w:bookmarkEnd w:id="38"/>
      <w:bookmarkStart w:id="39" w:name="_Hlt74714665"/>
      <w:bookmarkEnd w:id="39"/>
      <w:bookmarkStart w:id="40" w:name="_Hlt74729768"/>
      <w:bookmarkEnd w:id="40"/>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41" w:name="_Toc21962"/>
      <w:r>
        <w:rPr>
          <w:rFonts w:hint="eastAsia" w:ascii="仿宋" w:hAnsi="仿宋" w:eastAsia="仿宋" w:cs="仿宋"/>
          <w:b/>
          <w:sz w:val="24"/>
        </w:rPr>
        <w:t>2.定义</w:t>
      </w:r>
      <w:bookmarkEnd w:id="41"/>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r>
        <w:rPr>
          <w:rFonts w:hint="eastAsia" w:ascii="仿宋" w:hAnsi="仿宋" w:eastAsia="仿宋" w:cs="仿宋"/>
          <w:sz w:val="24"/>
          <w:lang w:eastAsia="zh-CN"/>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left="0" w:leftChars="0" w:firstLine="422" w:firstLineChars="175"/>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left="0" w:leftChars="0" w:firstLine="420" w:firstLineChars="175"/>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left="0" w:leftChars="0" w:firstLine="420" w:firstLineChars="175"/>
        <w:rPr>
          <w:rFonts w:ascii="仿宋" w:hAnsi="仿宋" w:eastAsia="仿宋" w:cs="仿宋"/>
          <w:sz w:val="24"/>
        </w:rPr>
      </w:pPr>
      <w:r>
        <w:rPr>
          <w:rFonts w:hint="eastAsia" w:ascii="仿宋" w:hAnsi="仿宋" w:eastAsia="仿宋" w:cs="仿宋"/>
          <w:sz w:val="24"/>
        </w:rPr>
        <w:t>3.2 支持绿色发展</w:t>
      </w:r>
    </w:p>
    <w:p>
      <w:pPr>
        <w:spacing w:line="360" w:lineRule="auto"/>
        <w:ind w:left="0" w:leftChars="0" w:firstLine="420" w:firstLineChars="175"/>
        <w:rPr>
          <w:rFonts w:ascii="仿宋" w:hAnsi="仿宋" w:eastAsia="仿宋" w:cs="仿宋"/>
          <w:b/>
          <w:sz w:val="24"/>
        </w:rPr>
      </w:pPr>
      <w:r>
        <w:rPr>
          <w:rFonts w:hint="eastAsia" w:ascii="仿宋" w:hAnsi="仿宋" w:eastAsia="仿宋" w:cs="仿宋"/>
          <w:sz w:val="24"/>
        </w:rPr>
        <w:t>3.2.1采购人拟采购的产品如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▲采购人拟采购的产品如属于政府强制采购的节能产品品目清单范围的，投标人相应的投标产品未获得国家确定的认证机构出具的、处于有效期之内的节能产品认证证书的，投标无效。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42"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2"/>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lang w:val="en-US" w:eastAsia="zh-CN"/>
        </w:rPr>
        <w:t>1</w:t>
      </w:r>
      <w:r>
        <w:rPr>
          <w:rFonts w:hint="eastAsia" w:ascii="仿宋" w:hAnsi="仿宋" w:eastAsia="仿宋" w:cs="仿宋"/>
          <w:sz w:val="24"/>
        </w:rPr>
        <w:t>0%的扣除，用扣除后的价格参与评审。</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left="0" w:leftChars="0" w:firstLine="420" w:firstLineChars="175"/>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left="0" w:leftChars="0" w:firstLine="420" w:firstLineChars="175"/>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left="0" w:leftChars="0" w:firstLine="420" w:firstLineChars="175"/>
        <w:rPr>
          <w:rFonts w:hint="eastAsia" w:ascii="仿宋" w:hAnsi="仿宋" w:eastAsia="仿宋" w:cs="仿宋"/>
          <w:b w:val="0"/>
          <w:bCs/>
          <w:sz w:val="24"/>
        </w:rPr>
      </w:pPr>
      <w:r>
        <w:rPr>
          <w:rFonts w:hint="eastAsia" w:ascii="仿宋" w:hAnsi="仿宋" w:eastAsia="仿宋" w:cs="仿宋"/>
          <w:b w:val="0"/>
          <w:bCs/>
          <w:sz w:val="24"/>
        </w:rPr>
        <w:t>平等对待内外资企业和符合条件的破产重整企业，切实保障企业公平竞争，平等维护企业的合法利益。</w:t>
      </w:r>
      <w:r>
        <w:rPr>
          <w:rFonts w:hint="eastAsia" w:ascii="仿宋" w:hAnsi="仿宋" w:eastAsia="仿宋" w:cs="仿宋"/>
          <w:b w:val="0"/>
          <w:bCs/>
          <w:sz w:val="24"/>
        </w:rPr>
        <w:cr/>
      </w:r>
      <w:r>
        <w:rPr>
          <w:rFonts w:hint="eastAsia" w:ascii="仿宋" w:hAnsi="仿宋" w:eastAsia="仿宋" w:cs="仿宋"/>
          <w:b/>
          <w:bCs w:val="0"/>
          <w:sz w:val="24"/>
        </w:rPr>
        <w:t>4. 询问、质疑、投诉</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4.1在线询问、质疑、投诉</w:t>
      </w:r>
    </w:p>
    <w:p>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left="0" w:leftChars="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left="0" w:leftChars="0" w:firstLine="420" w:firstLineChars="175"/>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4"/>
        <w:spacing w:line="360" w:lineRule="auto"/>
        <w:ind w:left="0" w:leftChars="0" w:firstLine="420" w:firstLineChars="175"/>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left="0" w:leftChars="0" w:firstLine="420" w:firstLineChars="175"/>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left="0" w:leftChars="0" w:firstLine="420" w:firstLineChars="175"/>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0" w:leftChars="0" w:firstLine="420" w:firstLineChars="175"/>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4"/>
        <w:spacing w:line="360" w:lineRule="auto"/>
        <w:ind w:left="0" w:leftChars="0" w:firstLine="420" w:firstLineChars="175"/>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4"/>
        <w:spacing w:line="360" w:lineRule="auto"/>
        <w:ind w:left="0" w:leftChars="0" w:firstLine="420" w:firstLineChars="175"/>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keepNext w:val="0"/>
        <w:keepLines w:val="0"/>
        <w:pageBreakBefore w:val="0"/>
        <w:widowControl w:val="0"/>
        <w:kinsoku/>
        <w:wordWrap/>
        <w:overflowPunct/>
        <w:topLinePunct w:val="0"/>
        <w:autoSpaceDE/>
        <w:autoSpaceDN/>
        <w:bidi w:val="0"/>
        <w:adjustRightInd w:val="0"/>
        <w:snapToGrid/>
        <w:spacing w:line="240" w:lineRule="auto"/>
        <w:ind w:firstLine="960" w:firstLineChars="400"/>
        <w:textAlignment w:val="auto"/>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pPr>
        <w:pStyle w:val="891"/>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43" w:name="_Toc31946"/>
      <w:r>
        <w:rPr>
          <w:rFonts w:hint="eastAsia" w:ascii="仿宋" w:hAnsi="仿宋" w:eastAsia="仿宋" w:cs="仿宋"/>
          <w:b/>
          <w:sz w:val="32"/>
          <w:szCs w:val="20"/>
        </w:rPr>
        <w:t>二、招标文件的构成、澄清、修改</w:t>
      </w:r>
      <w:bookmarkEnd w:id="43"/>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left="0" w:leftChars="0" w:firstLine="840" w:firstLineChars="35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left="0" w:leftChars="0" w:firstLine="420" w:firstLineChars="175"/>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6. 招标文件的澄清、修改</w:t>
      </w:r>
    </w:p>
    <w:p>
      <w:pPr>
        <w:pStyle w:val="34"/>
        <w:tabs>
          <w:tab w:val="left" w:pos="840"/>
        </w:tabs>
        <w:spacing w:line="312" w:lineRule="auto"/>
        <w:ind w:left="0" w:leftChars="0" w:firstLine="420" w:firstLineChars="175"/>
        <w:jc w:val="left"/>
        <w:rPr>
          <w:rFonts w:ascii="仿宋" w:hAnsi="仿宋" w:eastAsia="仿宋" w:cs="仿宋"/>
          <w:sz w:val="24"/>
          <w:szCs w:val="24"/>
        </w:rPr>
      </w:pPr>
      <w:r>
        <w:rPr>
          <w:rFonts w:hint="eastAsia" w:ascii="仿宋" w:hAnsi="仿宋" w:eastAsia="仿宋" w:cs="仿宋"/>
          <w:sz w:val="24"/>
          <w:szCs w:val="24"/>
        </w:rPr>
        <w:t xml:space="preserve">6.1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4"/>
        <w:tabs>
          <w:tab w:val="left" w:pos="840"/>
        </w:tabs>
        <w:spacing w:line="312" w:lineRule="auto"/>
        <w:ind w:left="0" w:leftChars="0" w:firstLine="420" w:firstLineChars="175"/>
        <w:jc w:val="left"/>
        <w:rPr>
          <w:rFonts w:ascii="仿宋" w:hAnsi="仿宋" w:eastAsia="仿宋" w:cs="仿宋"/>
          <w:sz w:val="24"/>
          <w:szCs w:val="24"/>
        </w:rPr>
      </w:pPr>
      <w:r>
        <w:rPr>
          <w:rFonts w:hint="eastAsia" w:ascii="仿宋" w:hAnsi="仿宋" w:eastAsia="仿宋" w:cs="仿宋"/>
          <w:sz w:val="24"/>
          <w:szCs w:val="24"/>
        </w:rPr>
        <w:t>6.2、投标人在规定的时间内未对招标文件提出疑问、质疑或要求澄清的，将视其为无异议。对招标文件中描述有歧义或前后不一致的地方，评标委员会有权进行评判，但对同一条款的评判应适用于每个投标人。</w:t>
      </w:r>
    </w:p>
    <w:p>
      <w:pPr>
        <w:adjustRightInd/>
        <w:spacing w:line="360" w:lineRule="auto"/>
        <w:jc w:val="center"/>
        <w:outlineLvl w:val="0"/>
        <w:rPr>
          <w:rFonts w:hint="eastAsia" w:ascii="仿宋" w:hAnsi="仿宋" w:eastAsia="仿宋" w:cs="仿宋"/>
          <w:b/>
          <w:sz w:val="32"/>
          <w:szCs w:val="20"/>
        </w:rPr>
      </w:pPr>
      <w:bookmarkStart w:id="44" w:name="_Toc24620"/>
      <w:r>
        <w:rPr>
          <w:rFonts w:hint="eastAsia" w:ascii="仿宋" w:hAnsi="仿宋" w:eastAsia="仿宋" w:cs="仿宋"/>
          <w:b/>
          <w:sz w:val="32"/>
          <w:szCs w:val="20"/>
        </w:rPr>
        <w:t>三、投标</w:t>
      </w:r>
      <w:bookmarkEnd w:id="44"/>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left="0" w:leftChars="0" w:firstLine="420" w:firstLineChars="175"/>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ind w:left="0" w:leftChars="0" w:firstLine="422" w:firstLineChars="175"/>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left="0" w:leftChars="0" w:firstLine="420" w:firstLineChars="175"/>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left="0" w:leftChars="0" w:firstLine="420" w:firstLineChars="175"/>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11.1资格文件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11.1.2法人或者其他组织的营业执照等证明文件，自然人的身份证明；</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sz w:val="24"/>
        </w:rPr>
        <w:t>11.1.3落实政府采购政策需满足的资格要求；</w:t>
      </w:r>
      <w:bookmarkStart w:id="45" w:name="OLE_LINK9"/>
      <w:r>
        <w:rPr>
          <w:rFonts w:hint="eastAsia" w:ascii="仿宋" w:hAnsi="仿宋" w:eastAsia="仿宋" w:cs="仿宋"/>
          <w:sz w:val="24"/>
          <w:szCs w:val="24"/>
        </w:rPr>
        <w:t>根据招标公告申请人的资格要求提供相关资料，</w:t>
      </w:r>
      <w:r>
        <w:rPr>
          <w:rFonts w:hint="eastAsia" w:ascii="仿宋" w:hAnsi="仿宋" w:eastAsia="仿宋" w:cs="仿宋"/>
          <w:b/>
          <w:bCs/>
          <w:sz w:val="24"/>
          <w:szCs w:val="24"/>
        </w:rPr>
        <w:t>提供中小企业声明函</w:t>
      </w:r>
      <w:r>
        <w:rPr>
          <w:rFonts w:hint="eastAsia" w:ascii="仿宋" w:hAnsi="仿宋" w:eastAsia="仿宋" w:cs="仿宋"/>
          <w:sz w:val="24"/>
          <w:szCs w:val="24"/>
        </w:rPr>
        <w:t>（符合《关于政府采购支持监狱企业发展有关问题的通知》（财库</w:t>
      </w:r>
      <w:r>
        <w:rPr>
          <w:rFonts w:hint="eastAsia" w:ascii="仿宋" w:hAnsi="仿宋" w:eastAsia="仿宋" w:cs="仿宋"/>
          <w:sz w:val="24"/>
          <w:szCs w:val="24"/>
          <w:lang w:eastAsia="zh-CN"/>
        </w:rPr>
        <w:t>〔2014〕68号</w:t>
      </w:r>
      <w:r>
        <w:rPr>
          <w:rFonts w:hint="eastAsia" w:ascii="仿宋" w:hAnsi="仿宋" w:eastAsia="仿宋" w:cs="仿宋"/>
          <w:sz w:val="24"/>
          <w:szCs w:val="24"/>
        </w:rPr>
        <w:t>）规定的监狱企业并提供由省级以上监狱管理局、戒毒管理局（含新疆生产建设兵团）出具的属于监狱企业证明文件的，视同为小型、微型企业）</w:t>
      </w:r>
      <w:bookmarkEnd w:id="45"/>
      <w:r>
        <w:rPr>
          <w:rFonts w:hint="eastAsia" w:ascii="仿宋" w:hAnsi="仿宋" w:eastAsia="仿宋" w:cs="仿宋"/>
          <w:sz w:val="24"/>
          <w:szCs w:val="24"/>
          <w:lang w:eastAsia="zh-CN"/>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w:t>
      </w:r>
      <w:r>
        <w:rPr>
          <w:rFonts w:hint="eastAsia" w:ascii="仿宋" w:hAnsi="仿宋" w:eastAsia="仿宋" w:cs="仿宋"/>
          <w:sz w:val="24"/>
        </w:rPr>
        <w:t>提供采购公告中符合供应商特定条件的有效资质证书复印件</w:t>
      </w:r>
      <w:r>
        <w:rPr>
          <w:rFonts w:hint="eastAsia" w:ascii="仿宋" w:hAnsi="仿宋" w:eastAsia="仿宋" w:cs="仿宋"/>
          <w:sz w:val="24"/>
          <w:lang w:val="en-US" w:eastAsia="zh-CN"/>
        </w:rPr>
        <w:t>如无则不需提供</w:t>
      </w:r>
      <w:r>
        <w:rPr>
          <w:rFonts w:hint="eastAsia" w:ascii="仿宋" w:hAnsi="仿宋" w:eastAsia="仿宋" w:cs="仿宋"/>
          <w:snapToGrid w:val="0"/>
          <w:kern w:val="28"/>
          <w:sz w:val="24"/>
          <w:szCs w:val="20"/>
        </w:rPr>
        <w:t>)</w:t>
      </w:r>
      <w:r>
        <w:rPr>
          <w:rFonts w:hint="eastAsia" w:ascii="仿宋" w:hAnsi="仿宋" w:eastAsia="仿宋" w:cs="仿宋"/>
          <w:sz w:val="24"/>
        </w:rPr>
        <w:t>，以及需要说明的其他资料。</w:t>
      </w:r>
    </w:p>
    <w:p>
      <w:pPr>
        <w:snapToGrid w:val="0"/>
        <w:spacing w:line="360" w:lineRule="auto"/>
        <w:ind w:firstLine="482" w:firstLineChars="200"/>
        <w:rPr>
          <w:rFonts w:ascii="仿宋" w:hAnsi="仿宋" w:eastAsia="仿宋" w:cs="仿宋"/>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11.2.3供应商情况介绍；</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11.2.4评标标准相应的商务技术资料</w:t>
      </w:r>
      <w:bookmarkStart w:id="46" w:name="_Toc20238"/>
      <w:r>
        <w:rPr>
          <w:rFonts w:hint="eastAsia" w:ascii="仿宋" w:hAnsi="仿宋" w:eastAsia="仿宋" w:cs="仿宋"/>
          <w:sz w:val="24"/>
        </w:rPr>
        <w:t>（根据评标办法提供）；</w:t>
      </w:r>
    </w:p>
    <w:p>
      <w:pPr>
        <w:snapToGrid w:val="0"/>
        <w:spacing w:line="360" w:lineRule="auto"/>
        <w:ind w:firstLine="1058" w:firstLineChars="441"/>
        <w:rPr>
          <w:rFonts w:ascii="仿宋" w:eastAsia="仿宋" w:cs="仿宋"/>
          <w:sz w:val="24"/>
        </w:rPr>
      </w:pPr>
      <w:r>
        <w:rPr>
          <w:rFonts w:hint="eastAsia" w:ascii="仿宋" w:hAnsi="仿宋" w:eastAsia="仿宋" w:cs="仿宋"/>
          <w:sz w:val="24"/>
        </w:rPr>
        <w:t>11.2.</w:t>
      </w:r>
      <w:r>
        <w:rPr>
          <w:rFonts w:hint="eastAsia" w:ascii="仿宋" w:eastAsia="仿宋" w:cs="仿宋"/>
          <w:sz w:val="24"/>
        </w:rPr>
        <w:t>5</w:t>
      </w:r>
      <w:r>
        <w:rPr>
          <w:rFonts w:hint="eastAsia" w:ascii="仿宋" w:hAnsi="仿宋" w:eastAsia="仿宋" w:cs="仿宋"/>
          <w:sz w:val="24"/>
        </w:rPr>
        <w:t>投标标的清单；</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11.2.7商务需求响应表；</w:t>
      </w:r>
    </w:p>
    <w:bookmarkEnd w:id="46"/>
    <w:p>
      <w:pPr>
        <w:pStyle w:val="5"/>
        <w:ind w:left="0" w:firstLine="1058" w:firstLineChars="441"/>
        <w:rPr>
          <w:rFonts w:ascii="仿宋" w:eastAsia="仿宋" w:cs="仿宋"/>
          <w:b w:val="0"/>
          <w:bCs w:val="0"/>
          <w:sz w:val="24"/>
          <w:szCs w:val="24"/>
        </w:rPr>
      </w:pPr>
      <w:bookmarkStart w:id="47" w:name="_Toc4291"/>
      <w:r>
        <w:rPr>
          <w:rFonts w:hint="eastAsia" w:ascii="仿宋" w:eastAsia="仿宋" w:cs="仿宋"/>
          <w:b w:val="0"/>
          <w:bCs w:val="0"/>
          <w:sz w:val="24"/>
          <w:szCs w:val="24"/>
          <w:lang w:val="en-US"/>
        </w:rPr>
        <w:t>11.2.8</w:t>
      </w:r>
      <w:r>
        <w:rPr>
          <w:rFonts w:hint="eastAsia" w:ascii="仿宋" w:eastAsia="仿宋" w:cs="仿宋"/>
          <w:b w:val="0"/>
          <w:bCs w:val="0"/>
          <w:sz w:val="24"/>
          <w:szCs w:val="24"/>
        </w:rPr>
        <w:t>政府采购供应商廉洁自律承诺书</w:t>
      </w:r>
      <w:bookmarkEnd w:id="47"/>
      <w:r>
        <w:rPr>
          <w:rFonts w:hint="eastAsia" w:ascii="仿宋" w:eastAsia="仿宋" w:cs="仿宋"/>
          <w:sz w:val="24"/>
        </w:rPr>
        <w:t>。</w:t>
      </w:r>
    </w:p>
    <w:p>
      <w:pPr>
        <w:snapToGrid w:val="0"/>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11.3.2投标项目报价明细表（格式见附件）；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11.3.3中小企业声明函（格式见附件）；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rPr>
        <w:t>11.3.4投标人针对报价需要说明的其他文件和说明（格式自拟）。</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3"/>
        <w:snapToGrid w:val="0"/>
        <w:spacing w:before="0"/>
        <w:ind w:left="0" w:leftChars="0" w:firstLine="422" w:firstLineChars="175"/>
        <w:outlineLvl w:val="0"/>
        <w:rPr>
          <w:rFonts w:ascii="仿宋" w:hAnsi="仿宋" w:eastAsia="仿宋" w:cs="仿宋"/>
          <w:b/>
          <w:szCs w:val="24"/>
        </w:rPr>
      </w:pPr>
      <w:bookmarkStart w:id="48" w:name="_Toc2157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48"/>
    </w:p>
    <w:p>
      <w:pPr>
        <w:spacing w:line="360" w:lineRule="auto"/>
        <w:ind w:left="0" w:leftChars="0" w:firstLine="420" w:firstLineChars="175"/>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left="0" w:leftChars="0" w:firstLine="420" w:firstLineChars="175"/>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left="0" w:leftChars="0" w:firstLine="420" w:firstLineChars="175"/>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left="0" w:leftChars="0" w:firstLine="422" w:firstLineChars="175"/>
        <w:rPr>
          <w:rFonts w:ascii="仿宋" w:hAnsi="仿宋" w:eastAsia="仿宋" w:cs="仿宋"/>
          <w:b/>
          <w:sz w:val="24"/>
        </w:rPr>
      </w:pPr>
      <w:r>
        <w:rPr>
          <w:rFonts w:hint="eastAsia" w:ascii="仿宋" w:hAnsi="仿宋" w:eastAsia="仿宋" w:cs="仿宋"/>
          <w:b/>
          <w:sz w:val="24"/>
        </w:rPr>
        <w:t>13.投标文件的签署、盖章</w:t>
      </w:r>
    </w:p>
    <w:p>
      <w:pPr>
        <w:pStyle w:val="133"/>
        <w:snapToGrid w:val="0"/>
        <w:spacing w:before="0"/>
        <w:ind w:left="0" w:leftChars="0" w:firstLine="420" w:firstLineChars="175"/>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left="0" w:leftChars="0" w:firstLine="420" w:firstLineChars="175"/>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3"/>
        <w:snapToGrid w:val="0"/>
        <w:spacing w:before="0"/>
        <w:ind w:left="0" w:leftChars="0" w:firstLine="422" w:firstLineChars="175"/>
        <w:rPr>
          <w:rFonts w:hint="eastAsia" w:ascii="仿宋" w:hAnsi="仿宋" w:eastAsia="仿宋" w:cs="仿宋"/>
          <w:b/>
          <w:bCs/>
        </w:rPr>
      </w:pPr>
      <w:r>
        <w:rPr>
          <w:rFonts w:hint="eastAsia" w:ascii="仿宋" w:hAnsi="仿宋" w:eastAsia="仿宋" w:cs="仿宋"/>
          <w:b/>
          <w:bCs/>
        </w:rPr>
        <w:t>14. 投标文件的提交、补充、修改、撤回</w:t>
      </w:r>
    </w:p>
    <w:p>
      <w:pPr>
        <w:pStyle w:val="133"/>
        <w:snapToGrid w:val="0"/>
        <w:spacing w:before="0"/>
        <w:ind w:left="0" w:leftChars="0" w:firstLine="420" w:firstLineChars="175"/>
        <w:rPr>
          <w:rFonts w:ascii="仿宋" w:hAnsi="仿宋" w:eastAsia="仿宋" w:cs="仿宋"/>
          <w:szCs w:val="24"/>
        </w:rPr>
      </w:pPr>
      <w:r>
        <w:rPr>
          <w:rFonts w:hint="eastAsia" w:ascii="仿宋" w:hAnsi="仿宋" w:eastAsia="仿宋" w:cs="仿宋"/>
        </w:rPr>
        <w:t>14.1 供应商应当在投标截止时间前完成投标文件的传输递交，并可以补充、修改或者撤回投标文件。补充或者修改投标文件的，</w:t>
      </w:r>
      <w:r>
        <w:rPr>
          <w:rFonts w:hint="eastAsia" w:ascii="仿宋" w:hAnsi="仿宋" w:eastAsia="仿宋" w:cs="仿宋"/>
          <w:szCs w:val="24"/>
        </w:rPr>
        <w:t>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left="0" w:leftChars="0" w:firstLine="420" w:firstLineChars="175"/>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14.3采购人、采购代理机构可以视情况延长投标文件提交的截止时间。在上述情况下，采购代理机构与投标人在投标截止期前的全部权利、责任和义务，将适用于延长至新的投标截止期。</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left="0" w:leftChars="0" w:firstLine="420" w:firstLineChars="175"/>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4"/>
        <w:spacing w:line="360" w:lineRule="auto"/>
        <w:ind w:left="0" w:leftChars="0" w:firstLine="420" w:firstLineChars="175"/>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b/>
          <w:bCs/>
          <w:sz w:val="24"/>
          <w:szCs w:val="24"/>
        </w:rPr>
        <w:t>U</w:t>
      </w:r>
      <w:r>
        <w:rPr>
          <w:rFonts w:hint="eastAsia" w:ascii="仿宋" w:hAnsi="仿宋" w:eastAsia="仿宋" w:cs="仿宋"/>
          <w:sz w:val="24"/>
          <w:szCs w:val="24"/>
        </w:rPr>
        <w:t>盘或</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left="0" w:leftChars="0" w:firstLine="420" w:firstLineChars="175"/>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pPr>
        <w:pStyle w:val="34"/>
        <w:spacing w:line="360" w:lineRule="auto"/>
        <w:ind w:left="0" w:leftChars="0" w:firstLine="422" w:firstLineChars="175"/>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3"/>
        <w:spacing w:before="0"/>
        <w:ind w:left="0" w:leftChars="0" w:firstLine="422" w:firstLineChars="175"/>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left="0" w:leftChars="0" w:firstLine="420" w:firstLineChars="175"/>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3"/>
        <w:spacing w:before="0"/>
        <w:ind w:left="0" w:leftChars="0" w:firstLine="422" w:firstLineChars="175"/>
        <w:rPr>
          <w:rFonts w:ascii="仿宋" w:hAnsi="仿宋" w:eastAsia="仿宋" w:cs="仿宋"/>
          <w:b/>
          <w:szCs w:val="24"/>
        </w:rPr>
      </w:pPr>
      <w:r>
        <w:rPr>
          <w:rFonts w:hint="eastAsia" w:ascii="仿宋" w:hAnsi="仿宋" w:eastAsia="仿宋" w:cs="仿宋"/>
          <w:b/>
          <w:szCs w:val="24"/>
        </w:rPr>
        <w:t>17.投标有效期</w:t>
      </w:r>
    </w:p>
    <w:p>
      <w:pPr>
        <w:spacing w:line="360" w:lineRule="auto"/>
        <w:ind w:left="0" w:leftChars="0" w:firstLine="420" w:firstLineChars="175"/>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3"/>
        <w:spacing w:before="0"/>
        <w:ind w:left="0" w:leftChars="0" w:firstLine="420" w:firstLineChars="175"/>
        <w:rPr>
          <w:rFonts w:ascii="仿宋" w:hAnsi="仿宋" w:eastAsia="仿宋" w:cs="仿宋"/>
        </w:rPr>
      </w:pPr>
      <w:r>
        <w:rPr>
          <w:rFonts w:hint="eastAsia" w:ascii="仿宋" w:hAnsi="仿宋" w:eastAsia="仿宋" w:cs="仿宋"/>
        </w:rPr>
        <w:t>17.2投标文件合格投递后，自投标截止日期起，在投标有效期内有效。</w:t>
      </w:r>
    </w:p>
    <w:p>
      <w:pPr>
        <w:pStyle w:val="133"/>
        <w:spacing w:before="0"/>
        <w:ind w:left="0" w:leftChars="0" w:firstLine="420" w:firstLineChars="175"/>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9"/>
        <w:spacing w:before="0" w:line="360" w:lineRule="auto"/>
        <w:ind w:left="0" w:leftChars="0" w:firstLine="422" w:firstLineChars="175"/>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9"/>
        <w:spacing w:before="0" w:line="360" w:lineRule="auto"/>
        <w:ind w:left="0" w:leftChars="0" w:firstLine="420" w:firstLineChars="175"/>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9"/>
        <w:spacing w:before="0" w:line="360" w:lineRule="auto"/>
        <w:ind w:left="0" w:leftChars="0" w:firstLine="420" w:firstLineChars="175"/>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leftChars="0" w:firstLine="420" w:firstLineChars="175"/>
        <w:contextualSpacing/>
        <w:rPr>
          <w:rFonts w:ascii="仿宋" w:hAnsi="仿宋" w:eastAsia="仿宋" w:cs="仿宋"/>
          <w:b/>
          <w:sz w:val="24"/>
        </w:rPr>
      </w:pPr>
      <w:r>
        <w:rPr>
          <w:rFonts w:hint="eastAsia" w:ascii="仿宋" w:hAnsi="仿宋" w:eastAsia="仿宋" w:cs="仿宋"/>
          <w:sz w:val="24"/>
        </w:rPr>
        <w:t>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133"/>
        <w:spacing w:before="0"/>
        <w:ind w:left="0" w:leftChars="0" w:firstLine="422" w:firstLineChars="175"/>
        <w:rPr>
          <w:rFonts w:hint="eastAsia" w:ascii="仿宋" w:hAnsi="仿宋" w:eastAsia="仿宋" w:cs="仿宋"/>
          <w:b/>
          <w:szCs w:val="24"/>
        </w:rPr>
      </w:pPr>
      <w:r>
        <w:rPr>
          <w:rFonts w:hint="eastAsia" w:ascii="仿宋" w:hAnsi="仿宋" w:eastAsia="仿宋" w:cs="仿宋"/>
          <w:b/>
          <w:szCs w:val="24"/>
        </w:rPr>
        <w:t>19、资格审查</w:t>
      </w:r>
    </w:p>
    <w:p>
      <w:pPr>
        <w:pStyle w:val="133"/>
        <w:spacing w:before="0"/>
        <w:ind w:left="0" w:leftChars="0" w:firstLine="420" w:firstLineChars="175"/>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pPr>
        <w:pStyle w:val="133"/>
        <w:spacing w:before="0"/>
        <w:ind w:left="0" w:leftChars="0" w:firstLine="420" w:firstLineChars="175"/>
        <w:rPr>
          <w:rFonts w:hint="eastAsia" w:ascii="仿宋" w:hAnsi="仿宋" w:eastAsia="仿宋" w:cs="仿宋"/>
          <w:kern w:val="0"/>
          <w:szCs w:val="24"/>
        </w:rPr>
      </w:pPr>
      <w:r>
        <w:rPr>
          <w:rFonts w:hint="eastAsia" w:ascii="仿宋" w:hAnsi="仿宋" w:eastAsia="仿宋" w:cs="仿宋"/>
          <w:kern w:val="0"/>
          <w:szCs w:val="24"/>
        </w:rPr>
        <w:t>19.2投标人未按照招标文件要求提供与资格条件相应的有效资格证明材料的，视为投标人不具备招标文件中规定的资格要求，其投标无效。</w:t>
      </w:r>
    </w:p>
    <w:p>
      <w:pPr>
        <w:pStyle w:val="133"/>
        <w:spacing w:before="0"/>
        <w:ind w:left="0" w:leftChars="0" w:firstLine="420" w:firstLineChars="175"/>
        <w:rPr>
          <w:rFonts w:hint="eastAsia" w:ascii="仿宋" w:hAnsi="仿宋" w:eastAsia="仿宋" w:cs="仿宋"/>
          <w:kern w:val="0"/>
          <w:szCs w:val="24"/>
        </w:rPr>
      </w:pPr>
      <w:r>
        <w:rPr>
          <w:rFonts w:hint="eastAsia" w:ascii="仿宋" w:hAnsi="仿宋" w:eastAsia="仿宋" w:cs="仿宋"/>
          <w:kern w:val="0"/>
          <w:szCs w:val="24"/>
        </w:rPr>
        <w:t>19.3对未通过资格审查的投标人，采购人或采购代理机构告知其未通过的原因。</w:t>
      </w:r>
    </w:p>
    <w:p>
      <w:pPr>
        <w:pStyle w:val="133"/>
        <w:spacing w:before="0"/>
        <w:ind w:left="0" w:leftChars="0" w:firstLine="420" w:firstLineChars="175"/>
        <w:rPr>
          <w:rFonts w:hint="eastAsia" w:ascii="仿宋" w:hAnsi="仿宋" w:eastAsia="仿宋" w:cs="仿宋"/>
          <w:kern w:val="0"/>
          <w:szCs w:val="24"/>
        </w:rPr>
      </w:pPr>
      <w:r>
        <w:rPr>
          <w:rFonts w:hint="eastAsia" w:ascii="仿宋" w:hAnsi="仿宋" w:eastAsia="仿宋" w:cs="仿宋"/>
          <w:kern w:val="0"/>
          <w:szCs w:val="24"/>
        </w:rPr>
        <w:t>19.4合格投标人不足3家的，不再评标。</w:t>
      </w:r>
    </w:p>
    <w:p>
      <w:pPr>
        <w:pStyle w:val="133"/>
        <w:spacing w:before="0"/>
        <w:ind w:left="0" w:leftChars="0" w:firstLine="422" w:firstLineChars="175"/>
        <w:rPr>
          <w:rFonts w:ascii="仿宋" w:hAnsi="仿宋" w:eastAsia="仿宋" w:cs="仿宋"/>
          <w:b/>
          <w:szCs w:val="24"/>
        </w:rPr>
      </w:pPr>
      <w:r>
        <w:rPr>
          <w:rFonts w:hint="eastAsia" w:ascii="仿宋" w:hAnsi="仿宋" w:eastAsia="仿宋" w:cs="仿宋"/>
          <w:b/>
          <w:szCs w:val="24"/>
        </w:rPr>
        <w:t>20、信用信息查询</w:t>
      </w:r>
    </w:p>
    <w:p>
      <w:pPr>
        <w:pStyle w:val="133"/>
        <w:spacing w:before="0"/>
        <w:ind w:left="0" w:leftChars="0" w:firstLine="420" w:firstLineChars="175"/>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133"/>
        <w:spacing w:before="0"/>
        <w:ind w:left="0" w:leftChars="0" w:firstLine="420" w:firstLineChars="175"/>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3"/>
        <w:spacing w:before="0"/>
        <w:ind w:left="0" w:leftChars="0" w:firstLine="420" w:firstLineChars="175"/>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left="0" w:leftChars="0" w:firstLine="420" w:firstLineChars="175"/>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bookmarkStart w:id="49" w:name="_Toc5303"/>
      <w:r>
        <w:rPr>
          <w:rFonts w:hint="eastAsia" w:ascii="仿宋" w:hAnsi="仿宋" w:eastAsia="仿宋" w:cs="仿宋"/>
          <w:b/>
          <w:sz w:val="36"/>
          <w:szCs w:val="36"/>
        </w:rPr>
        <w:t>五、评标</w:t>
      </w:r>
      <w:bookmarkEnd w:id="49"/>
    </w:p>
    <w:p>
      <w:pPr>
        <w:spacing w:line="360" w:lineRule="auto"/>
        <w:ind w:firstLine="482" w:firstLineChars="200"/>
        <w:rPr>
          <w:rFonts w:ascii="仿宋" w:hAnsi="仿宋" w:eastAsia="仿宋" w:cs="仿宋"/>
          <w:b/>
          <w:sz w:val="24"/>
        </w:rPr>
      </w:pPr>
      <w:bookmarkStart w:id="50"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bookmarkStart w:id="51" w:name="_Toc918"/>
      <w:r>
        <w:rPr>
          <w:rFonts w:hint="eastAsia" w:ascii="仿宋" w:hAnsi="仿宋" w:eastAsia="仿宋" w:cs="仿宋"/>
          <w:b/>
          <w:sz w:val="36"/>
          <w:szCs w:val="36"/>
        </w:rPr>
        <w:t>六、定 标</w:t>
      </w:r>
      <w:bookmarkEnd w:id="51"/>
    </w:p>
    <w:p>
      <w:pPr>
        <w:pStyle w:val="26"/>
        <w:spacing w:line="360" w:lineRule="auto"/>
        <w:ind w:left="478" w:leftChars="200" w:hanging="58" w:hangingChars="24"/>
        <w:rPr>
          <w:rFonts w:ascii="仿宋" w:hAnsi="仿宋" w:eastAsia="仿宋" w:cs="仿宋"/>
          <w:b/>
        </w:rPr>
      </w:pPr>
      <w:r>
        <w:rPr>
          <w:rFonts w:hint="eastAsia" w:ascii="仿宋" w:hAnsi="仿宋" w:eastAsia="仿宋" w:cs="仿宋"/>
          <w:b/>
        </w:rPr>
        <w:t>22. 确定中标供应商</w:t>
      </w:r>
    </w:p>
    <w:p>
      <w:pPr>
        <w:pStyle w:val="133"/>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left="0" w:leftChars="0" w:firstLine="422" w:firstLineChars="175"/>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left="0" w:leftChars="0" w:firstLine="420" w:firstLineChars="175"/>
        <w:jc w:val="left"/>
        <w:rPr>
          <w:rFonts w:ascii="仿宋" w:hAnsi="仿宋" w:eastAsia="仿宋" w:cs="仿宋"/>
          <w:sz w:val="24"/>
        </w:rPr>
      </w:pPr>
      <w:r>
        <w:rPr>
          <w:rFonts w:hint="eastAsia" w:ascii="仿宋" w:hAnsi="仿宋" w:eastAsia="仿宋" w:cs="仿宋"/>
          <w:sz w:val="24"/>
        </w:rPr>
        <w:t>23.1自中标人确定之日起2个工作日内，采购代理机构向中标人发出中标通知书，同时编制发布采购结果公告。</w:t>
      </w:r>
    </w:p>
    <w:p>
      <w:pPr>
        <w:widowControl/>
        <w:shd w:val="clear" w:color="auto" w:fill="FFFFFF"/>
        <w:spacing w:line="360" w:lineRule="auto"/>
        <w:ind w:left="0" w:leftChars="0" w:firstLine="420" w:firstLineChars="175"/>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left="0" w:leftChars="0" w:firstLine="420" w:firstLineChars="175"/>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0" w:leftChars="0" w:firstLine="422" w:firstLineChars="175"/>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0" w:leftChars="0" w:firstLine="422" w:firstLineChars="175"/>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left="0" w:leftChars="0" w:firstLine="420" w:firstLineChars="175"/>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pPr>
        <w:pStyle w:val="133"/>
        <w:snapToGrid w:val="0"/>
        <w:spacing w:before="0"/>
        <w:ind w:left="0" w:leftChars="0" w:firstLine="420" w:firstLineChars="175"/>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left="0" w:leftChars="0" w:firstLine="420" w:firstLineChars="175"/>
        <w:rPr>
          <w:rFonts w:hint="eastAsia" w:ascii="仿宋" w:hAnsi="仿宋" w:eastAsia="仿宋" w:cs="仿宋"/>
          <w:kern w:val="2"/>
          <w:sz w:val="24"/>
          <w:szCs w:val="24"/>
          <w:lang w:val="en-US" w:eastAsia="zh-CN" w:bidi="ar-SA"/>
        </w:rPr>
      </w:pPr>
      <w:r>
        <w:rPr>
          <w:rFonts w:hint="eastAsia" w:ascii="仿宋" w:hAnsi="仿宋" w:eastAsia="仿宋" w:cs="仿宋"/>
        </w:rPr>
        <w:t>25.3如签订合同并生效后，供应商无故拒绝或延期，除按照合同条款处理外，列入不良行为</w:t>
      </w:r>
      <w:r>
        <w:rPr>
          <w:rFonts w:hint="eastAsia" w:ascii="仿宋" w:hAnsi="仿宋" w:eastAsia="仿宋" w:cs="仿宋"/>
          <w:kern w:val="2"/>
          <w:sz w:val="24"/>
          <w:szCs w:val="24"/>
          <w:lang w:val="en-US" w:eastAsia="zh-CN" w:bidi="ar-SA"/>
        </w:rPr>
        <w:t>记录一次，并给予通报。</w:t>
      </w:r>
    </w:p>
    <w:p>
      <w:pPr>
        <w:pStyle w:val="133"/>
        <w:snapToGrid w:val="0"/>
        <w:spacing w:before="0"/>
        <w:ind w:left="0" w:leftChars="0" w:firstLine="420" w:firstLineChars="175"/>
        <w:rPr>
          <w:rFonts w:hint="eastAsia" w:ascii="仿宋" w:hAnsi="仿宋" w:eastAsia="仿宋" w:cs="仿宋"/>
          <w:kern w:val="0"/>
          <w:lang w:val="en-US" w:eastAsia="zh-CN"/>
        </w:rPr>
      </w:pPr>
      <w:r>
        <w:rPr>
          <w:rFonts w:hint="eastAsia" w:ascii="仿宋" w:hAnsi="仿宋" w:eastAsia="仿宋" w:cs="仿宋"/>
          <w:kern w:val="2"/>
          <w:sz w:val="24"/>
          <w:szCs w:val="24"/>
          <w:lang w:val="en-US" w:eastAsia="zh-CN" w:bidi="ar-SA"/>
        </w:rPr>
        <w:t>25.4中标供应商拒绝与采购人签订合同的，采购人可以按照评审报告推荐的中标或者成交候选</w:t>
      </w:r>
      <w:r>
        <w:rPr>
          <w:rFonts w:hint="eastAsia" w:ascii="仿宋" w:hAnsi="仿宋" w:eastAsia="仿宋" w:cs="仿宋"/>
          <w:kern w:val="0"/>
          <w:lang w:val="en-US" w:eastAsia="zh-CN"/>
        </w:rPr>
        <w:t>人名单排序，确定下一候选人为中标供应商，也可以重新开展政府采购活动。</w:t>
      </w:r>
    </w:p>
    <w:p>
      <w:pPr>
        <w:pStyle w:val="133"/>
        <w:snapToGrid w:val="0"/>
        <w:spacing w:before="0"/>
        <w:ind w:left="0" w:leftChars="0" w:firstLine="420" w:firstLineChars="175"/>
        <w:rPr>
          <w:rFonts w:hint="eastAsia" w:ascii="仿宋" w:hAnsi="仿宋" w:eastAsia="仿宋" w:cs="仿宋"/>
          <w:kern w:val="0"/>
          <w:lang w:val="en-US" w:eastAsia="zh-CN"/>
        </w:rPr>
      </w:pPr>
      <w:r>
        <w:rPr>
          <w:rFonts w:hint="eastAsia" w:ascii="仿宋" w:hAnsi="仿宋" w:eastAsia="仿宋" w:cs="仿宋"/>
          <w:kern w:val="0"/>
          <w:lang w:val="en-US" w:eastAsia="zh-CN"/>
        </w:rPr>
        <w:t>25.5采购合同由采购人与中标供应商根据招标文件、投标文件等内容通过政府采购电子交易平台在线签订，自动备案。</w:t>
      </w:r>
    </w:p>
    <w:p>
      <w:pPr>
        <w:pStyle w:val="133"/>
        <w:snapToGrid w:val="0"/>
        <w:spacing w:before="0"/>
        <w:ind w:left="0" w:leftChars="0" w:firstLine="420" w:firstLineChars="175"/>
        <w:rPr>
          <w:rFonts w:hint="eastAsia" w:ascii="仿宋" w:hAnsi="仿宋" w:eastAsia="仿宋" w:cs="仿宋"/>
          <w:kern w:val="2"/>
          <w:sz w:val="24"/>
          <w:szCs w:val="24"/>
          <w:lang w:val="en-US" w:eastAsia="zh-CN" w:bidi="ar-SA"/>
        </w:rPr>
      </w:pPr>
      <w:r>
        <w:rPr>
          <w:rFonts w:hint="eastAsia" w:ascii="仿宋" w:hAnsi="仿宋" w:eastAsia="仿宋" w:cs="仿宋"/>
          <w:kern w:val="0"/>
          <w:lang w:val="en-US" w:eastAsia="zh-CN"/>
        </w:rPr>
        <w:t>25.6.采购人应当自政府采购合同签订之日</w:t>
      </w:r>
      <w:r>
        <w:rPr>
          <w:rFonts w:hint="eastAsia" w:ascii="仿宋" w:hAnsi="仿宋" w:eastAsia="仿宋" w:cs="仿宋"/>
          <w:kern w:val="2"/>
          <w:sz w:val="24"/>
          <w:szCs w:val="24"/>
          <w:lang w:val="en-US" w:eastAsia="zh-CN" w:bidi="ar-SA"/>
        </w:rPr>
        <w:t>起7个工作日内，将政府采购合同通过政采云平台提交至同级人民政府财政部门备案存档。</w:t>
      </w:r>
    </w:p>
    <w:p>
      <w:pPr>
        <w:pStyle w:val="26"/>
        <w:spacing w:line="360" w:lineRule="auto"/>
        <w:ind w:left="0" w:leftChars="0" w:firstLine="422" w:firstLineChars="175"/>
        <w:rPr>
          <w:rFonts w:ascii="仿宋" w:hAnsi="仿宋" w:eastAsia="仿宋" w:cs="仿宋"/>
          <w:b/>
        </w:rPr>
      </w:pPr>
      <w:r>
        <w:rPr>
          <w:rFonts w:hint="eastAsia" w:ascii="仿宋" w:hAnsi="仿宋" w:eastAsia="仿宋" w:cs="仿宋"/>
          <w:b/>
        </w:rPr>
        <w:t>26. 履约保证金</w:t>
      </w:r>
    </w:p>
    <w:p>
      <w:pPr>
        <w:pStyle w:val="5"/>
        <w:ind w:left="0" w:leftChars="0" w:firstLine="422" w:firstLineChars="175"/>
        <w:rPr>
          <w:rFonts w:ascii="仿宋" w:eastAsia="仿宋" w:cs="仿宋"/>
          <w:kern w:val="0"/>
          <w:sz w:val="24"/>
        </w:rPr>
      </w:pPr>
      <w:bookmarkStart w:id="52" w:name="OLE_LINK28"/>
      <w:r>
        <w:rPr>
          <w:rFonts w:hint="eastAsia" w:ascii="仿宋" w:eastAsia="仿宋" w:cs="仿宋"/>
          <w:kern w:val="0"/>
          <w:sz w:val="24"/>
        </w:rPr>
        <w:t>无</w:t>
      </w:r>
    </w:p>
    <w:bookmarkEnd w:id="52"/>
    <w:p>
      <w:pPr>
        <w:pStyle w:val="5"/>
        <w:ind w:left="0" w:leftChars="0" w:firstLine="422" w:firstLineChars="175"/>
        <w:rPr>
          <w:rFonts w:ascii="仿宋" w:eastAsia="仿宋" w:cs="仿宋"/>
          <w:highlight w:val="none"/>
        </w:rPr>
      </w:pPr>
      <w:r>
        <w:rPr>
          <w:rFonts w:hint="eastAsia" w:ascii="仿宋" w:eastAsia="仿宋" w:cs="仿宋"/>
          <w:sz w:val="24"/>
          <w:highlight w:val="none"/>
          <w:lang w:val="en-US"/>
        </w:rPr>
        <w:t>27.预付款</w:t>
      </w:r>
    </w:p>
    <w:p>
      <w:pPr>
        <w:snapToGrid w:val="0"/>
        <w:spacing w:line="360" w:lineRule="auto"/>
        <w:ind w:left="0" w:leftChars="0" w:firstLine="420" w:firstLineChars="175"/>
        <w:rPr>
          <w:rFonts w:hint="eastAsia" w:ascii="仿宋" w:hAnsi="仿宋" w:eastAsia="仿宋" w:cs="仿宋"/>
          <w:color w:val="auto"/>
          <w:kern w:val="2"/>
          <w:sz w:val="24"/>
          <w:szCs w:val="24"/>
          <w:lang w:eastAsia="zh-CN"/>
        </w:rPr>
      </w:pPr>
      <w:r>
        <w:rPr>
          <w:rFonts w:ascii="仿宋" w:hAnsi="仿宋" w:eastAsia="仿宋" w:cs="仿宋"/>
          <w:color w:val="auto"/>
          <w:kern w:val="2"/>
          <w:sz w:val="24"/>
          <w:szCs w:val="24"/>
        </w:rPr>
        <w:t>合同生效以及具备实施条件后7个工作日内支付合同总额的</w:t>
      </w:r>
      <w:r>
        <w:rPr>
          <w:rFonts w:hint="eastAsia" w:ascii="仿宋" w:hAnsi="仿宋" w:eastAsia="仿宋" w:cs="仿宋"/>
          <w:color w:val="auto"/>
          <w:kern w:val="2"/>
          <w:sz w:val="24"/>
          <w:szCs w:val="24"/>
          <w:lang w:val="en-US" w:eastAsia="zh-CN"/>
        </w:rPr>
        <w:t>55</w:t>
      </w:r>
      <w:r>
        <w:rPr>
          <w:rFonts w:ascii="仿宋" w:hAnsi="仿宋" w:eastAsia="仿宋" w:cs="仿宋"/>
          <w:color w:val="auto"/>
          <w:kern w:val="2"/>
          <w:sz w:val="24"/>
          <w:szCs w:val="24"/>
        </w:rPr>
        <w:t>%作为预付款</w:t>
      </w:r>
      <w:r>
        <w:rPr>
          <w:rFonts w:hint="eastAsia" w:ascii="仿宋" w:hAnsi="仿宋" w:eastAsia="仿宋" w:cs="仿宋"/>
          <w:color w:val="auto"/>
          <w:kern w:val="2"/>
          <w:sz w:val="24"/>
          <w:szCs w:val="24"/>
          <w:lang w:eastAsia="zh-CN"/>
        </w:rPr>
        <w:t>。</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3"/>
        <w:snapToGrid w:val="0"/>
        <w:spacing w:before="0"/>
        <w:ind w:left="0" w:leftChars="0" w:firstLine="422" w:firstLineChars="175"/>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 xml:space="preserve">28.1电子交易平台发生故障而无法登录访问的； </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28.2电子交易平台应用或数据库出现错误，不能进行正常操作的；</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28.3电子交易平台发现严重安全漏洞，有潜在泄密危险的；</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 xml:space="preserve">28.4病毒发作导致不能进行正常操作的； </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28.5其他无法保证电子交易的公平、公正和安全的情况。</w:t>
      </w:r>
    </w:p>
    <w:p>
      <w:pPr>
        <w:pStyle w:val="133"/>
        <w:snapToGrid w:val="0"/>
        <w:spacing w:before="0"/>
        <w:ind w:left="0" w:leftChars="0" w:firstLine="420" w:firstLineChars="175"/>
        <w:rPr>
          <w:rFonts w:ascii="仿宋" w:hAnsi="仿宋" w:eastAsia="仿宋" w:cs="仿宋"/>
        </w:rPr>
      </w:pPr>
      <w:r>
        <w:rPr>
          <w:rFonts w:hint="eastAsia" w:ascii="仿宋" w:hAnsi="仿宋" w:eastAsia="仿宋" w:cs="仿宋"/>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bookmarkEnd w:id="26"/>
    <w:bookmarkEnd w:id="27"/>
    <w:bookmarkEnd w:id="50"/>
    <w:p>
      <w:pPr>
        <w:rPr>
          <w:rFonts w:hint="eastAsia" w:ascii="仿宋" w:hAnsi="仿宋" w:eastAsia="仿宋" w:cs="仿宋"/>
        </w:rPr>
      </w:pPr>
      <w:bookmarkStart w:id="53" w:name="_Toc29425"/>
      <w:bookmarkStart w:id="54" w:name="第四部分"/>
      <w:r>
        <w:rPr>
          <w:rFonts w:hint="eastAsia" w:ascii="仿宋" w:hAnsi="仿宋" w:eastAsia="仿宋" w:cs="仿宋"/>
        </w:rPr>
        <w:br w:type="page"/>
      </w:r>
    </w:p>
    <w:p>
      <w:pPr>
        <w:pStyle w:val="4"/>
        <w:spacing w:after="0" w:line="360" w:lineRule="auto"/>
        <w:ind w:left="431" w:hanging="431"/>
        <w:jc w:val="center"/>
        <w:rPr>
          <w:rFonts w:ascii="仿宋" w:hAnsi="仿宋" w:eastAsia="仿宋" w:cs="仿宋"/>
        </w:rPr>
      </w:pPr>
      <w:r>
        <w:rPr>
          <w:rFonts w:hint="eastAsia" w:ascii="仿宋" w:hAnsi="仿宋" w:eastAsia="仿宋" w:cs="仿宋"/>
        </w:rPr>
        <w:t>第三部分   采购需求</w:t>
      </w:r>
      <w:bookmarkEnd w:id="53"/>
    </w:p>
    <w:p>
      <w:pPr>
        <w:numPr>
          <w:ilvl w:val="0"/>
          <w:numId w:val="3"/>
        </w:numPr>
        <w:tabs>
          <w:tab w:val="left" w:pos="8280"/>
        </w:tabs>
        <w:spacing w:line="360" w:lineRule="auto"/>
        <w:ind w:left="-2" w:leftChars="0" w:right="25" w:firstLine="422" w:firstLineChars="0"/>
        <w:outlineLvl w:val="1"/>
        <w:rPr>
          <w:rFonts w:ascii="仿宋" w:hAnsi="仿宋" w:eastAsia="仿宋" w:cs="仿宋"/>
          <w:b/>
          <w:sz w:val="28"/>
          <w:szCs w:val="28"/>
        </w:rPr>
      </w:pPr>
      <w:r>
        <w:rPr>
          <w:rFonts w:hint="eastAsia" w:ascii="仿宋" w:hAnsi="仿宋" w:eastAsia="仿宋" w:cs="仿宋"/>
          <w:b/>
          <w:sz w:val="28"/>
          <w:szCs w:val="28"/>
        </w:rPr>
        <w:t>招标项目一览表</w:t>
      </w:r>
    </w:p>
    <w:tbl>
      <w:tblPr>
        <w:tblStyle w:val="66"/>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1890"/>
        <w:gridCol w:w="870"/>
        <w:gridCol w:w="1065"/>
        <w:gridCol w:w="135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871" w:type="dxa"/>
            <w:vAlign w:val="center"/>
          </w:tcPr>
          <w:p>
            <w:pPr>
              <w:tabs>
                <w:tab w:val="left" w:pos="8280"/>
              </w:tabs>
              <w:autoSpaceDE w:val="0"/>
              <w:autoSpaceDN w:val="0"/>
              <w:adjustRightInd w:val="0"/>
              <w:spacing w:line="360" w:lineRule="auto"/>
              <w:ind w:firstLine="120" w:firstLineChars="5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189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简要技术要求</w:t>
            </w:r>
          </w:p>
        </w:tc>
        <w:tc>
          <w:tcPr>
            <w:tcW w:w="870"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357" w:type="dxa"/>
            <w:vAlign w:val="center"/>
          </w:tcPr>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w:t>
            </w:r>
          </w:p>
          <w:p>
            <w:pPr>
              <w:tabs>
                <w:tab w:val="left" w:pos="8280"/>
              </w:tabs>
              <w:autoSpaceDE w:val="0"/>
              <w:autoSpaceDN w:val="0"/>
              <w:adjustRightIn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（万元）</w:t>
            </w:r>
          </w:p>
        </w:tc>
        <w:tc>
          <w:tcPr>
            <w:tcW w:w="1205" w:type="dxa"/>
            <w:vAlign w:val="center"/>
          </w:tcPr>
          <w:p>
            <w:pPr>
              <w:tabs>
                <w:tab w:val="left" w:pos="8280"/>
              </w:tabs>
              <w:autoSpaceDE w:val="0"/>
              <w:autoSpaceDN w:val="0"/>
              <w:adjustRightInd w:val="0"/>
              <w:spacing w:line="360" w:lineRule="auto"/>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871" w:type="dxa"/>
            <w:vAlign w:val="center"/>
          </w:tcPr>
          <w:p>
            <w:pPr>
              <w:tabs>
                <w:tab w:val="left" w:pos="8280"/>
              </w:tabs>
              <w:autoSpaceDE w:val="0"/>
              <w:autoSpaceDN w:val="0"/>
              <w:adjustRightInd w:val="0"/>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val="en-US" w:eastAsia="zh-CN"/>
              </w:rPr>
              <w:t>2025年台州市生态环境监测----大气颗粒物组分分析委托监测、重点断面水生态监测）</w:t>
            </w:r>
          </w:p>
        </w:tc>
        <w:tc>
          <w:tcPr>
            <w:tcW w:w="1890" w:type="dxa"/>
            <w:vAlign w:val="center"/>
          </w:tcPr>
          <w:p>
            <w:pPr>
              <w:tabs>
                <w:tab w:val="left" w:pos="8280"/>
              </w:tabs>
              <w:autoSpaceDE w:val="0"/>
              <w:autoSpaceDN w:val="0"/>
              <w:adjustRightInd w:val="0"/>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详见</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w:t>
            </w:r>
          </w:p>
        </w:tc>
        <w:tc>
          <w:tcPr>
            <w:tcW w:w="870" w:type="dxa"/>
            <w:vAlign w:val="center"/>
          </w:tcPr>
          <w:p>
            <w:pPr>
              <w:tabs>
                <w:tab w:val="left" w:pos="8280"/>
              </w:tabs>
              <w:autoSpaceDE w:val="0"/>
              <w:autoSpaceDN w:val="0"/>
              <w:adjustRightInd w:val="0"/>
              <w:spacing w:line="360" w:lineRule="auto"/>
              <w:ind w:firstLine="240"/>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065" w:type="dxa"/>
            <w:vAlign w:val="center"/>
          </w:tcPr>
          <w:p>
            <w:pPr>
              <w:tabs>
                <w:tab w:val="left" w:pos="8280"/>
              </w:tabs>
              <w:autoSpaceDE w:val="0"/>
              <w:autoSpaceDN w:val="0"/>
              <w:adjustRightInd w:val="0"/>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次</w:t>
            </w:r>
          </w:p>
        </w:tc>
        <w:tc>
          <w:tcPr>
            <w:tcW w:w="1357" w:type="dxa"/>
            <w:vAlign w:val="center"/>
          </w:tcPr>
          <w:p>
            <w:pPr>
              <w:tabs>
                <w:tab w:val="left" w:pos="8280"/>
              </w:tabs>
              <w:autoSpaceDE w:val="0"/>
              <w:autoSpaceDN w:val="0"/>
              <w:adjustRightInd w:val="0"/>
              <w:spacing w:line="360" w:lineRule="auto"/>
              <w:jc w:val="center"/>
              <w:rPr>
                <w:rFonts w:hint="default" w:ascii="仿宋" w:hAnsi="仿宋" w:eastAsia="仿宋" w:cs="仿宋"/>
                <w:bCs/>
                <w:color w:val="auto"/>
                <w:sz w:val="24"/>
                <w:szCs w:val="24"/>
                <w:lang w:val="en-US"/>
              </w:rPr>
            </w:pPr>
            <w:r>
              <w:rPr>
                <w:rFonts w:hint="eastAsia" w:ascii="仿宋" w:hAnsi="仿宋" w:eastAsia="仿宋" w:cs="仿宋"/>
                <w:bCs/>
                <w:color w:val="auto"/>
                <w:sz w:val="24"/>
                <w:szCs w:val="24"/>
                <w:lang w:val="en-US" w:eastAsia="zh-CN"/>
              </w:rPr>
              <w:t>165.8</w:t>
            </w:r>
          </w:p>
        </w:tc>
        <w:tc>
          <w:tcPr>
            <w:tcW w:w="1205" w:type="dxa"/>
            <w:vAlign w:val="center"/>
          </w:tcPr>
          <w:p>
            <w:pPr>
              <w:tabs>
                <w:tab w:val="left" w:pos="8280"/>
              </w:tabs>
              <w:autoSpaceDE w:val="0"/>
              <w:autoSpaceDN w:val="0"/>
              <w:adjustRightInd w:val="0"/>
              <w:spacing w:line="360" w:lineRule="auto"/>
              <w:ind w:firstLine="24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pPr>
        <w:numPr>
          <w:ilvl w:val="0"/>
          <w:numId w:val="0"/>
        </w:numPr>
        <w:tabs>
          <w:tab w:val="left" w:pos="8280"/>
        </w:tabs>
        <w:spacing w:line="360" w:lineRule="auto"/>
        <w:ind w:leftChars="150" w:right="25" w:rightChars="0"/>
        <w:outlineLvl w:val="1"/>
        <w:rPr>
          <w:rFonts w:hint="eastAsia" w:ascii="仿宋" w:hAnsi="仿宋" w:eastAsia="仿宋" w:cs="仿宋"/>
          <w:b/>
          <w:sz w:val="28"/>
          <w:szCs w:val="28"/>
        </w:rPr>
      </w:pPr>
    </w:p>
    <w:p>
      <w:pPr>
        <w:numPr>
          <w:ilvl w:val="0"/>
          <w:numId w:val="4"/>
        </w:numPr>
        <w:spacing w:line="360" w:lineRule="auto"/>
        <w:jc w:val="left"/>
        <w:outlineLvl w:val="0"/>
        <w:rPr>
          <w:rFonts w:hint="eastAsia" w:ascii="仿宋" w:hAnsi="仿宋" w:eastAsia="仿宋" w:cs="仿宋"/>
          <w:b/>
          <w:sz w:val="28"/>
          <w:szCs w:val="28"/>
        </w:rPr>
      </w:pPr>
      <w:r>
        <w:rPr>
          <w:rFonts w:hint="eastAsia" w:ascii="仿宋" w:hAnsi="仿宋" w:eastAsia="仿宋" w:cs="仿宋"/>
          <w:b/>
          <w:sz w:val="28"/>
          <w:szCs w:val="28"/>
        </w:rPr>
        <w:t>项目技术规范和服务要求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2025年台州市生态环境监测----大气颗粒物组分分析委托监测、重点断面水生态监测</w:t>
      </w:r>
      <w:r>
        <w:rPr>
          <w:rFonts w:hint="eastAsia" w:ascii="仿宋" w:hAnsi="仿宋" w:eastAsia="仿宋" w:cs="仿宋"/>
          <w:sz w:val="24"/>
          <w:szCs w:val="24"/>
        </w:rPr>
        <w:t>）项目包含大气颗粒物组分分析、重点断面水生态监测、遥感点位现场核查等工作内容。</w:t>
      </w:r>
    </w:p>
    <w:p>
      <w:pPr>
        <w:spacing w:line="360" w:lineRule="auto"/>
        <w:jc w:val="left"/>
        <w:outlineLvl w:val="1"/>
        <w:rPr>
          <w:rFonts w:hint="eastAsia" w:ascii="仿宋" w:hAnsi="仿宋" w:eastAsia="仿宋" w:cs="仿宋"/>
          <w:b/>
          <w:sz w:val="24"/>
          <w:szCs w:val="24"/>
        </w:rPr>
      </w:pPr>
      <w:r>
        <w:rPr>
          <w:rFonts w:hint="eastAsia" w:ascii="仿宋" w:hAnsi="仿宋" w:eastAsia="仿宋" w:cs="仿宋"/>
          <w:b/>
          <w:sz w:val="24"/>
          <w:szCs w:val="24"/>
        </w:rPr>
        <w:t>（一）大气颗粒物组分分析</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1、项目概述</w:t>
      </w:r>
    </w:p>
    <w:p>
      <w:pPr>
        <w:spacing w:line="360" w:lineRule="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根据浙江省《2025年生态环境监测工作要点》要求，继续做好重点区域大气颗粒物组分实验室手工监测，监测项目为PM2.5质量浓度、水溶性离子、无机元素及碳组分。</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2、服务要求</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2.1、监测</w:t>
      </w:r>
      <w:r>
        <w:rPr>
          <w:rFonts w:hint="eastAsia" w:ascii="仿宋" w:hAnsi="仿宋" w:eastAsia="仿宋" w:cs="仿宋"/>
          <w:b/>
          <w:sz w:val="24"/>
          <w:szCs w:val="24"/>
          <w:lang w:eastAsia="zh-CN"/>
        </w:rPr>
        <w:t>时长</w:t>
      </w:r>
      <w:r>
        <w:rPr>
          <w:rFonts w:hint="eastAsia" w:ascii="仿宋" w:hAnsi="仿宋" w:eastAsia="仿宋" w:cs="仿宋"/>
          <w:b/>
          <w:sz w:val="24"/>
          <w:szCs w:val="24"/>
        </w:rPr>
        <w:t>与频次</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ab/>
      </w:r>
      <w:r>
        <w:rPr>
          <w:rFonts w:hint="eastAsia" w:ascii="仿宋" w:hAnsi="仿宋" w:eastAsia="仿宋" w:cs="仿宋"/>
          <w:sz w:val="24"/>
          <w:szCs w:val="24"/>
        </w:rPr>
        <w:t>监测</w:t>
      </w:r>
      <w:r>
        <w:rPr>
          <w:rFonts w:hint="eastAsia" w:ascii="仿宋" w:hAnsi="仿宋" w:eastAsia="仿宋" w:cs="仿宋"/>
          <w:sz w:val="24"/>
          <w:szCs w:val="24"/>
          <w:lang w:eastAsia="zh-CN"/>
        </w:rPr>
        <w:t>时长为</w:t>
      </w:r>
      <w:r>
        <w:rPr>
          <w:rFonts w:hint="eastAsia" w:ascii="仿宋" w:hAnsi="仿宋" w:eastAsia="仿宋" w:cs="仿宋"/>
          <w:sz w:val="24"/>
          <w:szCs w:val="24"/>
          <w:lang w:val="en-US" w:eastAsia="zh-CN"/>
        </w:rPr>
        <w:t>12个月</w:t>
      </w:r>
      <w:r>
        <w:rPr>
          <w:rFonts w:hint="eastAsia" w:ascii="仿宋" w:hAnsi="仿宋" w:eastAsia="仿宋" w:cs="仿宋"/>
          <w:sz w:val="24"/>
          <w:szCs w:val="24"/>
        </w:rPr>
        <w:t>，监测点位1个，监测频次为1次/3天。</w:t>
      </w:r>
      <w:r>
        <w:rPr>
          <w:rFonts w:hint="eastAsia" w:ascii="仿宋" w:hAnsi="仿宋" w:eastAsia="仿宋" w:cs="仿宋"/>
          <w:sz w:val="24"/>
          <w:szCs w:val="24"/>
          <w:lang w:eastAsia="zh-CN"/>
        </w:rPr>
        <w:t>期间</w:t>
      </w:r>
      <w:r>
        <w:rPr>
          <w:rFonts w:hint="eastAsia" w:ascii="仿宋" w:hAnsi="仿宋" w:eastAsia="仿宋" w:cs="仿宋"/>
          <w:sz w:val="24"/>
          <w:szCs w:val="24"/>
        </w:rPr>
        <w:t>如遇以PM2.5为首要污染物的空气重污染过程，须开展加密监测，频次为1次/天。</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2.2、监测项目及方法</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具体监测项目详见表1。</w:t>
      </w:r>
    </w:p>
    <w:p>
      <w:pPr>
        <w:jc w:val="center"/>
        <w:rPr>
          <w:rFonts w:hint="eastAsia" w:ascii="仿宋" w:hAnsi="仿宋" w:eastAsia="仿宋" w:cs="仿宋"/>
          <w:b/>
          <w:sz w:val="24"/>
          <w:szCs w:val="24"/>
        </w:rPr>
      </w:pPr>
      <w:r>
        <w:rPr>
          <w:rFonts w:hint="eastAsia" w:ascii="仿宋" w:hAnsi="仿宋" w:eastAsia="仿宋" w:cs="仿宋"/>
          <w:b/>
          <w:sz w:val="24"/>
          <w:szCs w:val="24"/>
        </w:rPr>
        <w:t>表1  颗粒物组分手工监测项目</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11" w:type="pct"/>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组分类别</w:t>
            </w:r>
          </w:p>
        </w:tc>
        <w:tc>
          <w:tcPr>
            <w:tcW w:w="3788" w:type="pct"/>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具 体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1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质量浓度</w:t>
            </w:r>
          </w:p>
        </w:tc>
        <w:tc>
          <w:tcPr>
            <w:tcW w:w="3788"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质量浓度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1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水溶性离子</w:t>
            </w:r>
          </w:p>
        </w:tc>
        <w:tc>
          <w:tcPr>
            <w:tcW w:w="3788"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w:t>
            </w:r>
            <w:r>
              <w:rPr>
                <w:rFonts w:hint="eastAsia" w:ascii="仿宋" w:hAnsi="仿宋" w:eastAsia="仿宋" w:cs="仿宋"/>
                <w:sz w:val="24"/>
                <w:szCs w:val="24"/>
              </w:rPr>
              <w:t>、F</w:t>
            </w:r>
            <w:r>
              <w:rPr>
                <w:rFonts w:hint="eastAsia" w:ascii="仿宋" w:hAnsi="仿宋" w:eastAsia="仿宋" w:cs="仿宋"/>
                <w:sz w:val="24"/>
                <w:szCs w:val="24"/>
                <w:vertAlign w:val="superscript"/>
              </w:rPr>
              <w:t>-</w:t>
            </w:r>
            <w:r>
              <w:rPr>
                <w:rFonts w:hint="eastAsia" w:ascii="仿宋" w:hAnsi="仿宋" w:eastAsia="仿宋" w:cs="仿宋"/>
                <w:sz w:val="24"/>
                <w:szCs w:val="24"/>
              </w:rPr>
              <w:t>、Cl</w:t>
            </w:r>
            <w:r>
              <w:rPr>
                <w:rFonts w:hint="eastAsia" w:ascii="仿宋" w:hAnsi="仿宋" w:eastAsia="仿宋" w:cs="仿宋"/>
                <w:sz w:val="24"/>
                <w:szCs w:val="24"/>
                <w:vertAlign w:val="superscript"/>
              </w:rPr>
              <w:t>-</w:t>
            </w:r>
            <w:r>
              <w:rPr>
                <w:rFonts w:hint="eastAsia" w:ascii="仿宋" w:hAnsi="仿宋" w:eastAsia="仿宋" w:cs="仿宋"/>
                <w:sz w:val="24"/>
                <w:szCs w:val="24"/>
              </w:rPr>
              <w:t>、Na</w:t>
            </w:r>
            <w:r>
              <w:rPr>
                <w:rFonts w:hint="eastAsia" w:ascii="仿宋" w:hAnsi="仿宋" w:eastAsia="仿宋" w:cs="仿宋"/>
                <w:sz w:val="24"/>
                <w:szCs w:val="24"/>
                <w:vertAlign w:val="superscript"/>
              </w:rPr>
              <w:t>+</w:t>
            </w:r>
            <w:r>
              <w:rPr>
                <w:rFonts w:hint="eastAsia" w:ascii="仿宋" w:hAnsi="仿宋" w:eastAsia="仿宋" w:cs="仿宋"/>
                <w:sz w:val="24"/>
                <w:szCs w:val="24"/>
              </w:rPr>
              <w:t>、NH</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w:t>
            </w:r>
            <w:r>
              <w:rPr>
                <w:rFonts w:hint="eastAsia" w:ascii="仿宋" w:hAnsi="仿宋" w:eastAsia="仿宋" w:cs="仿宋"/>
                <w:sz w:val="24"/>
                <w:szCs w:val="24"/>
              </w:rPr>
              <w:t>、K</w:t>
            </w:r>
            <w:r>
              <w:rPr>
                <w:rFonts w:hint="eastAsia" w:ascii="仿宋" w:hAnsi="仿宋" w:eastAsia="仿宋" w:cs="仿宋"/>
                <w:sz w:val="24"/>
                <w:szCs w:val="24"/>
                <w:vertAlign w:val="superscript"/>
              </w:rPr>
              <w:t>+</w:t>
            </w:r>
            <w:r>
              <w:rPr>
                <w:rFonts w:hint="eastAsia" w:ascii="仿宋" w:hAnsi="仿宋" w:eastAsia="仿宋" w:cs="仿宋"/>
                <w:sz w:val="24"/>
                <w:szCs w:val="24"/>
              </w:rPr>
              <w:t>、Mg</w:t>
            </w:r>
            <w:r>
              <w:rPr>
                <w:rFonts w:hint="eastAsia" w:ascii="仿宋" w:hAnsi="仿宋" w:eastAsia="仿宋" w:cs="仿宋"/>
                <w:sz w:val="24"/>
                <w:szCs w:val="24"/>
                <w:vertAlign w:val="superscript"/>
              </w:rPr>
              <w:t>2+</w:t>
            </w:r>
            <w:r>
              <w:rPr>
                <w:rFonts w:hint="eastAsia" w:ascii="仿宋" w:hAnsi="仿宋" w:eastAsia="仿宋" w:cs="仿宋"/>
                <w:sz w:val="24"/>
                <w:szCs w:val="24"/>
              </w:rPr>
              <w:t>、Ca</w:t>
            </w:r>
            <w:r>
              <w:rPr>
                <w:rFonts w:hint="eastAsia" w:ascii="仿宋" w:hAnsi="仿宋" w:eastAsia="仿宋" w:cs="仿宋"/>
                <w:sz w:val="24"/>
                <w:szCs w:val="24"/>
                <w:vertAlign w:val="superscript"/>
              </w:rPr>
              <w:t>2+</w:t>
            </w:r>
            <w:r>
              <w:rPr>
                <w:rFonts w:hint="eastAsia" w:ascii="仿宋" w:hAnsi="仿宋" w:eastAsia="仿宋" w:cs="仿宋"/>
                <w:sz w:val="24"/>
                <w:szCs w:val="24"/>
              </w:rPr>
              <w:t>等9种离子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1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无机元素</w:t>
            </w:r>
          </w:p>
        </w:tc>
        <w:tc>
          <w:tcPr>
            <w:tcW w:w="3788"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钒（V）、铁（Fe）、锌（Zn）、镉（Cd）、铬（Cr）、钴（Co）、砷（As）、铝（Al）、锡（Sn）、锰（Mn）、镍（Ni）、硒（Se）、硅（Si）、钛（Ti）、钡（Ba）、铜（Cu）、铅（Pb）、钙（Ca）、镁（Mg）、钠（Na）、硫（S）、氯（Cl）、钾（K）、锑（Sb）等24种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碳组分</w:t>
            </w:r>
          </w:p>
        </w:tc>
        <w:tc>
          <w:tcPr>
            <w:tcW w:w="3788"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元素碳（EC）、有机碳（OC）</w:t>
            </w:r>
          </w:p>
        </w:tc>
      </w:tr>
    </w:tbl>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手工监测分析测试方法选用国家或行业标准方法，若无标准方法可参照生态环境部的统一规定，具体要求详见表2。选用的相关HJ标准方法须具备CMA资质。</w:t>
      </w:r>
    </w:p>
    <w:p>
      <w:pPr>
        <w:jc w:val="center"/>
        <w:rPr>
          <w:rFonts w:hint="eastAsia" w:ascii="仿宋" w:hAnsi="仿宋" w:eastAsia="仿宋" w:cs="仿宋"/>
          <w:b/>
          <w:sz w:val="24"/>
          <w:szCs w:val="24"/>
        </w:rPr>
      </w:pPr>
      <w:r>
        <w:rPr>
          <w:rFonts w:hint="eastAsia" w:ascii="仿宋" w:hAnsi="仿宋" w:eastAsia="仿宋" w:cs="仿宋"/>
          <w:b/>
          <w:sz w:val="24"/>
          <w:szCs w:val="24"/>
        </w:rPr>
        <w:t>表2 分析测试方法</w:t>
      </w:r>
    </w:p>
    <w:tbl>
      <w:tblPr>
        <w:tblStyle w:val="66"/>
        <w:tblW w:w="48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654"/>
        <w:gridCol w:w="6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5" w:type="pct"/>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分析项目</w:t>
            </w:r>
          </w:p>
        </w:tc>
        <w:tc>
          <w:tcPr>
            <w:tcW w:w="851" w:type="pct"/>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方法</w:t>
            </w:r>
          </w:p>
        </w:tc>
        <w:tc>
          <w:tcPr>
            <w:tcW w:w="3292" w:type="pct"/>
            <w:noWrap w:val="0"/>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方 法 依 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855"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质量浓度</w:t>
            </w:r>
          </w:p>
        </w:tc>
        <w:tc>
          <w:tcPr>
            <w:tcW w:w="85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重量法</w:t>
            </w:r>
          </w:p>
        </w:tc>
        <w:tc>
          <w:tcPr>
            <w:tcW w:w="3292"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《环境空气PM</w:t>
            </w:r>
            <w:r>
              <w:rPr>
                <w:rFonts w:hint="eastAsia" w:ascii="仿宋" w:hAnsi="仿宋" w:eastAsia="仿宋" w:cs="仿宋"/>
                <w:sz w:val="24"/>
                <w:szCs w:val="24"/>
                <w:vertAlign w:val="subscript"/>
              </w:rPr>
              <w:t>10</w:t>
            </w:r>
            <w:r>
              <w:rPr>
                <w:rFonts w:hint="eastAsia" w:ascii="仿宋" w:hAnsi="仿宋" w:eastAsia="仿宋" w:cs="仿宋"/>
                <w:sz w:val="24"/>
                <w:szCs w:val="24"/>
              </w:rPr>
              <w:t>和PM</w:t>
            </w:r>
            <w:r>
              <w:rPr>
                <w:rFonts w:hint="eastAsia" w:ascii="仿宋" w:hAnsi="仿宋" w:eastAsia="仿宋" w:cs="仿宋"/>
                <w:sz w:val="24"/>
                <w:szCs w:val="24"/>
                <w:vertAlign w:val="subscript"/>
              </w:rPr>
              <w:t>2.5</w:t>
            </w:r>
            <w:r>
              <w:rPr>
                <w:rFonts w:hint="eastAsia" w:ascii="仿宋" w:hAnsi="仿宋" w:eastAsia="仿宋" w:cs="仿宋"/>
                <w:sz w:val="24"/>
                <w:szCs w:val="24"/>
              </w:rPr>
              <w:t>的测定 重量法》（HJ 618-2011）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blHeader/>
          <w:jc w:val="center"/>
        </w:trPr>
        <w:tc>
          <w:tcPr>
            <w:tcW w:w="855"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阳离子</w:t>
            </w:r>
          </w:p>
        </w:tc>
        <w:tc>
          <w:tcPr>
            <w:tcW w:w="85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离子色谱法</w:t>
            </w:r>
          </w:p>
        </w:tc>
        <w:tc>
          <w:tcPr>
            <w:tcW w:w="3292"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《环境空气 颗粒物中水溶性阳离子（Li</w:t>
            </w:r>
            <w:r>
              <w:rPr>
                <w:rFonts w:hint="eastAsia" w:ascii="仿宋" w:hAnsi="仿宋" w:eastAsia="仿宋" w:cs="仿宋"/>
                <w:sz w:val="24"/>
                <w:szCs w:val="24"/>
                <w:vertAlign w:val="superscript"/>
              </w:rPr>
              <w:t>+</w:t>
            </w:r>
            <w:r>
              <w:rPr>
                <w:rFonts w:hint="eastAsia" w:ascii="仿宋" w:hAnsi="仿宋" w:eastAsia="仿宋" w:cs="仿宋"/>
                <w:sz w:val="24"/>
                <w:szCs w:val="24"/>
              </w:rPr>
              <w:t>、Na</w:t>
            </w:r>
            <w:r>
              <w:rPr>
                <w:rFonts w:hint="eastAsia" w:ascii="仿宋" w:hAnsi="仿宋" w:eastAsia="仿宋" w:cs="仿宋"/>
                <w:sz w:val="24"/>
                <w:szCs w:val="24"/>
                <w:vertAlign w:val="superscript"/>
              </w:rPr>
              <w:t>+</w:t>
            </w:r>
            <w:r>
              <w:rPr>
                <w:rFonts w:hint="eastAsia" w:ascii="仿宋" w:hAnsi="仿宋" w:eastAsia="仿宋" w:cs="仿宋"/>
                <w:sz w:val="24"/>
                <w:szCs w:val="24"/>
              </w:rPr>
              <w:t>、NH</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w:t>
            </w:r>
            <w:r>
              <w:rPr>
                <w:rFonts w:hint="eastAsia" w:ascii="仿宋" w:hAnsi="仿宋" w:eastAsia="仿宋" w:cs="仿宋"/>
                <w:sz w:val="24"/>
                <w:szCs w:val="24"/>
              </w:rPr>
              <w:t>、K</w:t>
            </w:r>
            <w:r>
              <w:rPr>
                <w:rFonts w:hint="eastAsia" w:ascii="仿宋" w:hAnsi="仿宋" w:eastAsia="仿宋" w:cs="仿宋"/>
                <w:sz w:val="24"/>
                <w:szCs w:val="24"/>
                <w:vertAlign w:val="superscript"/>
              </w:rPr>
              <w:t>+</w:t>
            </w:r>
            <w:r>
              <w:rPr>
                <w:rFonts w:hint="eastAsia" w:ascii="仿宋" w:hAnsi="仿宋" w:eastAsia="仿宋" w:cs="仿宋"/>
                <w:sz w:val="24"/>
                <w:szCs w:val="24"/>
              </w:rPr>
              <w:t>、Ca</w:t>
            </w:r>
            <w:r>
              <w:rPr>
                <w:rFonts w:hint="eastAsia" w:ascii="仿宋" w:hAnsi="仿宋" w:eastAsia="仿宋" w:cs="仿宋"/>
                <w:sz w:val="24"/>
                <w:szCs w:val="24"/>
                <w:vertAlign w:val="superscript"/>
              </w:rPr>
              <w:t>2+</w:t>
            </w:r>
            <w:r>
              <w:rPr>
                <w:rFonts w:hint="eastAsia" w:ascii="仿宋" w:hAnsi="仿宋" w:eastAsia="仿宋" w:cs="仿宋"/>
                <w:sz w:val="24"/>
                <w:szCs w:val="24"/>
              </w:rPr>
              <w:t>、Mg</w:t>
            </w:r>
            <w:r>
              <w:rPr>
                <w:rFonts w:hint="eastAsia" w:ascii="仿宋" w:hAnsi="仿宋" w:eastAsia="仿宋" w:cs="仿宋"/>
                <w:sz w:val="24"/>
                <w:szCs w:val="24"/>
                <w:vertAlign w:val="superscript"/>
              </w:rPr>
              <w:t>2+</w:t>
            </w:r>
            <w:r>
              <w:rPr>
                <w:rFonts w:hint="eastAsia" w:ascii="仿宋" w:hAnsi="仿宋" w:eastAsia="仿宋" w:cs="仿宋"/>
                <w:sz w:val="24"/>
                <w:szCs w:val="24"/>
              </w:rPr>
              <w:t>）的测定 离子色谱法》（HJ 800-2016）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5"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阴离子</w:t>
            </w:r>
          </w:p>
        </w:tc>
        <w:tc>
          <w:tcPr>
            <w:tcW w:w="85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离子色谱法</w:t>
            </w:r>
          </w:p>
        </w:tc>
        <w:tc>
          <w:tcPr>
            <w:tcW w:w="3292"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《环境空气 颗粒物中水溶性阴离子（F</w:t>
            </w:r>
            <w:r>
              <w:rPr>
                <w:rFonts w:hint="eastAsia" w:ascii="仿宋" w:hAnsi="仿宋" w:eastAsia="仿宋" w:cs="仿宋"/>
                <w:sz w:val="24"/>
                <w:szCs w:val="24"/>
                <w:vertAlign w:val="superscript"/>
              </w:rPr>
              <w:t>-</w:t>
            </w:r>
            <w:r>
              <w:rPr>
                <w:rFonts w:hint="eastAsia" w:ascii="仿宋" w:hAnsi="仿宋" w:eastAsia="仿宋" w:cs="仿宋"/>
                <w:sz w:val="24"/>
                <w:szCs w:val="24"/>
              </w:rPr>
              <w:t>、Cl</w:t>
            </w:r>
            <w:r>
              <w:rPr>
                <w:rFonts w:hint="eastAsia" w:ascii="仿宋" w:hAnsi="仿宋" w:eastAsia="仿宋" w:cs="仿宋"/>
                <w:sz w:val="24"/>
                <w:szCs w:val="24"/>
                <w:vertAlign w:val="superscript"/>
              </w:rPr>
              <w:t>-</w:t>
            </w:r>
            <w:r>
              <w:rPr>
                <w:rFonts w:hint="eastAsia" w:ascii="仿宋" w:hAnsi="仿宋" w:eastAsia="仿宋" w:cs="仿宋"/>
                <w:sz w:val="24"/>
                <w:szCs w:val="24"/>
              </w:rPr>
              <w:t>、Br</w:t>
            </w:r>
            <w:r>
              <w:rPr>
                <w:rFonts w:hint="eastAsia" w:ascii="仿宋" w:hAnsi="仿宋" w:eastAsia="仿宋" w:cs="仿宋"/>
                <w:sz w:val="24"/>
                <w:szCs w:val="24"/>
                <w:vertAlign w:val="superscript"/>
              </w:rPr>
              <w:t>-</w:t>
            </w:r>
            <w:r>
              <w:rPr>
                <w:rFonts w:hint="eastAsia" w:ascii="仿宋" w:hAnsi="仿宋" w:eastAsia="仿宋" w:cs="仿宋"/>
                <w:sz w:val="24"/>
                <w:szCs w:val="24"/>
              </w:rPr>
              <w:t>、NO</w:t>
            </w:r>
            <w:r>
              <w:rPr>
                <w:rFonts w:hint="eastAsia" w:ascii="仿宋" w:hAnsi="仿宋" w:eastAsia="仿宋" w:cs="仿宋"/>
                <w:sz w:val="24"/>
                <w:szCs w:val="24"/>
                <w:vertAlign w:val="subscript"/>
              </w:rPr>
              <w:t>2</w:t>
            </w:r>
            <w:r>
              <w:rPr>
                <w:rFonts w:hint="eastAsia" w:ascii="仿宋" w:hAnsi="仿宋" w:eastAsia="仿宋" w:cs="仿宋"/>
                <w:sz w:val="24"/>
                <w:szCs w:val="24"/>
                <w:vertAlign w:val="superscript"/>
              </w:rPr>
              <w:t>-</w:t>
            </w:r>
            <w:r>
              <w:rPr>
                <w:rFonts w:hint="eastAsia" w:ascii="仿宋" w:hAnsi="仿宋" w:eastAsia="仿宋" w:cs="仿宋"/>
                <w:sz w:val="24"/>
                <w:szCs w:val="24"/>
              </w:rPr>
              <w:t>、NO</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w:t>
            </w:r>
            <w:r>
              <w:rPr>
                <w:rFonts w:hint="eastAsia" w:ascii="仿宋" w:hAnsi="仿宋" w:eastAsia="仿宋" w:cs="仿宋"/>
                <w:sz w:val="24"/>
                <w:szCs w:val="24"/>
              </w:rPr>
              <w:t>、PO</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3</w:t>
            </w:r>
            <w:r>
              <w:rPr>
                <w:rFonts w:hint="eastAsia" w:ascii="仿宋" w:hAnsi="仿宋" w:eastAsia="仿宋" w:cs="仿宋"/>
                <w:sz w:val="24"/>
                <w:szCs w:val="24"/>
                <w:vertAlign w:val="superscript"/>
              </w:rPr>
              <w:t>2-</w:t>
            </w:r>
            <w:r>
              <w:rPr>
                <w:rFonts w:hint="eastAsia" w:ascii="仿宋" w:hAnsi="仿宋" w:eastAsia="仿宋" w:cs="仿宋"/>
                <w:sz w:val="24"/>
                <w:szCs w:val="24"/>
              </w:rPr>
              <w:t>、SO</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2-</w:t>
            </w:r>
            <w:r>
              <w:rPr>
                <w:rFonts w:hint="eastAsia" w:ascii="仿宋" w:hAnsi="仿宋" w:eastAsia="仿宋" w:cs="仿宋"/>
                <w:sz w:val="24"/>
                <w:szCs w:val="24"/>
              </w:rPr>
              <w:t>）的测定 离子色谱法》（HJ 799-2016）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855"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碳组分</w:t>
            </w:r>
          </w:p>
        </w:tc>
        <w:tc>
          <w:tcPr>
            <w:tcW w:w="85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热光法</w:t>
            </w:r>
          </w:p>
        </w:tc>
        <w:tc>
          <w:tcPr>
            <w:tcW w:w="3292"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《环境空气颗粒物源解析监测技术方法指南（试行）》（第二版）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3" w:hRule="atLeast"/>
          <w:tblHeader/>
          <w:jc w:val="center"/>
        </w:trPr>
        <w:tc>
          <w:tcPr>
            <w:tcW w:w="855"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无机元素</w:t>
            </w:r>
          </w:p>
        </w:tc>
        <w:tc>
          <w:tcPr>
            <w:tcW w:w="851"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XRF法、ICP法、ICP-MS法</w:t>
            </w:r>
          </w:p>
        </w:tc>
        <w:tc>
          <w:tcPr>
            <w:tcW w:w="3292" w:type="pct"/>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《环境空气 颗粒物中无机元素的测定 波长色散X射线荧光光谱法》（HJ 830-2017）</w:t>
            </w:r>
          </w:p>
          <w:p>
            <w:pPr>
              <w:spacing w:line="320" w:lineRule="exac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《环境空气 颗粒物中无机元素的测定 能量色散X射线荧光光谱法》（HJ 829-2017）</w:t>
            </w:r>
          </w:p>
          <w:p>
            <w:pPr>
              <w:spacing w:line="320" w:lineRule="exac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《空气和废气 颗粒物中金属元素的测定 电感耦合等离子体发射光谱法》（HJ 777-2015）</w:t>
            </w:r>
          </w:p>
          <w:p>
            <w:pPr>
              <w:spacing w:line="320" w:lineRule="exact"/>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《空气和废气 颗粒物中铅等金属元素的测定 电感耦合等离子体质谱法》（HJ 657-2013）</w:t>
            </w:r>
          </w:p>
        </w:tc>
      </w:tr>
    </w:tbl>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2.3、监测任务分工</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中标方负责所有采样耗材（滤膜等）提供及前处理准备、样品分析、数据汇总上报及报告出具等。</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2.4、质量保证和质量控制</w:t>
      </w:r>
    </w:p>
    <w:p>
      <w:pPr>
        <w:spacing w:line="440" w:lineRule="exact"/>
        <w:ind w:firstLine="480" w:firstLineChars="200"/>
        <w:rPr>
          <w:rFonts w:hint="eastAsia" w:ascii="仿宋" w:hAnsi="仿宋" w:eastAsia="仿宋" w:cs="仿宋"/>
          <w:b/>
          <w:sz w:val="24"/>
          <w:szCs w:val="24"/>
          <w:highlight w:val="red"/>
        </w:rPr>
      </w:pPr>
      <w:r>
        <w:rPr>
          <w:rFonts w:hint="eastAsia" w:ascii="仿宋" w:hAnsi="仿宋" w:eastAsia="仿宋" w:cs="仿宋"/>
          <w:sz w:val="24"/>
          <w:szCs w:val="24"/>
        </w:rPr>
        <w:t>中标方将本项分析测试工作纳入到根据HJ630建立的质量管理体系中。手工监测质控手段按照《大气颗粒物组分手工监测质量保证与质量控制规定（第一版）》（总站气字[2019]425号）的要求执行。</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2.5、数据审核与提交</w:t>
      </w:r>
    </w:p>
    <w:p>
      <w:pPr>
        <w:spacing w:line="440" w:lineRule="exact"/>
        <w:rPr>
          <w:rFonts w:hint="eastAsia" w:ascii="仿宋" w:hAnsi="仿宋" w:eastAsia="仿宋" w:cs="仿宋"/>
          <w:sz w:val="24"/>
          <w:szCs w:val="24"/>
        </w:rPr>
      </w:pPr>
      <w:r>
        <w:rPr>
          <w:rFonts w:hint="eastAsia" w:ascii="仿宋" w:hAnsi="仿宋" w:eastAsia="仿宋" w:cs="仿宋"/>
          <w:sz w:val="24"/>
          <w:szCs w:val="24"/>
        </w:rPr>
        <w:t>（1）分析结果的审核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pPr>
        <w:spacing w:line="440" w:lineRule="exact"/>
        <w:rPr>
          <w:rFonts w:hint="eastAsia" w:ascii="仿宋" w:hAnsi="仿宋" w:eastAsia="仿宋" w:cs="仿宋"/>
          <w:sz w:val="24"/>
          <w:szCs w:val="24"/>
        </w:rPr>
      </w:pPr>
      <w:r>
        <w:rPr>
          <w:rFonts w:hint="eastAsia" w:ascii="仿宋" w:hAnsi="仿宋" w:eastAsia="仿宋" w:cs="仿宋"/>
          <w:sz w:val="24"/>
          <w:szCs w:val="24"/>
        </w:rPr>
        <w:t>（2）数据汇总及审定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按照委托方规定的格式汇总监测结果，并经相关负责人审核审定后提交给委托方。</w:t>
      </w:r>
    </w:p>
    <w:p>
      <w:pPr>
        <w:spacing w:line="440" w:lineRule="exact"/>
        <w:rPr>
          <w:rFonts w:hint="eastAsia" w:ascii="仿宋" w:hAnsi="仿宋" w:eastAsia="仿宋" w:cs="仿宋"/>
          <w:sz w:val="24"/>
          <w:szCs w:val="24"/>
        </w:rPr>
      </w:pPr>
      <w:r>
        <w:rPr>
          <w:rFonts w:hint="eastAsia" w:ascii="仿宋" w:hAnsi="仿宋" w:eastAsia="仿宋" w:cs="仿宋"/>
          <w:sz w:val="24"/>
          <w:szCs w:val="24"/>
        </w:rPr>
        <w:t>（3）数据提交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审定后的数据汇总表按照规定的格式、方式和时间签发报出，数据报送时间为监测月份次月的18日前。</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2.6、检测报告及质控报告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（1）检测报告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服务期结束后三个月内，提供服务期内检测报告的纸质盖章版和电子版各1套。</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（2）质控报告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服务期结束后三个月内，提供服务期内质控报告的纸质盖章版和电子版各1份，对监测质量保证与质量控制进行总结，以体现监测工作的规范性和数据的科学性与准确性。</w:t>
      </w:r>
    </w:p>
    <w:p>
      <w:pPr>
        <w:pStyle w:val="2"/>
        <w:rPr>
          <w:rFonts w:hint="eastAsia" w:ascii="仿宋" w:hAnsi="仿宋" w:eastAsia="仿宋" w:cs="仿宋"/>
          <w:sz w:val="24"/>
          <w:szCs w:val="24"/>
        </w:rPr>
      </w:pPr>
    </w:p>
    <w:p>
      <w:pPr>
        <w:spacing w:line="360" w:lineRule="auto"/>
        <w:jc w:val="left"/>
        <w:outlineLvl w:val="1"/>
        <w:rPr>
          <w:rFonts w:hint="eastAsia" w:ascii="仿宋" w:hAnsi="仿宋" w:eastAsia="仿宋" w:cs="仿宋"/>
          <w:b/>
          <w:sz w:val="24"/>
          <w:szCs w:val="24"/>
        </w:rPr>
      </w:pPr>
      <w:r>
        <w:rPr>
          <w:rFonts w:hint="eastAsia" w:ascii="仿宋" w:hAnsi="仿宋" w:eastAsia="仿宋" w:cs="仿宋"/>
          <w:b/>
          <w:sz w:val="24"/>
          <w:szCs w:val="24"/>
        </w:rPr>
        <w:t>（二）重点断面水生态监测</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1、项目概述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浙江省生态环境厅关于印发〈2025年浙江省水生生物调查工作方案〉〈浙江省水生态调查评估办法（试行）〉的函》（浙环发[2025]9号）要求，对全市15个国控断面和18个省控断面（详见表3，断面级别数量以省生态环境厅最终要求为准）开展水生生物调查监测和评估，更好地支撑“十五五”水生态评价和考核。</w:t>
      </w:r>
    </w:p>
    <w:p>
      <w:pPr>
        <w:jc w:val="center"/>
        <w:rPr>
          <w:rFonts w:hint="eastAsia" w:ascii="仿宋" w:hAnsi="仿宋" w:eastAsia="仿宋" w:cs="仿宋"/>
          <w:b/>
          <w:sz w:val="24"/>
          <w:szCs w:val="24"/>
        </w:rPr>
      </w:pPr>
      <w:r>
        <w:rPr>
          <w:rFonts w:hint="eastAsia" w:ascii="仿宋" w:hAnsi="仿宋" w:eastAsia="仿宋" w:cs="仿宋"/>
          <w:b/>
          <w:sz w:val="24"/>
          <w:szCs w:val="24"/>
        </w:rPr>
        <w:t>表3  台州市水生生物调查断面清单</w:t>
      </w:r>
    </w:p>
    <w:tbl>
      <w:tblPr>
        <w:tblStyle w:val="66"/>
        <w:tblW w:w="4774" w:type="pct"/>
        <w:jc w:val="center"/>
        <w:tblLayout w:type="autofit"/>
        <w:tblCellMar>
          <w:top w:w="0" w:type="dxa"/>
          <w:left w:w="108" w:type="dxa"/>
          <w:bottom w:w="0" w:type="dxa"/>
          <w:right w:w="108" w:type="dxa"/>
        </w:tblCellMar>
      </w:tblPr>
      <w:tblGrid>
        <w:gridCol w:w="1161"/>
        <w:gridCol w:w="1812"/>
        <w:gridCol w:w="2467"/>
        <w:gridCol w:w="2025"/>
        <w:gridCol w:w="2040"/>
      </w:tblGrid>
      <w:tr>
        <w:tblPrEx>
          <w:tblCellMar>
            <w:top w:w="0" w:type="dxa"/>
            <w:left w:w="108" w:type="dxa"/>
            <w:bottom w:w="0" w:type="dxa"/>
            <w:right w:w="108" w:type="dxa"/>
          </w:tblCellMar>
        </w:tblPrEx>
        <w:trPr>
          <w:trHeight w:val="39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color w:val="000000"/>
                <w:sz w:val="24"/>
                <w:szCs w:val="24"/>
              </w:rPr>
            </w:pPr>
            <w:r>
              <w:rPr>
                <w:rStyle w:val="375"/>
                <w:rFonts w:hint="eastAsia" w:ascii="仿宋" w:hAnsi="仿宋" w:eastAsia="仿宋" w:cs="仿宋"/>
                <w:b/>
                <w:bCs/>
                <w:sz w:val="24"/>
                <w:szCs w:val="24"/>
                <w:lang w:bidi="ar"/>
              </w:rPr>
              <w:t>序号</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color w:val="000000"/>
                <w:sz w:val="24"/>
                <w:szCs w:val="24"/>
              </w:rPr>
            </w:pPr>
            <w:r>
              <w:rPr>
                <w:rStyle w:val="375"/>
                <w:rFonts w:hint="eastAsia" w:ascii="仿宋" w:hAnsi="仿宋" w:eastAsia="仿宋" w:cs="仿宋"/>
                <w:b/>
                <w:bCs/>
                <w:sz w:val="24"/>
                <w:szCs w:val="24"/>
                <w:lang w:bidi="ar"/>
              </w:rPr>
              <w:t>断面名称</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b/>
                <w:bCs/>
                <w:color w:val="000000"/>
                <w:sz w:val="24"/>
                <w:szCs w:val="24"/>
              </w:rPr>
            </w:pPr>
            <w:r>
              <w:rPr>
                <w:rStyle w:val="375"/>
                <w:rFonts w:hint="eastAsia" w:ascii="仿宋" w:hAnsi="仿宋" w:eastAsia="仿宋" w:cs="仿宋"/>
                <w:b/>
                <w:bCs/>
                <w:sz w:val="24"/>
                <w:szCs w:val="24"/>
                <w:lang w:bidi="ar"/>
              </w:rPr>
              <w:t>所在水体</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b/>
                <w:bCs/>
                <w:color w:val="000000"/>
                <w:sz w:val="24"/>
                <w:szCs w:val="24"/>
              </w:rPr>
            </w:pPr>
            <w:r>
              <w:rPr>
                <w:rStyle w:val="375"/>
                <w:rFonts w:hint="eastAsia" w:ascii="仿宋" w:hAnsi="仿宋" w:eastAsia="仿宋" w:cs="仿宋"/>
                <w:b/>
                <w:bCs/>
                <w:sz w:val="24"/>
                <w:szCs w:val="24"/>
                <w:lang w:bidi="ar"/>
              </w:rPr>
              <w:t>断面级别</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75"/>
                <w:rFonts w:hint="eastAsia" w:ascii="仿宋" w:hAnsi="仿宋" w:eastAsia="仿宋" w:cs="仿宋"/>
                <w:b/>
                <w:bCs/>
                <w:sz w:val="24"/>
                <w:szCs w:val="24"/>
                <w:lang w:bidi="ar"/>
              </w:rPr>
            </w:pPr>
            <w:r>
              <w:rPr>
                <w:rStyle w:val="375"/>
                <w:rFonts w:hint="eastAsia" w:ascii="仿宋" w:hAnsi="仿宋" w:eastAsia="仿宋" w:cs="仿宋"/>
                <w:b/>
                <w:bCs/>
                <w:sz w:val="24"/>
                <w:szCs w:val="24"/>
                <w:lang w:bidi="ar"/>
              </w:rPr>
              <w:t>断面类型</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老鼠屿</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椒江</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长潭水库坝口</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长潭水库</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湖库</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永宁江口</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永宁江</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金清新闸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金清港</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分水山闸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玉环湖</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三小断面</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珠游溪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里石门水库</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里石门水库</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湖库</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茶溪</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永安溪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下张</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朱溪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温峤</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江厦大港</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金岭桥</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义成港</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沙段</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始丰溪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柏枝岙</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永安溪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8"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下陈</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鲍浦</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三条埠头</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青龙浦</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国控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石岩水厂</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亭旁溪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栅浦闸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永宁河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岩头闸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三条河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栅浦</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椒江</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下埭头</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中干渠</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大众旺</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长潭水库</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湖库</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朱砂堆</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东官河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温潭</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长潭水库</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Style w:val="333"/>
                <w:rFonts w:hint="eastAsia" w:ascii="仿宋" w:hAnsi="仿宋" w:eastAsia="仿宋" w:cs="仿宋"/>
                <w:sz w:val="24"/>
                <w:szCs w:val="24"/>
                <w:lang w:bidi="ar"/>
              </w:rPr>
              <w:t>湖库</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峰江（下里桥）</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南官河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礁头闸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城坎河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长屿闸</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庆澜河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响岩</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始丰溪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曹店</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永安溪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柴岭下</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永安溪</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滨海</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金清港</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太平</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湖漫河</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top"/>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渡头范</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灵江</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6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西岑</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灵江</w:t>
            </w:r>
          </w:p>
        </w:tc>
        <w:tc>
          <w:tcPr>
            <w:tcW w:w="1065" w:type="pc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szCs w:val="24"/>
              </w:rPr>
            </w:pPr>
            <w:r>
              <w:rPr>
                <w:rStyle w:val="333"/>
                <w:rFonts w:hint="eastAsia" w:ascii="仿宋" w:hAnsi="仿宋" w:eastAsia="仿宋" w:cs="仿宋"/>
                <w:sz w:val="24"/>
                <w:szCs w:val="24"/>
                <w:lang w:bidi="ar"/>
              </w:rPr>
              <w:t>省控</w:t>
            </w:r>
          </w:p>
        </w:tc>
        <w:tc>
          <w:tcPr>
            <w:tcW w:w="1071"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Style w:val="333"/>
                <w:rFonts w:hint="eastAsia" w:ascii="仿宋" w:hAnsi="仿宋" w:eastAsia="仿宋" w:cs="仿宋"/>
                <w:sz w:val="24"/>
                <w:szCs w:val="24"/>
                <w:lang w:bidi="ar"/>
              </w:rPr>
            </w:pPr>
            <w:r>
              <w:rPr>
                <w:rFonts w:hint="eastAsia" w:ascii="仿宋" w:hAnsi="仿宋" w:eastAsia="仿宋" w:cs="仿宋"/>
                <w:color w:val="000000"/>
                <w:sz w:val="24"/>
                <w:szCs w:val="24"/>
              </w:rPr>
              <w:t>河流</w:t>
            </w:r>
          </w:p>
        </w:tc>
      </w:tr>
      <w:tr>
        <w:tblPrEx>
          <w:tblCellMar>
            <w:top w:w="0" w:type="dxa"/>
            <w:left w:w="108" w:type="dxa"/>
            <w:bottom w:w="0" w:type="dxa"/>
            <w:right w:w="108" w:type="dxa"/>
          </w:tblCellMar>
        </w:tblPrEx>
        <w:trPr>
          <w:trHeight w:val="3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bCs/>
                <w:sz w:val="24"/>
                <w:szCs w:val="24"/>
              </w:rPr>
              <w:t>备注：断面级别数量以省生态环境厅最终要求为准。</w:t>
            </w:r>
          </w:p>
        </w:tc>
      </w:tr>
    </w:tbl>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2、服务要求</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2.1调查项目及频次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照《2020年重点流域水生态状况调查监测方案》（环办监测函〔2020〕238号）、《2024年全国水生生物补充调查技术方案》（总站水字〔2024〕308号）等文件，调查项目主要包括大型底栖无脊椎动物（以下简称底栖动物）和环境DNA（鱼类、底栖动物），其中河流增加着生藻类项目，湖库增加浮游植物、浮游动物两项指标。现场采样调查时，同步开展生境调查和水质常规五参数指标监测，包括水温、pH值、溶解氧、电导率、浊度等指标。监测频次为 2025年春季（4-5月）、秋季（9-10月）各开展一次。 本次招标具体工作内容详见表4。</w:t>
      </w:r>
    </w:p>
    <w:p>
      <w:pPr>
        <w:pStyle w:val="2"/>
        <w:jc w:val="center"/>
        <w:rPr>
          <w:rFonts w:hint="eastAsia" w:ascii="仿宋" w:hAnsi="仿宋" w:eastAsia="仿宋" w:cs="仿宋"/>
          <w:sz w:val="24"/>
          <w:szCs w:val="24"/>
        </w:rPr>
      </w:pPr>
      <w:r>
        <w:rPr>
          <w:rFonts w:hint="eastAsia" w:ascii="仿宋" w:hAnsi="仿宋" w:eastAsia="仿宋" w:cs="仿宋"/>
          <w:b/>
          <w:sz w:val="24"/>
          <w:szCs w:val="24"/>
        </w:rPr>
        <w:t>表4  重点断面水生态监测服务内容</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69"/>
        <w:gridCol w:w="106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监测时间</w:t>
            </w:r>
          </w:p>
        </w:tc>
        <w:tc>
          <w:tcPr>
            <w:tcW w:w="1829" w:type="dxa"/>
            <w:gridSpan w:val="2"/>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断面</w:t>
            </w:r>
          </w:p>
        </w:tc>
        <w:tc>
          <w:tcPr>
            <w:tcW w:w="5174"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9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春季</w:t>
            </w:r>
          </w:p>
          <w:p>
            <w:pPr>
              <w:jc w:val="center"/>
              <w:rPr>
                <w:rFonts w:hint="eastAsia" w:ascii="仿宋" w:hAnsi="仿宋" w:eastAsia="仿宋" w:cs="仿宋"/>
                <w:sz w:val="24"/>
                <w:szCs w:val="24"/>
              </w:rPr>
            </w:pPr>
            <w:r>
              <w:rPr>
                <w:rFonts w:hint="eastAsia" w:ascii="仿宋" w:hAnsi="仿宋" w:eastAsia="仿宋" w:cs="仿宋"/>
                <w:sz w:val="24"/>
                <w:szCs w:val="24"/>
              </w:rPr>
              <w:t>（4-5月）</w:t>
            </w:r>
          </w:p>
        </w:tc>
        <w:tc>
          <w:tcPr>
            <w:tcW w:w="76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国控</w:t>
            </w: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河流</w:t>
            </w:r>
          </w:p>
        </w:tc>
        <w:tc>
          <w:tcPr>
            <w:tcW w:w="5174"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环境DNA（鱼类、底栖动物）样品分析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90" w:type="dxa"/>
            <w:vMerge w:val="continue"/>
            <w:noWrap w:val="0"/>
            <w:vAlign w:val="center"/>
          </w:tcPr>
          <w:p>
            <w:pPr>
              <w:jc w:val="center"/>
              <w:rPr>
                <w:rFonts w:hint="eastAsia" w:ascii="仿宋" w:hAnsi="仿宋" w:eastAsia="仿宋" w:cs="仿宋"/>
                <w:sz w:val="24"/>
                <w:szCs w:val="24"/>
              </w:rPr>
            </w:pPr>
          </w:p>
        </w:tc>
        <w:tc>
          <w:tcPr>
            <w:tcW w:w="769" w:type="dxa"/>
            <w:vMerge w:val="continue"/>
            <w:noWrap w:val="0"/>
            <w:vAlign w:val="top"/>
          </w:tcPr>
          <w:p>
            <w:pPr>
              <w:jc w:val="center"/>
              <w:rPr>
                <w:rFonts w:hint="eastAsia" w:ascii="仿宋" w:hAnsi="仿宋" w:eastAsia="仿宋" w:cs="仿宋"/>
                <w:sz w:val="24"/>
                <w:szCs w:val="24"/>
              </w:rPr>
            </w:pP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湖库</w:t>
            </w:r>
          </w:p>
        </w:tc>
        <w:tc>
          <w:tcPr>
            <w:tcW w:w="5174" w:type="dxa"/>
            <w:vMerge w:val="continue"/>
            <w:noWrap w:val="0"/>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90" w:type="dxa"/>
            <w:vMerge w:val="continue"/>
            <w:noWrap w:val="0"/>
            <w:vAlign w:val="top"/>
          </w:tcPr>
          <w:p>
            <w:pPr>
              <w:rPr>
                <w:rFonts w:hint="eastAsia" w:ascii="仿宋" w:hAnsi="仿宋" w:eastAsia="仿宋" w:cs="仿宋"/>
                <w:sz w:val="24"/>
                <w:szCs w:val="24"/>
              </w:rPr>
            </w:pPr>
          </w:p>
        </w:tc>
        <w:tc>
          <w:tcPr>
            <w:tcW w:w="76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省控</w:t>
            </w: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河流</w:t>
            </w:r>
          </w:p>
        </w:tc>
        <w:tc>
          <w:tcPr>
            <w:tcW w:w="5174" w:type="dxa"/>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环境DNA（鱼类、底栖动物）、底栖动物、着生藻类等样品的分析鉴定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90" w:type="dxa"/>
            <w:vMerge w:val="continue"/>
            <w:noWrap w:val="0"/>
            <w:vAlign w:val="top"/>
          </w:tcPr>
          <w:p>
            <w:pPr>
              <w:rPr>
                <w:rFonts w:hint="eastAsia" w:ascii="仿宋" w:hAnsi="仿宋" w:eastAsia="仿宋" w:cs="仿宋"/>
                <w:sz w:val="24"/>
                <w:szCs w:val="24"/>
              </w:rPr>
            </w:pPr>
          </w:p>
        </w:tc>
        <w:tc>
          <w:tcPr>
            <w:tcW w:w="769" w:type="dxa"/>
            <w:vMerge w:val="continue"/>
            <w:noWrap w:val="0"/>
            <w:vAlign w:val="top"/>
          </w:tcPr>
          <w:p>
            <w:pPr>
              <w:jc w:val="center"/>
              <w:rPr>
                <w:rFonts w:hint="eastAsia" w:ascii="仿宋" w:hAnsi="仿宋" w:eastAsia="仿宋" w:cs="仿宋"/>
                <w:sz w:val="24"/>
                <w:szCs w:val="24"/>
              </w:rPr>
            </w:pP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湖库</w:t>
            </w:r>
          </w:p>
        </w:tc>
        <w:tc>
          <w:tcPr>
            <w:tcW w:w="5174" w:type="dxa"/>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环境DNA（鱼类、底栖动物）、底栖动物、浮游植物、浮游动物等样品的分析鉴定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90"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秋季</w:t>
            </w:r>
          </w:p>
          <w:p>
            <w:pPr>
              <w:jc w:val="center"/>
              <w:rPr>
                <w:rFonts w:hint="eastAsia" w:ascii="仿宋" w:hAnsi="仿宋" w:eastAsia="仿宋" w:cs="仿宋"/>
                <w:sz w:val="24"/>
                <w:szCs w:val="24"/>
              </w:rPr>
            </w:pPr>
            <w:r>
              <w:rPr>
                <w:rFonts w:hint="eastAsia" w:ascii="仿宋" w:hAnsi="仿宋" w:eastAsia="仿宋" w:cs="仿宋"/>
                <w:sz w:val="24"/>
                <w:szCs w:val="24"/>
              </w:rPr>
              <w:t>（9-10月）</w:t>
            </w:r>
          </w:p>
        </w:tc>
        <w:tc>
          <w:tcPr>
            <w:tcW w:w="76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国控</w:t>
            </w: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河流</w:t>
            </w:r>
          </w:p>
        </w:tc>
        <w:tc>
          <w:tcPr>
            <w:tcW w:w="5174" w:type="dxa"/>
            <w:vMerge w:val="restart"/>
            <w:noWrap w:val="0"/>
            <w:vAlign w:val="center"/>
          </w:tcPr>
          <w:p>
            <w:pPr>
              <w:snapToGrid w:val="0"/>
              <w:rPr>
                <w:rFonts w:hint="eastAsia" w:ascii="仿宋" w:hAnsi="仿宋" w:eastAsia="仿宋" w:cs="仿宋"/>
                <w:sz w:val="24"/>
                <w:szCs w:val="24"/>
                <w:lang w:eastAsia="zh-CN"/>
              </w:rPr>
            </w:pPr>
            <w:r>
              <w:rPr>
                <w:rFonts w:hint="eastAsia" w:ascii="仿宋" w:hAnsi="仿宋" w:eastAsia="仿宋" w:cs="仿宋"/>
                <w:sz w:val="24"/>
                <w:szCs w:val="24"/>
              </w:rPr>
              <w:t>辅助现场采样</w:t>
            </w:r>
            <w:r>
              <w:rPr>
                <w:rFonts w:hint="eastAsia" w:ascii="仿宋" w:hAnsi="仿宋" w:eastAsia="仿宋" w:cs="仿宋"/>
                <w:sz w:val="24"/>
                <w:szCs w:val="24"/>
                <w:lang w:eastAsia="zh-CN"/>
              </w:rPr>
              <w:t>、生境调查</w:t>
            </w:r>
          </w:p>
          <w:p>
            <w:pPr>
              <w:snapToGrid w:val="0"/>
              <w:rPr>
                <w:rFonts w:hint="eastAsia" w:ascii="仿宋" w:hAnsi="仿宋" w:eastAsia="仿宋" w:cs="仿宋"/>
                <w:sz w:val="24"/>
                <w:szCs w:val="24"/>
              </w:rPr>
            </w:pPr>
            <w:r>
              <w:rPr>
                <w:rFonts w:hint="eastAsia" w:ascii="仿宋" w:hAnsi="仿宋" w:eastAsia="仿宋" w:cs="仿宋"/>
                <w:sz w:val="24"/>
                <w:szCs w:val="24"/>
              </w:rPr>
              <w:t>环境DNA（鱼类、底栖动物）样品分析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90" w:type="dxa"/>
            <w:vMerge w:val="continue"/>
            <w:noWrap w:val="0"/>
            <w:vAlign w:val="center"/>
          </w:tcPr>
          <w:p>
            <w:pPr>
              <w:jc w:val="center"/>
              <w:rPr>
                <w:rFonts w:hint="eastAsia" w:ascii="仿宋" w:hAnsi="仿宋" w:eastAsia="仿宋" w:cs="仿宋"/>
                <w:sz w:val="24"/>
                <w:szCs w:val="24"/>
              </w:rPr>
            </w:pPr>
          </w:p>
        </w:tc>
        <w:tc>
          <w:tcPr>
            <w:tcW w:w="769" w:type="dxa"/>
            <w:vMerge w:val="continue"/>
            <w:noWrap w:val="0"/>
            <w:vAlign w:val="top"/>
          </w:tcPr>
          <w:p>
            <w:pPr>
              <w:jc w:val="center"/>
              <w:rPr>
                <w:rFonts w:hint="eastAsia" w:ascii="仿宋" w:hAnsi="仿宋" w:eastAsia="仿宋" w:cs="仿宋"/>
                <w:sz w:val="24"/>
                <w:szCs w:val="24"/>
              </w:rPr>
            </w:pP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湖库</w:t>
            </w:r>
          </w:p>
        </w:tc>
        <w:tc>
          <w:tcPr>
            <w:tcW w:w="5174" w:type="dxa"/>
            <w:vMerge w:val="continue"/>
            <w:noWrap w:val="0"/>
            <w:vAlign w:val="center"/>
          </w:tcPr>
          <w:p>
            <w:pPr>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90" w:type="dxa"/>
            <w:vMerge w:val="continue"/>
            <w:noWrap w:val="0"/>
            <w:vAlign w:val="top"/>
          </w:tcPr>
          <w:p>
            <w:pPr>
              <w:rPr>
                <w:rFonts w:hint="eastAsia" w:ascii="仿宋" w:hAnsi="仿宋" w:eastAsia="仿宋" w:cs="仿宋"/>
                <w:sz w:val="24"/>
                <w:szCs w:val="24"/>
              </w:rPr>
            </w:pPr>
          </w:p>
        </w:tc>
        <w:tc>
          <w:tcPr>
            <w:tcW w:w="76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省控</w:t>
            </w: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河流</w:t>
            </w:r>
          </w:p>
        </w:tc>
        <w:tc>
          <w:tcPr>
            <w:tcW w:w="5174" w:type="dxa"/>
            <w:noWrap w:val="0"/>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rPr>
              <w:t>现场采样、生境调查</w:t>
            </w:r>
            <w:r>
              <w:rPr>
                <w:rFonts w:hint="eastAsia" w:ascii="仿宋" w:hAnsi="仿宋" w:eastAsia="仿宋" w:cs="仿宋"/>
                <w:sz w:val="24"/>
                <w:szCs w:val="24"/>
                <w:lang w:eastAsia="zh-CN"/>
              </w:rPr>
              <w:t>、五参数测定</w:t>
            </w:r>
          </w:p>
          <w:p>
            <w:pPr>
              <w:snapToGrid w:val="0"/>
              <w:rPr>
                <w:rFonts w:hint="eastAsia" w:ascii="仿宋" w:hAnsi="仿宋" w:eastAsia="仿宋" w:cs="仿宋"/>
                <w:sz w:val="24"/>
                <w:szCs w:val="24"/>
              </w:rPr>
            </w:pPr>
            <w:r>
              <w:rPr>
                <w:rFonts w:hint="eastAsia" w:ascii="仿宋" w:hAnsi="仿宋" w:eastAsia="仿宋" w:cs="仿宋"/>
                <w:sz w:val="24"/>
                <w:szCs w:val="24"/>
              </w:rPr>
              <w:t>环境DNA（鱼类、底栖动物）、底栖动物、着生藻类等样品的分析鉴定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90" w:type="dxa"/>
            <w:vMerge w:val="continue"/>
            <w:noWrap w:val="0"/>
            <w:vAlign w:val="top"/>
          </w:tcPr>
          <w:p>
            <w:pPr>
              <w:rPr>
                <w:rFonts w:hint="eastAsia" w:ascii="仿宋" w:hAnsi="仿宋" w:eastAsia="仿宋" w:cs="仿宋"/>
                <w:sz w:val="24"/>
                <w:szCs w:val="24"/>
              </w:rPr>
            </w:pPr>
          </w:p>
        </w:tc>
        <w:tc>
          <w:tcPr>
            <w:tcW w:w="769" w:type="dxa"/>
            <w:vMerge w:val="continue"/>
            <w:noWrap w:val="0"/>
            <w:vAlign w:val="center"/>
          </w:tcPr>
          <w:p>
            <w:pPr>
              <w:jc w:val="center"/>
              <w:rPr>
                <w:rFonts w:hint="eastAsia" w:ascii="仿宋" w:hAnsi="仿宋" w:eastAsia="仿宋" w:cs="仿宋"/>
                <w:sz w:val="24"/>
                <w:szCs w:val="24"/>
              </w:rPr>
            </w:pPr>
          </w:p>
        </w:tc>
        <w:tc>
          <w:tcPr>
            <w:tcW w:w="106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湖库</w:t>
            </w:r>
          </w:p>
        </w:tc>
        <w:tc>
          <w:tcPr>
            <w:tcW w:w="5174" w:type="dxa"/>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现场采样、生境调查</w:t>
            </w:r>
            <w:r>
              <w:rPr>
                <w:rFonts w:hint="eastAsia" w:ascii="仿宋" w:hAnsi="仿宋" w:eastAsia="仿宋" w:cs="仿宋"/>
                <w:sz w:val="24"/>
                <w:szCs w:val="24"/>
                <w:lang w:eastAsia="zh-CN"/>
              </w:rPr>
              <w:t>、五参数测定</w:t>
            </w:r>
          </w:p>
          <w:p>
            <w:pPr>
              <w:snapToGrid w:val="0"/>
              <w:rPr>
                <w:rFonts w:hint="eastAsia" w:ascii="仿宋" w:hAnsi="仿宋" w:eastAsia="仿宋" w:cs="仿宋"/>
                <w:sz w:val="24"/>
                <w:szCs w:val="24"/>
              </w:rPr>
            </w:pPr>
            <w:r>
              <w:rPr>
                <w:rFonts w:hint="eastAsia" w:ascii="仿宋" w:hAnsi="仿宋" w:eastAsia="仿宋" w:cs="仿宋"/>
                <w:sz w:val="24"/>
                <w:szCs w:val="24"/>
              </w:rPr>
              <w:t>环境DNA（鱼类、底栖动物）、底栖动物、浮游植物、浮游动物等样品的分析鉴定</w:t>
            </w:r>
          </w:p>
        </w:tc>
      </w:tr>
    </w:tbl>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b/>
          <w:sz w:val="24"/>
          <w:szCs w:val="24"/>
        </w:rPr>
        <w:t xml:space="preserve">2.2 具体实施要求 </w:t>
      </w:r>
    </w:p>
    <w:p>
      <w:pPr>
        <w:spacing w:before="156" w:beforeLines="50" w:after="156" w:afterLines="50"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调查监测严格按照相关标准规范开展。其中，底栖动物、着生藻类、浮游植物和浮游动物指标参照中国环境监测总站编制的《地表水水生态监测作业指导书（试行）》执行；环境 DNA指标参照浙江省生态环境监测中心编制的《地表水环境DNA 采样技术要求》执行；常规五参数参照中国环境监测总站编制的《国家地表水环境质量监测网监测任务作业指导书》执行。</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2.2.1现场采样及监测</w:t>
      </w:r>
    </w:p>
    <w:p>
      <w:pPr>
        <w:spacing w:line="360" w:lineRule="auto"/>
        <w:rPr>
          <w:rFonts w:hint="eastAsia" w:ascii="仿宋" w:hAnsi="仿宋" w:eastAsia="仿宋" w:cs="仿宋"/>
          <w:sz w:val="24"/>
          <w:szCs w:val="24"/>
        </w:rPr>
      </w:pPr>
      <w:r>
        <w:rPr>
          <w:rFonts w:hint="eastAsia" w:ascii="仿宋" w:hAnsi="仿宋" w:eastAsia="仿宋" w:cs="仿宋"/>
          <w:sz w:val="24"/>
          <w:szCs w:val="24"/>
        </w:rPr>
        <w:t>（1）每个断面采样除驾驶员外保障至少5名采样人员参加。采样人员应接受采样技术培训， 熟悉质量保证内容、程序和方法，了解采样技术关键环节，掌握现场监测仪器性能。</w:t>
      </w:r>
    </w:p>
    <w:p>
      <w:pPr>
        <w:spacing w:line="360" w:lineRule="auto"/>
        <w:rPr>
          <w:rFonts w:hint="eastAsia" w:ascii="仿宋" w:hAnsi="仿宋" w:eastAsia="仿宋" w:cs="仿宋"/>
          <w:sz w:val="24"/>
          <w:szCs w:val="24"/>
        </w:rPr>
      </w:pPr>
      <w:r>
        <w:rPr>
          <w:rFonts w:hint="eastAsia" w:ascii="仿宋" w:hAnsi="仿宋" w:eastAsia="仿宋" w:cs="仿宋"/>
          <w:sz w:val="24"/>
          <w:szCs w:val="24"/>
        </w:rPr>
        <w:t>（2）底栖动物：每个断面采集定量样品和半定量样品。定量样品需使用标准规格的采泥器（不可涉水）或索伯网（可涉水）进行采集样方，半定量样品需使用三角拖网（不可涉水）或手抄网（可涉水）进行采集样带。样方和样带应覆盖该点位河段主要生境类型，调查涉及的生境类型面积不低于现场河段的80%（覆盖生境类型不少于1个，采集样方不少于4个，每个样带至少1米，总共不少于10米）。</w:t>
      </w:r>
    </w:p>
    <w:p>
      <w:pPr>
        <w:spacing w:line="360" w:lineRule="auto"/>
        <w:rPr>
          <w:rFonts w:hint="eastAsia" w:ascii="仿宋" w:hAnsi="仿宋" w:eastAsia="仿宋" w:cs="仿宋"/>
          <w:sz w:val="24"/>
          <w:szCs w:val="24"/>
        </w:rPr>
      </w:pPr>
      <w:r>
        <w:rPr>
          <w:rFonts w:hint="eastAsia" w:ascii="仿宋" w:hAnsi="仿宋" w:eastAsia="仿宋" w:cs="仿宋"/>
          <w:sz w:val="24"/>
          <w:szCs w:val="24"/>
        </w:rPr>
        <w:t>（3）着生藻类：每个断面采集定量样品和定性样品。定量样品需记录采样面积，取样面积至少达到100cm</w:t>
      </w:r>
      <w:r>
        <w:rPr>
          <w:rFonts w:hint="eastAsia" w:ascii="仿宋" w:hAnsi="仿宋" w:eastAsia="仿宋" w:cs="仿宋"/>
          <w:sz w:val="24"/>
          <w:szCs w:val="24"/>
          <w:vertAlign w:val="superscript"/>
        </w:rPr>
        <w:t>2</w:t>
      </w:r>
      <w:r>
        <w:rPr>
          <w:rFonts w:hint="eastAsia" w:ascii="仿宋" w:hAnsi="仿宋" w:eastAsia="仿宋" w:cs="仿宋"/>
          <w:sz w:val="24"/>
          <w:szCs w:val="24"/>
        </w:rPr>
        <w:t>。不同点位需更换洁净牙刷。在缺少天然坚硬基质的情况下，可利用人造稳定基质（如桥墩、板柱、码头、堤坝处）进行采样，考虑水位波动和波浪的影响，建议取样水深约为30cm。无法采集定量样品时，可采集定性样品。</w:t>
      </w:r>
    </w:p>
    <w:p>
      <w:pPr>
        <w:spacing w:line="360" w:lineRule="auto"/>
        <w:rPr>
          <w:rFonts w:hint="eastAsia" w:ascii="仿宋" w:hAnsi="仿宋" w:eastAsia="仿宋" w:cs="仿宋"/>
          <w:sz w:val="24"/>
          <w:szCs w:val="24"/>
        </w:rPr>
      </w:pPr>
      <w:r>
        <w:rPr>
          <w:rFonts w:hint="eastAsia" w:ascii="仿宋" w:hAnsi="仿宋" w:eastAsia="仿宋" w:cs="仿宋"/>
          <w:sz w:val="24"/>
          <w:szCs w:val="24"/>
        </w:rPr>
        <w:t>（4）浮游植物：每个断面采集定量样品和定性样品。定量样品使用采水器定量采集1 L。定性样品使用25号浮游生物网在水体表层至0.5m水深处以20 cm/s～30 cm/s的速度做“∞”形往复、缓慢拖动约1 min～3 min。</w:t>
      </w:r>
    </w:p>
    <w:p>
      <w:pPr>
        <w:spacing w:line="360" w:lineRule="auto"/>
        <w:rPr>
          <w:rFonts w:hint="eastAsia" w:ascii="仿宋" w:hAnsi="仿宋" w:eastAsia="仿宋" w:cs="仿宋"/>
          <w:sz w:val="24"/>
          <w:szCs w:val="24"/>
        </w:rPr>
      </w:pPr>
      <w:r>
        <w:rPr>
          <w:rFonts w:hint="eastAsia" w:ascii="仿宋" w:hAnsi="仿宋" w:eastAsia="仿宋" w:cs="仿宋"/>
          <w:sz w:val="24"/>
          <w:szCs w:val="24"/>
        </w:rPr>
        <w:t>（5）浮游动物：每个断面采集定量样品和定性样品。轮虫定量样品采集量一般为1L；枝角类和桡足类浮游动物一般采集20L，并通过25号浮游生物网过滤浓缩，加入到100 ml样品瓶。定性样品的采集使用25号浮游生物网。</w:t>
      </w:r>
    </w:p>
    <w:p>
      <w:pPr>
        <w:spacing w:line="360" w:lineRule="auto"/>
        <w:rPr>
          <w:rFonts w:hint="eastAsia" w:ascii="仿宋" w:hAnsi="仿宋" w:eastAsia="仿宋" w:cs="仿宋"/>
          <w:sz w:val="24"/>
          <w:szCs w:val="24"/>
        </w:rPr>
      </w:pPr>
      <w:r>
        <w:rPr>
          <w:rFonts w:hint="eastAsia" w:ascii="仿宋" w:hAnsi="仿宋" w:eastAsia="仿宋" w:cs="仿宋"/>
          <w:sz w:val="24"/>
          <w:szCs w:val="24"/>
        </w:rPr>
        <w:t>（6）鱼类、底栖动物等水生生物类群DNA监测水样需用水环境DNA过滤仪采集，要求每个点位分别采集3个平行样，每个平行样的浓缩过滤水样量为5L，同一批次样品采集时同步采集空白水样。在现场完成样品的过滤和固定。</w:t>
      </w:r>
    </w:p>
    <w:p>
      <w:pPr>
        <w:spacing w:line="360" w:lineRule="auto"/>
        <w:rPr>
          <w:rFonts w:hint="eastAsia" w:ascii="仿宋" w:hAnsi="仿宋" w:eastAsia="仿宋" w:cs="仿宋"/>
          <w:sz w:val="24"/>
          <w:szCs w:val="24"/>
        </w:rPr>
      </w:pPr>
      <w:r>
        <w:rPr>
          <w:rFonts w:hint="eastAsia" w:ascii="仿宋" w:hAnsi="仿宋" w:eastAsia="仿宋" w:cs="仿宋"/>
          <w:sz w:val="24"/>
          <w:szCs w:val="24"/>
        </w:rPr>
        <w:t>（7）生境调查至少由2个人共同完成，且保持调查人员的稳定性。生境调查需进行照片和影像记录（包括但不局限于周围大生境、护岸类型、岸带植被、特殊状况等）。</w:t>
      </w:r>
    </w:p>
    <w:p>
      <w:pPr>
        <w:spacing w:line="360" w:lineRule="auto"/>
        <w:rPr>
          <w:rFonts w:hint="eastAsia" w:ascii="仿宋" w:hAnsi="仿宋" w:eastAsia="仿宋" w:cs="仿宋"/>
          <w:sz w:val="24"/>
          <w:szCs w:val="24"/>
        </w:rPr>
      </w:pPr>
      <w:r>
        <w:rPr>
          <w:rFonts w:hint="eastAsia" w:ascii="仿宋" w:hAnsi="仿宋" w:eastAsia="仿宋" w:cs="仿宋"/>
          <w:sz w:val="24"/>
          <w:szCs w:val="24"/>
        </w:rPr>
        <w:t>（8）采样时周边出现异常情况时，拍摄现场情况并做好记录，立即通知采购方。</w:t>
      </w:r>
    </w:p>
    <w:p>
      <w:pPr>
        <w:spacing w:line="360" w:lineRule="auto"/>
        <w:rPr>
          <w:rFonts w:hint="eastAsia" w:ascii="仿宋" w:hAnsi="仿宋" w:eastAsia="仿宋" w:cs="仿宋"/>
          <w:sz w:val="24"/>
          <w:szCs w:val="24"/>
        </w:rPr>
      </w:pPr>
      <w:r>
        <w:rPr>
          <w:rFonts w:hint="eastAsia" w:ascii="仿宋" w:hAnsi="仿宋" w:eastAsia="仿宋" w:cs="仿宋"/>
          <w:sz w:val="24"/>
          <w:szCs w:val="24"/>
        </w:rPr>
        <w:t>（9）中标方须明确各采样小组人员分工，确保采样规范和人员安全。</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2.2.2样品运输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样品采集完成后，每个样品瓶均需贴上样品标签， 内容有采样点位编号、样品编号（按照采购方编码规则进行编号或在样品提交时按采购方要求重新更换样品标签）、采样日期和时间、测定项目等，并写明用何种保存剂，样品标签须满足防水要求。样品按照项目类型确定运输环境条件。</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2.2.3分析鉴定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底栖动物、着生藻类、浮游植物和浮游动物指标鉴定及质量保证和控制参照中国环境监测总站编制的《地表水水生态监测作业指导书（试行）》执行；鉴定使用统一的名录和参考资料，鉴定结束后所有样品集中统一保存，</w:t>
      </w:r>
      <w:r>
        <w:rPr>
          <w:rFonts w:hint="eastAsia" w:ascii="仿宋" w:hAnsi="仿宋" w:eastAsia="仿宋" w:cs="仿宋"/>
          <w:sz w:val="24"/>
          <w:szCs w:val="24"/>
          <w:lang w:eastAsia="zh-CN"/>
        </w:rPr>
        <w:t>以备复核</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环境DNA分析及质量保证和控制参照《淡水生物监测 环境DNA宏条形码法》（T/CSES 81-2023）要求执行。</w:t>
      </w:r>
    </w:p>
    <w:p>
      <w:pPr>
        <w:spacing w:before="156" w:beforeLines="50" w:after="156" w:after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3 进度要求 </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1、8月底前完成春季水生生物调查样品的分析鉴定工作；</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原则上应于</w:t>
      </w:r>
      <w:r>
        <w:rPr>
          <w:rFonts w:hint="eastAsia" w:ascii="仿宋" w:hAnsi="仿宋" w:eastAsia="仿宋" w:cs="仿宋"/>
          <w:sz w:val="24"/>
          <w:szCs w:val="24"/>
          <w:highlight w:val="none"/>
        </w:rPr>
        <w:t>10月</w:t>
      </w:r>
      <w:r>
        <w:rPr>
          <w:rFonts w:hint="eastAsia" w:ascii="仿宋" w:hAnsi="仿宋" w:eastAsia="仿宋" w:cs="仿宋"/>
          <w:sz w:val="24"/>
          <w:szCs w:val="24"/>
          <w:highlight w:val="none"/>
          <w:lang w:val="en-US" w:eastAsia="zh-CN"/>
        </w:rPr>
        <w:t>15日</w:t>
      </w:r>
      <w:r>
        <w:rPr>
          <w:rFonts w:hint="eastAsia" w:ascii="仿宋" w:hAnsi="仿宋" w:eastAsia="仿宋" w:cs="仿宋"/>
          <w:sz w:val="24"/>
          <w:szCs w:val="24"/>
          <w:highlight w:val="none"/>
        </w:rPr>
        <w:t>前完成秋季水生生物调查采样工作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并尽快完成相关样品的分析鉴定工作。</w:t>
      </w:r>
    </w:p>
    <w:p>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3、12月1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日前，完成数据汇总分析，提交台州市国省控断面水生态调查评估报告。</w:t>
      </w:r>
    </w:p>
    <w:p>
      <w:pPr>
        <w:pStyle w:val="2"/>
        <w:rPr>
          <w:rFonts w:hint="eastAsia" w:ascii="仿宋" w:hAnsi="仿宋" w:eastAsia="仿宋" w:cs="仿宋"/>
          <w:sz w:val="24"/>
          <w:szCs w:val="24"/>
          <w:highlight w:val="none"/>
        </w:rPr>
      </w:pPr>
    </w:p>
    <w:p>
      <w:pPr>
        <w:spacing w:line="360" w:lineRule="auto"/>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（三）遥感点位现场核查</w:t>
      </w:r>
    </w:p>
    <w:p>
      <w:pPr>
        <w:spacing w:before="156" w:beforeLines="50" w:after="156" w:afterLines="50"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1、项目概述</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前后两年的遥感影像因自然或人为因素而有差异，有差异的区域被识别和标注为新的地物类型，称之为地类动态变化。由于遥感影像的分辨率有限，以及一些地物无法从高空视角确定类型，需要对每年新产生的地类动态变化进行野外现场核查，以保证新标注的地物类型准确。</w:t>
      </w:r>
    </w:p>
    <w:p>
      <w:pPr>
        <w:spacing w:before="156" w:beforeLines="50" w:after="156" w:afterLines="50"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2、工作内容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筛选</w:t>
      </w:r>
      <w:r>
        <w:rPr>
          <w:rFonts w:hint="eastAsia" w:ascii="仿宋" w:hAnsi="仿宋" w:eastAsia="仿宋" w:cs="仿宋"/>
          <w:sz w:val="24"/>
          <w:szCs w:val="24"/>
          <w:highlight w:val="none"/>
        </w:rPr>
        <w:t>出来的无法在遥感影像上确认地类标注是否正确的点位，根据经纬度到现场采用无人机拍摄照片核查，拍摄全景及近景各1张（共2张），并填写相关信息。全景为包含该点位的整个周边环境全景，近景特写为该点位的特写；部分点位还需按要求拍摄边界核查照片。现场核查后需按照上级部门要求命名整理照片，并根据下发表格填写核查信息，包括变化前后的地类、变化的原因等。</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相关核查点位</w:t>
      </w:r>
      <w:r>
        <w:rPr>
          <w:rFonts w:hint="eastAsia" w:ascii="仿宋" w:hAnsi="仿宋" w:eastAsia="仿宋" w:cs="仿宋"/>
          <w:bCs/>
          <w:sz w:val="24"/>
          <w:szCs w:val="24"/>
          <w:highlight w:val="none"/>
        </w:rPr>
        <w:t>散布于台州市境内，</w:t>
      </w:r>
      <w:r>
        <w:rPr>
          <w:rFonts w:hint="eastAsia" w:ascii="仿宋" w:hAnsi="仿宋" w:eastAsia="仿宋" w:cs="仿宋"/>
          <w:bCs/>
          <w:sz w:val="24"/>
          <w:szCs w:val="24"/>
          <w:highlight w:val="none"/>
          <w:lang w:eastAsia="zh-CN"/>
        </w:rPr>
        <w:t>预估数量</w:t>
      </w:r>
      <w:r>
        <w:rPr>
          <w:rFonts w:hint="eastAsia" w:ascii="仿宋" w:hAnsi="仿宋" w:eastAsia="仿宋" w:cs="仿宋"/>
          <w:bCs/>
          <w:sz w:val="24"/>
          <w:szCs w:val="24"/>
          <w:highlight w:val="none"/>
          <w:lang w:val="en-US" w:eastAsia="zh-CN"/>
        </w:rPr>
        <w:t>600～800余个，</w:t>
      </w:r>
      <w:r>
        <w:rPr>
          <w:rFonts w:hint="eastAsia" w:ascii="仿宋" w:hAnsi="仿宋" w:eastAsia="仿宋" w:cs="仿宋"/>
          <w:sz w:val="24"/>
          <w:szCs w:val="24"/>
          <w:highlight w:val="none"/>
        </w:rPr>
        <w:t>具体点位信息及数量</w:t>
      </w:r>
      <w:r>
        <w:rPr>
          <w:rFonts w:hint="eastAsia" w:ascii="仿宋" w:hAnsi="仿宋" w:eastAsia="仿宋" w:cs="仿宋"/>
          <w:bCs/>
          <w:sz w:val="24"/>
          <w:szCs w:val="24"/>
          <w:highlight w:val="none"/>
        </w:rPr>
        <w:t>目前尚未下发</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rPr>
        <w:t>以上级部门</w:t>
      </w:r>
      <w:r>
        <w:rPr>
          <w:rFonts w:hint="eastAsia" w:ascii="仿宋" w:hAnsi="仿宋" w:eastAsia="仿宋" w:cs="仿宋"/>
          <w:bCs/>
          <w:sz w:val="24"/>
          <w:szCs w:val="24"/>
          <w:highlight w:val="none"/>
        </w:rPr>
        <w:t>最终要求为准。</w:t>
      </w:r>
      <w:r>
        <w:rPr>
          <w:rFonts w:hint="eastAsia" w:ascii="仿宋" w:hAnsi="仿宋" w:eastAsia="仿宋" w:cs="仿宋"/>
          <w:bCs/>
          <w:sz w:val="24"/>
          <w:szCs w:val="24"/>
          <w:highlight w:val="none"/>
          <w:lang w:eastAsia="zh-CN"/>
        </w:rPr>
        <w:t>中标方需完成上级部门下发的所有点位的核查任务，委托方</w:t>
      </w:r>
      <w:r>
        <w:rPr>
          <w:rFonts w:hint="eastAsia" w:ascii="仿宋" w:hAnsi="仿宋" w:eastAsia="仿宋" w:cs="仿宋"/>
          <w:bCs/>
          <w:sz w:val="24"/>
          <w:szCs w:val="24"/>
          <w:highlight w:val="none"/>
        </w:rPr>
        <w:t>不对超额数量点位追加费用。</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3、进度要求</w:t>
      </w:r>
    </w:p>
    <w:p>
      <w:pPr>
        <w:snapToGrid w:val="0"/>
        <w:spacing w:after="312" w:afterLines="10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核查点位下发后，中标方原则上应在45天内完成相关点位的现场核查，并提供照片、动态核查结果表和边界核查结果表。上级部门另有限期要求的，须在限期要求时间内完成。</w:t>
      </w:r>
    </w:p>
    <w:p>
      <w:pPr>
        <w:numPr>
          <w:ilvl w:val="0"/>
          <w:numId w:val="3"/>
        </w:numPr>
        <w:tabs>
          <w:tab w:val="left" w:pos="8280"/>
        </w:tabs>
        <w:spacing w:line="360" w:lineRule="auto"/>
        <w:ind w:left="-2" w:leftChars="0" w:right="25" w:firstLine="422" w:firstLineChars="0"/>
        <w:outlineLvl w:val="1"/>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合同生效以及具备实施条件后支付合同金额的55%作为预付款（具体视签订合同时财政资金情况商定）；重点断面水生态监测和遥感点位现场核查项目验收完成后，根据财政资金情况支付至合同金额的85%；大气颗粒物组分分析项目验收完成后，根据财政资金情况付清余款。每次付款中标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因采购单位使用的是财政资金，采购单位在前款规定的付款时间为向政府采购支付部门提出办理财政支付申请手续的时间（不含政府财政支付部门审核的时间），在规定时间内提出支付申请手续后即视为采购单位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highlight w:val="none"/>
          <w:lang w:val="en-US" w:eastAsia="zh-CN" w:bidi="ar-SA"/>
        </w:rPr>
      </w:pPr>
      <w:r>
        <w:rPr>
          <w:rFonts w:hint="eastAsia" w:ascii="仿宋" w:hAnsi="仿宋" w:eastAsia="仿宋" w:cs="仿宋"/>
          <w:b w:val="0"/>
          <w:bCs/>
          <w:snapToGrid w:val="0"/>
          <w:kern w:val="2"/>
          <w:sz w:val="24"/>
          <w:szCs w:val="21"/>
          <w:highlight w:val="none"/>
          <w:lang w:val="en-US" w:eastAsia="zh-CN" w:bidi="ar-SA"/>
        </w:rPr>
        <w:t>有关本项目实施所涉及的一切费用均计入报价，包括所有人员的人工费、交通费、住宿费、伙食费、办公设施费、管理费、利润、税金等一切费用。</w:t>
      </w:r>
    </w:p>
    <w:p>
      <w:pPr>
        <w:numPr>
          <w:ilvl w:val="0"/>
          <w:numId w:val="3"/>
        </w:numPr>
        <w:tabs>
          <w:tab w:val="left" w:pos="8280"/>
        </w:tabs>
        <w:spacing w:line="360" w:lineRule="auto"/>
        <w:ind w:left="-2" w:leftChars="0" w:right="25" w:firstLine="422" w:firstLineChars="0"/>
        <w:outlineLvl w:val="1"/>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售后服务</w:t>
      </w:r>
    </w:p>
    <w:p>
      <w:pPr>
        <w:spacing w:line="360" w:lineRule="auto"/>
        <w:ind w:firstLine="480" w:firstLineChars="200"/>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1、服务质量保证期 </w:t>
      </w:r>
      <w:r>
        <w:rPr>
          <w:rFonts w:hint="eastAsia" w:ascii="仿宋" w:hAnsi="仿宋" w:eastAsia="仿宋" w:cs="仿宋"/>
          <w:snapToGrid w:val="0"/>
          <w:color w:val="auto"/>
          <w:kern w:val="2"/>
          <w:sz w:val="24"/>
          <w:szCs w:val="24"/>
          <w:highlight w:val="none"/>
          <w:u w:val="single"/>
          <w:lang w:val="en-US" w:eastAsia="zh-CN" w:bidi="ar-SA"/>
        </w:rPr>
        <w:t xml:space="preserve">    1     </w:t>
      </w:r>
      <w:r>
        <w:rPr>
          <w:rFonts w:hint="eastAsia" w:ascii="仿宋" w:hAnsi="仿宋" w:eastAsia="仿宋" w:cs="仿宋"/>
          <w:snapToGrid w:val="0"/>
          <w:color w:val="auto"/>
          <w:kern w:val="2"/>
          <w:sz w:val="24"/>
          <w:szCs w:val="24"/>
          <w:highlight w:val="none"/>
          <w:lang w:val="en-US" w:eastAsia="zh-CN" w:bidi="ar-SA"/>
        </w:rPr>
        <w:t xml:space="preserve"> 年。</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2、服务质量保证期内发生需服务事项，</w:t>
      </w:r>
      <w:r>
        <w:rPr>
          <w:rFonts w:hint="eastAsia" w:ascii="仿宋" w:hAnsi="仿宋" w:eastAsia="仿宋" w:cs="仿宋"/>
          <w:b w:val="0"/>
          <w:bCs/>
          <w:snapToGrid w:val="0"/>
          <w:kern w:val="2"/>
          <w:sz w:val="24"/>
          <w:szCs w:val="21"/>
          <w:lang w:val="en-US" w:eastAsia="zh-CN" w:bidi="ar-SA"/>
        </w:rPr>
        <w:t>中标方</w:t>
      </w:r>
      <w:r>
        <w:rPr>
          <w:rFonts w:hint="eastAsia" w:ascii="仿宋" w:hAnsi="仿宋" w:eastAsia="仿宋" w:cs="仿宋"/>
          <w:snapToGrid w:val="0"/>
          <w:color w:val="auto"/>
          <w:kern w:val="2"/>
          <w:sz w:val="24"/>
          <w:szCs w:val="24"/>
          <w:lang w:val="en-US" w:eastAsia="zh-CN" w:bidi="ar-SA"/>
        </w:rPr>
        <w:t>应负责免费提供后续服务。</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3、</w:t>
      </w:r>
      <w:r>
        <w:rPr>
          <w:rFonts w:hint="eastAsia" w:ascii="仿宋" w:hAnsi="仿宋" w:eastAsia="仿宋" w:cs="仿宋"/>
          <w:b w:val="0"/>
          <w:bCs/>
          <w:snapToGrid w:val="0"/>
          <w:kern w:val="2"/>
          <w:sz w:val="24"/>
          <w:szCs w:val="21"/>
          <w:lang w:val="en-US" w:eastAsia="zh-CN" w:bidi="ar-SA"/>
        </w:rPr>
        <w:t>中标方</w:t>
      </w:r>
      <w:r>
        <w:rPr>
          <w:rFonts w:hint="eastAsia" w:ascii="仿宋" w:hAnsi="仿宋" w:eastAsia="仿宋" w:cs="仿宋"/>
          <w:snapToGrid w:val="0"/>
          <w:color w:val="auto"/>
          <w:kern w:val="2"/>
          <w:sz w:val="24"/>
          <w:szCs w:val="24"/>
          <w:lang w:val="en-US" w:eastAsia="zh-CN" w:bidi="ar-SA"/>
        </w:rPr>
        <w:t>负责免费对项目成果错误进行及时更正、并对按规定进行调整或补充。</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4、</w:t>
      </w:r>
      <w:r>
        <w:rPr>
          <w:rFonts w:hint="eastAsia" w:ascii="仿宋" w:hAnsi="仿宋" w:eastAsia="仿宋" w:cs="仿宋"/>
          <w:b w:val="0"/>
          <w:bCs/>
          <w:snapToGrid w:val="0"/>
          <w:kern w:val="2"/>
          <w:sz w:val="24"/>
          <w:szCs w:val="21"/>
          <w:lang w:val="en-US" w:eastAsia="zh-CN" w:bidi="ar-SA"/>
        </w:rPr>
        <w:t>中标方</w:t>
      </w:r>
      <w:r>
        <w:rPr>
          <w:rFonts w:hint="eastAsia" w:ascii="仿宋" w:hAnsi="仿宋" w:eastAsia="仿宋" w:cs="仿宋"/>
          <w:snapToGrid w:val="0"/>
          <w:color w:val="auto"/>
          <w:kern w:val="2"/>
          <w:sz w:val="24"/>
          <w:szCs w:val="24"/>
          <w:lang w:val="en-US" w:eastAsia="zh-CN" w:bidi="ar-SA"/>
        </w:rPr>
        <w:t>能提供快速的售后服务响应，如发生问题，</w:t>
      </w:r>
      <w:r>
        <w:rPr>
          <w:rFonts w:hint="eastAsia" w:ascii="仿宋" w:hAnsi="仿宋" w:eastAsia="仿宋" w:cs="仿宋"/>
          <w:b w:val="0"/>
          <w:bCs/>
          <w:snapToGrid w:val="0"/>
          <w:kern w:val="2"/>
          <w:sz w:val="24"/>
          <w:szCs w:val="21"/>
          <w:lang w:val="en-US" w:eastAsia="zh-CN" w:bidi="ar-SA"/>
        </w:rPr>
        <w:t>中标方</w:t>
      </w:r>
      <w:r>
        <w:rPr>
          <w:rFonts w:hint="eastAsia" w:ascii="仿宋" w:hAnsi="仿宋" w:eastAsia="仿宋" w:cs="仿宋"/>
          <w:snapToGrid w:val="0"/>
          <w:color w:val="auto"/>
          <w:kern w:val="2"/>
          <w:sz w:val="24"/>
          <w:szCs w:val="24"/>
          <w:lang w:val="en-US" w:eastAsia="zh-CN" w:bidi="ar-SA"/>
        </w:rPr>
        <w:t>在接到采购人通知后在24小时内到达现场。</w:t>
      </w:r>
    </w:p>
    <w:p>
      <w:pPr>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5、在服务质量保证期内，</w:t>
      </w:r>
      <w:r>
        <w:rPr>
          <w:rFonts w:hint="eastAsia" w:ascii="仿宋" w:hAnsi="仿宋" w:eastAsia="仿宋" w:cs="仿宋"/>
          <w:b w:val="0"/>
          <w:bCs/>
          <w:snapToGrid w:val="0"/>
          <w:kern w:val="2"/>
          <w:sz w:val="24"/>
          <w:szCs w:val="21"/>
          <w:lang w:val="en-US" w:eastAsia="zh-CN" w:bidi="ar-SA"/>
        </w:rPr>
        <w:t>中标方</w:t>
      </w:r>
      <w:r>
        <w:rPr>
          <w:rFonts w:hint="eastAsia" w:ascii="仿宋" w:hAnsi="仿宋" w:eastAsia="仿宋" w:cs="仿宋"/>
          <w:snapToGrid w:val="0"/>
          <w:color w:val="auto"/>
          <w:kern w:val="2"/>
          <w:sz w:val="24"/>
          <w:szCs w:val="24"/>
          <w:lang w:val="en-US" w:eastAsia="zh-CN" w:bidi="ar-SA"/>
        </w:rPr>
        <w:t>应负责处理解决出现的项目质量问题并承担一切费用。</w:t>
      </w:r>
    </w:p>
    <w:p>
      <w:pPr>
        <w:rPr>
          <w:rFonts w:ascii="仿宋" w:hAnsi="仿宋" w:eastAsia="仿宋" w:cs="仿宋"/>
          <w:snapToGrid w:val="0"/>
          <w:sz w:val="24"/>
        </w:rPr>
      </w:pPr>
    </w:p>
    <w:p>
      <w:pPr>
        <w:rPr>
          <w:rFonts w:hint="eastAsia" w:ascii="仿宋" w:hAnsi="仿宋" w:eastAsia="仿宋" w:cs="仿宋"/>
          <w:b/>
          <w:bCs/>
          <w:kern w:val="44"/>
          <w:sz w:val="44"/>
          <w:szCs w:val="44"/>
        </w:rPr>
      </w:pPr>
      <w:bookmarkStart w:id="55" w:name="_Toc19373"/>
      <w:r>
        <w:rPr>
          <w:rFonts w:hint="eastAsia" w:ascii="仿宋" w:hAnsi="仿宋" w:eastAsia="仿宋" w:cs="仿宋"/>
          <w:b/>
          <w:bCs/>
          <w:kern w:val="44"/>
          <w:sz w:val="44"/>
          <w:szCs w:val="44"/>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bCs/>
          <w:kern w:val="44"/>
          <w:sz w:val="44"/>
          <w:szCs w:val="44"/>
        </w:rPr>
        <w:t xml:space="preserve">第四部分   </w:t>
      </w:r>
      <w:bookmarkStart w:id="56" w:name="_Toc184314476"/>
      <w:bookmarkEnd w:id="56"/>
      <w:bookmarkStart w:id="57" w:name="_Toc184308070"/>
      <w:bookmarkEnd w:id="57"/>
      <w:bookmarkStart w:id="58" w:name="_Toc184310280"/>
      <w:bookmarkEnd w:id="58"/>
      <w:bookmarkStart w:id="59" w:name="_Toc184310283"/>
      <w:bookmarkEnd w:id="59"/>
      <w:bookmarkStart w:id="60" w:name="_Toc184310302"/>
      <w:bookmarkEnd w:id="60"/>
      <w:bookmarkStart w:id="61" w:name="_Toc184312068"/>
      <w:bookmarkEnd w:id="61"/>
      <w:bookmarkStart w:id="62" w:name="_Toc184308105"/>
      <w:bookmarkEnd w:id="62"/>
      <w:bookmarkStart w:id="63" w:name="_Toc184312098"/>
      <w:bookmarkEnd w:id="63"/>
      <w:bookmarkStart w:id="64" w:name="_Toc184308076"/>
      <w:bookmarkEnd w:id="64"/>
      <w:bookmarkStart w:id="65" w:name="_Toc184310340"/>
      <w:bookmarkEnd w:id="65"/>
      <w:bookmarkStart w:id="66" w:name="_Toc184313303"/>
      <w:bookmarkEnd w:id="66"/>
      <w:bookmarkStart w:id="67" w:name="_Toc184314432"/>
      <w:bookmarkEnd w:id="67"/>
      <w:bookmarkStart w:id="68" w:name="_Toc184312115"/>
      <w:bookmarkEnd w:id="68"/>
      <w:bookmarkStart w:id="69" w:name="_Toc184313270"/>
      <w:bookmarkEnd w:id="69"/>
      <w:bookmarkStart w:id="70" w:name="_Toc184313286"/>
      <w:bookmarkEnd w:id="70"/>
      <w:bookmarkStart w:id="71" w:name="_Toc184308053"/>
      <w:bookmarkEnd w:id="71"/>
      <w:bookmarkStart w:id="72" w:name="_Toc184308094"/>
      <w:bookmarkEnd w:id="72"/>
      <w:bookmarkStart w:id="73" w:name="_Toc184308093"/>
      <w:bookmarkEnd w:id="73"/>
      <w:bookmarkStart w:id="74" w:name="_Toc184308061"/>
      <w:bookmarkEnd w:id="74"/>
      <w:bookmarkStart w:id="75" w:name="_Toc184314481"/>
      <w:bookmarkEnd w:id="75"/>
      <w:bookmarkStart w:id="76" w:name="_Toc184312071"/>
      <w:bookmarkEnd w:id="76"/>
      <w:bookmarkStart w:id="77" w:name="_Toc184313291"/>
      <w:bookmarkEnd w:id="77"/>
      <w:bookmarkStart w:id="78" w:name="_Toc184314477"/>
      <w:bookmarkEnd w:id="78"/>
      <w:bookmarkStart w:id="79" w:name="_Toc184314482"/>
      <w:bookmarkEnd w:id="79"/>
      <w:bookmarkStart w:id="80" w:name="_Toc184310297"/>
      <w:bookmarkEnd w:id="80"/>
      <w:bookmarkStart w:id="81" w:name="_Toc184313258"/>
      <w:bookmarkEnd w:id="81"/>
      <w:bookmarkStart w:id="82" w:name="_Toc184313279"/>
      <w:bookmarkEnd w:id="82"/>
      <w:bookmarkStart w:id="83" w:name="_Toc184314466"/>
      <w:bookmarkEnd w:id="83"/>
      <w:bookmarkStart w:id="84" w:name="_Toc184308101"/>
      <w:bookmarkEnd w:id="84"/>
      <w:bookmarkStart w:id="85" w:name="_Toc184312134"/>
      <w:bookmarkEnd w:id="85"/>
      <w:bookmarkStart w:id="86" w:name="_Toc184313273"/>
      <w:bookmarkEnd w:id="86"/>
      <w:bookmarkStart w:id="87" w:name="_Toc184312139"/>
      <w:bookmarkEnd w:id="87"/>
      <w:bookmarkStart w:id="88" w:name="_Toc184313260"/>
      <w:bookmarkEnd w:id="88"/>
      <w:bookmarkStart w:id="89" w:name="_Toc184310291"/>
      <w:bookmarkEnd w:id="89"/>
      <w:bookmarkStart w:id="90" w:name="_Toc184312114"/>
      <w:bookmarkEnd w:id="90"/>
      <w:bookmarkStart w:id="91" w:name="_Toc184312127"/>
      <w:bookmarkEnd w:id="91"/>
      <w:bookmarkStart w:id="92" w:name="_Toc184312083"/>
      <w:bookmarkEnd w:id="92"/>
      <w:bookmarkStart w:id="93" w:name="_Toc184313280"/>
      <w:bookmarkEnd w:id="93"/>
      <w:bookmarkStart w:id="94" w:name="_Toc184310320"/>
      <w:bookmarkEnd w:id="94"/>
      <w:bookmarkStart w:id="95" w:name="_Toc184308092"/>
      <w:bookmarkEnd w:id="95"/>
      <w:bookmarkStart w:id="96" w:name="_Toc184314423"/>
      <w:bookmarkEnd w:id="96"/>
      <w:bookmarkStart w:id="97" w:name="_Toc184312081"/>
      <w:bookmarkEnd w:id="97"/>
      <w:bookmarkStart w:id="98" w:name="_Toc184310304"/>
      <w:bookmarkEnd w:id="98"/>
      <w:bookmarkStart w:id="99" w:name="_Toc184312131"/>
      <w:bookmarkEnd w:id="99"/>
      <w:bookmarkStart w:id="100" w:name="_Toc184310319"/>
      <w:bookmarkEnd w:id="100"/>
      <w:bookmarkStart w:id="101" w:name="_Toc184314455"/>
      <w:bookmarkEnd w:id="101"/>
      <w:bookmarkStart w:id="102" w:name="_Toc184310325"/>
      <w:bookmarkEnd w:id="102"/>
      <w:bookmarkStart w:id="103" w:name="_Toc184314470"/>
      <w:bookmarkEnd w:id="103"/>
      <w:bookmarkStart w:id="104" w:name="_Toc184310295"/>
      <w:bookmarkEnd w:id="104"/>
      <w:bookmarkStart w:id="105" w:name="_Toc184310309"/>
      <w:bookmarkEnd w:id="105"/>
      <w:bookmarkStart w:id="106" w:name="_Toc184313299"/>
      <w:bookmarkEnd w:id="106"/>
      <w:bookmarkStart w:id="107" w:name="_Toc184313310"/>
      <w:bookmarkEnd w:id="107"/>
      <w:bookmarkStart w:id="108" w:name="_Toc184313238"/>
      <w:bookmarkEnd w:id="108"/>
      <w:bookmarkStart w:id="109" w:name="_Toc184310316"/>
      <w:bookmarkEnd w:id="109"/>
      <w:bookmarkStart w:id="110" w:name="_Toc184313283"/>
      <w:bookmarkEnd w:id="110"/>
      <w:bookmarkStart w:id="111" w:name="_Toc184314452"/>
      <w:bookmarkEnd w:id="111"/>
      <w:bookmarkStart w:id="112" w:name="_Toc184312112"/>
      <w:bookmarkEnd w:id="112"/>
      <w:bookmarkStart w:id="113" w:name="_Toc184314454"/>
      <w:bookmarkEnd w:id="113"/>
      <w:bookmarkStart w:id="114" w:name="_Toc184312117"/>
      <w:bookmarkEnd w:id="114"/>
      <w:bookmarkStart w:id="115" w:name="_Toc184310273"/>
      <w:bookmarkEnd w:id="115"/>
      <w:bookmarkStart w:id="116" w:name="_Toc184314448"/>
      <w:bookmarkEnd w:id="116"/>
      <w:bookmarkStart w:id="117" w:name="_Toc184308098"/>
      <w:bookmarkEnd w:id="117"/>
      <w:bookmarkStart w:id="118" w:name="_Toc184312092"/>
      <w:bookmarkEnd w:id="118"/>
      <w:bookmarkStart w:id="119" w:name="_Toc184308062"/>
      <w:bookmarkEnd w:id="119"/>
      <w:bookmarkStart w:id="120" w:name="_Toc184310284"/>
      <w:bookmarkEnd w:id="120"/>
      <w:bookmarkStart w:id="121" w:name="_Toc184310317"/>
      <w:bookmarkEnd w:id="121"/>
      <w:bookmarkStart w:id="122" w:name="_Toc184310290"/>
      <w:bookmarkEnd w:id="122"/>
      <w:bookmarkStart w:id="123" w:name="_Toc184313249"/>
      <w:bookmarkEnd w:id="123"/>
      <w:bookmarkStart w:id="124" w:name="_Toc184310315"/>
      <w:bookmarkEnd w:id="124"/>
      <w:bookmarkStart w:id="125" w:name="_Toc184312118"/>
      <w:bookmarkEnd w:id="125"/>
      <w:bookmarkStart w:id="126" w:name="_Toc184313306"/>
      <w:bookmarkEnd w:id="126"/>
      <w:bookmarkStart w:id="127" w:name="_Toc184314429"/>
      <w:bookmarkEnd w:id="127"/>
      <w:bookmarkStart w:id="128" w:name="_Toc184310279"/>
      <w:bookmarkEnd w:id="128"/>
      <w:bookmarkStart w:id="129" w:name="_Toc184314468"/>
      <w:bookmarkEnd w:id="129"/>
      <w:bookmarkStart w:id="130" w:name="_Toc184310314"/>
      <w:bookmarkEnd w:id="130"/>
      <w:bookmarkStart w:id="131" w:name="_Toc184310339"/>
      <w:bookmarkEnd w:id="131"/>
      <w:bookmarkStart w:id="132" w:name="_Toc184308087"/>
      <w:bookmarkEnd w:id="132"/>
      <w:bookmarkStart w:id="133" w:name="_Toc184314463"/>
      <w:bookmarkEnd w:id="133"/>
      <w:bookmarkStart w:id="134" w:name="_Toc184313276"/>
      <w:bookmarkEnd w:id="134"/>
      <w:bookmarkStart w:id="135" w:name="_Toc184314457"/>
      <w:bookmarkEnd w:id="135"/>
      <w:bookmarkStart w:id="136" w:name="_Toc184314471"/>
      <w:bookmarkEnd w:id="136"/>
      <w:bookmarkStart w:id="137" w:name="_Toc184312121"/>
      <w:bookmarkEnd w:id="137"/>
      <w:bookmarkStart w:id="138" w:name="_Toc184312125"/>
      <w:bookmarkEnd w:id="138"/>
      <w:bookmarkStart w:id="139" w:name="_Toc184314473"/>
      <w:bookmarkEnd w:id="139"/>
      <w:bookmarkStart w:id="140" w:name="_Toc184313277"/>
      <w:bookmarkEnd w:id="140"/>
      <w:bookmarkStart w:id="141" w:name="_Toc184308100"/>
      <w:bookmarkEnd w:id="141"/>
      <w:bookmarkStart w:id="142" w:name="_Toc184310285"/>
      <w:bookmarkEnd w:id="142"/>
      <w:bookmarkStart w:id="143" w:name="_Toc184308075"/>
      <w:bookmarkEnd w:id="143"/>
      <w:bookmarkStart w:id="144" w:name="_Toc184308091"/>
      <w:bookmarkEnd w:id="144"/>
      <w:bookmarkStart w:id="145" w:name="_Toc184312089"/>
      <w:bookmarkEnd w:id="145"/>
      <w:bookmarkStart w:id="146" w:name="_Toc184314458"/>
      <w:bookmarkEnd w:id="146"/>
      <w:bookmarkStart w:id="147" w:name="_Toc184314442"/>
      <w:bookmarkEnd w:id="147"/>
      <w:bookmarkStart w:id="148" w:name="_Toc184312106"/>
      <w:bookmarkEnd w:id="148"/>
      <w:bookmarkStart w:id="149" w:name="_Toc184312129"/>
      <w:bookmarkEnd w:id="149"/>
      <w:bookmarkStart w:id="150" w:name="_Toc184314441"/>
      <w:bookmarkEnd w:id="150"/>
      <w:bookmarkStart w:id="151" w:name="_Toc184312074"/>
      <w:bookmarkEnd w:id="151"/>
      <w:bookmarkStart w:id="152" w:name="_Toc184314435"/>
      <w:bookmarkEnd w:id="152"/>
      <w:bookmarkStart w:id="153" w:name="_Toc184308067"/>
      <w:bookmarkEnd w:id="153"/>
      <w:bookmarkStart w:id="154" w:name="_Toc184314417"/>
      <w:bookmarkEnd w:id="154"/>
      <w:bookmarkStart w:id="155" w:name="_Toc184310306"/>
      <w:bookmarkEnd w:id="155"/>
      <w:bookmarkStart w:id="156" w:name="_Toc184313289"/>
      <w:bookmarkEnd w:id="156"/>
      <w:bookmarkStart w:id="157" w:name="_Toc184308066"/>
      <w:bookmarkEnd w:id="157"/>
      <w:bookmarkStart w:id="158" w:name="_Toc184313246"/>
      <w:bookmarkEnd w:id="158"/>
      <w:bookmarkStart w:id="159" w:name="_Toc184312075"/>
      <w:bookmarkEnd w:id="159"/>
      <w:bookmarkStart w:id="160" w:name="_Toc184313292"/>
      <w:bookmarkEnd w:id="160"/>
      <w:bookmarkStart w:id="161" w:name="_Toc184308059"/>
      <w:bookmarkEnd w:id="161"/>
      <w:bookmarkStart w:id="162" w:name="_Toc184310308"/>
      <w:bookmarkEnd w:id="162"/>
      <w:bookmarkStart w:id="163" w:name="_Toc184314419"/>
      <w:bookmarkEnd w:id="163"/>
      <w:bookmarkStart w:id="164" w:name="_Toc184313265"/>
      <w:bookmarkEnd w:id="164"/>
      <w:bookmarkStart w:id="165" w:name="_Toc184308058"/>
      <w:bookmarkEnd w:id="165"/>
      <w:bookmarkStart w:id="166" w:name="_Toc184312090"/>
      <w:bookmarkEnd w:id="166"/>
      <w:bookmarkStart w:id="167" w:name="_Toc184312080"/>
      <w:bookmarkEnd w:id="167"/>
      <w:bookmarkStart w:id="168" w:name="_Toc184308084"/>
      <w:bookmarkEnd w:id="168"/>
      <w:bookmarkStart w:id="169" w:name="_Toc184313250"/>
      <w:bookmarkEnd w:id="169"/>
      <w:bookmarkStart w:id="170" w:name="_Toc184310292"/>
      <w:bookmarkEnd w:id="170"/>
      <w:bookmarkStart w:id="171" w:name="_Toc184308099"/>
      <w:bookmarkEnd w:id="171"/>
      <w:bookmarkStart w:id="172" w:name="_Toc184312126"/>
      <w:bookmarkEnd w:id="172"/>
      <w:bookmarkStart w:id="173" w:name="_Toc184308080"/>
      <w:bookmarkEnd w:id="173"/>
      <w:bookmarkStart w:id="174" w:name="_Toc184308074"/>
      <w:bookmarkEnd w:id="174"/>
      <w:bookmarkStart w:id="175" w:name="_Toc184313294"/>
      <w:bookmarkEnd w:id="175"/>
      <w:bookmarkStart w:id="176" w:name="_Toc184313281"/>
      <w:bookmarkEnd w:id="176"/>
      <w:bookmarkStart w:id="177" w:name="_Toc184308040"/>
      <w:bookmarkEnd w:id="177"/>
      <w:bookmarkStart w:id="178" w:name="_Toc184313267"/>
      <w:bookmarkEnd w:id="178"/>
      <w:bookmarkStart w:id="179" w:name="_Toc184313296"/>
      <w:bookmarkEnd w:id="179"/>
      <w:bookmarkStart w:id="180" w:name="_Toc184314461"/>
      <w:bookmarkEnd w:id="180"/>
      <w:bookmarkStart w:id="181" w:name="_Toc184314446"/>
      <w:bookmarkEnd w:id="181"/>
      <w:bookmarkStart w:id="182" w:name="_Toc184313254"/>
      <w:bookmarkEnd w:id="182"/>
      <w:bookmarkStart w:id="183" w:name="_Toc184313297"/>
      <w:bookmarkEnd w:id="183"/>
      <w:bookmarkStart w:id="184" w:name="_Toc184308072"/>
      <w:bookmarkEnd w:id="184"/>
      <w:bookmarkStart w:id="185" w:name="_Toc184310311"/>
      <w:bookmarkEnd w:id="185"/>
      <w:bookmarkStart w:id="186" w:name="_Toc184312107"/>
      <w:bookmarkEnd w:id="186"/>
      <w:bookmarkStart w:id="187" w:name="_Toc184312079"/>
      <w:bookmarkEnd w:id="187"/>
      <w:bookmarkStart w:id="188" w:name="_Toc184312078"/>
      <w:bookmarkEnd w:id="188"/>
      <w:bookmarkStart w:id="189" w:name="_Toc184313275"/>
      <w:bookmarkEnd w:id="189"/>
      <w:bookmarkStart w:id="190" w:name="_Toc184308037"/>
      <w:bookmarkEnd w:id="190"/>
      <w:bookmarkStart w:id="191" w:name="_Toc184310323"/>
      <w:bookmarkEnd w:id="191"/>
      <w:bookmarkStart w:id="192" w:name="_Toc184308047"/>
      <w:bookmarkEnd w:id="192"/>
      <w:bookmarkStart w:id="193" w:name="_Toc184312138"/>
      <w:bookmarkEnd w:id="193"/>
      <w:bookmarkStart w:id="194" w:name="_Toc184308108"/>
      <w:bookmarkEnd w:id="194"/>
      <w:bookmarkStart w:id="195" w:name="_Toc184314465"/>
      <w:bookmarkEnd w:id="195"/>
      <w:bookmarkStart w:id="196" w:name="_Toc184314464"/>
      <w:bookmarkEnd w:id="196"/>
      <w:bookmarkStart w:id="197" w:name="_Toc184314426"/>
      <w:bookmarkEnd w:id="197"/>
      <w:bookmarkStart w:id="198" w:name="_Toc184310332"/>
      <w:bookmarkEnd w:id="198"/>
      <w:bookmarkStart w:id="199" w:name="_Toc184308039"/>
      <w:bookmarkEnd w:id="199"/>
      <w:bookmarkStart w:id="200" w:name="_Toc184310298"/>
      <w:bookmarkEnd w:id="200"/>
      <w:bookmarkStart w:id="201" w:name="_Toc184310326"/>
      <w:bookmarkEnd w:id="201"/>
      <w:bookmarkStart w:id="202" w:name="_Toc184308050"/>
      <w:bookmarkEnd w:id="202"/>
      <w:bookmarkStart w:id="203" w:name="_Toc184310294"/>
      <w:bookmarkEnd w:id="203"/>
      <w:bookmarkStart w:id="204" w:name="_Toc184310334"/>
      <w:bookmarkEnd w:id="204"/>
      <w:bookmarkStart w:id="205" w:name="_Toc184312119"/>
      <w:bookmarkEnd w:id="205"/>
      <w:bookmarkStart w:id="206" w:name="_Toc184308090"/>
      <w:bookmarkEnd w:id="206"/>
      <w:bookmarkStart w:id="207" w:name="_Toc184314439"/>
      <w:bookmarkEnd w:id="207"/>
      <w:bookmarkStart w:id="208" w:name="_Toc184314462"/>
      <w:bookmarkEnd w:id="208"/>
      <w:bookmarkStart w:id="209" w:name="_Toc184308096"/>
      <w:bookmarkEnd w:id="209"/>
      <w:bookmarkStart w:id="210" w:name="_Toc184312067"/>
      <w:bookmarkEnd w:id="210"/>
      <w:bookmarkStart w:id="211" w:name="_Toc184313287"/>
      <w:bookmarkEnd w:id="211"/>
      <w:bookmarkStart w:id="212" w:name="_Toc184314440"/>
      <w:bookmarkEnd w:id="212"/>
      <w:bookmarkStart w:id="213" w:name="_Toc184314480"/>
      <w:bookmarkEnd w:id="213"/>
      <w:bookmarkStart w:id="214" w:name="_Toc184312101"/>
      <w:bookmarkEnd w:id="214"/>
      <w:bookmarkStart w:id="215" w:name="_Toc184308079"/>
      <w:bookmarkEnd w:id="215"/>
      <w:bookmarkStart w:id="216" w:name="_Toc184310310"/>
      <w:bookmarkEnd w:id="216"/>
      <w:bookmarkStart w:id="217" w:name="_Toc184312111"/>
      <w:bookmarkEnd w:id="217"/>
      <w:bookmarkStart w:id="218" w:name="_Toc184312085"/>
      <w:bookmarkEnd w:id="218"/>
      <w:bookmarkStart w:id="219" w:name="_Toc184312086"/>
      <w:bookmarkEnd w:id="219"/>
      <w:bookmarkStart w:id="220" w:name="_Toc184312110"/>
      <w:bookmarkEnd w:id="220"/>
      <w:bookmarkStart w:id="221" w:name="_Toc184313272"/>
      <w:bookmarkEnd w:id="221"/>
      <w:bookmarkStart w:id="222" w:name="_Toc184310338"/>
      <w:bookmarkEnd w:id="222"/>
      <w:bookmarkStart w:id="223" w:name="_Toc184313263"/>
      <w:bookmarkEnd w:id="223"/>
      <w:bookmarkStart w:id="224" w:name="_Toc184314410"/>
      <w:bookmarkEnd w:id="224"/>
      <w:bookmarkStart w:id="225" w:name="_Toc184314445"/>
      <w:bookmarkEnd w:id="225"/>
      <w:bookmarkStart w:id="226" w:name="_Toc184310344"/>
      <w:bookmarkEnd w:id="226"/>
      <w:bookmarkStart w:id="227" w:name="_Toc184312091"/>
      <w:bookmarkEnd w:id="227"/>
      <w:bookmarkStart w:id="228" w:name="_Toc184313252"/>
      <w:bookmarkEnd w:id="228"/>
      <w:bookmarkStart w:id="229" w:name="_Toc184313245"/>
      <w:bookmarkEnd w:id="229"/>
      <w:bookmarkStart w:id="230" w:name="_Toc184312135"/>
      <w:bookmarkEnd w:id="230"/>
      <w:bookmarkStart w:id="231" w:name="_Toc184308052"/>
      <w:bookmarkEnd w:id="231"/>
      <w:bookmarkStart w:id="232" w:name="_Toc184310288"/>
      <w:bookmarkEnd w:id="232"/>
      <w:bookmarkStart w:id="233" w:name="_Toc184314444"/>
      <w:bookmarkEnd w:id="233"/>
      <w:bookmarkStart w:id="234" w:name="_Toc184310276"/>
      <w:bookmarkEnd w:id="234"/>
      <w:bookmarkStart w:id="235" w:name="_Toc184313247"/>
      <w:bookmarkEnd w:id="235"/>
      <w:bookmarkStart w:id="236" w:name="_Toc184310324"/>
      <w:bookmarkEnd w:id="236"/>
      <w:bookmarkStart w:id="237" w:name="_Toc184312093"/>
      <w:bookmarkEnd w:id="237"/>
      <w:bookmarkStart w:id="238" w:name="_Toc184308041"/>
      <w:bookmarkEnd w:id="238"/>
      <w:bookmarkStart w:id="239" w:name="_Toc184313242"/>
      <w:bookmarkEnd w:id="239"/>
      <w:bookmarkStart w:id="240" w:name="_Toc184308086"/>
      <w:bookmarkEnd w:id="240"/>
      <w:bookmarkStart w:id="241" w:name="_Toc184308051"/>
      <w:bookmarkEnd w:id="241"/>
      <w:bookmarkStart w:id="242" w:name="_Toc184313243"/>
      <w:bookmarkEnd w:id="242"/>
      <w:bookmarkStart w:id="243" w:name="_Toc184314434"/>
      <w:bookmarkEnd w:id="243"/>
      <w:bookmarkStart w:id="244" w:name="_Toc184312122"/>
      <w:bookmarkEnd w:id="244"/>
      <w:bookmarkStart w:id="245" w:name="_Toc184308107"/>
      <w:bookmarkEnd w:id="245"/>
      <w:bookmarkStart w:id="246" w:name="_Toc184314427"/>
      <w:bookmarkEnd w:id="246"/>
      <w:bookmarkStart w:id="247" w:name="_Toc184313268"/>
      <w:bookmarkEnd w:id="247"/>
      <w:bookmarkStart w:id="248" w:name="_Toc184310328"/>
      <w:bookmarkEnd w:id="248"/>
      <w:bookmarkStart w:id="249" w:name="_Toc184314424"/>
      <w:bookmarkEnd w:id="249"/>
      <w:bookmarkStart w:id="250" w:name="_Toc184310343"/>
      <w:bookmarkEnd w:id="250"/>
      <w:bookmarkStart w:id="251" w:name="_Toc184312104"/>
      <w:bookmarkEnd w:id="251"/>
      <w:bookmarkStart w:id="252" w:name="_Toc184313266"/>
      <w:bookmarkEnd w:id="252"/>
      <w:bookmarkStart w:id="253" w:name="_Toc184308095"/>
      <w:bookmarkEnd w:id="253"/>
      <w:bookmarkStart w:id="254" w:name="_Toc184312094"/>
      <w:bookmarkEnd w:id="254"/>
      <w:bookmarkStart w:id="255" w:name="_Toc184308046"/>
      <w:bookmarkEnd w:id="255"/>
      <w:bookmarkStart w:id="256" w:name="_Toc184310322"/>
      <w:bookmarkEnd w:id="256"/>
      <w:bookmarkStart w:id="257" w:name="_Toc184308048"/>
      <w:bookmarkEnd w:id="257"/>
      <w:bookmarkStart w:id="258" w:name="_Toc184314420"/>
      <w:bookmarkEnd w:id="258"/>
      <w:bookmarkStart w:id="259" w:name="_Toc184313264"/>
      <w:bookmarkEnd w:id="259"/>
      <w:bookmarkStart w:id="260" w:name="_Toc184310337"/>
      <w:bookmarkEnd w:id="260"/>
      <w:bookmarkStart w:id="261" w:name="_Toc184308082"/>
      <w:bookmarkEnd w:id="261"/>
      <w:bookmarkStart w:id="262" w:name="_Toc184308044"/>
      <w:bookmarkEnd w:id="262"/>
      <w:bookmarkStart w:id="263" w:name="_Toc184313305"/>
      <w:bookmarkEnd w:id="263"/>
      <w:bookmarkStart w:id="264" w:name="_Toc184310335"/>
      <w:bookmarkEnd w:id="264"/>
      <w:bookmarkStart w:id="265" w:name="_Toc184308038"/>
      <w:bookmarkEnd w:id="265"/>
      <w:bookmarkStart w:id="266" w:name="_Toc184314467"/>
      <w:bookmarkEnd w:id="266"/>
      <w:bookmarkStart w:id="267" w:name="_Toc184310277"/>
      <w:bookmarkEnd w:id="267"/>
      <w:bookmarkStart w:id="268" w:name="_Toc184314413"/>
      <w:bookmarkEnd w:id="268"/>
      <w:bookmarkStart w:id="269" w:name="_Toc184310281"/>
      <w:bookmarkEnd w:id="269"/>
      <w:bookmarkStart w:id="270" w:name="_Toc184313261"/>
      <w:bookmarkEnd w:id="270"/>
      <w:bookmarkStart w:id="271" w:name="_Toc184308056"/>
      <w:bookmarkEnd w:id="271"/>
      <w:bookmarkStart w:id="272" w:name="_Toc184310330"/>
      <w:bookmarkEnd w:id="272"/>
      <w:bookmarkStart w:id="273" w:name="_Toc184312072"/>
      <w:bookmarkEnd w:id="273"/>
      <w:bookmarkStart w:id="274" w:name="_Toc184310327"/>
      <w:bookmarkEnd w:id="274"/>
      <w:bookmarkStart w:id="275" w:name="_Toc184312096"/>
      <w:bookmarkEnd w:id="275"/>
      <w:bookmarkStart w:id="276" w:name="_Toc184308083"/>
      <w:bookmarkEnd w:id="276"/>
      <w:bookmarkStart w:id="277" w:name="_Toc184314460"/>
      <w:bookmarkEnd w:id="277"/>
      <w:bookmarkStart w:id="278" w:name="_Toc184308103"/>
      <w:bookmarkEnd w:id="278"/>
      <w:bookmarkStart w:id="279" w:name="_Toc184314433"/>
      <w:bookmarkEnd w:id="279"/>
      <w:bookmarkStart w:id="280" w:name="_Toc184312103"/>
      <w:bookmarkEnd w:id="280"/>
      <w:bookmarkStart w:id="281" w:name="_Toc184308049"/>
      <w:bookmarkEnd w:id="281"/>
      <w:bookmarkStart w:id="282" w:name="_Toc184312116"/>
      <w:bookmarkEnd w:id="282"/>
      <w:bookmarkStart w:id="283" w:name="_Toc184313309"/>
      <w:bookmarkEnd w:id="283"/>
      <w:bookmarkStart w:id="284" w:name="_Toc184310287"/>
      <w:bookmarkEnd w:id="284"/>
      <w:bookmarkStart w:id="285" w:name="_Toc184312108"/>
      <w:bookmarkEnd w:id="285"/>
      <w:bookmarkStart w:id="286" w:name="_Toc184313308"/>
      <w:bookmarkEnd w:id="286"/>
      <w:bookmarkStart w:id="287" w:name="_Toc184308077"/>
      <w:bookmarkEnd w:id="287"/>
      <w:bookmarkStart w:id="288" w:name="_Toc184314474"/>
      <w:bookmarkEnd w:id="288"/>
      <w:bookmarkStart w:id="289" w:name="_Toc184310305"/>
      <w:bookmarkEnd w:id="289"/>
      <w:bookmarkStart w:id="290" w:name="_Toc184312100"/>
      <w:bookmarkEnd w:id="290"/>
      <w:bookmarkStart w:id="291" w:name="_Toc184310321"/>
      <w:bookmarkEnd w:id="291"/>
      <w:bookmarkStart w:id="292" w:name="_Toc184314450"/>
      <w:bookmarkEnd w:id="292"/>
      <w:bookmarkStart w:id="293" w:name="_Toc184314425"/>
      <w:bookmarkEnd w:id="293"/>
      <w:bookmarkStart w:id="294" w:name="_Toc184313300"/>
      <w:bookmarkEnd w:id="294"/>
      <w:bookmarkStart w:id="295" w:name="_Toc184313301"/>
      <w:bookmarkEnd w:id="295"/>
      <w:bookmarkStart w:id="296" w:name="_Toc184314414"/>
      <w:bookmarkEnd w:id="296"/>
      <w:bookmarkStart w:id="297" w:name="_Toc184310299"/>
      <w:bookmarkEnd w:id="297"/>
      <w:bookmarkStart w:id="298" w:name="_Toc184310333"/>
      <w:bookmarkEnd w:id="298"/>
      <w:bookmarkStart w:id="299" w:name="_Toc184308064"/>
      <w:bookmarkEnd w:id="299"/>
      <w:bookmarkStart w:id="300" w:name="_Toc184310331"/>
      <w:bookmarkEnd w:id="300"/>
      <w:bookmarkStart w:id="301" w:name="_Toc184310318"/>
      <w:bookmarkEnd w:id="301"/>
      <w:bookmarkStart w:id="302" w:name="_Toc184313293"/>
      <w:bookmarkEnd w:id="302"/>
      <w:bookmarkStart w:id="303" w:name="_Toc184312136"/>
      <w:bookmarkEnd w:id="303"/>
      <w:bookmarkStart w:id="304" w:name="_Toc184310303"/>
      <w:bookmarkEnd w:id="304"/>
      <w:bookmarkStart w:id="305" w:name="_Toc184310342"/>
      <w:bookmarkEnd w:id="305"/>
      <w:bookmarkStart w:id="306" w:name="_Toc184313282"/>
      <w:bookmarkEnd w:id="306"/>
      <w:bookmarkStart w:id="307" w:name="_Toc184308078"/>
      <w:bookmarkEnd w:id="307"/>
      <w:bookmarkStart w:id="308" w:name="_Toc184313257"/>
      <w:bookmarkEnd w:id="308"/>
      <w:bookmarkStart w:id="309" w:name="_Toc184314416"/>
      <w:bookmarkEnd w:id="309"/>
      <w:bookmarkStart w:id="310" w:name="_Toc184308057"/>
      <w:bookmarkEnd w:id="310"/>
      <w:bookmarkStart w:id="311" w:name="_Toc184312123"/>
      <w:bookmarkEnd w:id="311"/>
      <w:bookmarkStart w:id="312" w:name="_Toc184313262"/>
      <w:bookmarkEnd w:id="312"/>
      <w:bookmarkStart w:id="313" w:name="_Toc184312069"/>
      <w:bookmarkEnd w:id="313"/>
      <w:bookmarkStart w:id="314" w:name="_Toc184314411"/>
      <w:bookmarkEnd w:id="314"/>
      <w:bookmarkStart w:id="315" w:name="_Toc184310289"/>
      <w:bookmarkEnd w:id="315"/>
      <w:bookmarkStart w:id="316" w:name="_Toc184314447"/>
      <w:bookmarkEnd w:id="316"/>
      <w:bookmarkStart w:id="317" w:name="_Toc184312099"/>
      <w:bookmarkEnd w:id="317"/>
      <w:bookmarkStart w:id="318" w:name="_Toc184313240"/>
      <w:bookmarkEnd w:id="318"/>
      <w:bookmarkStart w:id="319" w:name="_Toc184310293"/>
      <w:bookmarkEnd w:id="319"/>
      <w:bookmarkStart w:id="320" w:name="_Toc184312132"/>
      <w:bookmarkEnd w:id="320"/>
      <w:bookmarkStart w:id="321" w:name="_Toc184308106"/>
      <w:bookmarkEnd w:id="321"/>
      <w:bookmarkStart w:id="322" w:name="_Toc184312082"/>
      <w:bookmarkEnd w:id="322"/>
      <w:bookmarkStart w:id="323" w:name="_Toc184313288"/>
      <w:bookmarkEnd w:id="323"/>
      <w:bookmarkStart w:id="324" w:name="_Toc184314422"/>
      <w:bookmarkEnd w:id="324"/>
      <w:bookmarkStart w:id="325" w:name="_Toc184308085"/>
      <w:bookmarkEnd w:id="325"/>
      <w:bookmarkStart w:id="326" w:name="_Toc184312105"/>
      <w:bookmarkEnd w:id="326"/>
      <w:bookmarkStart w:id="327" w:name="_Toc184310272"/>
      <w:bookmarkEnd w:id="327"/>
      <w:bookmarkStart w:id="328" w:name="_Toc184310336"/>
      <w:bookmarkEnd w:id="328"/>
      <w:bookmarkStart w:id="329" w:name="_Toc184312076"/>
      <w:bookmarkEnd w:id="329"/>
      <w:bookmarkStart w:id="330" w:name="_Toc184313251"/>
      <w:bookmarkEnd w:id="330"/>
      <w:bookmarkStart w:id="331" w:name="_Toc184314415"/>
      <w:bookmarkEnd w:id="331"/>
      <w:bookmarkStart w:id="332" w:name="_Toc184314437"/>
      <w:bookmarkEnd w:id="332"/>
      <w:bookmarkStart w:id="333" w:name="_Toc184314469"/>
      <w:bookmarkEnd w:id="333"/>
      <w:bookmarkStart w:id="334" w:name="_Toc184314418"/>
      <w:bookmarkEnd w:id="334"/>
      <w:bookmarkStart w:id="335" w:name="_Toc184314479"/>
      <w:bookmarkEnd w:id="335"/>
      <w:bookmarkStart w:id="336" w:name="_Toc184313274"/>
      <w:bookmarkEnd w:id="336"/>
      <w:bookmarkStart w:id="337" w:name="_Toc184310312"/>
      <w:bookmarkEnd w:id="337"/>
      <w:bookmarkStart w:id="338" w:name="_Toc184313255"/>
      <w:bookmarkEnd w:id="338"/>
      <w:bookmarkStart w:id="339" w:name="_Toc184313253"/>
      <w:bookmarkEnd w:id="339"/>
      <w:bookmarkStart w:id="340" w:name="_Toc184312087"/>
      <w:bookmarkEnd w:id="340"/>
      <w:bookmarkStart w:id="341" w:name="_Toc184308063"/>
      <w:bookmarkEnd w:id="341"/>
      <w:bookmarkStart w:id="342" w:name="_Toc184312137"/>
      <w:bookmarkEnd w:id="342"/>
      <w:bookmarkStart w:id="343" w:name="_Toc184310301"/>
      <w:bookmarkEnd w:id="343"/>
      <w:bookmarkStart w:id="344" w:name="_Toc184312077"/>
      <w:bookmarkEnd w:id="344"/>
      <w:bookmarkStart w:id="345" w:name="_Toc184308104"/>
      <w:bookmarkEnd w:id="345"/>
      <w:bookmarkStart w:id="346" w:name="_Toc184312120"/>
      <w:bookmarkEnd w:id="346"/>
      <w:bookmarkStart w:id="347" w:name="_Toc184310341"/>
      <w:bookmarkEnd w:id="347"/>
      <w:bookmarkStart w:id="348" w:name="_Toc184308089"/>
      <w:bookmarkEnd w:id="348"/>
      <w:bookmarkStart w:id="349" w:name="_Toc184314475"/>
      <w:bookmarkEnd w:id="349"/>
      <w:bookmarkStart w:id="350" w:name="_Toc184308068"/>
      <w:bookmarkEnd w:id="350"/>
      <w:bookmarkStart w:id="351" w:name="_Toc184308065"/>
      <w:bookmarkEnd w:id="351"/>
      <w:bookmarkStart w:id="352" w:name="_Toc184312128"/>
      <w:bookmarkEnd w:id="352"/>
      <w:bookmarkStart w:id="353" w:name="_Toc184313278"/>
      <w:bookmarkEnd w:id="353"/>
      <w:bookmarkStart w:id="354" w:name="_Toc184308069"/>
      <w:bookmarkEnd w:id="354"/>
      <w:bookmarkStart w:id="355" w:name="_Toc184313239"/>
      <w:bookmarkEnd w:id="355"/>
      <w:bookmarkStart w:id="356" w:name="_Toc184310274"/>
      <w:bookmarkEnd w:id="356"/>
      <w:bookmarkStart w:id="357" w:name="_Toc184308073"/>
      <w:bookmarkEnd w:id="357"/>
      <w:bookmarkStart w:id="358" w:name="_Toc184314449"/>
      <w:bookmarkEnd w:id="358"/>
      <w:bookmarkStart w:id="359" w:name="_Toc184312133"/>
      <w:bookmarkEnd w:id="359"/>
      <w:bookmarkStart w:id="360" w:name="_Toc184313269"/>
      <w:bookmarkEnd w:id="360"/>
      <w:bookmarkStart w:id="361" w:name="_Toc184314459"/>
      <w:bookmarkEnd w:id="361"/>
      <w:bookmarkStart w:id="362" w:name="_Toc184310286"/>
      <w:bookmarkEnd w:id="362"/>
      <w:bookmarkStart w:id="363" w:name="_Toc184313284"/>
      <w:bookmarkEnd w:id="363"/>
      <w:bookmarkStart w:id="364" w:name="_Toc184313241"/>
      <w:bookmarkEnd w:id="364"/>
      <w:bookmarkStart w:id="365" w:name="_Toc184312102"/>
      <w:bookmarkEnd w:id="365"/>
      <w:bookmarkStart w:id="366" w:name="_Toc184310278"/>
      <w:bookmarkEnd w:id="366"/>
      <w:bookmarkStart w:id="367" w:name="_Toc184312109"/>
      <w:bookmarkEnd w:id="367"/>
      <w:bookmarkStart w:id="368" w:name="_Toc184310300"/>
      <w:bookmarkEnd w:id="368"/>
      <w:bookmarkStart w:id="369" w:name="_Toc184313248"/>
      <w:bookmarkEnd w:id="369"/>
      <w:bookmarkStart w:id="370" w:name="_Toc184313271"/>
      <w:bookmarkEnd w:id="370"/>
      <w:bookmarkStart w:id="371" w:name="_Toc184314430"/>
      <w:bookmarkEnd w:id="371"/>
      <w:bookmarkStart w:id="372" w:name="_Toc184312084"/>
      <w:bookmarkEnd w:id="372"/>
      <w:bookmarkStart w:id="373" w:name="_Toc184313304"/>
      <w:bookmarkEnd w:id="373"/>
      <w:bookmarkStart w:id="374" w:name="_Toc184314436"/>
      <w:bookmarkEnd w:id="374"/>
      <w:bookmarkStart w:id="375" w:name="_Toc184313259"/>
      <w:bookmarkEnd w:id="375"/>
      <w:bookmarkStart w:id="376" w:name="_Toc184314453"/>
      <w:bookmarkEnd w:id="376"/>
      <w:bookmarkStart w:id="377" w:name="_Toc184308088"/>
      <w:bookmarkEnd w:id="377"/>
      <w:bookmarkStart w:id="378" w:name="_Toc184308102"/>
      <w:bookmarkEnd w:id="378"/>
      <w:bookmarkStart w:id="379" w:name="_Toc184313244"/>
      <w:bookmarkEnd w:id="379"/>
      <w:bookmarkStart w:id="380" w:name="_Toc184314472"/>
      <w:bookmarkEnd w:id="380"/>
      <w:bookmarkStart w:id="381" w:name="_Toc184308081"/>
      <w:bookmarkEnd w:id="381"/>
      <w:bookmarkStart w:id="382" w:name="_Toc184314431"/>
      <w:bookmarkEnd w:id="382"/>
      <w:bookmarkStart w:id="383" w:name="_Toc184314478"/>
      <w:bookmarkEnd w:id="383"/>
      <w:bookmarkStart w:id="384" w:name="_Toc184313295"/>
      <w:bookmarkEnd w:id="384"/>
      <w:bookmarkStart w:id="385" w:name="_Toc184314412"/>
      <w:bookmarkEnd w:id="385"/>
      <w:bookmarkStart w:id="386" w:name="_Toc184312070"/>
      <w:bookmarkEnd w:id="386"/>
      <w:bookmarkStart w:id="387" w:name="_Toc184312124"/>
      <w:bookmarkEnd w:id="387"/>
      <w:bookmarkStart w:id="388" w:name="_Toc184312073"/>
      <w:bookmarkEnd w:id="388"/>
      <w:bookmarkStart w:id="389" w:name="_Toc184312097"/>
      <w:bookmarkEnd w:id="389"/>
      <w:bookmarkStart w:id="390" w:name="_Toc184314428"/>
      <w:bookmarkEnd w:id="390"/>
      <w:bookmarkStart w:id="391" w:name="_Toc184308043"/>
      <w:bookmarkEnd w:id="391"/>
      <w:bookmarkStart w:id="392" w:name="_Toc184310275"/>
      <w:bookmarkEnd w:id="392"/>
      <w:bookmarkStart w:id="393" w:name="_Toc184314443"/>
      <w:bookmarkEnd w:id="393"/>
      <w:bookmarkStart w:id="394" w:name="_Toc184308036"/>
      <w:bookmarkEnd w:id="394"/>
      <w:bookmarkStart w:id="395" w:name="_Toc184313307"/>
      <w:bookmarkEnd w:id="395"/>
      <w:bookmarkStart w:id="396" w:name="_Toc184308042"/>
      <w:bookmarkEnd w:id="396"/>
      <w:bookmarkStart w:id="397" w:name="_Toc184310307"/>
      <w:bookmarkEnd w:id="397"/>
      <w:bookmarkStart w:id="398" w:name="_Toc184308055"/>
      <w:bookmarkEnd w:id="398"/>
      <w:bookmarkStart w:id="399" w:name="_Toc184308097"/>
      <w:bookmarkEnd w:id="399"/>
      <w:bookmarkStart w:id="400" w:name="_Toc184313302"/>
      <w:bookmarkEnd w:id="400"/>
      <w:bookmarkStart w:id="401" w:name="_Toc184314456"/>
      <w:bookmarkEnd w:id="401"/>
      <w:bookmarkStart w:id="402" w:name="_Toc184313290"/>
      <w:bookmarkEnd w:id="402"/>
      <w:bookmarkStart w:id="403" w:name="_Toc184310296"/>
      <w:bookmarkEnd w:id="403"/>
      <w:bookmarkStart w:id="404" w:name="_Toc184314421"/>
      <w:bookmarkEnd w:id="404"/>
      <w:bookmarkStart w:id="405" w:name="_Toc184312088"/>
      <w:bookmarkEnd w:id="405"/>
      <w:bookmarkStart w:id="406" w:name="_Toc184314438"/>
      <w:bookmarkEnd w:id="406"/>
      <w:bookmarkStart w:id="407" w:name="_Toc184308071"/>
      <w:bookmarkEnd w:id="407"/>
      <w:bookmarkStart w:id="408" w:name="_Toc184313256"/>
      <w:bookmarkEnd w:id="408"/>
      <w:bookmarkStart w:id="409" w:name="_Toc184308060"/>
      <w:bookmarkEnd w:id="409"/>
      <w:bookmarkStart w:id="410" w:name="_Toc184308054"/>
      <w:bookmarkEnd w:id="410"/>
      <w:bookmarkStart w:id="411" w:name="_Toc184310329"/>
      <w:bookmarkEnd w:id="411"/>
      <w:bookmarkStart w:id="412" w:name="_Toc184312095"/>
      <w:bookmarkEnd w:id="412"/>
      <w:bookmarkStart w:id="413" w:name="_Toc184312113"/>
      <w:bookmarkEnd w:id="413"/>
      <w:bookmarkStart w:id="414" w:name="_Toc184310282"/>
      <w:bookmarkEnd w:id="414"/>
      <w:bookmarkStart w:id="415" w:name="_Toc184313298"/>
      <w:bookmarkEnd w:id="415"/>
      <w:bookmarkStart w:id="416" w:name="_Toc184314451"/>
      <w:bookmarkEnd w:id="416"/>
      <w:bookmarkStart w:id="417" w:name="_Toc184313285"/>
      <w:bookmarkEnd w:id="417"/>
      <w:bookmarkStart w:id="418" w:name="_Toc184312130"/>
      <w:bookmarkEnd w:id="418"/>
      <w:bookmarkStart w:id="419" w:name="_Toc184308045"/>
      <w:bookmarkEnd w:id="419"/>
      <w:bookmarkStart w:id="420" w:name="_Toc184310313"/>
      <w:bookmarkEnd w:id="420"/>
      <w:r>
        <w:rPr>
          <w:rFonts w:hint="eastAsia" w:ascii="仿宋" w:hAnsi="仿宋" w:eastAsia="仿宋" w:cs="仿宋"/>
          <w:b/>
          <w:bCs/>
          <w:kern w:val="44"/>
          <w:sz w:val="44"/>
          <w:szCs w:val="44"/>
        </w:rPr>
        <w:t>评标办法</w:t>
      </w:r>
      <w:bookmarkEnd w:id="55"/>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6"/>
        <w:tblW w:w="5094" w:type="pct"/>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15"/>
        <w:gridCol w:w="785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shd w:val="clear" w:color="auto" w:fill="EEECE1" w:themeFill="background2"/>
            <w:vAlign w:val="center"/>
          </w:tcPr>
          <w:p>
            <w:pPr>
              <w:rPr>
                <w:rFonts w:ascii="仿宋" w:hAnsi="仿宋" w:eastAsia="仿宋" w:cs="仿宋"/>
                <w:b/>
                <w:color w:val="auto"/>
                <w:szCs w:val="21"/>
              </w:rPr>
            </w:pPr>
            <w:r>
              <w:rPr>
                <w:rFonts w:hint="eastAsia" w:ascii="仿宋" w:hAnsi="仿宋" w:eastAsia="仿宋" w:cs="仿宋"/>
                <w:color w:val="auto"/>
                <w:szCs w:val="21"/>
              </w:rPr>
              <w:br w:type="page"/>
            </w:r>
            <w:r>
              <w:rPr>
                <w:rFonts w:hint="eastAsia" w:ascii="仿宋" w:hAnsi="仿宋" w:eastAsia="仿宋" w:cs="仿宋"/>
                <w:b/>
                <w:color w:val="auto"/>
                <w:szCs w:val="21"/>
              </w:rPr>
              <w:t>序号</w:t>
            </w:r>
          </w:p>
        </w:tc>
        <w:tc>
          <w:tcPr>
            <w:tcW w:w="451"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评审内容</w:t>
            </w:r>
          </w:p>
        </w:tc>
        <w:tc>
          <w:tcPr>
            <w:tcW w:w="3873"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评分标准</w:t>
            </w:r>
          </w:p>
        </w:tc>
        <w:tc>
          <w:tcPr>
            <w:tcW w:w="357" w:type="pct"/>
            <w:shd w:val="clear" w:color="auto" w:fill="EEECE1" w:themeFill="background2"/>
            <w:vAlign w:val="center"/>
          </w:tcPr>
          <w:p>
            <w:pPr>
              <w:widowControl/>
              <w:jc w:val="center"/>
              <w:rPr>
                <w:rFonts w:ascii="仿宋" w:hAnsi="仿宋" w:eastAsia="仿宋" w:cs="仿宋"/>
                <w:bCs/>
                <w:color w:val="auto"/>
                <w:szCs w:val="21"/>
              </w:rPr>
            </w:pPr>
            <w:r>
              <w:rPr>
                <w:rFonts w:hint="eastAsia" w:ascii="仿宋" w:hAnsi="仿宋" w:eastAsia="仿宋" w:cs="仿宋"/>
                <w:b/>
                <w:bCs/>
                <w:color w:val="auto"/>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b/>
                <w:color w:val="auto"/>
                <w:szCs w:val="21"/>
              </w:rPr>
            </w:pPr>
            <w:r>
              <w:rPr>
                <w:rFonts w:hint="eastAsia" w:ascii="仿宋" w:hAnsi="仿宋" w:eastAsia="仿宋" w:cs="仿宋"/>
                <w:b/>
                <w:color w:val="auto"/>
                <w:szCs w:val="21"/>
              </w:rPr>
              <w:t>商务资信（</w:t>
            </w:r>
            <w:r>
              <w:rPr>
                <w:rFonts w:hint="eastAsia" w:ascii="仿宋" w:hAnsi="仿宋" w:eastAsia="仿宋" w:cs="仿宋"/>
                <w:b/>
                <w:color w:val="auto"/>
                <w:szCs w:val="21"/>
                <w:lang w:val="en-US" w:eastAsia="zh-CN"/>
              </w:rPr>
              <w:t>50</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Merge w:val="restart"/>
            <w:vAlign w:val="center"/>
          </w:tcPr>
          <w:p>
            <w:pPr>
              <w:jc w:val="left"/>
              <w:rPr>
                <w:rFonts w:ascii="仿宋" w:hAnsi="仿宋" w:eastAsia="仿宋" w:cs="仿宋"/>
                <w:color w:val="auto"/>
                <w:szCs w:val="21"/>
              </w:rPr>
            </w:pPr>
            <w:r>
              <w:rPr>
                <w:rFonts w:hint="eastAsia" w:ascii="仿宋" w:hAnsi="仿宋" w:eastAsia="仿宋" w:cs="仿宋"/>
                <w:color w:val="auto"/>
                <w:szCs w:val="21"/>
              </w:rPr>
              <w:t>投标人实力</w:t>
            </w:r>
          </w:p>
        </w:tc>
        <w:tc>
          <w:tcPr>
            <w:tcW w:w="3873" w:type="pct"/>
            <w:vAlign w:val="center"/>
          </w:tcPr>
          <w:p>
            <w:pPr>
              <w:jc w:val="left"/>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投标人具有有效的</w:t>
            </w:r>
            <w:r>
              <w:rPr>
                <w:rFonts w:hint="eastAsia" w:ascii="仿宋" w:hAnsi="仿宋" w:eastAsia="仿宋" w:cs="仿宋"/>
                <w:color w:val="000000" w:themeColor="text1"/>
                <w:szCs w:val="21"/>
                <w14:textFill>
                  <w14:solidFill>
                    <w14:schemeClr w14:val="tx1"/>
                  </w14:solidFill>
                </w14:textFill>
              </w:rPr>
              <w:t>ISO45001</w:t>
            </w:r>
            <w:r>
              <w:rPr>
                <w:rFonts w:hint="default" w:ascii="仿宋" w:hAnsi="仿宋" w:eastAsia="仿宋" w:cs="仿宋"/>
                <w:color w:val="000000" w:themeColor="text1"/>
                <w:szCs w:val="21"/>
                <w14:textFill>
                  <w14:solidFill>
                    <w14:schemeClr w14:val="tx1"/>
                  </w14:solidFill>
                </w14:textFill>
              </w:rPr>
              <w:t>职业健康安全管理体系认证证书得1分；</w:t>
            </w:r>
          </w:p>
          <w:p>
            <w:pPr>
              <w:jc w:val="left"/>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投标人具有有效的ISO9001质量管理体系认证证书得1分；</w:t>
            </w:r>
          </w:p>
          <w:p>
            <w:pPr>
              <w:jc w:val="left"/>
              <w:rPr>
                <w:rFonts w:hint="default"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投标人具有有效的ISO14001环境管理体系认证证书得1分；</w:t>
            </w:r>
          </w:p>
          <w:p>
            <w:pPr>
              <w:jc w:val="left"/>
              <w:rPr>
                <w:rFonts w:hint="eastAsia"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投标人具有有效的高新技术企业证书得1分。</w:t>
            </w:r>
          </w:p>
          <w:p>
            <w:pPr>
              <w:jc w:val="left"/>
              <w:rPr>
                <w:rFonts w:hint="eastAsia" w:ascii="仿宋" w:hAnsi="仿宋" w:eastAsia="仿宋" w:cs="仿宋"/>
                <w:color w:val="000000" w:themeColor="text1"/>
                <w:szCs w:val="21"/>
                <w14:textFill>
                  <w14:solidFill>
                    <w14:schemeClr w14:val="tx1"/>
                  </w14:solidFill>
                </w14:textFill>
              </w:rPr>
            </w:pPr>
            <w:r>
              <w:rPr>
                <w:rFonts w:hint="default"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须</w:t>
            </w:r>
            <w:r>
              <w:rPr>
                <w:rFonts w:hint="eastAsia" w:ascii="仿宋" w:hAnsi="仿宋" w:eastAsia="仿宋" w:cs="仿宋"/>
                <w:b w:val="0"/>
                <w:bCs w:val="0"/>
                <w:color w:val="auto"/>
                <w:sz w:val="21"/>
                <w:szCs w:val="21"/>
                <w:highlight w:val="none"/>
              </w:rPr>
              <w:t>提供有效期内证书清晰复印件</w:t>
            </w:r>
            <w:r>
              <w:rPr>
                <w:rFonts w:hint="eastAsia" w:ascii="仿宋" w:hAnsi="仿宋" w:eastAsia="仿宋" w:cs="仿宋"/>
                <w:b w:val="0"/>
                <w:bCs w:val="0"/>
                <w:color w:val="auto"/>
                <w:sz w:val="21"/>
                <w:szCs w:val="21"/>
                <w:highlight w:val="none"/>
                <w:lang w:val="en-US" w:eastAsia="zh-CN"/>
              </w:rPr>
              <w:t>或扫描件</w:t>
            </w:r>
            <w:r>
              <w:rPr>
                <w:rFonts w:hint="eastAsia" w:ascii="仿宋" w:hAnsi="仿宋" w:eastAsia="仿宋" w:cs="仿宋"/>
                <w:b w:val="0"/>
                <w:bCs w:val="0"/>
                <w:color w:val="auto"/>
                <w:sz w:val="21"/>
                <w:szCs w:val="21"/>
                <w:highlight w:val="none"/>
              </w:rPr>
              <w:t>加盖公章</w:t>
            </w:r>
            <w:r>
              <w:rPr>
                <w:rFonts w:hint="default"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未提供的不得分</w:t>
            </w:r>
            <w:r>
              <w:rPr>
                <w:rFonts w:hint="default" w:ascii="仿宋" w:hAnsi="仿宋" w:eastAsia="仿宋" w:cs="仿宋"/>
                <w:color w:val="000000" w:themeColor="text1"/>
                <w:szCs w:val="21"/>
                <w14:textFill>
                  <w14:solidFill>
                    <w14:schemeClr w14:val="tx1"/>
                  </w14:solidFill>
                </w14:textFill>
              </w:rPr>
              <w:t>）。</w:t>
            </w:r>
          </w:p>
        </w:tc>
        <w:tc>
          <w:tcPr>
            <w:tcW w:w="357" w:type="pct"/>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Merge w:val="continue"/>
            <w:vAlign w:val="center"/>
          </w:tcPr>
          <w:p>
            <w:pPr>
              <w:jc w:val="left"/>
              <w:rPr>
                <w:rFonts w:ascii="仿宋" w:hAnsi="仿宋" w:eastAsia="仿宋" w:cs="仿宋"/>
                <w:color w:val="auto"/>
                <w:szCs w:val="21"/>
              </w:rPr>
            </w:pPr>
          </w:p>
        </w:tc>
        <w:tc>
          <w:tcPr>
            <w:tcW w:w="3873"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2020年1月1日至今（以颁发时间为准），投标人获得过荣誉的，省级及以上的得5分，市级的得2分，本项最高得5分。</w:t>
            </w:r>
          </w:p>
          <w:p>
            <w:pPr>
              <w:jc w:val="left"/>
              <w:rPr>
                <w:rFonts w:hint="eastAsia"/>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val="0"/>
                <w:bCs w:val="0"/>
                <w:color w:val="auto"/>
                <w:szCs w:val="21"/>
                <w:highlight w:val="none"/>
              </w:rPr>
              <w:t>需提供相关奖项证明资料</w:t>
            </w:r>
            <w:r>
              <w:rPr>
                <w:rFonts w:hint="eastAsia" w:ascii="仿宋" w:hAnsi="仿宋" w:eastAsia="仿宋" w:cs="仿宋"/>
                <w:b w:val="0"/>
                <w:bCs w:val="0"/>
                <w:color w:val="auto"/>
                <w:sz w:val="21"/>
                <w:szCs w:val="21"/>
                <w:highlight w:val="none"/>
              </w:rPr>
              <w:t>复印件</w:t>
            </w:r>
            <w:r>
              <w:rPr>
                <w:rFonts w:hint="eastAsia" w:ascii="仿宋" w:hAnsi="仿宋" w:eastAsia="仿宋" w:cs="仿宋"/>
                <w:b w:val="0"/>
                <w:bCs w:val="0"/>
                <w:color w:val="auto"/>
                <w:sz w:val="21"/>
                <w:szCs w:val="21"/>
                <w:highlight w:val="none"/>
                <w:lang w:val="en-US" w:eastAsia="zh-CN"/>
              </w:rPr>
              <w:t>或扫描件</w:t>
            </w:r>
            <w:r>
              <w:rPr>
                <w:rFonts w:hint="eastAsia" w:ascii="仿宋" w:hAnsi="仿宋" w:eastAsia="仿宋" w:cs="仿宋"/>
                <w:color w:val="auto"/>
                <w:szCs w:val="21"/>
                <w:highlight w:val="none"/>
              </w:rPr>
              <w:t>加盖投标人公章</w:t>
            </w:r>
            <w:r>
              <w:rPr>
                <w:rFonts w:hint="eastAsia" w:ascii="仿宋" w:hAnsi="仿宋" w:eastAsia="仿宋" w:cs="仿宋"/>
                <w:color w:val="000000" w:themeColor="text1"/>
                <w:szCs w:val="21"/>
                <w14:textFill>
                  <w14:solidFill>
                    <w14:schemeClr w14:val="tx1"/>
                  </w14:solidFill>
                </w14:textFill>
              </w:rPr>
              <w:t>，行业协会等非官方机构奖项不予认可，未提供的不得分）</w:t>
            </w:r>
          </w:p>
        </w:tc>
        <w:tc>
          <w:tcPr>
            <w:tcW w:w="357" w:type="pct"/>
            <w:vAlign w:val="center"/>
          </w:tcPr>
          <w:p>
            <w:pPr>
              <w:jc w:val="center"/>
              <w:rPr>
                <w:rFonts w:hint="default" w:ascii="仿宋" w:hAnsi="仿宋" w:eastAsia="仿宋" w:cs="仿宋"/>
                <w:color w:val="auto"/>
                <w:kern w:val="0"/>
                <w:szCs w:val="21"/>
                <w:lang w:val="en-US" w:bidi="ar"/>
              </w:rPr>
            </w:pPr>
            <w:r>
              <w:rPr>
                <w:rFonts w:hint="eastAsia" w:ascii="仿宋" w:hAnsi="仿宋" w:eastAsia="仿宋" w:cs="仿宋"/>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Align w:val="center"/>
          </w:tcPr>
          <w:p>
            <w:pPr>
              <w:jc w:val="left"/>
              <w:rPr>
                <w:rFonts w:ascii="仿宋" w:hAnsi="仿宋" w:eastAsia="仿宋" w:cs="仿宋"/>
                <w:color w:val="auto"/>
                <w:szCs w:val="21"/>
              </w:rPr>
            </w:pPr>
            <w:r>
              <w:rPr>
                <w:rFonts w:hint="eastAsia" w:ascii="仿宋" w:hAnsi="仿宋" w:eastAsia="仿宋" w:cs="仿宋"/>
                <w:color w:val="auto"/>
                <w:szCs w:val="21"/>
              </w:rPr>
              <w:t>类似业绩</w:t>
            </w:r>
          </w:p>
        </w:tc>
        <w:tc>
          <w:tcPr>
            <w:tcW w:w="3873"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2022年1月1日（以合同签订时间为准）至今承担</w:t>
            </w:r>
            <w:r>
              <w:rPr>
                <w:rFonts w:hint="eastAsia" w:ascii="仿宋" w:hAnsi="仿宋" w:eastAsia="仿宋" w:cs="仿宋"/>
                <w:color w:val="000000" w:themeColor="text1"/>
                <w:szCs w:val="21"/>
                <w:lang w:eastAsia="zh-CN"/>
                <w14:textFill>
                  <w14:solidFill>
                    <w14:schemeClr w14:val="tx1"/>
                  </w14:solidFill>
                </w14:textFill>
              </w:rPr>
              <w:t>过颗粒物组分分析、水生态评估或评价、遥感现场核查等类似</w:t>
            </w:r>
            <w:r>
              <w:rPr>
                <w:rFonts w:hint="eastAsia" w:ascii="仿宋" w:hAnsi="仿宋" w:eastAsia="仿宋" w:cs="仿宋"/>
                <w:color w:val="000000" w:themeColor="text1"/>
                <w:szCs w:val="21"/>
                <w14:textFill>
                  <w14:solidFill>
                    <w14:schemeClr w14:val="tx1"/>
                  </w14:solidFill>
                </w14:textFill>
              </w:rPr>
              <w:t>工作业绩的，每个得0.5分，最高得1分。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提供合同复印件或扫描件加盖公章，未提供的不得分。</w:t>
            </w:r>
            <w:r>
              <w:rPr>
                <w:rFonts w:hint="eastAsia" w:ascii="仿宋" w:hAnsi="仿宋" w:eastAsia="仿宋" w:cs="仿宋"/>
                <w:color w:val="000000" w:themeColor="text1"/>
                <w:szCs w:val="21"/>
                <w:lang w:eastAsia="zh-CN"/>
                <w14:textFill>
                  <w14:solidFill>
                    <w14:schemeClr w14:val="tx1"/>
                  </w14:solidFill>
                </w14:textFill>
              </w:rPr>
              <w:t>）</w:t>
            </w:r>
          </w:p>
        </w:tc>
        <w:tc>
          <w:tcPr>
            <w:tcW w:w="357" w:type="pct"/>
            <w:vAlign w:val="center"/>
          </w:tcPr>
          <w:p>
            <w:pPr>
              <w:autoSpaceDE w:val="0"/>
              <w:autoSpaceDN w:val="0"/>
              <w:spacing w:line="30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项目负责人</w:t>
            </w:r>
          </w:p>
        </w:tc>
        <w:tc>
          <w:tcPr>
            <w:tcW w:w="3873"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项目负责人具有注册环保工程师的得3分，项目负责人具有环保相关专业副高及以上职称的得2分，最高可得5分，没有相应证书不得分。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（须提供</w:t>
            </w:r>
            <w:r>
              <w:rPr>
                <w:rFonts w:hint="eastAsia" w:ascii="仿宋" w:hAnsi="仿宋" w:eastAsia="仿宋" w:cs="仿宋"/>
                <w:color w:val="000000" w:themeColor="text1"/>
                <w:szCs w:val="21"/>
                <w:lang w:val="en-US" w:eastAsia="zh-CN"/>
                <w14:textFill>
                  <w14:solidFill>
                    <w14:schemeClr w14:val="tx1"/>
                  </w14:solidFill>
                </w14:textFill>
              </w:rPr>
              <w:t>投标截止期</w:t>
            </w:r>
            <w:r>
              <w:rPr>
                <w:rFonts w:hint="eastAsia" w:ascii="仿宋" w:hAnsi="仿宋" w:eastAsia="仿宋" w:cs="仿宋"/>
                <w:color w:val="000000" w:themeColor="text1"/>
                <w:szCs w:val="21"/>
                <w14:textFill>
                  <w14:solidFill>
                    <w14:schemeClr w14:val="tx1"/>
                  </w14:solidFill>
                </w14:textFill>
              </w:rPr>
              <w:t>近3个月在本单位的社保证明、职称证书、资格证书等相关证明资料复印件加盖投标人公章，未提供的不得分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w:t>
            </w:r>
          </w:p>
        </w:tc>
        <w:tc>
          <w:tcPr>
            <w:tcW w:w="357" w:type="pct"/>
            <w:vAlign w:val="center"/>
          </w:tcPr>
          <w:p>
            <w:pPr>
              <w:tabs>
                <w:tab w:val="left" w:pos="780"/>
              </w:tabs>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Align w:val="center"/>
          </w:tcPr>
          <w:p>
            <w:pPr>
              <w:jc w:val="left"/>
              <w:rPr>
                <w:rFonts w:ascii="仿宋" w:hAnsi="仿宋" w:eastAsia="仿宋" w:cs="仿宋"/>
                <w:color w:val="auto"/>
                <w:szCs w:val="21"/>
              </w:rPr>
            </w:pPr>
            <w:r>
              <w:rPr>
                <w:rFonts w:hint="eastAsia" w:ascii="仿宋" w:hAnsi="仿宋" w:eastAsia="仿宋" w:cs="仿宋"/>
                <w:color w:val="auto"/>
                <w:szCs w:val="21"/>
              </w:rPr>
              <w:t>项目组成员</w:t>
            </w:r>
          </w:p>
        </w:tc>
        <w:tc>
          <w:tcPr>
            <w:tcW w:w="3873"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因三个服务项目同步开展需要，对拟投入项目组人员（项目负责人除外）数量规模要求：</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1、项目组人员中具有环保相关专业的工程师及以上职称</w:t>
            </w:r>
            <w:r>
              <w:rPr>
                <w:rFonts w:hint="eastAsia" w:ascii="仿宋" w:hAnsi="仿宋" w:eastAsia="仿宋" w:cs="仿宋"/>
                <w:color w:val="000000" w:themeColor="text1"/>
                <w:szCs w:val="21"/>
                <w:lang w:eastAsia="zh-CN"/>
                <w14:textFill>
                  <w14:solidFill>
                    <w14:schemeClr w14:val="tx1"/>
                  </w14:solidFill>
                </w14:textFill>
              </w:rPr>
              <w:t>人数：</w:t>
            </w:r>
            <w:r>
              <w:rPr>
                <w:rFonts w:hint="eastAsia" w:ascii="仿宋" w:hAnsi="仿宋" w:eastAsia="仿宋" w:cs="仿宋"/>
                <w:color w:val="000000" w:themeColor="text1"/>
                <w:szCs w:val="21"/>
                <w14:textFill>
                  <w14:solidFill>
                    <w14:schemeClr w14:val="tx1"/>
                  </w14:solidFill>
                </w14:textFill>
              </w:rPr>
              <w:t>20人及以上，得6分；15-19人的，得4分；10-14人的，得2分；10人以下的不得分。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2、遥感核查人员中具有民用无人机操控员应用合格证书的，每提供一个得1分，最高得5分。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3、水生态现场采样人员中具有水质采样上岗证的，每提供1人得0.5分，没有的不得分。本项最高得5分。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（须提供</w:t>
            </w:r>
            <w:r>
              <w:rPr>
                <w:rFonts w:hint="eastAsia" w:ascii="仿宋" w:hAnsi="仿宋" w:eastAsia="仿宋" w:cs="仿宋"/>
                <w:color w:val="000000" w:themeColor="text1"/>
                <w:szCs w:val="21"/>
                <w:lang w:val="en-US" w:eastAsia="zh-CN"/>
                <w14:textFill>
                  <w14:solidFill>
                    <w14:schemeClr w14:val="tx1"/>
                  </w14:solidFill>
                </w14:textFill>
              </w:rPr>
              <w:t>投标截止期</w:t>
            </w:r>
            <w:r>
              <w:rPr>
                <w:rFonts w:hint="eastAsia" w:ascii="仿宋" w:hAnsi="仿宋" w:eastAsia="仿宋" w:cs="仿宋"/>
                <w:color w:val="000000" w:themeColor="text1"/>
                <w:szCs w:val="21"/>
                <w14:textFill>
                  <w14:solidFill>
                    <w14:schemeClr w14:val="tx1"/>
                  </w14:solidFill>
                </w14:textFill>
              </w:rPr>
              <w:t>近3个月在本单位的社保证明、职称证书、资格证书等相关证明资料复印件加盖投标人公章，未提供</w:t>
            </w:r>
            <w:r>
              <w:rPr>
                <w:rFonts w:hint="eastAsia" w:ascii="仿宋" w:hAnsi="仿宋" w:eastAsia="仿宋" w:cs="仿宋"/>
                <w:color w:val="000000" w:themeColor="text1"/>
                <w:szCs w:val="21"/>
                <w:lang w:val="en-US" w:eastAsia="zh-CN"/>
                <w14:textFill>
                  <w14:solidFill>
                    <w14:schemeClr w14:val="tx1"/>
                  </w14:solidFill>
                </w14:textFill>
              </w:rPr>
              <w:t>的</w:t>
            </w:r>
            <w:r>
              <w:rPr>
                <w:rFonts w:hint="eastAsia" w:ascii="仿宋" w:hAnsi="仿宋" w:eastAsia="仿宋" w:cs="仿宋"/>
                <w:color w:val="000000" w:themeColor="text1"/>
                <w:szCs w:val="21"/>
                <w14:textFill>
                  <w14:solidFill>
                    <w14:schemeClr w14:val="tx1"/>
                  </w14:solidFill>
                </w14:textFill>
              </w:rPr>
              <w:t>不得分。）</w:t>
            </w:r>
          </w:p>
        </w:tc>
        <w:tc>
          <w:tcPr>
            <w:tcW w:w="357" w:type="pct"/>
            <w:vAlign w:val="center"/>
          </w:tcPr>
          <w:p>
            <w:pPr>
              <w:spacing w:line="360" w:lineRule="auto"/>
              <w:jc w:val="center"/>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Merge w:val="restart"/>
            <w:shd w:val="clear" w:color="auto" w:fill="auto"/>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项目</w:t>
            </w:r>
            <w:r>
              <w:rPr>
                <w:rFonts w:hint="eastAsia" w:ascii="仿宋" w:hAnsi="仿宋" w:eastAsia="仿宋" w:cs="仿宋"/>
                <w:color w:val="auto"/>
                <w:szCs w:val="21"/>
                <w:lang w:val="zh-CN"/>
              </w:rPr>
              <w:t>技术</w:t>
            </w:r>
            <w:r>
              <w:rPr>
                <w:rFonts w:hint="eastAsia" w:ascii="仿宋" w:hAnsi="仿宋" w:eastAsia="仿宋" w:cs="仿宋"/>
                <w:color w:val="auto"/>
                <w:szCs w:val="21"/>
              </w:rPr>
              <w:t>保障</w:t>
            </w:r>
          </w:p>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3873" w:type="pct"/>
            <w:shd w:val="clear" w:color="auto" w:fill="auto"/>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根据大气颗粒物组分分析“表2分析测试方法”，无机元素（至少具备其中一种方法）、</w:t>
            </w:r>
            <w:r>
              <w:rPr>
                <w:rFonts w:hint="eastAsia" w:ascii="仿宋" w:hAnsi="仿宋" w:eastAsia="仿宋" w:cs="仿宋"/>
                <w:color w:val="000000" w:themeColor="text1"/>
                <w:szCs w:val="21"/>
                <w14:textFill>
                  <w14:solidFill>
                    <w14:schemeClr w14:val="tx1"/>
                  </w14:solidFill>
                </w14:textFill>
              </w:rPr>
              <w:t>PM2.5质量浓度、阳离子、阴离子均具备CMA资质</w:t>
            </w:r>
            <w:r>
              <w:rPr>
                <w:rFonts w:hint="eastAsia" w:ascii="仿宋" w:hAnsi="仿宋" w:eastAsia="仿宋" w:cs="仿宋"/>
                <w:color w:val="000000" w:themeColor="text1"/>
                <w:szCs w:val="21"/>
                <w:lang w:eastAsia="zh-CN"/>
                <w14:textFill>
                  <w14:solidFill>
                    <w14:schemeClr w14:val="tx1"/>
                  </w14:solidFill>
                </w14:textFill>
              </w:rPr>
              <w:t>的，得</w:t>
            </w:r>
            <w:r>
              <w:rPr>
                <w:rFonts w:hint="eastAsia" w:ascii="仿宋" w:hAnsi="仿宋" w:eastAsia="仿宋" w:cs="仿宋"/>
                <w:color w:val="000000" w:themeColor="text1"/>
                <w:szCs w:val="21"/>
                <w:lang w:val="en-US" w:eastAsia="zh-CN"/>
                <w14:textFill>
                  <w14:solidFill>
                    <w14:schemeClr w14:val="tx1"/>
                  </w14:solidFill>
                </w14:textFill>
              </w:rPr>
              <w:t>8分，</w:t>
            </w:r>
            <w:r>
              <w:rPr>
                <w:rFonts w:hint="eastAsia" w:ascii="仿宋" w:hAnsi="仿宋" w:eastAsia="仿宋" w:cs="仿宋"/>
                <w:color w:val="000000" w:themeColor="text1"/>
                <w:szCs w:val="21"/>
                <w14:textFill>
                  <w14:solidFill>
                    <w14:schemeClr w14:val="tx1"/>
                  </w14:solidFill>
                </w14:textFill>
              </w:rPr>
              <w:t>每缺一项扣</w:t>
            </w:r>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分，扣完为止。</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根据</w:t>
            </w:r>
            <w:r>
              <w:rPr>
                <w:rFonts w:hint="eastAsia" w:ascii="仿宋" w:hAnsi="仿宋" w:eastAsia="仿宋" w:cs="仿宋"/>
                <w:color w:val="000000" w:themeColor="text1"/>
                <w:szCs w:val="21"/>
                <w14:textFill>
                  <w14:solidFill>
                    <w14:schemeClr w14:val="tx1"/>
                  </w14:solidFill>
                </w14:textFill>
              </w:rPr>
              <w:t>重点断面水生态监测</w:t>
            </w:r>
            <w:r>
              <w:rPr>
                <w:rFonts w:hint="eastAsia" w:ascii="仿宋" w:hAnsi="仿宋" w:eastAsia="仿宋" w:cs="仿宋"/>
                <w:color w:val="000000" w:themeColor="text1"/>
                <w:szCs w:val="21"/>
                <w:lang w:eastAsia="zh-CN"/>
                <w14:textFill>
                  <w14:solidFill>
                    <w14:schemeClr w14:val="tx1"/>
                  </w14:solidFill>
                </w14:textFill>
              </w:rPr>
              <w:t>现场调查工作要求，</w:t>
            </w:r>
            <w:r>
              <w:rPr>
                <w:rFonts w:hint="eastAsia" w:ascii="仿宋" w:hAnsi="仿宋" w:eastAsia="仿宋" w:cs="仿宋"/>
                <w:color w:val="000000" w:themeColor="text1"/>
                <w:szCs w:val="21"/>
                <w14:textFill>
                  <w14:solidFill>
                    <w14:schemeClr w14:val="tx1"/>
                  </w14:solidFill>
                </w14:textFill>
              </w:rPr>
              <w:t>水温、pH值、溶解氧、电导率、浊度五项参数均具备CMA资质的，得3分，有缺项的不得分。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（须提供有效期内的证书复印件</w:t>
            </w:r>
            <w:r>
              <w:rPr>
                <w:rFonts w:hint="eastAsia" w:ascii="仿宋" w:hAnsi="仿宋" w:eastAsia="仿宋" w:cs="仿宋"/>
                <w:color w:val="000000" w:themeColor="text1"/>
                <w:szCs w:val="21"/>
                <w:lang w:val="en-US" w:eastAsia="zh-CN"/>
                <w14:textFill>
                  <w14:solidFill>
                    <w14:schemeClr w14:val="tx1"/>
                  </w14:solidFill>
                </w14:textFill>
              </w:rPr>
              <w:t>或扫描件</w:t>
            </w:r>
            <w:r>
              <w:rPr>
                <w:rFonts w:hint="eastAsia" w:ascii="仿宋" w:hAnsi="仿宋" w:eastAsia="仿宋" w:cs="仿宋"/>
                <w:color w:val="000000" w:themeColor="text1"/>
                <w:szCs w:val="21"/>
                <w14:textFill>
                  <w14:solidFill>
                    <w14:schemeClr w14:val="tx1"/>
                  </w14:solidFill>
                </w14:textFill>
              </w:rPr>
              <w:t>、资质认定证书附表等加盖投标人公章编入投标文件中，未提供或提供不全的不得分。）</w:t>
            </w:r>
          </w:p>
        </w:tc>
        <w:tc>
          <w:tcPr>
            <w:tcW w:w="357" w:type="pct"/>
            <w:shd w:val="clear" w:color="auto" w:fill="auto"/>
            <w:vAlign w:val="center"/>
          </w:tcPr>
          <w:p>
            <w:pPr>
              <w:numPr>
                <w:ilvl w:val="0"/>
                <w:numId w:val="0"/>
              </w:numPr>
              <w:ind w:left="0" w:leftChars="0" w:firstLine="0" w:firstLineChars="0"/>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auto"/>
                <w:szCs w:val="21"/>
              </w:rPr>
            </w:pPr>
          </w:p>
        </w:tc>
        <w:tc>
          <w:tcPr>
            <w:tcW w:w="451" w:type="pct"/>
            <w:vMerge w:val="continue"/>
            <w:shd w:val="clear" w:color="auto" w:fill="auto"/>
            <w:vAlign w:val="center"/>
          </w:tcPr>
          <w:p>
            <w:pP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c>
          <w:tcPr>
            <w:tcW w:w="3873" w:type="pct"/>
            <w:shd w:val="clear" w:color="auto" w:fill="auto"/>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1、投标人具有水环境DNA过滤仪的，得5分，没有的不得分。本项最高得5分。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2、投标人具有遥感核查所需无人机的，每一台得1分，最高得3分。没有不得分。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须提供以上仪器设备自有购置的合同和发票</w:t>
            </w:r>
            <w:r>
              <w:rPr>
                <w:rFonts w:hint="eastAsia" w:ascii="仿宋" w:hAnsi="仿宋" w:eastAsia="仿宋" w:cs="仿宋"/>
                <w:color w:val="000000" w:themeColor="text1"/>
                <w:szCs w:val="21"/>
                <w:lang w:val="en-US" w:eastAsia="zh-CN"/>
                <w14:textFill>
                  <w14:solidFill>
                    <w14:schemeClr w14:val="tx1"/>
                  </w14:solidFill>
                </w14:textFill>
              </w:rPr>
              <w:t>的</w:t>
            </w:r>
            <w:r>
              <w:rPr>
                <w:rFonts w:hint="eastAsia" w:ascii="仿宋" w:hAnsi="仿宋" w:eastAsia="仿宋" w:cs="仿宋"/>
                <w:color w:val="000000" w:themeColor="text1"/>
                <w:szCs w:val="21"/>
                <w14:textFill>
                  <w14:solidFill>
                    <w14:schemeClr w14:val="tx1"/>
                  </w14:solidFill>
                </w14:textFill>
              </w:rPr>
              <w:t>复印件或扫描件并加盖公章</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未提供或提供不全的不得分。</w:t>
            </w:r>
            <w:r>
              <w:rPr>
                <w:rFonts w:hint="eastAsia" w:ascii="仿宋" w:hAnsi="仿宋" w:eastAsia="仿宋" w:cs="仿宋"/>
                <w:color w:val="000000" w:themeColor="text1"/>
                <w:szCs w:val="21"/>
                <w:lang w:eastAsia="zh-CN"/>
                <w14:textFill>
                  <w14:solidFill>
                    <w14:schemeClr w14:val="tx1"/>
                  </w14:solidFill>
                </w14:textFill>
              </w:rPr>
              <w:t>）</w:t>
            </w:r>
          </w:p>
        </w:tc>
        <w:tc>
          <w:tcPr>
            <w:tcW w:w="357" w:type="pct"/>
            <w:shd w:val="clear" w:color="auto" w:fill="auto"/>
            <w:vAlign w:val="center"/>
          </w:tcPr>
          <w:p>
            <w:pPr>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jc w:val="center"/>
              <w:rPr>
                <w:rFonts w:ascii="仿宋" w:hAnsi="仿宋" w:eastAsia="仿宋" w:cs="仿宋"/>
                <w:color w:val="FF0000"/>
                <w:szCs w:val="21"/>
              </w:rPr>
            </w:pPr>
            <w:r>
              <w:rPr>
                <w:rFonts w:hint="eastAsia" w:ascii="仿宋" w:hAnsi="仿宋" w:eastAsia="仿宋" w:cs="仿宋"/>
                <w:b/>
                <w:color w:val="auto"/>
                <w:szCs w:val="21"/>
              </w:rPr>
              <w:t>商务技术（</w:t>
            </w:r>
            <w:r>
              <w:rPr>
                <w:rFonts w:hint="eastAsia" w:ascii="仿宋" w:hAnsi="仿宋" w:eastAsia="仿宋" w:cs="仿宋"/>
                <w:b/>
                <w:color w:val="auto"/>
                <w:szCs w:val="21"/>
                <w:lang w:val="en-US" w:eastAsia="zh-CN"/>
              </w:rPr>
              <w:t>40</w:t>
            </w:r>
            <w:r>
              <w:rPr>
                <w:rFonts w:hint="eastAsia" w:ascii="仿宋" w:hAnsi="仿宋" w:eastAsia="仿宋" w:cs="仿宋"/>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7" w:type="pct"/>
            <w:vAlign w:val="center"/>
          </w:tcPr>
          <w:p>
            <w:pPr>
              <w:widowControl/>
              <w:numPr>
                <w:ilvl w:val="0"/>
                <w:numId w:val="5"/>
              </w:numPr>
              <w:jc w:val="center"/>
              <w:rPr>
                <w:rFonts w:ascii="仿宋" w:hAnsi="仿宋" w:eastAsia="仿宋" w:cs="仿宋"/>
                <w:color w:val="auto"/>
                <w:szCs w:val="21"/>
              </w:rPr>
            </w:pPr>
          </w:p>
        </w:tc>
        <w:tc>
          <w:tcPr>
            <w:tcW w:w="451"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项目理解</w:t>
            </w:r>
          </w:p>
        </w:tc>
        <w:tc>
          <w:tcPr>
            <w:tcW w:w="3873" w:type="pc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根据投标人对项目的理解，对重点难点的分析、提出相应的解决思路打分。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1、理解透彻，重点难点分析准确，解决思路清晰的：4.1-6.0分；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2、理解基本符合项目实际，重点难点分析基本准确，解决思路基本清晰的：2.1-4.0分；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3、理解不符合项目实际，重点难点分析不准，解决思路不清晰的：0</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-2.0分。</w:t>
            </w:r>
          </w:p>
          <w:p>
            <w:pPr>
              <w:jc w:val="left"/>
              <w:rPr>
                <w:rFonts w:hint="eastAsia"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未提及此项不得分。</w:t>
            </w:r>
          </w:p>
        </w:tc>
        <w:tc>
          <w:tcPr>
            <w:tcW w:w="357" w:type="pct"/>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7"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51" w:type="pct"/>
            <w:vMerge w:val="restart"/>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工作</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方案</w:t>
            </w: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根据投标人对“大气颗粒物组分分析工作方案”的阐述等情况进行打分。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1、工作方案科学、阐述详细全面的得4.1-6.0分；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2、工作方案较科学、阐述较全面的得2.1-4.0分；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3、工作方案简单片面、缺乏严谨性的得0</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-2.0分；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未提及此项不得分。</w:t>
            </w:r>
          </w:p>
        </w:tc>
        <w:tc>
          <w:tcPr>
            <w:tcW w:w="357" w:type="pct"/>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7"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51" w:type="pct"/>
            <w:vMerge w:val="continue"/>
            <w:vAlign w:val="center"/>
          </w:tcPr>
          <w:p>
            <w:pPr>
              <w:jc w:val="left"/>
              <w:rPr>
                <w:rFonts w:hint="eastAsia" w:ascii="仿宋" w:hAnsi="仿宋" w:eastAsia="仿宋" w:cs="仿宋"/>
                <w:color w:val="000000" w:themeColor="text1"/>
                <w:szCs w:val="21"/>
                <w14:textFill>
                  <w14:solidFill>
                    <w14:schemeClr w14:val="tx1"/>
                  </w14:solidFill>
                </w14:textFill>
              </w:rPr>
            </w:pP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根据投标人对“重点断面水生态监测工作方案”的阐述等情况进行打分。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1、工作方案科学、阐述详细全面的得4.1-6.0分；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2、工作方案较科学、阐述较全面的得2.1-4.0分；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3、工作方案简单片面、缺乏严谨性的得0</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-2.0分；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未提及此项不得分。</w:t>
            </w:r>
          </w:p>
        </w:tc>
        <w:tc>
          <w:tcPr>
            <w:tcW w:w="357" w:type="pct"/>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7"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451" w:type="pct"/>
            <w:vMerge w:val="continue"/>
            <w:vAlign w:val="center"/>
          </w:tcPr>
          <w:p>
            <w:pPr>
              <w:jc w:val="left"/>
              <w:rPr>
                <w:rFonts w:hint="eastAsia" w:ascii="仿宋" w:hAnsi="仿宋" w:eastAsia="仿宋" w:cs="仿宋"/>
                <w:color w:val="000000" w:themeColor="text1"/>
                <w:szCs w:val="21"/>
                <w14:textFill>
                  <w14:solidFill>
                    <w14:schemeClr w14:val="tx1"/>
                  </w14:solidFill>
                </w14:textFill>
              </w:rPr>
            </w:pP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根据投标人对“遥感点位现场核查工作方案”的阐述等情况进行打分。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1、工作方案科学、阐述详细全面的得4.1-6.0分；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2、工作方案较科学、阐述较全面的得2.1-4.0分；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3、工作方案简单片面、缺乏严谨性的得0</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-2.0分；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未提及此项不得分。</w:t>
            </w:r>
          </w:p>
        </w:tc>
        <w:tc>
          <w:tcPr>
            <w:tcW w:w="357" w:type="pct"/>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17" w:type="pct"/>
            <w:vAlign w:val="center"/>
          </w:tcPr>
          <w:p>
            <w:pPr>
              <w:numPr>
                <w:ilvl w:val="0"/>
                <w:numId w:val="5"/>
              </w:numPr>
              <w:ind w:left="425" w:leftChars="0" w:hanging="425" w:firstLine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915" w:type="dxa"/>
            <w:vAlign w:val="center"/>
          </w:tcPr>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质量保证措施</w:t>
            </w: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根据投标人提供的项目质量方案、管理规范、内控制度、质量管控措施等情况进行打分。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1、质控方案全面，具有针对性，能有效保障项目实施的得4.1-6.0分；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2、质控方案基本全面，有一定针对性，基本能保障项目实施的得2.1-4.0分；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3、质控方案缺乏针对性，内容简单空泛的，得0.1-2.0分；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未提及的不得分。</w:t>
            </w:r>
          </w:p>
        </w:tc>
        <w:tc>
          <w:tcPr>
            <w:tcW w:w="357" w:type="pct"/>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7"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915"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预案</w:t>
            </w: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根据投标人提供的应急预案和对应的解决措施等情况进行打分。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1、应急预案详细全面、应急措施科学可行的得3.1-5.0分；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2、应急预案较全面、有一定针对性的得1.1-3.0分；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3、应急预案简单、应急措施缺乏针对性和有效性的得0.1-1.0分；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未提及的不得分。</w:t>
            </w:r>
          </w:p>
        </w:tc>
        <w:tc>
          <w:tcPr>
            <w:tcW w:w="357" w:type="pct"/>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7" w:type="pct"/>
            <w:vAlign w:val="center"/>
          </w:tcPr>
          <w:p>
            <w:pPr>
              <w:numPr>
                <w:ilvl w:val="0"/>
                <w:numId w:val="5"/>
              </w:numPr>
              <w:ind w:left="425" w:leftChars="0" w:hanging="425" w:firstLine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p>
        </w:tc>
        <w:tc>
          <w:tcPr>
            <w:tcW w:w="915"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w:t>
            </w:r>
          </w:p>
          <w:p>
            <w:pPr>
              <w:jc w:val="lef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w:t>
            </w:r>
          </w:p>
        </w:tc>
        <w:tc>
          <w:tcPr>
            <w:tcW w:w="7857" w:type="dxa"/>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根据投标人提供的服务承诺、后续技术服务支持和服务承诺落实的保障措施等方面进行打分：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1、服务方案阐述详细、承诺的后续措施全面且合理有效的得3.1-5.0分；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2、服务方案较全面、承诺的后续措施有欠缺的得1.1-3.0分；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3、服务方案简单、承诺的后续措施不合理的得0.1-1.0分；</w:t>
            </w:r>
          </w:p>
          <w:p>
            <w:pPr>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未提及的不得分。</w:t>
            </w:r>
          </w:p>
        </w:tc>
        <w:tc>
          <w:tcPr>
            <w:tcW w:w="357" w:type="pct"/>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vAlign w:val="center"/>
          </w:tcPr>
          <w:p>
            <w:pPr>
              <w:widowControl/>
              <w:jc w:val="center"/>
              <w:outlineLvl w:val="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投标报价（</w:t>
            </w:r>
            <w:r>
              <w:rPr>
                <w:rFonts w:hint="eastAsia" w:ascii="仿宋" w:hAnsi="仿宋" w:eastAsia="仿宋" w:cs="仿宋"/>
                <w:b/>
                <w:color w:val="000000" w:themeColor="text1"/>
                <w:szCs w:val="21"/>
                <w:lang w:val="en-US" w:eastAsia="zh-CN"/>
                <w14:textFill>
                  <w14:solidFill>
                    <w14:schemeClr w14:val="tx1"/>
                  </w14:solidFill>
                </w14:textFill>
              </w:rPr>
              <w:t>10</w:t>
            </w:r>
            <w:r>
              <w:rPr>
                <w:rFonts w:hint="eastAsia" w:ascii="仿宋" w:hAnsi="仿宋" w:eastAsia="仿宋" w:cs="仿宋"/>
                <w:b/>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 w:type="pct"/>
            <w:vAlign w:val="center"/>
          </w:tcPr>
          <w:p>
            <w:pPr>
              <w:widowControl/>
              <w:numPr>
                <w:ilvl w:val="0"/>
                <w:numId w:val="5"/>
              </w:numPr>
              <w:jc w:val="center"/>
              <w:outlineLvl w:val="0"/>
              <w:rPr>
                <w:rFonts w:ascii="仿宋" w:hAnsi="仿宋" w:eastAsia="仿宋" w:cs="仿宋"/>
                <w:color w:val="000000" w:themeColor="text1"/>
                <w:szCs w:val="21"/>
                <w14:textFill>
                  <w14:solidFill>
                    <w14:schemeClr w14:val="tx1"/>
                  </w14:solidFill>
                </w14:textFill>
              </w:rPr>
            </w:pPr>
          </w:p>
        </w:tc>
        <w:tc>
          <w:tcPr>
            <w:tcW w:w="4324" w:type="pct"/>
            <w:gridSpan w:val="2"/>
          </w:tcPr>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有效投标报价的最低价作为评标基准价，其最低报价为满分；按［投标报价得分=（评标基准价/投标报价）*</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0］的计算公式计算。</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评标过程中，不得去掉报价中的最高报价和最低报价。</w:t>
            </w:r>
          </w:p>
          <w:p>
            <w:pPr>
              <w:widowControl/>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因落实政府采购政策需要进行价格调整的，以调整后的价格计算评标基准价和投标报价。</w:t>
            </w:r>
          </w:p>
        </w:tc>
        <w:tc>
          <w:tcPr>
            <w:tcW w:w="357" w:type="pct"/>
            <w:vAlign w:val="center"/>
          </w:tcPr>
          <w:p>
            <w:pPr>
              <w:widowControl/>
              <w:jc w:val="center"/>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0</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1.本项目采用综合评分法。</w:t>
      </w: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w:t>
      </w:r>
      <w:r>
        <w:rPr>
          <w:rFonts w:hint="eastAsia" w:ascii="仿宋" w:hAnsi="仿宋" w:eastAsia="仿宋" w:cs="仿宋"/>
          <w:sz w:val="24"/>
        </w:rPr>
        <w:t>0分；商务资信、技术分</w:t>
      </w:r>
      <w:r>
        <w:rPr>
          <w:rFonts w:hint="eastAsia" w:ascii="仿宋" w:hAnsi="仿宋" w:eastAsia="仿宋" w:cs="仿宋"/>
          <w:sz w:val="24"/>
          <w:lang w:val="en-US" w:eastAsia="zh-CN"/>
        </w:rPr>
        <w:t>9</w:t>
      </w:r>
      <w:r>
        <w:rPr>
          <w:rFonts w:hint="eastAsia" w:ascii="仿宋" w:hAnsi="仿宋" w:eastAsia="仿宋" w:cs="仿宋"/>
          <w:sz w:val="24"/>
        </w:rPr>
        <w:t>0分。投标人评标综合得分=价格分+商务资信、商务技术分。</w:t>
      </w:r>
    </w:p>
    <w:p>
      <w:pPr>
        <w:snapToGrid w:val="0"/>
        <w:spacing w:line="360" w:lineRule="auto"/>
        <w:ind w:firstLine="480" w:firstLineChars="200"/>
        <w:rPr>
          <w:rFonts w:ascii="仿宋" w:hAnsi="仿宋" w:eastAsia="仿宋" w:cs="仿宋"/>
          <w:kern w:val="0"/>
          <w:sz w:val="24"/>
        </w:rPr>
      </w:pPr>
      <w:r>
        <w:rPr>
          <w:rFonts w:ascii="仿宋" w:hAnsi="仿宋" w:eastAsia="仿宋" w:cs="宋体"/>
          <w:color w:val="000000"/>
          <w:sz w:val="24"/>
          <w:szCs w:val="21"/>
        </w:rPr>
        <w:t>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宋体"/>
          <w:color w:val="000000"/>
          <w:sz w:val="24"/>
          <w:szCs w:val="21"/>
        </w:rPr>
        <w:t>，</w:t>
      </w:r>
      <w:r>
        <w:rPr>
          <w:rFonts w:hint="eastAsia" w:ascii="仿宋" w:hAnsi="仿宋" w:eastAsia="仿宋" w:cs="仿宋"/>
          <w:kern w:val="0"/>
          <w:sz w:val="24"/>
        </w:rPr>
        <w:t>次高的为第二中标候选人</w:t>
      </w:r>
      <w:r>
        <w:rPr>
          <w:rFonts w:ascii="仿宋" w:hAnsi="仿宋" w:eastAsia="仿宋" w:cs="宋体"/>
          <w:color w:val="000000"/>
          <w:sz w:val="24"/>
          <w:szCs w:val="21"/>
        </w:rPr>
        <w:t>。评分过程中采用四舍五入法，并保留小数2位。</w:t>
      </w:r>
    </w:p>
    <w:p>
      <w:pPr>
        <w:snapToGrid w:val="0"/>
        <w:spacing w:line="360" w:lineRule="auto"/>
        <w:rPr>
          <w:rFonts w:hint="eastAsia" w:ascii="仿宋" w:hAnsi="仿宋" w:eastAsia="仿宋" w:cs="仿宋"/>
          <w:b/>
          <w:sz w:val="32"/>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napToGrid w:val="0"/>
        <w:spacing w:line="360" w:lineRule="auto"/>
        <w:rPr>
          <w:rFonts w:hint="eastAsia" w:ascii="仿宋" w:hAnsi="仿宋" w:eastAsia="仿宋" w:cs="仿宋"/>
          <w:b/>
          <w:sz w:val="32"/>
        </w:rPr>
      </w:pPr>
      <w:bookmarkStart w:id="421" w:name="_Toc18960"/>
      <w:r>
        <w:rPr>
          <w:rFonts w:hint="eastAsia" w:ascii="仿宋" w:hAnsi="仿宋" w:eastAsia="仿宋" w:cs="仿宋"/>
          <w:b/>
          <w:sz w:val="32"/>
        </w:rPr>
        <w:t>三、评标程序</w:t>
      </w:r>
      <w:bookmarkEnd w:id="421"/>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3"/>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3.4.1.5政采云客户端填写的报价与以pdf格式上传文件中的报价不一致的，应以pdf格式上传文件中的报价为准。</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3"/>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w:t>
      </w:r>
      <w:r>
        <w:rPr>
          <w:rFonts w:hint="eastAsia" w:ascii="仿宋" w:hAnsi="仿宋" w:eastAsia="仿宋" w:cs="仿宋"/>
          <w:kern w:val="0"/>
          <w:szCs w:val="24"/>
          <w:lang w:eastAsia="zh-CN"/>
        </w:rPr>
        <w:t>查的</w:t>
      </w:r>
      <w:r>
        <w:rPr>
          <w:rFonts w:hint="eastAsia" w:ascii="仿宋" w:hAnsi="仿宋" w:eastAsia="仿宋" w:cs="仿宋"/>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w:t>
      </w:r>
    </w:p>
    <w:p>
      <w:pPr>
        <w:pStyle w:val="133"/>
        <w:spacing w:before="0"/>
        <w:ind w:firstLine="480"/>
        <w:rPr>
          <w:rFonts w:hint="eastAsia" w:ascii="仿宋" w:hAnsi="仿宋" w:eastAsia="仿宋" w:cs="仿宋"/>
          <w:b/>
          <w:bCs/>
          <w:kern w:val="0"/>
          <w:szCs w:val="24"/>
        </w:rPr>
      </w:pPr>
      <w:r>
        <w:rPr>
          <w:rFonts w:hint="eastAsia" w:ascii="仿宋" w:hAnsi="仿宋" w:eastAsia="仿宋" w:cs="仿宋"/>
          <w:kern w:val="0"/>
          <w:szCs w:val="24"/>
        </w:rPr>
        <w:t>3.4.</w:t>
      </w:r>
      <w:r>
        <w:rPr>
          <w:rFonts w:hint="eastAsia" w:ascii="仿宋" w:hAnsi="仿宋" w:eastAsia="仿宋" w:cs="仿宋"/>
          <w:kern w:val="0"/>
          <w:szCs w:val="24"/>
          <w:lang w:val="en-US" w:eastAsia="zh-CN"/>
        </w:rPr>
        <w:t>6</w:t>
      </w:r>
      <w:r>
        <w:rPr>
          <w:rFonts w:hint="eastAsia" w:ascii="仿宋" w:hAnsi="仿宋" w:eastAsia="仿宋" w:cs="仿宋"/>
          <w:b/>
          <w:bCs/>
          <w:kern w:val="0"/>
          <w:szCs w:val="24"/>
        </w:rPr>
        <w:t>本项目专门面向中小企业，</w:t>
      </w:r>
      <w:r>
        <w:rPr>
          <w:rFonts w:hint="eastAsia" w:ascii="仿宋" w:hAnsi="仿宋" w:eastAsia="仿宋" w:cs="仿宋"/>
          <w:b/>
          <w:bCs/>
          <w:kern w:val="0"/>
          <w:szCs w:val="24"/>
          <w:lang w:val="en-US" w:eastAsia="zh-CN"/>
        </w:rPr>
        <w:t>不</w:t>
      </w:r>
      <w:r>
        <w:rPr>
          <w:rFonts w:hint="eastAsia" w:ascii="仿宋" w:hAnsi="仿宋" w:eastAsia="仿宋" w:cs="仿宋"/>
          <w:b/>
          <w:bCs/>
          <w:kern w:val="0"/>
          <w:szCs w:val="24"/>
        </w:rPr>
        <w:t>执行价格优惠政策。</w:t>
      </w:r>
    </w:p>
    <w:p>
      <w:pPr>
        <w:pStyle w:val="133"/>
        <w:spacing w:before="0"/>
        <w:ind w:firstLine="480"/>
        <w:rPr>
          <w:rFonts w:ascii="仿宋" w:hAnsi="仿宋" w:eastAsia="仿宋" w:cs="仿宋"/>
          <w:kern w:val="0"/>
          <w:sz w:val="24"/>
        </w:rPr>
      </w:pPr>
      <w:r>
        <w:rPr>
          <w:rFonts w:hint="eastAsia" w:ascii="仿宋" w:hAnsi="仿宋" w:eastAsia="仿宋" w:cs="仿宋"/>
          <w:kern w:val="0"/>
          <w:szCs w:val="24"/>
        </w:rPr>
        <w:t>3.5</w:t>
      </w:r>
      <w:r>
        <w:rPr>
          <w:rFonts w:hint="eastAsia" w:ascii="仿宋" w:hAnsi="仿宋" w:eastAsia="仿宋" w:cs="仿宋"/>
          <w:b/>
          <w:bCs/>
          <w:kern w:val="0"/>
          <w:szCs w:val="24"/>
        </w:rPr>
        <w:t>排序与推荐。</w:t>
      </w:r>
      <w:r>
        <w:rPr>
          <w:rFonts w:hint="eastAsia" w:ascii="仿宋" w:hAnsi="仿宋" w:eastAsia="仿宋" w:cs="仿宋"/>
          <w:kern w:val="0"/>
          <w:szCs w:val="24"/>
        </w:rPr>
        <w:t>采用综合评分法的，中标候选人的排名</w:t>
      </w:r>
      <w:r>
        <w:rPr>
          <w:rFonts w:hint="eastAsia" w:ascii="仿宋" w:hAnsi="仿宋" w:eastAsia="仿宋" w:cs="仿宋"/>
          <w:kern w:val="0"/>
          <w:sz w:val="24"/>
        </w:rPr>
        <w:t>次序按投标人总得分从高到低顺序排列，即总得分最高者为第一中标候选人，次高的为第二中标候选人，以此类推。若出现总得分相同时，按投标报价得分由高到低顺序排列；若总得分且报价得分均相同的，按商务技术响应文件得分由高到低顺序排列；若以上两项均相同的，则抽签确定。</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说明：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多家代理商或经销商参加投标，如其中两家或两家以上供应商存在分级代理或代销关系，且提供的是其所代理品牌产品的，评审时，按上述规定确定其中一家为有效供应商。</w:t>
      </w:r>
    </w:p>
    <w:p>
      <w:pPr>
        <w:pStyle w:val="973"/>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同一家原生产厂商授权多家代理商参加投标的，评审时，按上述规定确定其中一家为有效供应商。</w:t>
      </w:r>
    </w:p>
    <w:p>
      <w:pPr>
        <w:pStyle w:val="973"/>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非单一产品采购项目，多家投标供应商提供的核心产品品牌相同的，按上述规定处理。</w:t>
      </w:r>
    </w:p>
    <w:p>
      <w:pPr>
        <w:pStyle w:val="973"/>
        <w:spacing w:line="440" w:lineRule="exact"/>
        <w:ind w:firstLine="482" w:firstLineChars="200"/>
        <w:rPr>
          <w:rFonts w:hint="eastAsia" w:ascii="仿宋" w:hAnsi="仿宋" w:eastAsia="仿宋" w:cs="仿宋"/>
          <w:kern w:val="0"/>
          <w:sz w:val="24"/>
        </w:rPr>
      </w:pPr>
      <w:r>
        <w:rPr>
          <w:rFonts w:hint="eastAsia" w:ascii="仿宋" w:hAnsi="仿宋" w:eastAsia="仿宋" w:cs="仿宋"/>
          <w:b/>
          <w:bCs/>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hint="eastAsia" w:ascii="仿宋" w:hAnsi="仿宋" w:eastAsia="仿宋" w:cs="仿宋"/>
          <w:b/>
          <w:sz w:val="32"/>
        </w:rPr>
      </w:pPr>
      <w:r>
        <w:rPr>
          <w:rFonts w:hint="eastAsia" w:ascii="仿宋" w:hAnsi="仿宋" w:eastAsia="仿宋" w:cs="仿宋"/>
          <w:b/>
          <w:sz w:val="32"/>
        </w:rPr>
        <w:t>四、评标中的其他事项</w:t>
      </w:r>
    </w:p>
    <w:p>
      <w:pPr>
        <w:pStyle w:val="133"/>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5"/>
        <w:ind w:left="218" w:leftChars="104" w:firstLine="208"/>
        <w:rPr>
          <w:rFonts w:hint="eastAsia" w:eastAsia="仿宋"/>
          <w:lang w:val="en-US" w:eastAsia="zh-CN"/>
        </w:rPr>
      </w:pPr>
      <w:r>
        <w:rPr>
          <w:rFonts w:hint="eastAsia" w:ascii="仿宋" w:eastAsia="仿宋" w:cs="仿宋"/>
          <w:b w:val="0"/>
          <w:bCs w:val="0"/>
          <w:kern w:val="0"/>
          <w:sz w:val="24"/>
          <w:szCs w:val="24"/>
          <w:lang w:val="en-US"/>
        </w:rPr>
        <w:t>4.2.15在资格证明文件或商务技术文件中出现投标报价的，或者报价文件中报价的服务跟商务技术文件中的投标服务出现重大偏差的</w:t>
      </w:r>
      <w:r>
        <w:rPr>
          <w:rFonts w:hint="eastAsia" w:ascii="仿宋" w:hAnsi="仿宋" w:eastAsia="仿宋" w:cs="仿宋"/>
          <w:kern w:val="0"/>
          <w:sz w:val="24"/>
        </w:rPr>
        <w:t>；</w:t>
      </w:r>
    </w:p>
    <w:p>
      <w:pPr>
        <w:pStyle w:val="26"/>
        <w:snapToGrid w:val="0"/>
        <w:spacing w:line="360" w:lineRule="auto"/>
        <w:ind w:firstLine="470" w:firstLineChars="196"/>
        <w:rPr>
          <w:rFonts w:hint="eastAsia" w:ascii="仿宋" w:eastAsia="仿宋" w:cs="仿宋"/>
          <w:b w:val="0"/>
          <w:bCs w:val="0"/>
          <w:kern w:val="0"/>
          <w:sz w:val="24"/>
          <w:szCs w:val="24"/>
          <w:lang w:val="en-US" w:eastAsia="zh-CN"/>
        </w:rPr>
      </w:pPr>
      <w:r>
        <w:rPr>
          <w:rFonts w:hint="eastAsia" w:ascii="仿宋" w:eastAsia="仿宋" w:cs="仿宋"/>
          <w:b w:val="0"/>
          <w:bCs w:val="0"/>
          <w:kern w:val="0"/>
          <w:sz w:val="24"/>
          <w:szCs w:val="24"/>
          <w:lang w:val="en-US"/>
        </w:rPr>
        <w:t>4.2.1</w:t>
      </w:r>
      <w:r>
        <w:rPr>
          <w:rFonts w:hint="eastAsia" w:ascii="仿宋" w:eastAsia="仿宋" w:cs="仿宋"/>
          <w:b w:val="0"/>
          <w:bCs w:val="0"/>
          <w:kern w:val="0"/>
          <w:sz w:val="24"/>
          <w:szCs w:val="24"/>
          <w:lang w:val="en-US" w:eastAsia="zh-CN"/>
        </w:rPr>
        <w:t>6政采云平台项目采购系统显示投标供应商的 IP、MAC、设备硬件等信息重复的。</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54"/>
      <w:bookmarkStart w:id="422" w:name="第五部分"/>
      <w:bookmarkStart w:id="423" w:name="_Toc86217003"/>
      <w:r>
        <w:rPr>
          <w:rFonts w:hint="eastAsia" w:ascii="仿宋" w:hAnsi="仿宋" w:eastAsia="仿宋" w:cs="仿宋"/>
          <w:b/>
          <w:sz w:val="36"/>
          <w:szCs w:val="36"/>
        </w:rPr>
        <w:t xml:space="preserve">    </w:t>
      </w: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pStyle w:val="4"/>
        <w:spacing w:after="0" w:line="360" w:lineRule="auto"/>
        <w:ind w:left="431" w:hanging="431"/>
        <w:jc w:val="center"/>
        <w:rPr>
          <w:rFonts w:ascii="仿宋" w:hAnsi="仿宋" w:eastAsia="仿宋" w:cs="仿宋"/>
        </w:rPr>
      </w:pPr>
      <w:bookmarkStart w:id="424" w:name="_Toc16397"/>
      <w:r>
        <w:rPr>
          <w:rFonts w:hint="eastAsia" w:ascii="仿宋" w:hAnsi="仿宋" w:eastAsia="仿宋" w:cs="仿宋"/>
        </w:rPr>
        <w:t>第五部分 拟签订的合同文本</w:t>
      </w:r>
      <w:bookmarkEnd w:id="424"/>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before="120" w:line="22" w:lineRule="atLeast"/>
        <w:rPr>
          <w:rFonts w:ascii="仿宋" w:hAnsi="仿宋" w:eastAsia="仿宋" w:cs="仿宋"/>
          <w:sz w:val="24"/>
        </w:rPr>
      </w:pPr>
    </w:p>
    <w:p>
      <w:pPr>
        <w:pStyle w:val="5"/>
        <w:rPr>
          <w:rFonts w:ascii="仿宋" w:eastAsia="仿宋" w:cs="仿宋"/>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1"/>
        <w:spacing w:before="120" w:line="22" w:lineRule="atLeast"/>
        <w:rPr>
          <w:rFonts w:ascii="仿宋" w:hAnsi="仿宋" w:eastAsia="仿宋" w:cs="仿宋"/>
          <w:szCs w:val="24"/>
        </w:rPr>
      </w:pPr>
    </w:p>
    <w:p>
      <w:pPr>
        <w:pStyle w:val="601"/>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footerReference r:id="rId9" w:type="first"/>
          <w:headerReference r:id="rId7" w:type="default"/>
          <w:footerReference r:id="rId8" w:type="default"/>
          <w:pgSz w:w="11905" w:h="16838"/>
          <w:pgMar w:top="1440" w:right="1083" w:bottom="1440" w:left="1083" w:header="567" w:footer="567" w:gutter="0"/>
          <w:pgNumType w:fmt="decimal" w:start="1"/>
          <w:cols w:space="0" w:num="1"/>
          <w:titlePg/>
        </w:sectPr>
      </w:pPr>
    </w:p>
    <w:p>
      <w:pPr>
        <w:snapToGrid w:val="0"/>
        <w:spacing w:line="360" w:lineRule="auto"/>
        <w:rPr>
          <w:rFonts w:ascii="仿宋" w:hAnsi="仿宋" w:eastAsia="仿宋" w:cs="宋体"/>
          <w:sz w:val="24"/>
        </w:rPr>
      </w:pPr>
      <w:r>
        <w:rPr>
          <w:rFonts w:hint="eastAsia" w:ascii="仿宋" w:hAnsi="仿宋" w:eastAsia="仿宋" w:cs="宋体"/>
          <w:sz w:val="24"/>
        </w:rPr>
        <w:t>项目名称：</w:t>
      </w:r>
      <w:r>
        <w:rPr>
          <w:rFonts w:hint="eastAsia" w:ascii="仿宋" w:hAnsi="仿宋" w:eastAsia="仿宋" w:cs="宋体"/>
          <w:sz w:val="24"/>
          <w:u w:val="single"/>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项目编号：</w:t>
      </w:r>
      <w:r>
        <w:rPr>
          <w:rFonts w:hint="eastAsia" w:ascii="仿宋" w:hAnsi="仿宋" w:eastAsia="仿宋" w:cs="宋体"/>
          <w:b/>
          <w:sz w:val="24"/>
          <w:u w:val="single"/>
        </w:rPr>
        <w:t xml:space="preserve">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甲    方：</w:t>
      </w:r>
      <w:r>
        <w:rPr>
          <w:rFonts w:hint="eastAsia" w:ascii="仿宋" w:hAnsi="仿宋" w:eastAsia="仿宋" w:cs="仿宋"/>
          <w:sz w:val="24"/>
          <w:u w:val="single"/>
        </w:rPr>
        <w:t xml:space="preserve">（采购人）                                 </w:t>
      </w:r>
    </w:p>
    <w:p>
      <w:pPr>
        <w:pStyle w:val="34"/>
        <w:snapToGrid w:val="0"/>
        <w:spacing w:before="120" w:after="120" w:line="360" w:lineRule="auto"/>
        <w:rPr>
          <w:rFonts w:ascii="仿宋" w:hAnsi="仿宋" w:eastAsia="仿宋" w:cs="仿宋"/>
          <w:sz w:val="24"/>
        </w:rPr>
      </w:pPr>
      <w:r>
        <w:rPr>
          <w:rFonts w:hint="eastAsia" w:ascii="仿宋" w:hAnsi="仿宋" w:eastAsia="仿宋" w:cs="仿宋"/>
          <w:sz w:val="24"/>
        </w:rPr>
        <w:t>所 在 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乙    方：</w:t>
      </w:r>
      <w:r>
        <w:rPr>
          <w:rFonts w:hint="eastAsia" w:ascii="仿宋" w:hAnsi="仿宋" w:eastAsia="仿宋" w:cs="仿宋"/>
          <w:sz w:val="24"/>
          <w:u w:val="single"/>
        </w:rPr>
        <w:t xml:space="preserve">（中标人）                                 </w:t>
      </w:r>
    </w:p>
    <w:p>
      <w:pPr>
        <w:pStyle w:val="34"/>
        <w:snapToGrid w:val="0"/>
        <w:spacing w:before="120" w:after="120" w:line="360" w:lineRule="auto"/>
        <w:rPr>
          <w:rFonts w:ascii="仿宋" w:hAnsi="仿宋" w:eastAsia="仿宋" w:cs="仿宋"/>
          <w:sz w:val="24"/>
          <w:u w:val="single"/>
        </w:rPr>
      </w:pPr>
      <w:r>
        <w:rPr>
          <w:rFonts w:hint="eastAsia" w:ascii="仿宋" w:hAnsi="仿宋" w:eastAsia="仿宋" w:cs="仿宋"/>
          <w:sz w:val="24"/>
        </w:rPr>
        <w:t>所 在 地：</w:t>
      </w:r>
      <w:r>
        <w:rPr>
          <w:rFonts w:hint="eastAsia" w:ascii="仿宋" w:hAnsi="仿宋" w:eastAsia="仿宋" w:cs="仿宋"/>
          <w:sz w:val="24"/>
          <w:u w:val="single"/>
        </w:rPr>
        <w:t xml:space="preserve">                                           </w:t>
      </w:r>
    </w:p>
    <w:p>
      <w:pPr>
        <w:rPr>
          <w:rFonts w:ascii="仿宋" w:hAnsi="仿宋" w:eastAsia="仿宋" w:cs="仿宋"/>
          <w:b/>
          <w:sz w:val="24"/>
        </w:rPr>
      </w:pPr>
    </w:p>
    <w:p>
      <w:pPr>
        <w:pStyle w:val="34"/>
        <w:snapToGrid w:val="0"/>
        <w:spacing w:line="360" w:lineRule="auto"/>
        <w:ind w:firstLine="480" w:firstLineChars="200"/>
        <w:rPr>
          <w:rFonts w:ascii="仿宋" w:hAnsi="仿宋" w:eastAsia="仿宋" w:cs="仿宋"/>
          <w:b/>
          <w:sz w:val="24"/>
        </w:rPr>
      </w:pPr>
      <w:r>
        <w:rPr>
          <w:rFonts w:hint="eastAsia" w:ascii="仿宋" w:hAnsi="仿宋" w:eastAsia="仿宋" w:cs="仿宋"/>
          <w:sz w:val="24"/>
        </w:rPr>
        <w:t>甲、乙双方根据××（采购组织机构名称）关于××单位××项目公开招标的结果，签署本合同。</w:t>
      </w:r>
    </w:p>
    <w:p>
      <w:pPr>
        <w:pStyle w:val="34"/>
        <w:snapToGrid w:val="0"/>
        <w:spacing w:line="360" w:lineRule="auto"/>
        <w:ind w:firstLine="482" w:firstLineChars="200"/>
        <w:outlineLvl w:val="1"/>
        <w:rPr>
          <w:rFonts w:ascii="仿宋" w:hAnsi="仿宋" w:eastAsia="仿宋" w:cs="仿宋"/>
          <w:b/>
          <w:sz w:val="24"/>
          <w:lang w:val="zh-CN"/>
        </w:rPr>
      </w:pPr>
      <w:r>
        <w:rPr>
          <w:rFonts w:hint="eastAsia" w:ascii="仿宋" w:hAnsi="仿宋" w:eastAsia="仿宋" w:cs="仿宋"/>
          <w:b/>
          <w:sz w:val="24"/>
          <w:lang w:val="zh-CN"/>
        </w:rPr>
        <w:t xml:space="preserve">一、合同文件： </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1.合同条款。</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2.中标通知书。</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3.更正补充文件。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4.招标文件。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5.中标人投标文件。</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6.其他。</w:t>
      </w:r>
    </w:p>
    <w:p>
      <w:pPr>
        <w:pStyle w:val="34"/>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上述所指合同文件应认为是互相补充和解释的，但是有模棱两可或互相矛盾之处，以其所列内容顺序为准。</w:t>
      </w:r>
    </w:p>
    <w:p>
      <w:pPr>
        <w:shd w:val="clear" w:color="auto" w:fill="FFFFFF"/>
        <w:spacing w:line="360" w:lineRule="auto"/>
        <w:ind w:firstLine="482" w:firstLineChars="200"/>
        <w:rPr>
          <w:rFonts w:ascii="仿宋" w:hAnsi="仿宋" w:eastAsia="仿宋" w:cs="Arial"/>
          <w:b/>
          <w:sz w:val="24"/>
        </w:rPr>
      </w:pPr>
      <w:r>
        <w:rPr>
          <w:rFonts w:hint="eastAsia" w:ascii="仿宋" w:hAnsi="仿宋" w:eastAsia="仿宋"/>
          <w:b/>
          <w:sz w:val="24"/>
        </w:rPr>
        <w:t>二、</w:t>
      </w:r>
      <w:r>
        <w:rPr>
          <w:rFonts w:ascii="仿宋" w:hAnsi="仿宋" w:eastAsia="仿宋" w:cs="Arial"/>
          <w:b/>
          <w:sz w:val="24"/>
        </w:rPr>
        <w:t>合同内容及服务标准</w:t>
      </w:r>
    </w:p>
    <w:p>
      <w:pPr>
        <w:shd w:val="clear" w:color="auto" w:fill="FFFFFF"/>
        <w:spacing w:line="360" w:lineRule="auto"/>
        <w:ind w:firstLine="480" w:firstLineChars="200"/>
        <w:rPr>
          <w:rFonts w:ascii="仿宋" w:hAnsi="仿宋" w:eastAsia="仿宋" w:cs="Arial"/>
          <w:sz w:val="24"/>
        </w:rPr>
      </w:pPr>
      <w:r>
        <w:rPr>
          <w:rFonts w:ascii="仿宋" w:hAnsi="仿宋" w:eastAsia="仿宋" w:cs="Arial"/>
          <w:sz w:val="24"/>
        </w:rPr>
        <w:t>（具体见项目需求）</w:t>
      </w:r>
    </w:p>
    <w:p>
      <w:pPr>
        <w:pStyle w:val="34"/>
        <w:snapToGrid w:val="0"/>
        <w:spacing w:line="360" w:lineRule="auto"/>
        <w:ind w:firstLine="482" w:firstLineChars="200"/>
        <w:rPr>
          <w:rFonts w:ascii="仿宋" w:hAnsi="仿宋" w:eastAsia="仿宋"/>
          <w:b/>
          <w:sz w:val="24"/>
        </w:rPr>
      </w:pPr>
      <w:r>
        <w:rPr>
          <w:rFonts w:hint="eastAsia" w:ascii="仿宋" w:hAnsi="仿宋" w:eastAsia="仿宋" w:cs="宋体"/>
          <w:b/>
          <w:sz w:val="24"/>
        </w:rPr>
        <w:t>三、合同金额</w:t>
      </w:r>
    </w:p>
    <w:p>
      <w:pPr>
        <w:pStyle w:val="34"/>
        <w:snapToGrid w:val="0"/>
        <w:spacing w:line="360" w:lineRule="auto"/>
        <w:ind w:firstLine="480" w:firstLineChars="200"/>
        <w:rPr>
          <w:rFonts w:ascii="仿宋" w:hAnsi="仿宋" w:eastAsia="仿宋"/>
          <w:sz w:val="24"/>
        </w:rPr>
      </w:pPr>
      <w:r>
        <w:rPr>
          <w:rFonts w:hint="eastAsia" w:ascii="仿宋" w:hAnsi="仿宋" w:eastAsia="仿宋" w:cs="宋体"/>
          <w:sz w:val="24"/>
        </w:rPr>
        <w:t>本合同金额为（大写）：</w:t>
      </w:r>
      <w:r>
        <w:rPr>
          <w:rFonts w:ascii="仿宋" w:hAnsi="仿宋" w:eastAsia="仿宋"/>
          <w:sz w:val="24"/>
        </w:rPr>
        <w:t>___________________</w:t>
      </w:r>
      <w:r>
        <w:rPr>
          <w:rFonts w:hint="eastAsia" w:ascii="仿宋" w:hAnsi="仿宋" w:eastAsia="仿宋" w:cs="宋体"/>
          <w:sz w:val="24"/>
        </w:rPr>
        <w:t>元（￥</w:t>
      </w:r>
      <w:r>
        <w:rPr>
          <w:rFonts w:ascii="仿宋" w:hAnsi="仿宋" w:eastAsia="仿宋"/>
          <w:sz w:val="24"/>
        </w:rPr>
        <w:t>________</w:t>
      </w:r>
      <w:r>
        <w:rPr>
          <w:rFonts w:hint="eastAsia" w:ascii="仿宋" w:hAnsi="仿宋" w:eastAsia="仿宋" w:cs="宋体"/>
          <w:sz w:val="24"/>
        </w:rPr>
        <w:t>元）人民币。</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四、技术资料</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乙方应按招标文件规定的时间向甲方提供有关技术资料。</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五、知识产权</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乙方应保证提供服务过程中不会侵犯任何第三方的知识产权和其他权利。</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本项目所有成果以及采集的数据的知识产权和其他权利属甲方所有，乙方不得以任何形式向第三方提供，否则，按国家法律和有关规定追究乙方的一切责任，并要求乙方承担甲方因此造成的损失。</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lang w:val="en-US" w:eastAsia="zh-CN"/>
        </w:rPr>
        <w:t>.</w:t>
      </w:r>
      <w:r>
        <w:rPr>
          <w:rFonts w:hint="eastAsia" w:ascii="仿宋" w:hAnsi="仿宋" w:eastAsia="仿宋" w:cs="宋体"/>
          <w:sz w:val="24"/>
        </w:rPr>
        <w:t>本项目作业过程中提供的或涉及的所有数据属甲方拥有，乙方无权在技术要求规定之外自行处置数据，不得自行删除、复制、调整完善、转移数据，不得以任何形式向第三方提供。</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4</w:t>
      </w:r>
      <w:r>
        <w:rPr>
          <w:rFonts w:hint="eastAsia" w:ascii="仿宋" w:hAnsi="仿宋" w:eastAsia="仿宋" w:cs="宋体"/>
          <w:sz w:val="24"/>
          <w:lang w:val="en-US" w:eastAsia="zh-CN"/>
        </w:rPr>
        <w:t>.</w:t>
      </w:r>
      <w:r>
        <w:rPr>
          <w:rFonts w:hint="eastAsia" w:ascii="仿宋" w:hAnsi="仿宋" w:eastAsia="仿宋" w:cs="宋体"/>
          <w:sz w:val="24"/>
        </w:rPr>
        <w:t>若侵犯,由乙方赔偿甲方因此遭受的损失（包括但不限于应对及追偿过程中所支付的律师费、差旅费、诉讼费、保全费、鉴定费、评估费等）。</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六、转包或分包</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本合同范围的服务，应由乙方直接供应，不得转让他人供应；</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如有转</w:t>
      </w:r>
      <w:r>
        <w:rPr>
          <w:rFonts w:hint="eastAsia" w:ascii="仿宋" w:hAnsi="仿宋" w:eastAsia="仿宋" w:cs="宋体"/>
          <w:sz w:val="24"/>
          <w:lang w:val="en-US" w:eastAsia="zh-CN"/>
        </w:rPr>
        <w:t>包或</w:t>
      </w:r>
      <w:r>
        <w:rPr>
          <w:rFonts w:hint="eastAsia" w:ascii="仿宋" w:hAnsi="仿宋" w:eastAsia="仿宋" w:cs="宋体"/>
          <w:sz w:val="24"/>
        </w:rPr>
        <w:t>未经甲方同意的分包行为，甲方有权解除合同，并追究乙方的违约责任。</w:t>
      </w:r>
    </w:p>
    <w:p>
      <w:pPr>
        <w:pStyle w:val="34"/>
        <w:snapToGrid w:val="0"/>
        <w:spacing w:line="360" w:lineRule="auto"/>
        <w:ind w:firstLine="482" w:firstLineChars="200"/>
        <w:rPr>
          <w:rFonts w:hint="default" w:ascii="仿宋" w:hAnsi="仿宋" w:eastAsia="仿宋" w:cs="宋体"/>
          <w:b/>
          <w:sz w:val="24"/>
          <w:lang w:val="en-US" w:eastAsia="zh-CN"/>
        </w:rPr>
      </w:pPr>
      <w:r>
        <w:rPr>
          <w:rFonts w:hint="eastAsia" w:ascii="仿宋" w:hAnsi="仿宋" w:eastAsia="仿宋" w:cs="宋体"/>
          <w:b/>
          <w:sz w:val="24"/>
        </w:rPr>
        <w:t>七、项目</w:t>
      </w:r>
      <w:r>
        <w:rPr>
          <w:rFonts w:hint="eastAsia" w:ascii="仿宋" w:hAnsi="仿宋" w:eastAsia="仿宋" w:cs="宋体"/>
          <w:b/>
          <w:sz w:val="24"/>
          <w:lang w:val="en-US" w:eastAsia="zh-CN"/>
        </w:rPr>
        <w:t>进度要求</w:t>
      </w:r>
    </w:p>
    <w:p>
      <w:pPr>
        <w:pStyle w:val="34"/>
        <w:snapToGrid w:val="0"/>
        <w:spacing w:line="360" w:lineRule="auto"/>
        <w:ind w:firstLine="482" w:firstLineChars="200"/>
        <w:rPr>
          <w:rFonts w:hint="eastAsia" w:ascii="仿宋" w:hAnsi="仿宋" w:eastAsia="仿宋" w:cs="宋体"/>
          <w:b/>
          <w:bCs/>
          <w:sz w:val="24"/>
          <w:lang w:val="en-US" w:eastAsia="zh-CN"/>
        </w:rPr>
      </w:pPr>
      <w:r>
        <w:rPr>
          <w:rFonts w:hint="eastAsia" w:ascii="仿宋" w:hAnsi="仿宋" w:eastAsia="仿宋" w:cs="宋体"/>
          <w:b/>
          <w:bCs/>
          <w:sz w:val="24"/>
          <w:lang w:val="en-US" w:eastAsia="zh-CN"/>
        </w:rPr>
        <w:t>1.大气颗粒物组分分析：</w:t>
      </w:r>
    </w:p>
    <w:p>
      <w:pPr>
        <w:pStyle w:val="34"/>
        <w:snapToGrid w:val="0"/>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（1）检测报告：服务期结束后三个月内，提供服务期内检测报告的纸质盖章版和电子版各1套。</w:t>
      </w:r>
    </w:p>
    <w:p>
      <w:pPr>
        <w:pStyle w:val="34"/>
        <w:snapToGrid w:val="0"/>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（2）质控报告：服务期结束后三个月内，提供服务期内质控报告的纸质盖章版和电子版各1份，对监测质量保证与质量控制进行总结，以体现监测工作的规范性和数据的科学性与准确性。</w:t>
      </w:r>
    </w:p>
    <w:p>
      <w:pPr>
        <w:pStyle w:val="34"/>
        <w:snapToGrid w:val="0"/>
        <w:spacing w:line="360" w:lineRule="auto"/>
        <w:ind w:firstLine="482" w:firstLineChars="200"/>
        <w:rPr>
          <w:rFonts w:hint="eastAsia" w:ascii="仿宋" w:hAnsi="仿宋" w:eastAsia="仿宋" w:cs="宋体"/>
          <w:b/>
          <w:bCs/>
          <w:sz w:val="24"/>
          <w:lang w:val="en-US" w:eastAsia="zh-CN"/>
        </w:rPr>
      </w:pPr>
      <w:r>
        <w:rPr>
          <w:rFonts w:hint="eastAsia" w:ascii="仿宋" w:hAnsi="仿宋" w:eastAsia="仿宋" w:cs="宋体"/>
          <w:b/>
          <w:bCs/>
          <w:sz w:val="24"/>
          <w:lang w:val="en-US" w:eastAsia="zh-CN"/>
        </w:rPr>
        <w:t>2.重点断面水生态监测：</w:t>
      </w:r>
    </w:p>
    <w:p>
      <w:pPr>
        <w:pStyle w:val="34"/>
        <w:snapToGrid w:val="0"/>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（1）8月底前完成春季水生生物调查样品的分析鉴定工作；</w:t>
      </w:r>
    </w:p>
    <w:p>
      <w:pPr>
        <w:pStyle w:val="34"/>
        <w:snapToGrid w:val="0"/>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（2）原则上应于10月15日前完成秋季水生生物调查采样工作；并尽快完成相关样品的分析鉴定工作。</w:t>
      </w:r>
    </w:p>
    <w:p>
      <w:pPr>
        <w:pStyle w:val="34"/>
        <w:snapToGrid w:val="0"/>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（3）12月12日前，完成数据汇总分析，提交台州市国省控断面水生态调查评估报告。</w:t>
      </w:r>
    </w:p>
    <w:p>
      <w:pPr>
        <w:pStyle w:val="34"/>
        <w:snapToGrid w:val="0"/>
        <w:spacing w:line="360" w:lineRule="auto"/>
        <w:ind w:firstLine="482" w:firstLineChars="200"/>
        <w:rPr>
          <w:rFonts w:hint="eastAsia" w:ascii="仿宋" w:hAnsi="仿宋" w:eastAsia="仿宋" w:cs="宋体"/>
          <w:b/>
          <w:bCs/>
          <w:sz w:val="24"/>
          <w:lang w:eastAsia="zh-CN"/>
        </w:rPr>
      </w:pPr>
      <w:r>
        <w:rPr>
          <w:rFonts w:hint="eastAsia" w:ascii="仿宋" w:hAnsi="仿宋" w:eastAsia="仿宋" w:cs="宋体"/>
          <w:b/>
          <w:bCs/>
          <w:sz w:val="24"/>
          <w:lang w:val="en-US" w:eastAsia="zh-CN"/>
        </w:rPr>
        <w:t>3.</w:t>
      </w:r>
      <w:r>
        <w:rPr>
          <w:rFonts w:hint="eastAsia" w:ascii="仿宋" w:hAnsi="仿宋" w:eastAsia="仿宋" w:cs="宋体"/>
          <w:b/>
          <w:bCs/>
          <w:sz w:val="24"/>
        </w:rPr>
        <w:t>遥感点位现场核查</w:t>
      </w:r>
      <w:r>
        <w:rPr>
          <w:rFonts w:hint="eastAsia" w:ascii="仿宋" w:hAnsi="仿宋" w:eastAsia="仿宋" w:cs="宋体"/>
          <w:b/>
          <w:bCs/>
          <w:sz w:val="24"/>
          <w:lang w:eastAsia="zh-CN"/>
        </w:rPr>
        <w:t>：</w:t>
      </w:r>
    </w:p>
    <w:p>
      <w:pPr>
        <w:pStyle w:val="34"/>
        <w:snapToGrid w:val="0"/>
        <w:spacing w:line="360" w:lineRule="auto"/>
        <w:ind w:firstLine="480" w:firstLineChars="200"/>
        <w:rPr>
          <w:rFonts w:hint="eastAsia" w:eastAsia="仿宋"/>
          <w:lang w:eastAsia="zh-CN"/>
        </w:rPr>
      </w:pPr>
      <w:r>
        <w:rPr>
          <w:rFonts w:hint="eastAsia" w:ascii="仿宋" w:hAnsi="仿宋" w:eastAsia="仿宋" w:cs="宋体"/>
          <w:sz w:val="24"/>
        </w:rPr>
        <w:t>核查点位下发后，</w:t>
      </w:r>
      <w:r>
        <w:rPr>
          <w:rFonts w:hint="eastAsia" w:ascii="仿宋" w:hAnsi="仿宋" w:eastAsia="仿宋" w:cs="宋体"/>
          <w:sz w:val="24"/>
          <w:lang w:val="en-US" w:eastAsia="zh-CN"/>
        </w:rPr>
        <w:t>乙方</w:t>
      </w:r>
      <w:r>
        <w:rPr>
          <w:rFonts w:hint="eastAsia" w:ascii="仿宋" w:hAnsi="仿宋" w:eastAsia="仿宋" w:cs="宋体"/>
          <w:sz w:val="24"/>
        </w:rPr>
        <w:t>原则上应在45天内完成相关点位的现场核查，并提供照片、动态核查结果表和边界核查结果表。上级部门另有限期要求的，须在限期要求时间内完成</w:t>
      </w:r>
      <w:r>
        <w:rPr>
          <w:rFonts w:hint="eastAsia" w:ascii="仿宋" w:hAnsi="仿宋" w:eastAsia="仿宋" w:cs="宋体"/>
          <w:sz w:val="24"/>
          <w:lang w:eastAsia="zh-CN"/>
        </w:rPr>
        <w:t>。</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八、付款方式</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合同生效以及具备实施条件后支付合同金额的55%作为预付款（具体视签订合同时财政资金情况商定）；重点断面水生态监测和遥感点位现场核查项目验收完成后，根据财政资金情况支付至合同金额的85%；大气颗粒物组分分析项目验收完成后，根据财政资金情况付清余款。每次付款中标方均需提供等额的正式发票。</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p>
    <w:p>
      <w:pPr>
        <w:widowControl w:val="0"/>
        <w:adjustRightInd w:val="0"/>
        <w:snapToGrid w:val="0"/>
        <w:spacing w:line="360" w:lineRule="auto"/>
        <w:ind w:firstLine="480" w:firstLineChars="200"/>
        <w:jc w:val="both"/>
        <w:rPr>
          <w:rFonts w:hint="eastAsia" w:ascii="仿宋" w:hAnsi="仿宋" w:eastAsia="仿宋" w:cs="仿宋"/>
          <w:b w:val="0"/>
          <w:bCs/>
          <w:snapToGrid w:val="0"/>
          <w:kern w:val="2"/>
          <w:sz w:val="24"/>
          <w:szCs w:val="21"/>
          <w:lang w:val="en-US" w:eastAsia="zh-CN" w:bidi="ar-SA"/>
        </w:rPr>
      </w:pPr>
      <w:r>
        <w:rPr>
          <w:rFonts w:hint="eastAsia" w:ascii="仿宋" w:hAnsi="仿宋" w:eastAsia="仿宋" w:cs="仿宋"/>
          <w:b w:val="0"/>
          <w:bCs/>
          <w:snapToGrid w:val="0"/>
          <w:kern w:val="2"/>
          <w:sz w:val="24"/>
          <w:szCs w:val="21"/>
          <w:lang w:val="en-US" w:eastAsia="zh-CN" w:bidi="ar-SA"/>
        </w:rPr>
        <w:t>有关本项目实施所涉及的一切费用均计入报价，包括所有人员的人工费、交通费、住宿费、伙食费、办公设施费、管理费、利润、税金等一切费用。</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九、税费</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本合同执行中相关的一切税费均由乙方负担。</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十、违约责任</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1.甲方无正当理由拒收接受服务的，甲方向乙方支付合同款项百分之五作为违约金。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2.甲方无故逾期验收和办理款项支付手续的，甲方应按逾期付款总额向乙方支付每日万分之五违约金。</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 xml:space="preserve">3.乙方逾期提供服务的，乙方应按逾期天数向甲方支付每日万分之五违约金。逾期超过约定日期10个工作日不能交货的，甲方可解除本合同。乙方因逾期提交项目成果或因其他违约行为导致甲方解除合同的，乙方应向甲方支付合同款项百分之五的违约金，如造成甲方损失超过违约金的，超出部分由乙方继续承担赔偿责任。 </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4.若发生纠纷，由违约方赔偿守约方因纠纷所支付的费用（包括但不限于律师费、差旅费、诉讼费、保全费、鉴定费、评估费等）。</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十一、不可抗力事件处理</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在合同有效期内，任何一方因不可抗力事件导致不能履行合同，则合同履行期可延长，其延长期与不可抗力影响期相同。</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不可抗力事件发生后，应立即通知对方，并寄送有关权威机构出具的证明。</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lang w:val="en-US" w:eastAsia="zh-CN"/>
        </w:rPr>
        <w:t>.</w:t>
      </w:r>
      <w:r>
        <w:rPr>
          <w:rFonts w:hint="eastAsia" w:ascii="仿宋" w:hAnsi="仿宋" w:eastAsia="仿宋" w:cs="宋体"/>
          <w:sz w:val="24"/>
        </w:rPr>
        <w:t>不可抗力事件延续120天以上，双方应通过友好协商，确定是否继续履行合同。</w:t>
      </w:r>
    </w:p>
    <w:p>
      <w:pPr>
        <w:widowControl w:val="0"/>
        <w:adjustRightInd w:val="0"/>
        <w:snapToGrid w:val="0"/>
        <w:spacing w:line="360" w:lineRule="auto"/>
        <w:ind w:firstLine="482" w:firstLineChars="200"/>
        <w:jc w:val="both"/>
        <w:rPr>
          <w:rFonts w:hint="eastAsia" w:ascii="仿宋" w:hAnsi="仿宋" w:eastAsia="仿宋" w:cs="仿宋"/>
          <w:b/>
          <w:snapToGrid w:val="0"/>
          <w:kern w:val="2"/>
          <w:sz w:val="24"/>
          <w:szCs w:val="21"/>
          <w:lang w:val="en-US" w:eastAsia="zh-CN" w:bidi="ar-SA"/>
        </w:rPr>
      </w:pPr>
      <w:r>
        <w:rPr>
          <w:rFonts w:hint="eastAsia" w:ascii="仿宋" w:hAnsi="仿宋" w:eastAsia="仿宋" w:cs="宋体"/>
          <w:b/>
          <w:sz w:val="24"/>
        </w:rPr>
        <w:t>十二、</w:t>
      </w:r>
      <w:r>
        <w:rPr>
          <w:rFonts w:hint="eastAsia" w:ascii="仿宋" w:hAnsi="仿宋" w:eastAsia="仿宋" w:cs="仿宋"/>
          <w:b/>
          <w:snapToGrid w:val="0"/>
          <w:kern w:val="2"/>
          <w:sz w:val="24"/>
          <w:szCs w:val="21"/>
          <w:lang w:val="en-US" w:eastAsia="zh-CN" w:bidi="ar-SA"/>
        </w:rPr>
        <w:t>争议解决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如双方在履行合同时发生纠纷，应协商解决；协商不成时，可通过第（2）种方式解决：</w:t>
      </w:r>
    </w:p>
    <w:p>
      <w:pPr>
        <w:widowControl w:val="0"/>
        <w:adjustRightInd w:val="0"/>
        <w:snapToGrid w:val="0"/>
        <w:spacing w:line="360" w:lineRule="auto"/>
        <w:ind w:firstLine="480" w:firstLineChars="200"/>
        <w:jc w:val="both"/>
        <w:rPr>
          <w:rFonts w:hint="eastAsia" w:ascii="仿宋" w:hAnsi="仿宋" w:eastAsia="仿宋" w:cs="仿宋"/>
          <w:snapToGrid w:val="0"/>
          <w:kern w:val="2"/>
          <w:sz w:val="24"/>
          <w:szCs w:val="21"/>
          <w:lang w:val="en-US" w:eastAsia="zh-CN" w:bidi="ar-SA"/>
        </w:rPr>
      </w:pPr>
      <w:r>
        <w:rPr>
          <w:rFonts w:hint="eastAsia" w:ascii="仿宋" w:hAnsi="仿宋" w:eastAsia="仿宋" w:cs="仿宋"/>
          <w:snapToGrid w:val="0"/>
          <w:kern w:val="2"/>
          <w:sz w:val="24"/>
          <w:szCs w:val="21"/>
          <w:lang w:val="en-US" w:eastAsia="zh-CN" w:bidi="ar-SA"/>
        </w:rPr>
        <w:t>（1）提交台州仲裁委员会仲裁。</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仿宋"/>
          <w:snapToGrid w:val="0"/>
          <w:kern w:val="2"/>
          <w:sz w:val="24"/>
          <w:szCs w:val="21"/>
          <w:lang w:val="en-US" w:eastAsia="zh-CN" w:bidi="ar-SA"/>
        </w:rPr>
        <w:t>（2）依法向甲方所在地人民法院提起诉讼。</w:t>
      </w:r>
      <w:r>
        <w:rPr>
          <w:rFonts w:hint="eastAsia" w:ascii="仿宋" w:hAnsi="仿宋" w:eastAsia="仿宋" w:cs="宋体"/>
          <w:sz w:val="24"/>
        </w:rPr>
        <w:t xml:space="preserve"> </w:t>
      </w:r>
    </w:p>
    <w:p>
      <w:pPr>
        <w:pStyle w:val="34"/>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十三、合同生效及其它</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lang w:val="en-US" w:eastAsia="zh-CN"/>
        </w:rPr>
        <w:t>.</w:t>
      </w:r>
      <w:r>
        <w:rPr>
          <w:rFonts w:hint="eastAsia" w:ascii="仿宋" w:hAnsi="仿宋" w:eastAsia="仿宋" w:cs="宋体"/>
          <w:sz w:val="24"/>
        </w:rPr>
        <w:t>合同经双方法定代表人或授权代表签字并加盖单位公章后生效。</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en-US" w:eastAsia="zh-CN"/>
        </w:rPr>
        <w:t>.</w:t>
      </w:r>
      <w:r>
        <w:rPr>
          <w:rFonts w:hint="eastAsia" w:ascii="仿宋" w:hAnsi="仿宋" w:eastAsia="仿宋" w:cs="宋体"/>
          <w:sz w:val="24"/>
        </w:rPr>
        <w:t>合同执行中涉及采购资金和采购内容修改或补充的，须经财政部门审批，并签书面补充协议报政府采购监督管理部门备案，方为生效，届时才作为主合同不可分割的一部分。</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lang w:val="en-US" w:eastAsia="zh-CN"/>
        </w:rPr>
        <w:t>.</w:t>
      </w:r>
      <w:r>
        <w:rPr>
          <w:rFonts w:hint="eastAsia" w:ascii="仿宋" w:hAnsi="仿宋" w:eastAsia="仿宋" w:cs="宋体"/>
          <w:sz w:val="24"/>
        </w:rPr>
        <w:t>本合同未尽事宜，遵照《</w:t>
      </w:r>
      <w:r>
        <w:rPr>
          <w:rFonts w:hint="eastAsia" w:ascii="仿宋" w:hAnsi="仿宋" w:eastAsia="仿宋" w:cs="宋体"/>
          <w:sz w:val="24"/>
          <w:lang w:eastAsia="zh-CN"/>
        </w:rPr>
        <w:t>中华人民共和国民法典</w:t>
      </w:r>
      <w:r>
        <w:rPr>
          <w:rFonts w:hint="eastAsia" w:ascii="仿宋" w:hAnsi="仿宋" w:eastAsia="仿宋" w:cs="宋体"/>
          <w:sz w:val="24"/>
        </w:rPr>
        <w:t>》有关条文执行。</w:t>
      </w:r>
    </w:p>
    <w:p>
      <w:pPr>
        <w:pStyle w:val="34"/>
        <w:snapToGrid w:val="0"/>
        <w:spacing w:line="360" w:lineRule="auto"/>
        <w:ind w:firstLine="480" w:firstLineChars="200"/>
        <w:rPr>
          <w:rFonts w:ascii="仿宋" w:hAnsi="仿宋" w:eastAsia="仿宋" w:cs="宋体"/>
          <w:sz w:val="24"/>
        </w:rPr>
      </w:pPr>
      <w:bookmarkStart w:id="425" w:name="_Toc4250"/>
      <w:r>
        <w:rPr>
          <w:rFonts w:hint="eastAsia" w:ascii="仿宋" w:hAnsi="仿宋" w:eastAsia="仿宋" w:cs="宋体"/>
          <w:sz w:val="24"/>
        </w:rPr>
        <w:t>4</w:t>
      </w:r>
      <w:r>
        <w:rPr>
          <w:rFonts w:hint="eastAsia" w:ascii="仿宋" w:hAnsi="仿宋" w:eastAsia="仿宋" w:cs="宋体"/>
          <w:sz w:val="24"/>
          <w:lang w:val="en-US" w:eastAsia="zh-CN"/>
        </w:rPr>
        <w:t>.</w:t>
      </w:r>
      <w:r>
        <w:rPr>
          <w:rFonts w:hint="eastAsia" w:ascii="仿宋" w:hAnsi="仿宋" w:eastAsia="仿宋" w:cs="宋体"/>
          <w:sz w:val="24"/>
        </w:rPr>
        <w:t>本合同壹式</w:t>
      </w:r>
      <w:r>
        <w:rPr>
          <w:rFonts w:hint="eastAsia" w:ascii="仿宋" w:hAnsi="仿宋" w:eastAsia="仿宋" w:cs="宋体"/>
          <w:sz w:val="24"/>
          <w:lang w:val="en-US" w:eastAsia="zh-CN"/>
        </w:rPr>
        <w:t>伍</w:t>
      </w:r>
      <w:r>
        <w:rPr>
          <w:rFonts w:hint="eastAsia" w:ascii="仿宋" w:hAnsi="仿宋" w:eastAsia="仿宋" w:cs="宋体"/>
          <w:sz w:val="24"/>
        </w:rPr>
        <w:t>份，甲</w:t>
      </w:r>
      <w:r>
        <w:rPr>
          <w:rFonts w:hint="eastAsia" w:ascii="仿宋" w:hAnsi="仿宋" w:eastAsia="仿宋" w:cs="宋体"/>
          <w:sz w:val="24"/>
          <w:lang w:val="en-US" w:eastAsia="zh-CN"/>
        </w:rPr>
        <w:t>方执</w:t>
      </w:r>
      <w:r>
        <w:rPr>
          <w:rFonts w:hint="eastAsia" w:ascii="仿宋" w:hAnsi="仿宋" w:eastAsia="仿宋" w:cs="宋体"/>
          <w:sz w:val="24"/>
        </w:rPr>
        <w:t>贰</w:t>
      </w:r>
      <w:r>
        <w:rPr>
          <w:rFonts w:hint="eastAsia" w:ascii="仿宋" w:hAnsi="仿宋" w:eastAsia="仿宋" w:cs="宋体"/>
          <w:sz w:val="24"/>
          <w:lang w:val="en-US" w:eastAsia="zh-CN"/>
        </w:rPr>
        <w:t>份</w:t>
      </w:r>
      <w:r>
        <w:rPr>
          <w:rFonts w:hint="eastAsia" w:ascii="仿宋" w:hAnsi="仿宋" w:eastAsia="仿宋" w:cs="宋体"/>
          <w:sz w:val="24"/>
        </w:rPr>
        <w:t>、乙方各贰份、招标代理公司执壹份。本项目未尽事宜</w:t>
      </w:r>
      <w:r>
        <w:rPr>
          <w:rFonts w:hint="eastAsia" w:ascii="仿宋" w:hAnsi="仿宋" w:eastAsia="仿宋"/>
          <w:sz w:val="24"/>
        </w:rPr>
        <w:t>以招标文件、响应文件及澄清文件等为准</w:t>
      </w:r>
      <w:r>
        <w:rPr>
          <w:rFonts w:hint="eastAsia" w:ascii="仿宋" w:hAnsi="仿宋" w:eastAsia="仿宋" w:cs="宋体"/>
          <w:sz w:val="24"/>
        </w:rPr>
        <w:t>。</w:t>
      </w:r>
    </w:p>
    <w:p>
      <w:pPr>
        <w:pStyle w:val="34"/>
        <w:snapToGrid w:val="0"/>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hint="eastAsia" w:ascii="仿宋" w:hAnsi="仿宋" w:eastAsia="仿宋" w:cs="宋体"/>
          <w:sz w:val="24"/>
          <w:lang w:val="en-US" w:eastAsia="zh-CN"/>
        </w:rPr>
        <w:t>.</w:t>
      </w:r>
      <w:r>
        <w:rPr>
          <w:rFonts w:hint="eastAsia" w:ascii="仿宋" w:hAnsi="仿宋" w:eastAsia="仿宋" w:cs="宋体"/>
          <w:sz w:val="24"/>
        </w:rPr>
        <w:t>与本合同有关标书及记录同本合同具有同等法律效果。</w:t>
      </w:r>
    </w:p>
    <w:p>
      <w:pPr>
        <w:widowControl/>
        <w:spacing w:line="360" w:lineRule="auto"/>
        <w:rPr>
          <w:rFonts w:ascii="仿宋" w:hAnsi="仿宋" w:eastAsia="仿宋" w:cs="仿宋"/>
          <w:b/>
          <w:sz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委托方（甲方）：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处室负责人（签名）：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pPr>
        <w:keepNext w:val="0"/>
        <w:keepLines w:val="0"/>
        <w:pageBreakBefore w:val="0"/>
        <w:widowControl w:val="0"/>
        <w:kinsoku/>
        <w:wordWrap/>
        <w:overflowPunct/>
        <w:topLinePunct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受托方（乙方）：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项目经办人（签名）：</w:t>
      </w:r>
      <w:r>
        <w:rPr>
          <w:rFonts w:hint="eastAsia" w:ascii="仿宋" w:hAnsi="仿宋" w:eastAsia="仿宋" w:cs="仿宋"/>
          <w:sz w:val="24"/>
          <w:szCs w:val="24"/>
          <w:u w:val="single"/>
        </w:rPr>
        <w:t xml:space="preserve">           </w:t>
      </w:r>
      <w:r>
        <w:rPr>
          <w:rFonts w:hint="eastAsia" w:ascii="仿宋" w:hAnsi="仿宋" w:eastAsia="仿宋" w:cs="仿宋"/>
          <w:sz w:val="24"/>
          <w:szCs w:val="24"/>
        </w:rPr>
        <w:t>部门负责人（签名）：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法定代表人/委托代理人（签名）：</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合同见证方：</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469" w:beforeLines="150" w:after="469" w:afterLines="150" w:line="360" w:lineRule="auto"/>
        <w:ind w:firstLine="0" w:firstLineChars="0"/>
        <w:jc w:val="right"/>
        <w:textAlignment w:val="auto"/>
        <w:rPr>
          <w:rFonts w:hint="eastAsia" w:ascii="仿宋" w:hAnsi="仿宋" w:eastAsia="仿宋" w:cs="仿宋"/>
          <w:sz w:val="24"/>
          <w:szCs w:val="21"/>
          <w:lang w:val="en-US" w:eastAsia="zh-CN"/>
        </w:rPr>
      </w:pPr>
      <w:r>
        <w:rPr>
          <w:rFonts w:hint="eastAsia" w:ascii="仿宋" w:hAnsi="仿宋" w:eastAsia="仿宋" w:cs="仿宋"/>
          <w:sz w:val="24"/>
          <w:szCs w:val="24"/>
        </w:rPr>
        <w:t xml:space="preserve">    年      月      日</w:t>
      </w:r>
    </w:p>
    <w:p>
      <w:pPr>
        <w:rPr>
          <w:rFonts w:hint="eastAsia" w:ascii="仿宋" w:hAnsi="仿宋" w:eastAsia="仿宋" w:cs="仿宋"/>
        </w:rPr>
      </w:pPr>
      <w:r>
        <w:rPr>
          <w:rFonts w:hint="eastAsia" w:ascii="仿宋" w:hAnsi="仿宋" w:eastAsia="仿宋" w:cs="仿宋"/>
        </w:rPr>
        <w:br w:type="page"/>
      </w:r>
    </w:p>
    <w:p>
      <w:pPr>
        <w:pStyle w:val="4"/>
        <w:spacing w:after="0" w:line="360" w:lineRule="auto"/>
        <w:ind w:left="431" w:hanging="431"/>
        <w:jc w:val="center"/>
        <w:rPr>
          <w:rFonts w:ascii="仿宋" w:hAnsi="仿宋" w:eastAsia="仿宋" w:cs="仿宋"/>
        </w:rPr>
      </w:pPr>
      <w:r>
        <w:rPr>
          <w:rFonts w:hint="eastAsia" w:ascii="仿宋" w:hAnsi="仿宋" w:eastAsia="仿宋" w:cs="仿宋"/>
        </w:rPr>
        <w:t>第六部分</w:t>
      </w:r>
      <w:bookmarkEnd w:id="422"/>
      <w:r>
        <w:rPr>
          <w:rFonts w:hint="eastAsia" w:ascii="仿宋" w:hAnsi="仿宋" w:eastAsia="仿宋" w:cs="仿宋"/>
        </w:rPr>
        <w:t xml:space="preserve"> </w:t>
      </w:r>
      <w:bookmarkEnd w:id="423"/>
      <w:r>
        <w:rPr>
          <w:rFonts w:hint="eastAsia" w:ascii="仿宋" w:hAnsi="仿宋" w:eastAsia="仿宋" w:cs="仿宋"/>
        </w:rPr>
        <w:t>应提交的有关格式范例</w:t>
      </w:r>
      <w:bookmarkEnd w:id="425"/>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426" w:name="_Toc32728"/>
      <w:r>
        <w:rPr>
          <w:rFonts w:hint="eastAsia" w:ascii="仿宋" w:hAnsi="仿宋" w:eastAsia="仿宋" w:cs="仿宋"/>
          <w:b/>
          <w:kern w:val="0"/>
          <w:sz w:val="36"/>
          <w:szCs w:val="36"/>
        </w:rPr>
        <w:t>资格文件部分</w:t>
      </w:r>
      <w:bookmarkEnd w:id="426"/>
    </w:p>
    <w:p>
      <w:pPr>
        <w:spacing w:line="360" w:lineRule="auto"/>
        <w:jc w:val="center"/>
        <w:outlineLvl w:val="0"/>
        <w:rPr>
          <w:rFonts w:ascii="仿宋" w:hAnsi="仿宋" w:eastAsia="仿宋" w:cs="仿宋"/>
          <w:b/>
          <w:kern w:val="0"/>
          <w:sz w:val="36"/>
          <w:szCs w:val="36"/>
        </w:rPr>
      </w:pPr>
      <w:bookmarkStart w:id="427" w:name="_Toc26140"/>
      <w:r>
        <w:rPr>
          <w:rFonts w:hint="eastAsia" w:ascii="仿宋" w:hAnsi="仿宋" w:eastAsia="仿宋" w:cs="仿宋"/>
          <w:b/>
          <w:kern w:val="0"/>
          <w:sz w:val="36"/>
          <w:szCs w:val="36"/>
        </w:rPr>
        <w:t>目录</w:t>
      </w:r>
      <w:bookmarkEnd w:id="427"/>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法人或者其他组织的营业执照等证明文件，自然人的身份证明…（页码）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我方参与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二、法人或者其他组织的营业执照等证明文件，自然人的身份证明</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 </w:t>
      </w:r>
    </w:p>
    <w:p>
      <w:pPr>
        <w:widowControl/>
        <w:spacing w:line="360" w:lineRule="auto"/>
        <w:ind w:firstLine="480"/>
        <w:jc w:val="left"/>
        <w:rPr>
          <w:rFonts w:ascii="仿宋" w:hAnsi="仿宋" w:eastAsia="仿宋" w:cs="仿宋"/>
          <w:sz w:val="24"/>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428" w:name="_Toc21317"/>
      <w:r>
        <w:rPr>
          <w:rFonts w:hint="eastAsia" w:ascii="仿宋" w:hAnsi="仿宋" w:eastAsia="仿宋" w:cs="仿宋"/>
          <w:b/>
          <w:kern w:val="0"/>
          <w:sz w:val="28"/>
          <w:szCs w:val="28"/>
        </w:rPr>
        <w:t>目录</w:t>
      </w:r>
      <w:bookmarkEnd w:id="428"/>
    </w:p>
    <w:p>
      <w:pPr>
        <w:numPr>
          <w:ilvl w:val="0"/>
          <w:numId w:val="6"/>
        </w:numPr>
        <w:snapToGrid w:val="0"/>
        <w:spacing w:line="360" w:lineRule="auto"/>
        <w:ind w:left="479" w:leftChars="228"/>
        <w:rPr>
          <w:rFonts w:ascii="仿宋" w:hAnsi="仿宋" w:eastAsia="仿宋" w:cs="仿宋"/>
          <w:sz w:val="24"/>
        </w:rPr>
      </w:pPr>
      <w:r>
        <w:rPr>
          <w:rFonts w:hint="eastAsia" w:ascii="仿宋" w:hAnsi="仿宋" w:eastAsia="仿宋" w:cs="仿宋"/>
          <w:sz w:val="24"/>
        </w:rPr>
        <w:t>投标函……………………………………………………………………………（页码）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（3）供应商情况介绍…………………………………………………………………（页码）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left="479" w:leftChars="228"/>
        <w:rPr>
          <w:rFonts w:ascii="仿宋" w:hAnsi="仿宋" w:eastAsia="仿宋" w:cs="仿宋"/>
          <w:sz w:val="24"/>
          <w:lang w:val="zh-CN"/>
        </w:rPr>
      </w:pPr>
      <w:r>
        <w:rPr>
          <w:rFonts w:hint="eastAsia" w:ascii="仿宋" w:hAnsi="仿宋" w:eastAsia="仿宋" w:cs="仿宋"/>
          <w:sz w:val="24"/>
        </w:rPr>
        <w:t>（7）商务需求响应表…………………………………………………………………（页码）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29" w:name="_Toc1436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29"/>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我方参加你方组织的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2.1.2法人或者其他组织的营业执照等证明文件，自然人的身份证明；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提供中小企业声明函</w:t>
      </w:r>
      <w:r>
        <w:rPr>
          <w:rFonts w:hint="eastAsia" w:ascii="仿宋" w:hAnsi="仿宋" w:eastAsia="仿宋" w:cs="仿宋"/>
          <w:sz w:val="24"/>
          <w:szCs w:val="24"/>
          <w:lang w:val="en-US" w:eastAsia="zh-CN"/>
        </w:rPr>
        <w:t>，</w:t>
      </w:r>
      <w:r>
        <w:rPr>
          <w:rFonts w:hint="eastAsia" w:ascii="仿宋" w:hAnsi="仿宋" w:eastAsia="仿宋" w:cs="仿宋"/>
          <w:sz w:val="24"/>
        </w:rPr>
        <w:t>格式见附件）；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szCs w:val="24"/>
          <w:lang w:val="en-US" w:eastAsia="zh-CN"/>
        </w:rPr>
        <w:t>如有则提供，</w:t>
      </w:r>
      <w:r>
        <w:rPr>
          <w:rFonts w:hint="eastAsia" w:ascii="仿宋" w:hAnsi="仿宋" w:eastAsia="仿宋" w:cs="仿宋"/>
          <w:sz w:val="24"/>
        </w:rPr>
        <w:t>格式见附件)。</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2.2.3供应商情况介绍；</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2.2.7商务需求响应表；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2.3.2投标项目报价明细表；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2.3.3中小企业声明函（格式见附件）；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2.3.4投标人针对报价需要说明的其他文件和说明（格式自拟）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1058" w:firstLineChars="441"/>
        <w:rPr>
          <w:rFonts w:ascii="仿宋" w:hAnsi="仿宋" w:eastAsia="仿宋" w:cs="仿宋"/>
          <w:kern w:val="0"/>
          <w:sz w:val="24"/>
          <w:u w:val="single"/>
        </w:rPr>
      </w:pPr>
      <w:r>
        <w:rPr>
          <w:rFonts w:hint="eastAsia" w:ascii="仿宋" w:hAnsi="仿宋" w:eastAsia="仿宋" w:cs="仿宋"/>
          <w:sz w:val="24"/>
          <w:lang w:val="zh-CN"/>
        </w:rPr>
        <w:t>日期：</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rPr>
          <w:rFonts w:ascii="仿宋" w:hAnsi="仿宋" w:eastAsia="仿宋" w:cs="仿宋"/>
          <w:kern w:val="0"/>
          <w:sz w:val="24"/>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sz w:val="24"/>
        </w:rPr>
        <w:t>【招标编号：TZFD(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hint="eastAsia" w:ascii="仿宋" w:hAnsi="仿宋" w:eastAsia="仿宋" w:cs="仿宋"/>
          <w:sz w:val="24"/>
          <w:lang w:val="zh-CN"/>
        </w:rPr>
        <w:t>盖章或电子章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1"/>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1"/>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jc w:val="left"/>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5" w:h="16838"/>
          <w:pgMar w:top="1440" w:right="1083" w:bottom="1440" w:left="1083" w:header="567" w:footer="567" w:gutter="0"/>
          <w:pgNumType w:fmt="decimal"/>
          <w:cols w:space="0" w:num="1"/>
          <w:titlePg/>
          <w:docGrid w:linePitch="312" w:charSpace="0"/>
        </w:sectPr>
      </w:pPr>
    </w:p>
    <w:p>
      <w:pPr>
        <w:widowControl/>
        <w:spacing w:line="360" w:lineRule="auto"/>
        <w:ind w:firstLine="161" w:firstLineChars="50"/>
        <w:jc w:val="center"/>
        <w:rPr>
          <w:rFonts w:ascii="仿宋" w:hAnsi="仿宋" w:eastAsia="仿宋" w:cs="仿宋"/>
          <w:sz w:val="24"/>
        </w:rPr>
      </w:pPr>
      <w:r>
        <w:rPr>
          <w:rFonts w:hint="eastAsia" w:ascii="仿宋" w:hAnsi="仿宋" w:eastAsia="仿宋" w:cs="仿宋"/>
          <w:b/>
          <w:kern w:val="0"/>
          <w:sz w:val="32"/>
          <w:szCs w:val="32"/>
        </w:rPr>
        <w:t>三、供应商情况表</w:t>
      </w:r>
    </w:p>
    <w:p>
      <w:pPr>
        <w:snapToGrid w:val="0"/>
        <w:spacing w:line="360" w:lineRule="auto"/>
        <w:rPr>
          <w:rFonts w:ascii="仿宋" w:hAnsi="仿宋" w:eastAsia="仿宋" w:cs="仿宋"/>
          <w:kern w:val="0"/>
          <w:sz w:val="24"/>
        </w:rPr>
      </w:pPr>
      <w:r>
        <w:rPr>
          <w:rFonts w:hint="eastAsia" w:ascii="仿宋" w:hAnsi="仿宋" w:eastAsia="仿宋" w:cs="仿宋"/>
          <w:kern w:val="0"/>
          <w:sz w:val="24"/>
        </w:rPr>
        <w:t>见附件</w:t>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center"/>
        <w:rPr>
          <w:rFonts w:hint="eastAsia" w:ascii="仿宋" w:hAnsi="仿宋" w:eastAsia="仿宋" w:cs="仿宋"/>
          <w:b/>
          <w:bCs/>
          <w:sz w:val="32"/>
          <w:szCs w:val="32"/>
        </w:rPr>
        <w:sectPr>
          <w:headerReference r:id="rId15" w:type="first"/>
          <w:footerReference r:id="rId17" w:type="first"/>
          <w:headerReference r:id="rId14" w:type="default"/>
          <w:footerReference r:id="rId16" w:type="default"/>
          <w:pgSz w:w="11905" w:h="16838"/>
          <w:pgMar w:top="1440" w:right="1083" w:bottom="1440" w:left="1083" w:header="567" w:footer="567" w:gutter="0"/>
          <w:pgNumType w:fmt="decimal"/>
          <w:cols w:space="0" w:num="1"/>
          <w:titlePg/>
          <w:docGrid w:linePitch="312" w:charSpace="0"/>
        </w:sectPr>
      </w:pPr>
    </w:p>
    <w:p>
      <w:pPr>
        <w:widowControl/>
        <w:adjustRightInd/>
        <w:jc w:val="center"/>
        <w:rPr>
          <w:rFonts w:ascii="仿宋" w:hAnsi="仿宋" w:eastAsia="仿宋" w:cs="仿宋"/>
          <w:b/>
          <w:sz w:val="18"/>
          <w:szCs w:val="18"/>
        </w:rPr>
      </w:pPr>
      <w:r>
        <w:rPr>
          <w:rFonts w:hint="eastAsia" w:ascii="仿宋" w:hAnsi="仿宋" w:eastAsia="仿宋" w:cs="仿宋"/>
          <w:b/>
          <w:bCs/>
          <w:sz w:val="32"/>
          <w:szCs w:val="32"/>
        </w:rPr>
        <w:t>七</w:t>
      </w:r>
      <w:r>
        <w:rPr>
          <w:rFonts w:hint="eastAsia" w:ascii="仿宋" w:hAnsi="仿宋" w:eastAsia="仿宋" w:cs="仿宋"/>
          <w:b/>
          <w:kern w:val="0"/>
          <w:sz w:val="32"/>
          <w:szCs w:val="32"/>
        </w:rPr>
        <w:t>、</w:t>
      </w:r>
      <w:bookmarkStart w:id="430" w:name="_Toc3068_WPSOffice_Level1"/>
      <w:bookmarkStart w:id="431" w:name="_Toc21582_WPSOffice_Level1"/>
      <w:r>
        <w:rPr>
          <w:rFonts w:hint="eastAsia" w:ascii="仿宋" w:hAnsi="仿宋" w:eastAsia="仿宋" w:cs="仿宋"/>
          <w:b/>
          <w:sz w:val="32"/>
          <w:szCs w:val="32"/>
        </w:rPr>
        <w:t>商务需求响应表</w:t>
      </w:r>
      <w:bookmarkEnd w:id="430"/>
      <w:bookmarkEnd w:id="431"/>
    </w:p>
    <w:tbl>
      <w:tblPr>
        <w:tblStyle w:val="6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序号</w:t>
            </w:r>
          </w:p>
        </w:tc>
        <w:tc>
          <w:tcPr>
            <w:tcW w:w="2587"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仿宋" w:hAnsi="仿宋" w:eastAsia="仿宋" w:cs="仿宋"/>
                <w:b/>
                <w:sz w:val="24"/>
              </w:rPr>
            </w:pPr>
            <w:r>
              <w:rPr>
                <w:rFonts w:hint="eastAsia" w:ascii="仿宋" w:hAnsi="仿宋" w:eastAsia="仿宋" w:cs="仿宋"/>
                <w:b/>
                <w:sz w:val="24"/>
              </w:rPr>
              <w:t>招标需求</w:t>
            </w:r>
          </w:p>
        </w:tc>
        <w:tc>
          <w:tcPr>
            <w:tcW w:w="1365" w:type="dxa"/>
            <w:tcMar>
              <w:top w:w="57" w:type="dxa"/>
              <w:left w:w="108" w:type="dxa"/>
              <w:bottom w:w="0" w:type="dxa"/>
              <w:right w:w="108" w:type="dxa"/>
            </w:tcMar>
            <w:vAlign w:val="center"/>
          </w:tcPr>
          <w:p>
            <w:pPr>
              <w:ind w:left="152"/>
              <w:rPr>
                <w:rFonts w:ascii="仿宋" w:hAnsi="仿宋" w:eastAsia="仿宋" w:cs="仿宋"/>
                <w:b/>
                <w:sz w:val="24"/>
              </w:rPr>
            </w:pPr>
            <w:r>
              <w:rPr>
                <w:rFonts w:hint="eastAsia" w:ascii="仿宋" w:hAnsi="仿宋" w:eastAsia="仿宋" w:cs="仿宋"/>
                <w:b/>
                <w:sz w:val="24"/>
              </w:rPr>
              <w:t>是否响应</w:t>
            </w:r>
          </w:p>
        </w:tc>
        <w:tc>
          <w:tcPr>
            <w:tcW w:w="2633" w:type="dxa"/>
            <w:tcMar>
              <w:top w:w="57"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售后服务保障要求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质保期</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footerReference r:id="rId19" w:type="first"/>
          <w:footerReference r:id="rId18" w:type="default"/>
          <w:pgSz w:w="11905" w:h="16838"/>
          <w:pgMar w:top="1440" w:right="1083" w:bottom="1440" w:left="1083" w:header="567" w:footer="567" w:gutter="0"/>
          <w:pgNumType w:fmt="decimal" w:start="1"/>
          <w:cols w:space="0" w:num="1"/>
          <w:titlePg/>
          <w:docGrid w:linePitch="312" w:charSpace="0"/>
        </w:sectPr>
      </w:pPr>
    </w:p>
    <w:p>
      <w:pPr>
        <w:spacing w:line="360" w:lineRule="auto"/>
        <w:jc w:val="center"/>
        <w:outlineLvl w:val="0"/>
        <w:rPr>
          <w:rFonts w:ascii="仿宋" w:hAnsi="仿宋" w:eastAsia="仿宋" w:cs="仿宋"/>
          <w:b/>
          <w:kern w:val="0"/>
          <w:sz w:val="36"/>
          <w:szCs w:val="36"/>
        </w:rPr>
      </w:pPr>
      <w:bookmarkStart w:id="432" w:name="_Toc8220"/>
      <w:r>
        <w:rPr>
          <w:rFonts w:hint="eastAsia" w:ascii="仿宋" w:hAnsi="仿宋" w:eastAsia="仿宋" w:cs="仿宋"/>
          <w:b/>
          <w:kern w:val="0"/>
          <w:sz w:val="36"/>
          <w:szCs w:val="36"/>
        </w:rPr>
        <w:t>报价文件部分</w:t>
      </w:r>
      <w:bookmarkEnd w:id="432"/>
    </w:p>
    <w:p>
      <w:pPr>
        <w:spacing w:line="360" w:lineRule="auto"/>
        <w:jc w:val="center"/>
        <w:outlineLvl w:val="0"/>
        <w:rPr>
          <w:rFonts w:ascii="仿宋" w:hAnsi="仿宋" w:eastAsia="仿宋" w:cs="仿宋"/>
          <w:b/>
          <w:kern w:val="0"/>
          <w:sz w:val="36"/>
          <w:szCs w:val="36"/>
        </w:rPr>
      </w:pPr>
      <w:bookmarkStart w:id="433" w:name="_Toc4678"/>
      <w:r>
        <w:rPr>
          <w:rFonts w:hint="eastAsia" w:ascii="仿宋" w:hAnsi="仿宋" w:eastAsia="仿宋" w:cs="仿宋"/>
          <w:b/>
          <w:kern w:val="0"/>
          <w:sz w:val="36"/>
          <w:szCs w:val="36"/>
        </w:rPr>
        <w:t>目录</w:t>
      </w:r>
      <w:bookmarkEnd w:id="433"/>
    </w:p>
    <w:p>
      <w:pPr>
        <w:spacing w:line="360" w:lineRule="auto"/>
        <w:jc w:val="center"/>
        <w:rPr>
          <w:rFonts w:ascii="仿宋" w:hAnsi="仿宋" w:eastAsia="仿宋" w:cs="仿宋"/>
          <w:b/>
          <w:kern w:val="0"/>
          <w:sz w:val="36"/>
          <w:szCs w:val="36"/>
        </w:rPr>
      </w:pP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投标项目报价明细表…………………………………………………………（页码）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中小企业声明函………………………………………………………………（页码）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1" w:type="first"/>
          <w:footerReference r:id="rId23" w:type="first"/>
          <w:headerReference r:id="rId20" w:type="default"/>
          <w:footerReference r:id="rId22" w:type="default"/>
          <w:pgSz w:w="11905" w:h="16838"/>
          <w:pgMar w:top="1440" w:right="1083" w:bottom="1440" w:left="1083" w:header="567" w:footer="567" w:gutter="0"/>
          <w:pgNumType w:fmt="decimal"/>
          <w:cols w:space="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434" w:name="_Toc13350"/>
      <w:r>
        <w:rPr>
          <w:rFonts w:hint="eastAsia" w:ascii="仿宋" w:hAnsi="仿宋" w:eastAsia="仿宋" w:cs="仿宋"/>
          <w:kern w:val="2"/>
          <w:sz w:val="32"/>
          <w:szCs w:val="32"/>
        </w:rPr>
        <w:t>一、开标一览表（报价表）</w:t>
      </w:r>
      <w:bookmarkEnd w:id="434"/>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2025年台州市生态环境监测----大气颗粒物组分分析委托监测、重点断面水生态监测）</w:t>
      </w:r>
      <w:r>
        <w:rPr>
          <w:rFonts w:hint="eastAsia" w:ascii="仿宋" w:hAnsi="仿宋" w:eastAsia="仿宋" w:cs="仿宋"/>
          <w:kern w:val="0"/>
          <w:sz w:val="24"/>
          <w:lang w:val="zh-CN"/>
        </w:rPr>
        <w:t>【招标编号：</w:t>
      </w:r>
      <w:r>
        <w:rPr>
          <w:rFonts w:hint="eastAsia" w:ascii="仿宋" w:hAnsi="仿宋" w:eastAsia="仿宋" w:cs="仿宋"/>
          <w:sz w:val="24"/>
        </w:rPr>
        <w:t>TZFD(</w:t>
      </w:r>
      <w:r>
        <w:rPr>
          <w:rFonts w:hint="eastAsia" w:ascii="仿宋" w:hAnsi="仿宋" w:eastAsia="仿宋" w:cs="仿宋"/>
          <w:sz w:val="24"/>
          <w:lang w:eastAsia="zh-CN"/>
        </w:rPr>
        <w:t>2025</w:t>
      </w:r>
      <w:r>
        <w:rPr>
          <w:rFonts w:hint="eastAsia" w:ascii="仿宋" w:hAnsi="仿宋" w:eastAsia="仿宋" w:cs="仿宋"/>
          <w:sz w:val="24"/>
        </w:rPr>
        <w:t>)-</w:t>
      </w:r>
      <w:r>
        <w:rPr>
          <w:rFonts w:hint="eastAsia" w:ascii="仿宋" w:hAnsi="仿宋" w:eastAsia="仿宋" w:cs="仿宋"/>
          <w:sz w:val="24"/>
          <w:lang w:eastAsia="zh-CN"/>
        </w:rPr>
        <w:t>1028号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w:t>
      </w:r>
      <w:r>
        <w:rPr>
          <w:rFonts w:hint="eastAsia" w:ascii="仿宋" w:hAnsi="仿宋" w:eastAsia="仿宋" w:cs="仿宋"/>
          <w:b/>
          <w:kern w:val="0"/>
          <w:sz w:val="24"/>
        </w:rPr>
        <w:t xml:space="preserve">    </w:t>
      </w:r>
      <w:r>
        <w:rPr>
          <w:rFonts w:hint="eastAsia" w:ascii="仿宋" w:hAnsi="仿宋" w:eastAsia="仿宋" w:cs="仿宋"/>
          <w:b/>
          <w:kern w:val="0"/>
          <w:sz w:val="24"/>
          <w:lang w:val="zh-CN"/>
        </w:rPr>
        <w:t>)</w:t>
      </w:r>
    </w:p>
    <w:tbl>
      <w:tblPr>
        <w:tblStyle w:val="66"/>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rPr>
              <w:t xml:space="preserve"> </w:t>
            </w:r>
            <w:r>
              <w:rPr>
                <w:rFonts w:hint="eastAsia" w:ascii="仿宋" w:hAnsi="仿宋" w:eastAsia="仿宋" w:cs="仿宋"/>
                <w:sz w:val="24"/>
                <w:lang w:eastAsia="zh-CN"/>
              </w:rPr>
              <w:t>2025年台州市生态环境监测----大气颗粒物组分分析委托监测、重点断面水生态监测）</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大写：人民币______________________元整</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小写：¥__________________________元</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line="360" w:lineRule="auto"/>
        <w:jc w:val="center"/>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638" w:firstLineChars="266"/>
        <w:jc w:val="left"/>
        <w:rPr>
          <w:rFonts w:ascii="仿宋" w:hAnsi="仿宋" w:eastAsia="仿宋" w:cs="仿宋"/>
          <w:kern w:val="0"/>
          <w:sz w:val="24"/>
          <w:lang w:val="zh-CN"/>
        </w:rPr>
      </w:pPr>
      <w:r>
        <w:rPr>
          <w:rFonts w:hint="eastAsia" w:ascii="仿宋" w:hAnsi="仿宋" w:eastAsia="仿宋" w:cs="仿宋"/>
          <w:sz w:val="24"/>
          <w:lang w:val="zh-CN"/>
        </w:rPr>
        <w:t>日期：</w:t>
      </w:r>
    </w:p>
    <w:p>
      <w:pPr>
        <w:snapToGrid w:val="0"/>
        <w:spacing w:before="240" w:beforeLines="100" w:after="240" w:afterLines="100" w:line="360" w:lineRule="auto"/>
        <w:ind w:right="105" w:rightChars="50"/>
        <w:jc w:val="center"/>
        <w:rPr>
          <w:rFonts w:ascii="仿宋" w:hAnsi="仿宋" w:eastAsia="仿宋" w:cs="仿宋"/>
          <w:b/>
          <w:bCs/>
          <w:sz w:val="32"/>
          <w:szCs w:val="32"/>
        </w:rPr>
      </w:pPr>
      <w:r>
        <w:rPr>
          <w:rFonts w:hint="eastAsia" w:ascii="仿宋" w:hAnsi="仿宋" w:eastAsia="仿宋" w:cs="仿宋"/>
          <w:b/>
          <w:bCs/>
          <w:sz w:val="32"/>
          <w:szCs w:val="32"/>
        </w:rPr>
        <w:t>投标项目报价明细表</w:t>
      </w:r>
    </w:p>
    <w:p>
      <w:pPr>
        <w:jc w:val="left"/>
        <w:rPr>
          <w:rFonts w:ascii="仿宋" w:hAnsi="仿宋" w:eastAsia="仿宋" w:cs="仿宋"/>
          <w:b/>
          <w:sz w:val="24"/>
        </w:rPr>
      </w:pPr>
      <w:r>
        <w:rPr>
          <w:rFonts w:hint="eastAsia" w:ascii="仿宋" w:hAnsi="仿宋" w:eastAsia="仿宋" w:cs="仿宋"/>
          <w:b/>
          <w:sz w:val="24"/>
        </w:rPr>
        <w:t>项目名称：</w:t>
      </w:r>
    </w:p>
    <w:p>
      <w:pPr>
        <w:snapToGrid w:val="0"/>
        <w:spacing w:line="360" w:lineRule="auto"/>
        <w:ind w:right="105" w:rightChars="50"/>
        <w:jc w:val="left"/>
        <w:rPr>
          <w:rFonts w:ascii="仿宋" w:hAnsi="仿宋" w:eastAsia="仿宋" w:cs="仿宋"/>
          <w:b/>
          <w:bCs/>
          <w:szCs w:val="21"/>
        </w:rPr>
      </w:pPr>
      <w:r>
        <w:rPr>
          <w:rFonts w:hint="eastAsia" w:ascii="仿宋" w:hAnsi="仿宋" w:eastAsia="仿宋" w:cs="仿宋"/>
          <w:b/>
          <w:sz w:val="24"/>
        </w:rPr>
        <w:t>项目编号</w:t>
      </w:r>
    </w:p>
    <w:tbl>
      <w:tblPr>
        <w:tblStyle w:val="66"/>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921"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2101"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473"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小计</w:t>
            </w:r>
          </w:p>
        </w:tc>
        <w:tc>
          <w:tcPr>
            <w:tcW w:w="1266"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813"/>
              <w:spacing w:line="360" w:lineRule="auto"/>
              <w:jc w:val="center"/>
              <w:rPr>
                <w:rFonts w:ascii="仿宋" w:hAnsi="仿宋" w:eastAsia="仿宋" w:cs="仿宋"/>
                <w:szCs w:val="24"/>
              </w:rPr>
            </w:pPr>
            <w:r>
              <w:rPr>
                <w:rFonts w:hint="eastAsia" w:ascii="仿宋" w:hAnsi="仿宋" w:eastAsia="仿宋" w:cs="仿宋"/>
                <w:szCs w:val="24"/>
              </w:rPr>
              <w:t>1</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lang w:val="en-US" w:eastAsia="zh-CN"/>
              </w:rPr>
              <w:t>2025年台州市生态环境监测----大气颗粒物组分分析委托监测、重点断面水生态监测）</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813"/>
              <w:spacing w:line="360" w:lineRule="auto"/>
              <w:jc w:val="center"/>
              <w:rPr>
                <w:rFonts w:ascii="仿宋" w:hAnsi="仿宋" w:eastAsia="仿宋" w:cs="仿宋"/>
                <w:szCs w:val="24"/>
              </w:rPr>
            </w:pPr>
            <w:r>
              <w:rPr>
                <w:rFonts w:hint="eastAsia" w:ascii="仿宋" w:hAnsi="仿宋" w:eastAsia="仿宋" w:cs="仿宋"/>
                <w:szCs w:val="24"/>
              </w:rPr>
              <w:t>2</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合计人民币：大写                              小写</w:t>
            </w:r>
          </w:p>
        </w:tc>
      </w:tr>
    </w:tbl>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szCs w:val="21"/>
        </w:rPr>
      </w:pPr>
    </w:p>
    <w:p>
      <w:pPr>
        <w:snapToGrid w:val="0"/>
        <w:spacing w:line="360" w:lineRule="auto"/>
        <w:ind w:right="105" w:rightChars="50" w:firstLine="420" w:firstLineChars="200"/>
        <w:jc w:val="left"/>
        <w:rPr>
          <w:rFonts w:ascii="仿宋" w:hAnsi="仿宋" w:eastAsia="仿宋" w:cs="仿宋"/>
          <w:szCs w:val="21"/>
        </w:rPr>
      </w:pPr>
      <w:r>
        <w:rPr>
          <w:rFonts w:hint="eastAsia" w:ascii="仿宋" w:hAnsi="仿宋" w:eastAsia="仿宋" w:cs="仿宋"/>
          <w:szCs w:val="21"/>
        </w:rPr>
        <w:t>注：此表中，总价应和开标一览表的投标总价相一致。</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1058" w:firstLineChars="441"/>
        <w:jc w:val="left"/>
        <w:rPr>
          <w:rFonts w:ascii="仿宋" w:hAnsi="仿宋" w:eastAsia="仿宋" w:cs="仿宋"/>
          <w:kern w:val="0"/>
          <w:sz w:val="24"/>
          <w:lang w:val="zh-CN"/>
        </w:rPr>
      </w:pPr>
      <w:r>
        <w:rPr>
          <w:rFonts w:hint="eastAsia" w:ascii="仿宋" w:hAnsi="仿宋" w:eastAsia="仿宋" w:cs="仿宋"/>
          <w:sz w:val="24"/>
          <w:lang w:val="zh-CN"/>
        </w:rPr>
        <w:t>日期：</w:t>
      </w: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5"/>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5" w:h="16838"/>
          <w:pgMar w:top="1440" w:right="1083" w:bottom="1440" w:left="1083" w:header="567" w:footer="567" w:gutter="0"/>
          <w:pgNumType w:fmt="decimal"/>
          <w:cols w:space="0" w:num="1"/>
          <w:titlePg/>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sz w:val="32"/>
          <w:szCs w:val="32"/>
        </w:rPr>
      </w:pPr>
      <w:bookmarkStart w:id="435" w:name="_Toc16541"/>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bookmarkEnd w:id="435"/>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pPr>
        <w:pStyle w:val="695"/>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6" w:name="_Toc29534"/>
      <w:r>
        <w:rPr>
          <w:rFonts w:hint="eastAsia" w:ascii="仿宋" w:hAnsi="仿宋" w:eastAsia="仿宋" w:cs="仿宋"/>
        </w:rPr>
        <w:t>附件</w:t>
      </w:r>
      <w:bookmarkEnd w:id="436"/>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7" w:name="OLE_LINK13"/>
      <w:bookmarkStart w:id="438" w:name="OLE_LINK14"/>
      <w:r>
        <w:rPr>
          <w:rFonts w:hint="eastAsia" w:ascii="仿宋" w:hAnsi="仿宋" w:eastAsia="仿宋" w:cs="仿宋"/>
          <w:b/>
          <w:spacing w:val="6"/>
          <w:sz w:val="32"/>
          <w:szCs w:val="32"/>
        </w:rPr>
        <w:t>残疾人福利性单位声明函</w:t>
      </w:r>
    </w:p>
    <w:bookmarkEnd w:id="437"/>
    <w:bookmarkEnd w:id="43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w:t>
      </w:r>
      <w:r>
        <w:rPr>
          <w:rFonts w:hint="eastAsia" w:ascii="仿宋" w:hAnsi="仿宋" w:eastAsia="仿宋" w:cs="仿宋"/>
          <w:sz w:val="24"/>
          <w:lang w:eastAsia="zh-CN"/>
        </w:rPr>
        <w:t>〔2017〕141号</w:t>
      </w:r>
      <w:r>
        <w:rPr>
          <w:rFonts w:hint="eastAsia" w:ascii="仿宋" w:hAnsi="仿宋" w:eastAsia="仿宋" w:cs="仿宋"/>
          <w:sz w:val="24"/>
        </w:rPr>
        <w:t>）的规定，本单位为符合条件的残疾人福利性单位，且本单位参加_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2025年台州市生态环境监测----大气颗粒物组分分析委托监测、重点断面水生态监测）</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jc w:val="left"/>
        <w:rPr>
          <w:rFonts w:ascii="仿宋" w:hAnsi="仿宋" w:eastAsia="仿宋" w:cs="仿宋"/>
          <w:kern w:val="0"/>
          <w:sz w:val="24"/>
          <w:lang w:val="zh-CN"/>
        </w:rPr>
      </w:pPr>
      <w:r>
        <w:rPr>
          <w:rFonts w:hint="eastAsia" w:ascii="仿宋" w:hAnsi="仿宋" w:eastAsia="仿宋" w:cs="仿宋"/>
          <w:sz w:val="24"/>
          <w:lang w:val="zh-CN"/>
        </w:rPr>
        <w:t>日期：</w:t>
      </w:r>
    </w:p>
    <w:p>
      <w:pPr>
        <w:tabs>
          <w:tab w:val="left" w:pos="4860"/>
        </w:tabs>
        <w:spacing w:line="360" w:lineRule="auto"/>
        <w:ind w:right="1560" w:firstLine="480" w:firstLineChars="200"/>
        <w:jc w:val="center"/>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z w:val="36"/>
          <w:szCs w:val="20"/>
        </w:rPr>
      </w:pPr>
      <w:bookmarkStart w:id="439" w:name="_Toc1885"/>
      <w:r>
        <w:rPr>
          <w:rFonts w:hint="eastAsia" w:ascii="仿宋" w:hAnsi="仿宋" w:eastAsia="仿宋" w:cs="仿宋"/>
          <w:b/>
          <w:spacing w:val="6"/>
          <w:sz w:val="32"/>
          <w:szCs w:val="32"/>
        </w:rPr>
        <w:t>附件2：</w:t>
      </w:r>
      <w:r>
        <w:rPr>
          <w:rFonts w:hint="eastAsia" w:ascii="仿宋" w:hAnsi="仿宋" w:eastAsia="仿宋" w:cs="仿宋"/>
          <w:b/>
          <w:sz w:val="36"/>
          <w:szCs w:val="20"/>
        </w:rPr>
        <w:t>中小企业声明函</w:t>
      </w:r>
      <w:bookmarkEnd w:id="439"/>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color w:val="0000FF"/>
          <w:sz w:val="24"/>
          <w:u w:val="single"/>
        </w:rPr>
        <w:t xml:space="preserve"> （项目名称） </w:t>
      </w:r>
      <w:r>
        <w:rPr>
          <w:rFonts w:hint="eastAsia" w:ascii="仿宋" w:hAnsi="仿宋" w:eastAsia="仿宋" w:cs="仿宋"/>
          <w:sz w:val="24"/>
        </w:rPr>
        <w:t>采购活动，</w:t>
      </w:r>
      <w:r>
        <w:rPr>
          <w:rFonts w:hint="eastAsia" w:ascii="仿宋" w:hAnsi="仿宋" w:eastAsia="仿宋" w:cs="仿宋"/>
          <w:color w:val="FF0000"/>
          <w:sz w:val="24"/>
        </w:rPr>
        <w:t>工程的施工单位全部为符合政策要求的中小企业（或者：服务全部由符合政策要求的中小企业承接）</w:t>
      </w:r>
      <w:r>
        <w:rPr>
          <w:rFonts w:hint="eastAsia" w:ascii="仿宋" w:hAnsi="仿宋" w:eastAsia="仿宋" w:cs="仿宋"/>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，属于</w:t>
      </w:r>
      <w:r>
        <w:rPr>
          <w:rFonts w:hint="eastAsia" w:ascii="仿宋" w:hAnsi="仿宋" w:eastAsia="仿宋" w:cs="仿宋"/>
          <w:color w:val="0000FF"/>
          <w:sz w:val="24"/>
          <w:u w:val="single"/>
        </w:rPr>
        <w:t xml:space="preserve"> （采购文件中明确的所属行业）</w:t>
      </w:r>
      <w:r>
        <w:rPr>
          <w:rFonts w:hint="eastAsia" w:ascii="仿宋" w:hAnsi="仿宋" w:eastAsia="仿宋" w:cs="仿宋"/>
          <w:sz w:val="24"/>
        </w:rPr>
        <w:t xml:space="preserve"> ；</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FF"/>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color w:val="0000FF"/>
          <w:sz w:val="24"/>
          <w:u w:val="single"/>
        </w:rPr>
        <w:t xml:space="preserve">（采购文件中明确的所属行业） </w:t>
      </w:r>
      <w:r>
        <w:rPr>
          <w:rFonts w:hint="eastAsia" w:ascii="仿宋" w:hAnsi="仿宋" w:eastAsia="仿宋" w:cs="仿宋"/>
          <w:sz w:val="24"/>
        </w:rPr>
        <w:t>；</w:t>
      </w:r>
      <w:r>
        <w:rPr>
          <w:rFonts w:hint="eastAsia" w:ascii="仿宋" w:hAnsi="仿宋" w:eastAsia="仿宋" w:cs="仿宋"/>
          <w:color w:val="FF0000"/>
          <w:sz w:val="24"/>
        </w:rPr>
        <w:t>承建（承接）</w:t>
      </w:r>
      <w:r>
        <w:rPr>
          <w:rFonts w:hint="eastAsia" w:ascii="仿宋" w:hAnsi="仿宋" w:eastAsia="仿宋" w:cs="仿宋"/>
          <w:sz w:val="24"/>
        </w:rPr>
        <w:t xml:space="preserve">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left="420" w:leftChars="200"/>
        <w:jc w:val="left"/>
        <w:rPr>
          <w:rFonts w:ascii="仿宋" w:hAnsi="仿宋" w:eastAsia="仿宋" w:cs="仿宋"/>
          <w:sz w:val="24"/>
          <w:lang w:val="zh-CN"/>
        </w:rPr>
      </w:pPr>
      <w:r>
        <w:rPr>
          <w:rFonts w:hint="eastAsia" w:ascii="仿宋" w:hAnsi="仿宋" w:eastAsia="仿宋" w:cs="仿宋"/>
          <w:sz w:val="24"/>
          <w:lang w:val="zh-CN"/>
        </w:rPr>
        <w:t>日期：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firstLineChars="200"/>
        <w:rPr>
          <w:rFonts w:ascii="仿宋" w:hAnsi="仿宋" w:eastAsia="仿宋" w:cs="仿宋"/>
          <w:b/>
          <w:spacing w:val="6"/>
          <w:sz w:val="32"/>
          <w:szCs w:val="32"/>
        </w:rPr>
        <w:sectPr>
          <w:headerReference r:id="rId25" w:type="first"/>
          <w:footerReference r:id="rId28" w:type="first"/>
          <w:headerReference r:id="rId24" w:type="default"/>
          <w:footerReference r:id="rId26" w:type="default"/>
          <w:footerReference r:id="rId27" w:type="even"/>
          <w:pgSz w:w="11905" w:h="16838"/>
          <w:pgMar w:top="1440" w:right="1083" w:bottom="1440" w:left="1083" w:header="567" w:footer="567" w:gutter="0"/>
          <w:pgNumType w:fmt="decimal"/>
          <w:cols w:space="0" w:num="1"/>
          <w:titlePg/>
          <w:docGrid w:linePitch="312" w:charSpace="0"/>
        </w:sect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sz w:val="24"/>
          <w:lang w:eastAsia="zh-CN"/>
        </w:rPr>
        <w:t>〔2014〕68号</w:t>
      </w:r>
      <w:r>
        <w:rPr>
          <w:rFonts w:hint="eastAsia" w:ascii="仿宋" w:hAnsi="仿宋" w:eastAsia="仿宋" w:cs="仿宋"/>
          <w:sz w:val="24"/>
        </w:rPr>
        <w:t>）的规定，投标人提供由省级以上监狱管理局、戒毒管理局（含新疆生产建设兵团）出具的属于监狱企业证明文件的，视同为小型和微型企业。</w:t>
      </w:r>
    </w:p>
    <w:p>
      <w:pPr>
        <w:rPr>
          <w:rFonts w:ascii="仿宋" w:hAnsi="仿宋" w:eastAsia="仿宋" w:cs="仿宋"/>
          <w:b/>
          <w:spacing w:val="6"/>
          <w:sz w:val="32"/>
          <w:szCs w:val="32"/>
        </w:rPr>
      </w:pPr>
    </w:p>
    <w:tbl>
      <w:tblPr>
        <w:tblStyle w:val="66"/>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vAlign w:val="bottom"/>
          </w:tcPr>
          <w:p>
            <w:pPr>
              <w:jc w:val="center"/>
              <w:rPr>
                <w:rFonts w:ascii="仿宋" w:hAnsi="仿宋" w:eastAsia="仿宋" w:cs="仿宋"/>
                <w:b/>
                <w:bCs/>
              </w:rPr>
            </w:pPr>
            <w:r>
              <w:rPr>
                <w:rFonts w:hint="eastAsia" w:ascii="仿宋" w:hAnsi="仿宋" w:eastAsia="仿宋" w:cs="仿宋"/>
                <w:b/>
                <w:bCs/>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ascii="仿宋" w:hAnsi="仿宋" w:eastAsia="仿宋" w:cs="仿宋"/>
                <w:b/>
                <w:bCs/>
              </w:rPr>
            </w:pPr>
            <w:r>
              <w:rPr>
                <w:rFonts w:hint="eastAsia" w:ascii="仿宋" w:hAnsi="仿宋" w:eastAsia="仿宋" w:cs="仿宋"/>
                <w:b/>
                <w:bCs/>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中型企业（且）</w:t>
            </w:r>
          </w:p>
        </w:tc>
        <w:tc>
          <w:tcPr>
            <w:tcW w:w="4614"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小型企业（且）</w:t>
            </w:r>
          </w:p>
        </w:tc>
        <w:tc>
          <w:tcPr>
            <w:tcW w:w="3781" w:type="dxa"/>
            <w:gridSpan w:val="3"/>
            <w:tcBorders>
              <w:top w:val="single" w:color="auto" w:sz="8" w:space="0"/>
              <w:left w:val="nil"/>
              <w:bottom w:val="single" w:color="auto" w:sz="4" w:space="0"/>
              <w:right w:val="single" w:color="000000" w:sz="8" w:space="0"/>
            </w:tcBorders>
            <w:vAlign w:val="bottom"/>
          </w:tcPr>
          <w:p>
            <w:pPr>
              <w:jc w:val="center"/>
              <w:rPr>
                <w:rFonts w:ascii="仿宋" w:hAnsi="仿宋" w:eastAsia="仿宋" w:cs="仿宋"/>
                <w:b/>
                <w:bCs/>
              </w:rPr>
            </w:pPr>
            <w:r>
              <w:rPr>
                <w:rFonts w:hint="eastAsia" w:ascii="仿宋" w:hAnsi="仿宋" w:eastAsia="仿宋" w:cs="仿宋"/>
                <w:b/>
                <w:bCs/>
              </w:rPr>
              <w:t>微型企业（或）</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ascii="仿宋" w:hAnsi="仿宋" w:eastAsia="仿宋" w:cs="仿宋"/>
                <w:b/>
                <w:bCs/>
              </w:rPr>
            </w:pPr>
          </w:p>
        </w:tc>
        <w:tc>
          <w:tcPr>
            <w:tcW w:w="149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763"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66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458"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636"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w:t>
            </w:r>
          </w:p>
          <w:p>
            <w:pPr>
              <w:jc w:val="center"/>
              <w:rPr>
                <w:rFonts w:ascii="仿宋" w:hAnsi="仿宋" w:eastAsia="仿宋" w:cs="仿宋"/>
              </w:rPr>
            </w:pPr>
            <w:r>
              <w:rPr>
                <w:rFonts w:hint="eastAsia" w:ascii="仿宋" w:hAnsi="仿宋" w:eastAsia="仿宋" w:cs="仿宋"/>
              </w:rPr>
              <w:t>（万元）</w:t>
            </w:r>
          </w:p>
        </w:tc>
        <w:tc>
          <w:tcPr>
            <w:tcW w:w="1520"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w:t>
            </w:r>
          </w:p>
          <w:p>
            <w:pPr>
              <w:jc w:val="center"/>
              <w:rPr>
                <w:rFonts w:ascii="仿宋" w:hAnsi="仿宋" w:eastAsia="仿宋" w:cs="仿宋"/>
              </w:rPr>
            </w:pPr>
            <w:r>
              <w:rPr>
                <w:rFonts w:hint="eastAsia" w:ascii="仿宋" w:hAnsi="仿宋" w:eastAsia="仿宋" w:cs="仿宋"/>
              </w:rPr>
              <w:t>（万元）</w:t>
            </w:r>
          </w:p>
        </w:tc>
        <w:tc>
          <w:tcPr>
            <w:tcW w:w="128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从业人员X（人）</w:t>
            </w:r>
          </w:p>
        </w:tc>
        <w:tc>
          <w:tcPr>
            <w:tcW w:w="1275" w:type="dxa"/>
            <w:tcBorders>
              <w:top w:val="nil"/>
              <w:left w:val="nil"/>
              <w:bottom w:val="single" w:color="auto" w:sz="4" w:space="0"/>
              <w:right w:val="single" w:color="auto" w:sz="4" w:space="0"/>
            </w:tcBorders>
            <w:vAlign w:val="bottom"/>
          </w:tcPr>
          <w:p>
            <w:pPr>
              <w:jc w:val="center"/>
              <w:rPr>
                <w:rFonts w:ascii="仿宋" w:hAnsi="仿宋" w:eastAsia="仿宋" w:cs="仿宋"/>
              </w:rPr>
            </w:pPr>
            <w:r>
              <w:rPr>
                <w:rFonts w:hint="eastAsia" w:ascii="仿宋" w:hAnsi="仿宋" w:eastAsia="仿宋" w:cs="仿宋"/>
              </w:rPr>
              <w:t>营业收入Y（万元）</w:t>
            </w:r>
          </w:p>
        </w:tc>
        <w:tc>
          <w:tcPr>
            <w:tcW w:w="1221" w:type="dxa"/>
            <w:tcBorders>
              <w:top w:val="nil"/>
              <w:left w:val="nil"/>
              <w:bottom w:val="single" w:color="auto" w:sz="4" w:space="0"/>
              <w:right w:val="single" w:color="auto" w:sz="8" w:space="0"/>
            </w:tcBorders>
            <w:vAlign w:val="bottom"/>
          </w:tcPr>
          <w:p>
            <w:pPr>
              <w:jc w:val="center"/>
              <w:rPr>
                <w:rFonts w:ascii="仿宋" w:hAnsi="仿宋" w:eastAsia="仿宋" w:cs="仿宋"/>
              </w:rPr>
            </w:pPr>
            <w:r>
              <w:rPr>
                <w:rFonts w:hint="eastAsia" w:ascii="仿宋" w:hAnsi="仿宋" w:eastAsia="仿宋" w:cs="仿宋"/>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1、农林牧渔业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2、工业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3、建筑业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6000≤Y＜80000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5000≤Z＜80000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300≤Y＜6000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300≤Z＜5000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Y＜300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4、批发业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5000≤Y＜40000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5≤X＜20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X＜5</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5、零售业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500≤Y＜20000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10≤X＜50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100≤Y＜500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6、交通运输业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200≤Y＜3000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V＜200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7、仓储业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8、邮政业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2000≤Y＜30000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X＜20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9、住宿业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10、餐饮业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2000≤Y＜10000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100≤Y＜2000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V＜100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11、信息传输业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100≤X＜2000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12、软件和信息技术服务业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1000≤Y＜10000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13、房地产开发经营</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1000≤Y＜200000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5000≤Z＜10000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2000≤Z＜5000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Y＜100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14、物业管理</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300≤X＜1000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1000≤Y＜5000</w:t>
            </w: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500≤Y＜1000</w:t>
            </w: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Y＜500</w:t>
            </w: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15、租赁和商务服务业</w:t>
            </w:r>
          </w:p>
        </w:tc>
        <w:tc>
          <w:tcPr>
            <w:tcW w:w="149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4" w:space="0"/>
              <w:right w:val="single" w:color="auto" w:sz="4" w:space="0"/>
            </w:tcBorders>
            <w:vAlign w:val="bottom"/>
          </w:tcPr>
          <w:p>
            <w:pPr>
              <w:rPr>
                <w:rFonts w:ascii="仿宋" w:hAnsi="仿宋" w:eastAsia="仿宋" w:cs="仿宋"/>
              </w:rPr>
            </w:pPr>
          </w:p>
        </w:tc>
        <w:tc>
          <w:tcPr>
            <w:tcW w:w="166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8000≤Z＜120000</w:t>
            </w:r>
          </w:p>
        </w:tc>
        <w:tc>
          <w:tcPr>
            <w:tcW w:w="1458"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4" w:space="0"/>
              <w:right w:val="single" w:color="auto" w:sz="4" w:space="0"/>
            </w:tcBorders>
            <w:vAlign w:val="bottom"/>
          </w:tcPr>
          <w:p>
            <w:pPr>
              <w:rPr>
                <w:rFonts w:ascii="仿宋" w:hAnsi="仿宋" w:eastAsia="仿宋" w:cs="仿宋"/>
              </w:rPr>
            </w:pPr>
          </w:p>
        </w:tc>
        <w:tc>
          <w:tcPr>
            <w:tcW w:w="1520"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100≤Z＜8000</w:t>
            </w:r>
          </w:p>
        </w:tc>
        <w:tc>
          <w:tcPr>
            <w:tcW w:w="1285" w:type="dxa"/>
            <w:tcBorders>
              <w:top w:val="nil"/>
              <w:left w:val="nil"/>
              <w:bottom w:val="single" w:color="auto" w:sz="4"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4" w:space="0"/>
              <w:right w:val="single" w:color="auto" w:sz="4" w:space="0"/>
            </w:tcBorders>
            <w:vAlign w:val="bottom"/>
          </w:tcPr>
          <w:p>
            <w:pPr>
              <w:rPr>
                <w:rFonts w:ascii="仿宋" w:hAnsi="仿宋" w:eastAsia="仿宋" w:cs="仿宋"/>
              </w:rPr>
            </w:pPr>
          </w:p>
        </w:tc>
        <w:tc>
          <w:tcPr>
            <w:tcW w:w="1221" w:type="dxa"/>
            <w:tcBorders>
              <w:top w:val="nil"/>
              <w:left w:val="nil"/>
              <w:bottom w:val="single" w:color="auto" w:sz="4" w:space="0"/>
              <w:right w:val="single" w:color="auto" w:sz="8" w:space="0"/>
            </w:tcBorders>
            <w:vAlign w:val="bottom"/>
          </w:tcPr>
          <w:p>
            <w:pPr>
              <w:rPr>
                <w:rFonts w:ascii="仿宋" w:hAnsi="仿宋" w:eastAsia="仿宋" w:cs="仿宋"/>
              </w:rPr>
            </w:pPr>
            <w:r>
              <w:rPr>
                <w:rFonts w:hint="eastAsia" w:ascii="仿宋" w:hAnsi="仿宋" w:eastAsia="仿宋" w:cs="仿宋"/>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ascii="仿宋" w:hAnsi="仿宋" w:eastAsia="仿宋" w:cs="仿宋"/>
              </w:rPr>
            </w:pPr>
            <w:r>
              <w:rPr>
                <w:rFonts w:hint="eastAsia" w:ascii="仿宋" w:hAnsi="仿宋" w:eastAsia="仿宋" w:cs="仿宋"/>
              </w:rPr>
              <w:t>16、其他未列明行业</w:t>
            </w:r>
          </w:p>
        </w:tc>
        <w:tc>
          <w:tcPr>
            <w:tcW w:w="149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100≤X＜300</w:t>
            </w:r>
          </w:p>
        </w:tc>
        <w:tc>
          <w:tcPr>
            <w:tcW w:w="1763" w:type="dxa"/>
            <w:tcBorders>
              <w:top w:val="nil"/>
              <w:left w:val="nil"/>
              <w:bottom w:val="single" w:color="auto" w:sz="8" w:space="0"/>
              <w:right w:val="single" w:color="auto" w:sz="4" w:space="0"/>
            </w:tcBorders>
            <w:vAlign w:val="bottom"/>
          </w:tcPr>
          <w:p>
            <w:pPr>
              <w:rPr>
                <w:rFonts w:ascii="仿宋" w:hAnsi="仿宋" w:eastAsia="仿宋" w:cs="仿宋"/>
              </w:rPr>
            </w:pPr>
          </w:p>
        </w:tc>
        <w:tc>
          <w:tcPr>
            <w:tcW w:w="1660" w:type="dxa"/>
            <w:tcBorders>
              <w:top w:val="nil"/>
              <w:left w:val="nil"/>
              <w:bottom w:val="single" w:color="auto" w:sz="8" w:space="0"/>
              <w:right w:val="single" w:color="auto" w:sz="8" w:space="0"/>
            </w:tcBorders>
            <w:vAlign w:val="bottom"/>
          </w:tcPr>
          <w:p>
            <w:pPr>
              <w:rPr>
                <w:rFonts w:ascii="仿宋" w:hAnsi="仿宋" w:eastAsia="仿宋" w:cs="仿宋"/>
              </w:rPr>
            </w:pPr>
          </w:p>
        </w:tc>
        <w:tc>
          <w:tcPr>
            <w:tcW w:w="1458"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10≤X＜100</w:t>
            </w:r>
          </w:p>
        </w:tc>
        <w:tc>
          <w:tcPr>
            <w:tcW w:w="1636" w:type="dxa"/>
            <w:tcBorders>
              <w:top w:val="nil"/>
              <w:left w:val="nil"/>
              <w:bottom w:val="single" w:color="auto" w:sz="8" w:space="0"/>
              <w:right w:val="single" w:color="auto" w:sz="4" w:space="0"/>
            </w:tcBorders>
            <w:vAlign w:val="bottom"/>
          </w:tcPr>
          <w:p>
            <w:pPr>
              <w:rPr>
                <w:rFonts w:ascii="仿宋" w:hAnsi="仿宋" w:eastAsia="仿宋" w:cs="仿宋"/>
              </w:rPr>
            </w:pPr>
          </w:p>
        </w:tc>
        <w:tc>
          <w:tcPr>
            <w:tcW w:w="1520" w:type="dxa"/>
            <w:tcBorders>
              <w:top w:val="nil"/>
              <w:left w:val="nil"/>
              <w:bottom w:val="single" w:color="auto" w:sz="8" w:space="0"/>
              <w:right w:val="single" w:color="auto" w:sz="8" w:space="0"/>
            </w:tcBorders>
            <w:vAlign w:val="bottom"/>
          </w:tcPr>
          <w:p>
            <w:pPr>
              <w:rPr>
                <w:rFonts w:ascii="仿宋" w:hAnsi="仿宋" w:eastAsia="仿宋" w:cs="仿宋"/>
              </w:rPr>
            </w:pPr>
          </w:p>
        </w:tc>
        <w:tc>
          <w:tcPr>
            <w:tcW w:w="1285" w:type="dxa"/>
            <w:tcBorders>
              <w:top w:val="nil"/>
              <w:left w:val="nil"/>
              <w:bottom w:val="single" w:color="auto" w:sz="8" w:space="0"/>
              <w:right w:val="single" w:color="auto" w:sz="4" w:space="0"/>
            </w:tcBorders>
            <w:vAlign w:val="bottom"/>
          </w:tcPr>
          <w:p>
            <w:pPr>
              <w:rPr>
                <w:rFonts w:ascii="仿宋" w:hAnsi="仿宋" w:eastAsia="仿宋" w:cs="仿宋"/>
              </w:rPr>
            </w:pPr>
            <w:r>
              <w:rPr>
                <w:rFonts w:hint="eastAsia" w:ascii="仿宋" w:hAnsi="仿宋" w:eastAsia="仿宋" w:cs="仿宋"/>
              </w:rPr>
              <w:t>X＜10</w:t>
            </w:r>
          </w:p>
        </w:tc>
        <w:tc>
          <w:tcPr>
            <w:tcW w:w="1275" w:type="dxa"/>
            <w:tcBorders>
              <w:top w:val="nil"/>
              <w:left w:val="nil"/>
              <w:bottom w:val="single" w:color="auto" w:sz="8" w:space="0"/>
              <w:right w:val="single" w:color="auto" w:sz="4" w:space="0"/>
            </w:tcBorders>
            <w:vAlign w:val="bottom"/>
          </w:tcPr>
          <w:p>
            <w:pPr>
              <w:rPr>
                <w:rFonts w:ascii="仿宋" w:hAnsi="仿宋" w:eastAsia="仿宋" w:cs="仿宋"/>
              </w:rPr>
            </w:pPr>
          </w:p>
        </w:tc>
        <w:tc>
          <w:tcPr>
            <w:tcW w:w="1221" w:type="dxa"/>
            <w:tcBorders>
              <w:top w:val="nil"/>
              <w:left w:val="nil"/>
              <w:bottom w:val="single" w:color="auto" w:sz="8" w:space="0"/>
              <w:right w:val="single" w:color="auto" w:sz="8" w:space="0"/>
            </w:tcBorders>
            <w:vAlign w:val="bottom"/>
          </w:tcPr>
          <w:p>
            <w:pPr>
              <w:rPr>
                <w:rFonts w:ascii="仿宋" w:hAnsi="仿宋" w:eastAsia="仿宋" w:cs="仿宋"/>
              </w:rPr>
            </w:pPr>
          </w:p>
        </w:tc>
      </w:tr>
    </w:tbl>
    <w:p>
      <w:pPr>
        <w:rPr>
          <w:rFonts w:ascii="仿宋" w:hAnsi="仿宋" w:eastAsia="仿宋" w:cs="仿宋"/>
          <w:b/>
          <w:spacing w:val="6"/>
          <w:sz w:val="32"/>
          <w:szCs w:val="32"/>
        </w:rPr>
        <w:sectPr>
          <w:pgSz w:w="16838" w:h="11905" w:orient="landscape"/>
          <w:pgMar w:top="1083" w:right="1440" w:bottom="1083" w:left="1440" w:header="567" w:footer="567" w:gutter="0"/>
          <w:pgNumType w:fmt="decimal"/>
          <w:cols w:space="0" w:num="1"/>
          <w:titlePg/>
          <w:docGrid w:linePitch="312" w:charSpace="0"/>
        </w:sectPr>
      </w:pPr>
    </w:p>
    <w:p>
      <w:pPr>
        <w:pStyle w:val="5"/>
        <w:jc w:val="both"/>
        <w:rPr>
          <w:rFonts w:ascii="仿宋" w:eastAsia="仿宋" w:cs="仿宋"/>
          <w:kern w:val="0"/>
        </w:rPr>
      </w:pPr>
      <w:r>
        <w:rPr>
          <w:rFonts w:hint="eastAsia" w:ascii="仿宋" w:eastAsia="仿宋" w:cs="仿宋"/>
          <w:spacing w:val="6"/>
        </w:rPr>
        <w:t>附件3：</w:t>
      </w:r>
      <w:r>
        <w:rPr>
          <w:rFonts w:hint="eastAsia" w:ascii="仿宋" w:eastAsia="仿宋" w:cs="仿宋"/>
          <w:kern w:val="0"/>
        </w:rPr>
        <w:t>供应商基本情况表（</w:t>
      </w:r>
      <w:r>
        <w:rPr>
          <w:rFonts w:hint="eastAsia" w:ascii="仿宋" w:eastAsia="仿宋" w:cs="仿宋"/>
          <w:kern w:val="0"/>
          <w:lang w:val="en-US"/>
        </w:rPr>
        <w:t>参考</w:t>
      </w:r>
      <w:r>
        <w:rPr>
          <w:rFonts w:hint="eastAsia" w:ascii="仿宋" w:eastAsia="仿宋" w:cs="仿宋"/>
          <w:kern w:val="0"/>
        </w:rPr>
        <w:t>）</w:t>
      </w:r>
    </w:p>
    <w:p>
      <w:pPr>
        <w:pStyle w:val="5"/>
        <w:jc w:val="center"/>
        <w:rPr>
          <w:rFonts w:ascii="仿宋" w:eastAsia="仿宋" w:cs="仿宋"/>
          <w:kern w:val="0"/>
        </w:rPr>
      </w:pPr>
      <w:r>
        <w:rPr>
          <w:rFonts w:hint="eastAsia" w:ascii="仿宋" w:eastAsia="仿宋" w:cs="仿宋"/>
          <w:kern w:val="0"/>
        </w:rPr>
        <w:t>供应商基本情况表</w:t>
      </w:r>
    </w:p>
    <w:tbl>
      <w:tblPr>
        <w:tblStyle w:val="66"/>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企业名称</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法人代表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地址</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企业性质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股东姓名</w:t>
            </w:r>
          </w:p>
        </w:tc>
        <w:tc>
          <w:tcPr>
            <w:tcW w:w="774" w:type="dxa"/>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股权结构（%）</w:t>
            </w:r>
          </w:p>
        </w:tc>
        <w:tc>
          <w:tcPr>
            <w:tcW w:w="2601" w:type="dxa"/>
            <w:gridSpan w:val="4"/>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股东关系</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联系人姓名</w:t>
            </w:r>
          </w:p>
        </w:tc>
        <w:tc>
          <w:tcPr>
            <w:tcW w:w="774" w:type="dxa"/>
            <w:vMerge w:val="restart"/>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固定电话</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restart"/>
            <w:vAlign w:val="center"/>
          </w:tcPr>
          <w:p>
            <w:pPr>
              <w:spacing w:line="420" w:lineRule="exact"/>
              <w:jc w:val="center"/>
              <w:rPr>
                <w:rFonts w:ascii="仿宋" w:hAnsi="仿宋" w:eastAsia="仿宋" w:cs="仿宋"/>
              </w:rPr>
            </w:pPr>
            <w:r>
              <w:rPr>
                <w:rFonts w:hint="eastAsia" w:ascii="仿宋" w:hAnsi="仿宋" w:eastAsia="仿宋" w:cs="仿宋"/>
              </w:rPr>
              <w:t>传真</w:t>
            </w:r>
          </w:p>
        </w:tc>
        <w:tc>
          <w:tcPr>
            <w:tcW w:w="2439" w:type="dxa"/>
            <w:gridSpan w:val="4"/>
            <w:vMerge w:val="restart"/>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Merge w:val="continue"/>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手机</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continue"/>
            <w:vAlign w:val="center"/>
          </w:tcPr>
          <w:p>
            <w:pPr>
              <w:spacing w:line="420" w:lineRule="exact"/>
              <w:jc w:val="center"/>
              <w:rPr>
                <w:rFonts w:ascii="仿宋" w:hAnsi="仿宋" w:eastAsia="仿宋" w:cs="仿宋"/>
              </w:rPr>
            </w:pPr>
          </w:p>
        </w:tc>
        <w:tc>
          <w:tcPr>
            <w:tcW w:w="2439" w:type="dxa"/>
            <w:gridSpan w:val="4"/>
            <w:vMerge w:val="continue"/>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 xml:space="preserve">1. </w:t>
            </w:r>
          </w:p>
          <w:p>
            <w:pPr>
              <w:spacing w:line="420" w:lineRule="exact"/>
              <w:jc w:val="center"/>
              <w:rPr>
                <w:rFonts w:ascii="仿宋" w:hAnsi="仿宋" w:eastAsia="仿宋" w:cs="仿宋"/>
              </w:rPr>
            </w:pPr>
            <w:r>
              <w:rPr>
                <w:rFonts w:hint="eastAsia" w:ascii="仿宋" w:hAnsi="仿宋" w:eastAsia="仿宋" w:cs="仿宋"/>
              </w:rPr>
              <w:t>企</w:t>
            </w:r>
          </w:p>
          <w:p>
            <w:pPr>
              <w:spacing w:line="420" w:lineRule="exact"/>
              <w:jc w:val="center"/>
              <w:rPr>
                <w:rFonts w:ascii="仿宋" w:hAnsi="仿宋" w:eastAsia="仿宋" w:cs="仿宋"/>
              </w:rPr>
            </w:pPr>
            <w:r>
              <w:rPr>
                <w:rFonts w:hint="eastAsia" w:ascii="仿宋" w:hAnsi="仿宋" w:eastAsia="仿宋" w:cs="仿宋"/>
              </w:rPr>
              <w:t>业</w:t>
            </w:r>
          </w:p>
          <w:p>
            <w:pPr>
              <w:spacing w:line="420" w:lineRule="exact"/>
              <w:jc w:val="center"/>
              <w:rPr>
                <w:rFonts w:ascii="仿宋" w:hAnsi="仿宋" w:eastAsia="仿宋" w:cs="仿宋"/>
              </w:rPr>
            </w:pPr>
            <w:r>
              <w:rPr>
                <w:rFonts w:hint="eastAsia" w:ascii="仿宋" w:hAnsi="仿宋" w:eastAsia="仿宋" w:cs="仿宋"/>
              </w:rPr>
              <w:t>概</w:t>
            </w:r>
          </w:p>
          <w:p>
            <w:pPr>
              <w:spacing w:line="420" w:lineRule="exact"/>
              <w:jc w:val="center"/>
              <w:rPr>
                <w:rFonts w:ascii="仿宋" w:hAnsi="仿宋" w:eastAsia="仿宋" w:cs="仿宋"/>
              </w:rPr>
            </w:pPr>
            <w:r>
              <w:rPr>
                <w:rFonts w:hint="eastAsia" w:ascii="仿宋" w:hAnsi="仿宋" w:eastAsia="仿宋" w:cs="仿宋"/>
              </w:rPr>
              <w:t>况</w:t>
            </w: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职工</w:t>
            </w:r>
          </w:p>
          <w:p>
            <w:pPr>
              <w:spacing w:line="420" w:lineRule="exact"/>
              <w:jc w:val="center"/>
              <w:rPr>
                <w:rFonts w:ascii="仿宋" w:hAnsi="仿宋" w:eastAsia="仿宋" w:cs="仿宋"/>
              </w:rPr>
            </w:pPr>
            <w:r>
              <w:rPr>
                <w:rFonts w:hint="eastAsia" w:ascii="仿宋" w:hAnsi="仿宋" w:eastAsia="仿宋" w:cs="仿宋"/>
              </w:rPr>
              <w:t>人数</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具备大专以上学历人数</w:t>
            </w:r>
          </w:p>
        </w:tc>
        <w:tc>
          <w:tcPr>
            <w:tcW w:w="1302" w:type="dxa"/>
            <w:gridSpan w:val="2"/>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国家授予技术职称人数</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占地</w:t>
            </w:r>
          </w:p>
          <w:p>
            <w:pPr>
              <w:spacing w:line="420" w:lineRule="exact"/>
              <w:jc w:val="center"/>
              <w:rPr>
                <w:rFonts w:ascii="仿宋" w:hAnsi="仿宋" w:eastAsia="仿宋" w:cs="仿宋"/>
              </w:rPr>
            </w:pPr>
            <w:r>
              <w:rPr>
                <w:rFonts w:hint="eastAsia" w:ascii="仿宋" w:hAnsi="仿宋" w:eastAsia="仿宋" w:cs="仿宋"/>
              </w:rPr>
              <w:t>面积</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建筑面积</w:t>
            </w:r>
          </w:p>
        </w:tc>
        <w:tc>
          <w:tcPr>
            <w:tcW w:w="1302" w:type="dxa"/>
            <w:gridSpan w:val="2"/>
            <w:vAlign w:val="center"/>
          </w:tcPr>
          <w:p>
            <w:pPr>
              <w:spacing w:line="420" w:lineRule="exact"/>
              <w:jc w:val="center"/>
              <w:rPr>
                <w:rFonts w:ascii="仿宋" w:hAnsi="仿宋" w:eastAsia="仿宋" w:cs="仿宋"/>
              </w:rPr>
            </w:pPr>
            <w:r>
              <w:rPr>
                <w:rFonts w:hint="eastAsia" w:ascii="仿宋" w:hAnsi="仿宋" w:eastAsia="仿宋" w:cs="仿宋"/>
              </w:rPr>
              <w:t>平方米□自有□租赁</w:t>
            </w: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生产经营场所及场所的设施与设备</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注册</w:t>
            </w:r>
          </w:p>
          <w:p>
            <w:pPr>
              <w:spacing w:line="420" w:lineRule="exact"/>
              <w:jc w:val="center"/>
              <w:rPr>
                <w:rFonts w:ascii="仿宋" w:hAnsi="仿宋" w:eastAsia="仿宋" w:cs="仿宋"/>
              </w:rPr>
            </w:pPr>
            <w:r>
              <w:rPr>
                <w:rFonts w:hint="eastAsia" w:ascii="仿宋" w:hAnsi="仿宋" w:eastAsia="仿宋" w:cs="仿宋"/>
              </w:rPr>
              <w:t>资金</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注册发证机关</w:t>
            </w:r>
          </w:p>
        </w:tc>
        <w:tc>
          <w:tcPr>
            <w:tcW w:w="3339" w:type="dxa"/>
            <w:gridSpan w:val="4"/>
            <w:vAlign w:val="center"/>
          </w:tcPr>
          <w:p>
            <w:pPr>
              <w:spacing w:line="420" w:lineRule="exact"/>
              <w:jc w:val="center"/>
              <w:rPr>
                <w:rFonts w:ascii="仿宋" w:hAnsi="仿宋" w:eastAsia="仿宋" w:cs="仿宋"/>
              </w:rPr>
            </w:pPr>
          </w:p>
        </w:tc>
        <w:tc>
          <w:tcPr>
            <w:tcW w:w="850" w:type="dxa"/>
            <w:gridSpan w:val="2"/>
            <w:vAlign w:val="center"/>
          </w:tcPr>
          <w:p>
            <w:pPr>
              <w:spacing w:line="420" w:lineRule="exact"/>
              <w:jc w:val="center"/>
              <w:rPr>
                <w:rFonts w:ascii="仿宋" w:hAnsi="仿宋" w:eastAsia="仿宋" w:cs="仿宋"/>
              </w:rPr>
            </w:pPr>
            <w:r>
              <w:rPr>
                <w:rFonts w:hint="eastAsia" w:ascii="仿宋" w:hAnsi="仿宋" w:eastAsia="仿宋" w:cs="仿宋"/>
              </w:rPr>
              <w:t>公司成立时间</w:t>
            </w:r>
          </w:p>
        </w:tc>
        <w:tc>
          <w:tcPr>
            <w:tcW w:w="1589" w:type="dxa"/>
            <w:gridSpan w:val="2"/>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核准经营范围</w:t>
            </w:r>
          </w:p>
        </w:tc>
        <w:tc>
          <w:tcPr>
            <w:tcW w:w="8520" w:type="dxa"/>
            <w:gridSpan w:val="11"/>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9294" w:type="dxa"/>
            <w:gridSpan w:val="12"/>
            <w:vAlign w:val="center"/>
          </w:tcPr>
          <w:p>
            <w:pPr>
              <w:spacing w:line="420" w:lineRule="exact"/>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2.企业有关资质获证情况</w:t>
            </w:r>
          </w:p>
        </w:tc>
        <w:tc>
          <w:tcPr>
            <w:tcW w:w="2690" w:type="dxa"/>
            <w:gridSpan w:val="3"/>
            <w:vMerge w:val="restart"/>
            <w:vAlign w:val="center"/>
          </w:tcPr>
          <w:p>
            <w:pPr>
              <w:spacing w:line="420" w:lineRule="exact"/>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rPr>
            </w:pPr>
            <w:r>
              <w:rPr>
                <w:rFonts w:hint="eastAsia" w:ascii="仿宋" w:hAnsi="仿宋" w:eastAsia="仿宋" w:cs="仿宋"/>
              </w:rPr>
              <w:t>产品名称</w:t>
            </w:r>
          </w:p>
        </w:tc>
        <w:tc>
          <w:tcPr>
            <w:tcW w:w="1443" w:type="dxa"/>
            <w:gridSpan w:val="2"/>
            <w:vAlign w:val="center"/>
          </w:tcPr>
          <w:p>
            <w:pPr>
              <w:spacing w:line="420" w:lineRule="exact"/>
              <w:jc w:val="center"/>
              <w:rPr>
                <w:rFonts w:ascii="仿宋" w:hAnsi="仿宋" w:eastAsia="仿宋" w:cs="仿宋"/>
              </w:rPr>
            </w:pPr>
            <w:r>
              <w:rPr>
                <w:rFonts w:hint="eastAsia" w:ascii="仿宋" w:hAnsi="仿宋" w:eastAsia="仿宋" w:cs="仿宋"/>
              </w:rPr>
              <w:t>发证机关</w:t>
            </w:r>
          </w:p>
        </w:tc>
        <w:tc>
          <w:tcPr>
            <w:tcW w:w="1202" w:type="dxa"/>
            <w:gridSpan w:val="2"/>
            <w:vAlign w:val="center"/>
          </w:tcPr>
          <w:p>
            <w:pPr>
              <w:spacing w:line="420" w:lineRule="exact"/>
              <w:jc w:val="center"/>
              <w:rPr>
                <w:rFonts w:ascii="仿宋" w:hAnsi="仿宋" w:eastAsia="仿宋" w:cs="仿宋"/>
              </w:rPr>
            </w:pPr>
            <w:r>
              <w:rPr>
                <w:rFonts w:hint="eastAsia" w:ascii="仿宋" w:hAnsi="仿宋" w:eastAsia="仿宋" w:cs="仿宋"/>
              </w:rPr>
              <w:t>编号</w:t>
            </w:r>
          </w:p>
        </w:tc>
        <w:tc>
          <w:tcPr>
            <w:tcW w:w="819" w:type="dxa"/>
            <w:gridSpan w:val="2"/>
            <w:vAlign w:val="center"/>
          </w:tcPr>
          <w:p>
            <w:pPr>
              <w:spacing w:line="420" w:lineRule="exact"/>
              <w:jc w:val="center"/>
              <w:rPr>
                <w:rFonts w:ascii="仿宋" w:hAnsi="仿宋" w:eastAsia="仿宋" w:cs="仿宋"/>
              </w:rPr>
            </w:pPr>
            <w:r>
              <w:rPr>
                <w:rFonts w:hint="eastAsia" w:ascii="仿宋" w:hAnsi="仿宋" w:eastAsia="仿宋" w:cs="仿宋"/>
              </w:rPr>
              <w:t>发证时间</w:t>
            </w:r>
          </w:p>
        </w:tc>
        <w:tc>
          <w:tcPr>
            <w:tcW w:w="1446" w:type="dxa"/>
            <w:vAlign w:val="center"/>
          </w:tcPr>
          <w:p>
            <w:pPr>
              <w:spacing w:line="420" w:lineRule="exact"/>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Merge w:val="continue"/>
            <w:vAlign w:val="center"/>
          </w:tcPr>
          <w:p>
            <w:pPr>
              <w:spacing w:line="420" w:lineRule="exact"/>
              <w:jc w:val="center"/>
              <w:rPr>
                <w:rFonts w:ascii="仿宋" w:hAnsi="仿宋" w:eastAsia="仿宋" w:cs="仿宋"/>
              </w:rPr>
            </w:pPr>
          </w:p>
        </w:tc>
        <w:tc>
          <w:tcPr>
            <w:tcW w:w="1694" w:type="dxa"/>
            <w:gridSpan w:val="2"/>
            <w:vAlign w:val="center"/>
          </w:tcPr>
          <w:p>
            <w:pPr>
              <w:spacing w:line="420" w:lineRule="exact"/>
              <w:jc w:val="center"/>
              <w:rPr>
                <w:rFonts w:ascii="仿宋" w:hAnsi="仿宋" w:eastAsia="仿宋" w:cs="仿宋"/>
              </w:rPr>
            </w:pPr>
          </w:p>
        </w:tc>
        <w:tc>
          <w:tcPr>
            <w:tcW w:w="1443" w:type="dxa"/>
            <w:gridSpan w:val="2"/>
            <w:vAlign w:val="center"/>
          </w:tcPr>
          <w:p>
            <w:pPr>
              <w:spacing w:line="420" w:lineRule="exact"/>
              <w:jc w:val="center"/>
              <w:rPr>
                <w:rFonts w:ascii="仿宋" w:hAnsi="仿宋" w:eastAsia="仿宋" w:cs="仿宋"/>
              </w:rPr>
            </w:pPr>
          </w:p>
        </w:tc>
        <w:tc>
          <w:tcPr>
            <w:tcW w:w="1202" w:type="dxa"/>
            <w:gridSpan w:val="2"/>
            <w:vAlign w:val="center"/>
          </w:tcPr>
          <w:p>
            <w:pPr>
              <w:spacing w:line="420" w:lineRule="exact"/>
              <w:jc w:val="center"/>
              <w:rPr>
                <w:rFonts w:ascii="仿宋" w:hAnsi="仿宋" w:eastAsia="仿宋" w:cs="仿宋"/>
              </w:rPr>
            </w:pPr>
          </w:p>
        </w:tc>
        <w:tc>
          <w:tcPr>
            <w:tcW w:w="2265" w:type="dxa"/>
            <w:gridSpan w:val="3"/>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企业通过质量体系、环保体系、计量等认证情况</w:t>
            </w:r>
          </w:p>
        </w:tc>
        <w:tc>
          <w:tcPr>
            <w:tcW w:w="6604" w:type="dxa"/>
            <w:gridSpan w:val="9"/>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企业获得专利情况</w:t>
            </w:r>
          </w:p>
        </w:tc>
        <w:tc>
          <w:tcPr>
            <w:tcW w:w="6604" w:type="dxa"/>
            <w:gridSpan w:val="9"/>
            <w:vAlign w:val="center"/>
          </w:tcPr>
          <w:p>
            <w:pPr>
              <w:spacing w:line="420" w:lineRule="exact"/>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rPr>
          <w:rFonts w:ascii="仿宋" w:hAnsi="仿宋" w:eastAsia="仿宋" w:cs="仿宋"/>
          <w:b/>
          <w:sz w:val="32"/>
          <w:szCs w:val="32"/>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638" w:firstLineChars="266"/>
        <w:rPr>
          <w:rFonts w:ascii="仿宋" w:hAnsi="仿宋" w:eastAsia="仿宋" w:cs="仿宋"/>
          <w:b/>
          <w:sz w:val="32"/>
          <w:szCs w:val="32"/>
        </w:rPr>
      </w:pPr>
      <w:r>
        <w:rPr>
          <w:rFonts w:hint="eastAsia" w:ascii="仿宋" w:hAnsi="仿宋" w:eastAsia="仿宋" w:cs="仿宋"/>
          <w:sz w:val="24"/>
          <w:lang w:val="zh-CN"/>
        </w:rPr>
        <w:t>日期：</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rPr>
          <w:rFonts w:ascii="仿宋" w:hAnsi="仿宋" w:eastAsia="仿宋" w:cs="仿宋"/>
          <w:b/>
          <w:spacing w:val="6"/>
          <w:sz w:val="32"/>
          <w:szCs w:val="32"/>
        </w:rPr>
      </w:pPr>
      <w:r>
        <w:rPr>
          <w:rFonts w:hint="eastAsia" w:ascii="仿宋" w:hAnsi="仿宋" w:eastAsia="仿宋" w:cs="仿宋"/>
          <w:b/>
          <w:spacing w:val="6"/>
          <w:sz w:val="32"/>
          <w:szCs w:val="32"/>
        </w:rPr>
        <w:t>附件4</w:t>
      </w:r>
    </w:p>
    <w:p>
      <w:pPr>
        <w:pStyle w:val="968"/>
        <w:spacing w:line="360" w:lineRule="auto"/>
        <w:jc w:val="center"/>
        <w:rPr>
          <w:rFonts w:ascii="仿宋" w:hAnsi="仿宋" w:eastAsia="仿宋" w:cs="仿宋"/>
          <w:b/>
          <w:sz w:val="32"/>
          <w:szCs w:val="32"/>
        </w:rPr>
      </w:pPr>
      <w:r>
        <w:rPr>
          <w:rFonts w:hint="eastAsia" w:ascii="仿宋" w:hAnsi="仿宋" w:eastAsia="仿宋" w:cs="仿宋"/>
          <w:b/>
          <w:sz w:val="32"/>
          <w:szCs w:val="32"/>
        </w:rPr>
        <w:t>投标人类似项目业绩一览表</w:t>
      </w:r>
    </w:p>
    <w:tbl>
      <w:tblPr>
        <w:tblStyle w:val="66"/>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pStyle w:val="968"/>
        <w:spacing w:line="360" w:lineRule="auto"/>
        <w:jc w:val="center"/>
        <w:rPr>
          <w:rFonts w:ascii="仿宋" w:hAnsi="仿宋" w:eastAsia="仿宋" w:cs="仿宋"/>
          <w:b/>
          <w:sz w:val="32"/>
          <w:szCs w:val="32"/>
        </w:rPr>
      </w:pPr>
    </w:p>
    <w:p>
      <w:pPr>
        <w:autoSpaceDE w:val="0"/>
        <w:autoSpaceDN w:val="0"/>
        <w:spacing w:before="120" w:beforeLines="50" w:line="360" w:lineRule="auto"/>
        <w:rPr>
          <w:rFonts w:ascii="仿宋" w:hAnsi="仿宋" w:eastAsia="仿宋" w:cs="仿宋"/>
          <w:b/>
          <w:szCs w:val="21"/>
        </w:rPr>
      </w:pPr>
      <w:r>
        <w:rPr>
          <w:rFonts w:hint="eastAsia" w:ascii="仿宋" w:hAnsi="仿宋" w:eastAsia="仿宋" w:cs="仿宋"/>
          <w:b/>
          <w:szCs w:val="21"/>
        </w:rPr>
        <w:t>要求：</w:t>
      </w:r>
    </w:p>
    <w:p>
      <w:pPr>
        <w:autoSpaceDE w:val="0"/>
        <w:autoSpaceDN w:val="0"/>
        <w:spacing w:before="120" w:beforeLines="50" w:line="360" w:lineRule="auto"/>
        <w:ind w:firstLine="424" w:firstLineChars="202"/>
        <w:rPr>
          <w:rFonts w:ascii="仿宋" w:hAnsi="仿宋" w:eastAsia="仿宋" w:cs="仿宋"/>
          <w:b/>
          <w:szCs w:val="21"/>
        </w:rPr>
      </w:pPr>
      <w:r>
        <w:rPr>
          <w:rFonts w:hint="eastAsia" w:ascii="仿宋" w:hAnsi="仿宋" w:eastAsia="仿宋" w:cs="仿宋"/>
          <w:szCs w:val="21"/>
        </w:rPr>
        <w:t>1.业绩证明应提供证明材料。</w:t>
      </w:r>
    </w:p>
    <w:p>
      <w:pPr>
        <w:spacing w:line="360" w:lineRule="auto"/>
        <w:ind w:firstLine="424" w:firstLineChars="202"/>
        <w:jc w:val="left"/>
        <w:rPr>
          <w:rFonts w:ascii="仿宋" w:hAnsi="仿宋" w:eastAsia="仿宋" w:cs="仿宋"/>
          <w:szCs w:val="21"/>
        </w:rPr>
      </w:pPr>
      <w:r>
        <w:rPr>
          <w:rFonts w:hint="eastAsia" w:ascii="仿宋" w:hAnsi="仿宋" w:eastAsia="仿宋" w:cs="仿宋"/>
          <w:szCs w:val="21"/>
        </w:rPr>
        <w:t>2.投标人可按此表格式复制。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32"/>
          <w:szCs w:val="32"/>
        </w:rPr>
      </w:pPr>
      <w:r>
        <w:rPr>
          <w:rFonts w:hint="eastAsia" w:ascii="仿宋" w:hAnsi="仿宋" w:eastAsia="仿宋" w:cs="仿宋"/>
          <w:sz w:val="24"/>
          <w:lang w:val="zh-CN"/>
        </w:rPr>
        <w:t>日期：</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5"/>
        <w:rPr>
          <w:rFonts w:ascii="仿宋" w:eastAsia="仿宋" w:cs="仿宋"/>
        </w:rPr>
      </w:pPr>
      <w:r>
        <w:rPr>
          <w:rFonts w:hint="eastAsia" w:ascii="仿宋" w:eastAsia="仿宋" w:cs="仿宋"/>
          <w:bCs w:val="0"/>
          <w:spacing w:val="6"/>
          <w:lang w:val="en-US"/>
        </w:rPr>
        <w:t>附件5</w:t>
      </w:r>
    </w:p>
    <w:p>
      <w:pPr>
        <w:pStyle w:val="969"/>
        <w:spacing w:line="360" w:lineRule="auto"/>
        <w:jc w:val="center"/>
        <w:rPr>
          <w:rFonts w:ascii="仿宋" w:hAnsi="仿宋" w:eastAsia="仿宋" w:cs="仿宋"/>
          <w:b/>
          <w:sz w:val="32"/>
          <w:szCs w:val="32"/>
        </w:rPr>
      </w:pPr>
      <w:bookmarkStart w:id="440" w:name="_Toc17604_WPSOffice_Level1"/>
      <w:bookmarkStart w:id="441" w:name="_Toc11030_WPSOffice_Level1"/>
      <w:r>
        <w:rPr>
          <w:rFonts w:hint="eastAsia" w:ascii="仿宋" w:hAnsi="仿宋" w:eastAsia="仿宋" w:cs="仿宋"/>
          <w:b/>
          <w:sz w:val="32"/>
          <w:szCs w:val="32"/>
        </w:rPr>
        <w:t>证书一览表</w:t>
      </w:r>
      <w:bookmarkEnd w:id="440"/>
      <w:bookmarkEnd w:id="441"/>
    </w:p>
    <w:p>
      <w:pPr>
        <w:pStyle w:val="969"/>
        <w:spacing w:line="360" w:lineRule="auto"/>
        <w:jc w:val="center"/>
        <w:rPr>
          <w:rFonts w:ascii="仿宋" w:hAnsi="仿宋" w:eastAsia="仿宋" w:cs="仿宋"/>
          <w:b/>
          <w:sz w:val="32"/>
          <w:szCs w:val="32"/>
        </w:rPr>
      </w:pPr>
    </w:p>
    <w:tbl>
      <w:tblPr>
        <w:tblStyle w:val="66"/>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9"/>
              <w:jc w:val="center"/>
              <w:rPr>
                <w:rFonts w:ascii="仿宋" w:hAnsi="仿宋" w:eastAsia="仿宋" w:cs="仿宋"/>
                <w:b/>
                <w:bCs/>
                <w:szCs w:val="21"/>
              </w:rPr>
            </w:pPr>
            <w:r>
              <w:rPr>
                <w:rFonts w:hint="eastAsia" w:ascii="仿宋" w:hAnsi="仿宋" w:eastAsia="仿宋" w:cs="仿宋"/>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top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58"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260" w:type="dxa"/>
            <w:tcBorders>
              <w:bottom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9"/>
              <w:spacing w:line="360" w:lineRule="auto"/>
              <w:jc w:val="center"/>
              <w:rPr>
                <w:rFonts w:ascii="仿宋" w:hAnsi="仿宋" w:eastAsia="仿宋" w:cs="仿宋"/>
                <w:szCs w:val="21"/>
              </w:rPr>
            </w:pPr>
          </w:p>
        </w:tc>
      </w:tr>
    </w:tbl>
    <w:p>
      <w:pPr>
        <w:pStyle w:val="969"/>
        <w:tabs>
          <w:tab w:val="left" w:pos="1050"/>
        </w:tabs>
        <w:spacing w:line="360" w:lineRule="auto"/>
        <w:rPr>
          <w:rFonts w:ascii="仿宋" w:hAnsi="仿宋" w:eastAsia="仿宋" w:cs="仿宋"/>
          <w:szCs w:val="21"/>
        </w:rPr>
      </w:pPr>
      <w:r>
        <w:rPr>
          <w:rFonts w:hint="eastAsia" w:ascii="仿宋" w:hAnsi="仿宋" w:eastAsia="仿宋" w:cs="仿宋"/>
          <w:b/>
          <w:szCs w:val="21"/>
        </w:rPr>
        <w:t>要求：</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1.填写投标人获得资质、认证或企业信誉证书。</w:t>
      </w:r>
    </w:p>
    <w:p>
      <w:pPr>
        <w:pStyle w:val="969"/>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2.附所列证书或其他证明材料。</w:t>
      </w:r>
    </w:p>
    <w:p>
      <w:pPr>
        <w:spacing w:line="360" w:lineRule="auto"/>
        <w:jc w:val="center"/>
        <w:rPr>
          <w:rFonts w:ascii="仿宋" w:hAnsi="仿宋" w:eastAsia="仿宋" w:cs="仿宋"/>
          <w:b/>
          <w:sz w:val="32"/>
          <w:szCs w:val="32"/>
        </w:rPr>
      </w:pPr>
    </w:p>
    <w:p>
      <w:pPr>
        <w:pStyle w:val="65"/>
        <w:ind w:firstLine="420"/>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bCs/>
          <w:sz w:val="24"/>
        </w:rPr>
      </w:pPr>
      <w:r>
        <w:rPr>
          <w:rFonts w:hint="eastAsia" w:ascii="仿宋" w:hAnsi="仿宋" w:eastAsia="仿宋" w:cs="仿宋"/>
          <w:sz w:val="24"/>
          <w:lang w:val="zh-CN"/>
        </w:rPr>
        <w:t>日期：</w:t>
      </w:r>
      <w:r>
        <w:rPr>
          <w:rFonts w:hint="eastAsia" w:ascii="仿宋" w:hAnsi="仿宋" w:eastAsia="仿宋" w:cs="仿宋"/>
          <w:bCs/>
          <w:sz w:val="24"/>
        </w:rPr>
        <w:br w:type="page"/>
      </w:r>
    </w:p>
    <w:p>
      <w:pPr>
        <w:pStyle w:val="5"/>
        <w:rPr>
          <w:rFonts w:ascii="仿宋" w:eastAsia="仿宋" w:cs="仿宋"/>
          <w:bCs w:val="0"/>
          <w:spacing w:val="6"/>
          <w:lang w:val="en-US"/>
        </w:rPr>
      </w:pPr>
      <w:r>
        <w:rPr>
          <w:rFonts w:hint="eastAsia" w:ascii="仿宋" w:eastAsia="仿宋" w:cs="仿宋"/>
          <w:bCs w:val="0"/>
          <w:spacing w:val="6"/>
          <w:lang w:val="en-US"/>
        </w:rPr>
        <w:t>附件6</w:t>
      </w:r>
    </w:p>
    <w:p>
      <w:pPr>
        <w:spacing w:before="120" w:beforeLines="50" w:after="120" w:afterLines="50" w:line="360" w:lineRule="auto"/>
        <w:ind w:right="-10"/>
        <w:jc w:val="center"/>
        <w:rPr>
          <w:rFonts w:ascii="仿宋" w:hAnsi="仿宋" w:eastAsia="仿宋" w:cs="仿宋"/>
          <w:b/>
          <w:bCs/>
          <w:sz w:val="32"/>
          <w:szCs w:val="32"/>
        </w:rPr>
      </w:pPr>
      <w:bookmarkStart w:id="442" w:name="_Toc23055_WPSOffice_Level1"/>
      <w:bookmarkStart w:id="443" w:name="_Toc12710_WPSOffice_Level1"/>
      <w:r>
        <w:rPr>
          <w:rFonts w:hint="eastAsia" w:ascii="仿宋" w:hAnsi="仿宋" w:eastAsia="仿宋" w:cs="仿宋"/>
          <w:b/>
          <w:bCs/>
          <w:sz w:val="32"/>
          <w:szCs w:val="32"/>
        </w:rPr>
        <w:t>项目负责人资格情况表</w:t>
      </w:r>
      <w:bookmarkEnd w:id="442"/>
      <w:bookmarkEnd w:id="443"/>
    </w:p>
    <w:tbl>
      <w:tblPr>
        <w:tblStyle w:val="66"/>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rPr>
            </w:pPr>
            <w:r>
              <w:rPr>
                <w:rFonts w:hint="eastAsia" w:ascii="仿宋" w:hAnsi="仿宋" w:eastAsia="仿宋" w:cs="仿宋"/>
              </w:rPr>
              <w:t>注：业绩证明应提供</w:t>
            </w:r>
            <w:r>
              <w:rPr>
                <w:rFonts w:hint="eastAsia" w:ascii="仿宋" w:hAnsi="仿宋" w:eastAsia="仿宋" w:cs="仿宋"/>
                <w:lang w:eastAsia="zh-CN"/>
              </w:rPr>
              <w:t>佐证</w:t>
            </w:r>
            <w:r>
              <w:rPr>
                <w:rFonts w:hint="eastAsia" w:ascii="仿宋" w:hAnsi="仿宋" w:eastAsia="仿宋" w:cs="仿宋"/>
              </w:rPr>
              <w:t>材料</w:t>
            </w:r>
          </w:p>
          <w:p>
            <w:pPr>
              <w:autoSpaceDE w:val="0"/>
              <w:autoSpaceDN w:val="0"/>
              <w:snapToGrid w:val="0"/>
              <w:spacing w:line="360" w:lineRule="auto"/>
              <w:jc w:val="center"/>
              <w:rPr>
                <w:rFonts w:ascii="仿宋" w:hAnsi="仿宋" w:eastAsia="仿宋" w:cs="仿宋"/>
                <w:lang w:val="zh-CN"/>
              </w:rPr>
            </w:pPr>
            <w:r>
              <w:rPr>
                <w:rFonts w:hint="eastAsia" w:ascii="仿宋" w:hAnsi="仿宋" w:eastAsia="仿宋" w:cs="仿宋"/>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lang w:val="zh-CN"/>
              </w:rPr>
            </w:pPr>
          </w:p>
        </w:tc>
      </w:tr>
    </w:tbl>
    <w:p>
      <w:pPr>
        <w:pStyle w:val="6"/>
        <w:rPr>
          <w:rFonts w:ascii="仿宋" w:hAnsi="仿宋" w:eastAsia="仿宋" w:cs="仿宋"/>
          <w:color w:val="auto"/>
        </w:rPr>
      </w:pPr>
    </w:p>
    <w:p>
      <w:pPr>
        <w:snapToGrid w:val="0"/>
        <w:spacing w:line="360" w:lineRule="auto"/>
        <w:ind w:firstLine="420" w:firstLineChars="175"/>
        <w:jc w:val="left"/>
        <w:rPr>
          <w:rFonts w:ascii="仿宋" w:hAnsi="仿宋" w:eastAsia="仿宋" w:cs="仿宋"/>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5"/>
        <w:rPr>
          <w:rFonts w:ascii="仿宋" w:eastAsia="仿宋" w:cs="仿宋"/>
          <w:bCs w:val="0"/>
          <w:spacing w:val="6"/>
          <w:lang w:val="en-US"/>
        </w:rPr>
      </w:pPr>
      <w:r>
        <w:rPr>
          <w:rFonts w:hint="eastAsia" w:ascii="仿宋" w:eastAsia="仿宋" w:cs="仿宋"/>
          <w:bCs w:val="0"/>
          <w:spacing w:val="6"/>
          <w:lang w:val="en-US"/>
        </w:rPr>
        <w:t>附件7</w:t>
      </w:r>
    </w:p>
    <w:p>
      <w:pPr>
        <w:pStyle w:val="6"/>
        <w:rPr>
          <w:rFonts w:ascii="仿宋" w:hAnsi="仿宋" w:eastAsia="仿宋" w:cs="仿宋"/>
          <w:color w:val="auto"/>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66"/>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附投标人为其缴纳的社保证明</w:t>
      </w:r>
      <w:r>
        <w:rPr>
          <w:rFonts w:hint="eastAsia" w:ascii="仿宋" w:hAnsi="仿宋" w:eastAsia="仿宋" w:cs="仿宋"/>
          <w:b/>
          <w:lang w:val="en-US" w:eastAsia="zh-CN"/>
        </w:rPr>
        <w:t>及招标文件要求提供的</w:t>
      </w:r>
      <w:r>
        <w:rPr>
          <w:rFonts w:hint="eastAsia" w:ascii="仿宋" w:hAnsi="仿宋" w:eastAsia="仿宋" w:cs="仿宋"/>
          <w:b/>
        </w:rPr>
        <w:t>相关证明材料扫描件</w:t>
      </w:r>
      <w:r>
        <w:rPr>
          <w:rFonts w:hint="eastAsia" w:ascii="仿宋" w:hAnsi="仿宋" w:eastAsia="仿宋" w:cs="仿宋"/>
          <w:b/>
          <w:lang w:eastAsia="zh-CN"/>
        </w:rPr>
        <w:t>（</w:t>
      </w:r>
      <w:r>
        <w:rPr>
          <w:rFonts w:hint="eastAsia" w:ascii="仿宋" w:hAnsi="仿宋" w:eastAsia="仿宋" w:cs="仿宋"/>
          <w:b/>
          <w:lang w:val="en-US" w:eastAsia="zh-CN"/>
        </w:rPr>
        <w:t>如</w:t>
      </w:r>
      <w:r>
        <w:rPr>
          <w:rFonts w:hint="eastAsia" w:ascii="仿宋" w:hAnsi="仿宋" w:eastAsia="仿宋" w:cs="仿宋"/>
          <w:b/>
        </w:rPr>
        <w:t>人员学历证书、专业证书、职称证书</w:t>
      </w:r>
      <w:r>
        <w:rPr>
          <w:rFonts w:hint="eastAsia" w:ascii="仿宋" w:hAnsi="仿宋" w:eastAsia="仿宋" w:cs="仿宋"/>
          <w:b/>
          <w:lang w:val="en-US" w:eastAsia="zh-CN"/>
        </w:rPr>
        <w:t>等</w:t>
      </w:r>
      <w:r>
        <w:rPr>
          <w:rFonts w:hint="eastAsia" w:ascii="仿宋" w:hAnsi="仿宋" w:eastAsia="仿宋" w:cs="仿宋"/>
          <w:b/>
          <w:lang w:eastAsia="zh-CN"/>
        </w:rPr>
        <w:t>）</w:t>
      </w:r>
      <w:r>
        <w:rPr>
          <w:rFonts w:hint="eastAsia" w:ascii="仿宋" w:hAnsi="仿宋" w:eastAsia="仿宋" w:cs="仿宋"/>
          <w:b/>
        </w:rPr>
        <w:t>。</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5"/>
        <w:rPr>
          <w:rFonts w:ascii="仿宋" w:eastAsia="仿宋" w:cs="仿宋"/>
          <w:bCs w:val="0"/>
          <w:spacing w:val="6"/>
          <w:lang w:val="en-US"/>
        </w:rPr>
      </w:pPr>
      <w:r>
        <w:rPr>
          <w:rFonts w:hint="eastAsia" w:ascii="仿宋" w:eastAsia="仿宋" w:cs="仿宋"/>
          <w:bCs w:val="0"/>
          <w:spacing w:val="6"/>
          <w:lang w:val="en-US"/>
        </w:rPr>
        <w:t>附件8</w:t>
      </w:r>
    </w:p>
    <w:p>
      <w:pPr>
        <w:spacing w:line="360" w:lineRule="exact"/>
        <w:jc w:val="center"/>
        <w:rPr>
          <w:rFonts w:ascii="仿宋" w:hAnsi="仿宋" w:eastAsia="仿宋" w:cs="仿宋"/>
          <w:b/>
          <w:sz w:val="32"/>
          <w:szCs w:val="32"/>
        </w:rPr>
      </w:pPr>
      <w:r>
        <w:rPr>
          <w:rFonts w:hint="eastAsia" w:ascii="仿宋" w:hAnsi="仿宋" w:eastAsia="仿宋" w:cs="仿宋"/>
          <w:b/>
          <w:kern w:val="0"/>
          <w:sz w:val="32"/>
          <w:szCs w:val="32"/>
        </w:rPr>
        <w:t>针对本项目拟投入设备及工具一览表</w:t>
      </w:r>
    </w:p>
    <w:p>
      <w:pPr>
        <w:pStyle w:val="6"/>
        <w:ind w:left="-357" w:leftChars="-170" w:firstLine="0"/>
        <w:rPr>
          <w:rFonts w:ascii="仿宋" w:hAnsi="仿宋" w:eastAsia="仿宋" w:cs="仿宋"/>
          <w:color w:val="auto"/>
        </w:rPr>
      </w:pPr>
    </w:p>
    <w:tbl>
      <w:tblPr>
        <w:tblStyle w:val="6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79" w:type="dxa"/>
            <w:vAlign w:val="center"/>
          </w:tcPr>
          <w:p>
            <w:pPr>
              <w:jc w:val="center"/>
              <w:rPr>
                <w:rFonts w:ascii="仿宋" w:hAnsi="仿宋" w:eastAsia="仿宋" w:cs="仿宋"/>
                <w:b/>
                <w:sz w:val="24"/>
              </w:rPr>
            </w:pPr>
            <w:r>
              <w:rPr>
                <w:rFonts w:hint="eastAsia" w:ascii="仿宋" w:hAnsi="仿宋" w:eastAsia="仿宋" w:cs="仿宋"/>
                <w:b/>
                <w:sz w:val="24"/>
              </w:rPr>
              <w:t>设备或工具名称</w:t>
            </w:r>
          </w:p>
        </w:tc>
        <w:tc>
          <w:tcPr>
            <w:tcW w:w="2394" w:type="dxa"/>
            <w:vAlign w:val="center"/>
          </w:tcPr>
          <w:p>
            <w:pPr>
              <w:jc w:val="center"/>
              <w:rPr>
                <w:rFonts w:ascii="仿宋" w:hAnsi="仿宋" w:eastAsia="仿宋" w:cs="仿宋"/>
                <w:b/>
                <w:sz w:val="24"/>
              </w:rPr>
            </w:pPr>
            <w:r>
              <w:rPr>
                <w:rFonts w:hint="eastAsia" w:ascii="仿宋" w:hAnsi="仿宋" w:eastAsia="仿宋" w:cs="仿宋"/>
                <w:b/>
                <w:sz w:val="24"/>
              </w:rPr>
              <w:t>品牌规格型号</w:t>
            </w:r>
          </w:p>
        </w:tc>
        <w:tc>
          <w:tcPr>
            <w:tcW w:w="1349" w:type="dxa"/>
            <w:vAlign w:val="center"/>
          </w:tcPr>
          <w:p>
            <w:pPr>
              <w:jc w:val="center"/>
              <w:rPr>
                <w:rFonts w:ascii="仿宋" w:hAnsi="仿宋" w:eastAsia="仿宋" w:cs="仿宋"/>
                <w:b/>
                <w:sz w:val="24"/>
              </w:rPr>
            </w:pPr>
            <w:r>
              <w:rPr>
                <w:rFonts w:hint="eastAsia" w:ascii="仿宋" w:hAnsi="仿宋" w:eastAsia="仿宋" w:cs="仿宋_GB2312"/>
                <w:b/>
                <w:sz w:val="24"/>
              </w:rPr>
              <w:t>规格配置详细说明</w:t>
            </w:r>
          </w:p>
        </w:tc>
        <w:tc>
          <w:tcPr>
            <w:tcW w:w="1349"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1350"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kern w:val="0"/>
          <w:sz w:val="24"/>
        </w:rPr>
        <w:t>注：1.</w:t>
      </w:r>
      <w:r>
        <w:rPr>
          <w:rFonts w:hint="eastAsia" w:ascii="仿宋" w:hAnsi="仿宋" w:eastAsia="仿宋"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 w:hAnsi="仿宋" w:eastAsia="仿宋" w:cs="仿宋_GB2312"/>
          <w:b/>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ascii="仿宋" w:hAnsi="仿宋" w:eastAsia="仿宋" w:cs="仿宋"/>
          <w:spacing w:val="20"/>
          <w:sz w:val="22"/>
          <w:szCs w:val="22"/>
        </w:rPr>
      </w:pPr>
    </w:p>
    <w:p>
      <w:pPr>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hint="eastAsia" w:ascii="仿宋" w:hAnsi="仿宋" w:eastAsia="仿宋" w:cs="仿宋"/>
          <w:sz w:val="24"/>
          <w:lang w:val="zh-CN"/>
        </w:rPr>
      </w:pPr>
      <w:r>
        <w:rPr>
          <w:rFonts w:hint="eastAsia" w:ascii="仿宋" w:hAnsi="仿宋" w:eastAsia="仿宋" w:cs="仿宋"/>
          <w:sz w:val="24"/>
          <w:lang w:val="zh-CN"/>
        </w:rPr>
        <w:t>日期：</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5"/>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9</w:t>
      </w:r>
    </w:p>
    <w:p>
      <w:pPr>
        <w:shd w:val="clear"/>
        <w:spacing w:line="420" w:lineRule="exact"/>
        <w:jc w:val="center"/>
        <w:rPr>
          <w:rFonts w:hint="eastAsia" w:ascii="仿宋" w:hAnsi="仿宋" w:eastAsia="仿宋" w:cs="仿宋"/>
          <w:b/>
          <w:bCs/>
          <w:color w:val="auto"/>
          <w:sz w:val="32"/>
          <w:szCs w:val="32"/>
          <w:highlight w:val="none"/>
          <w:lang w:val="en-GB"/>
        </w:rPr>
      </w:pPr>
      <w:r>
        <w:rPr>
          <w:rFonts w:hint="eastAsia" w:ascii="仿宋" w:hAnsi="仿宋" w:eastAsia="仿宋" w:cs="仿宋"/>
          <w:b/>
          <w:bCs/>
          <w:color w:val="auto"/>
          <w:sz w:val="32"/>
          <w:szCs w:val="32"/>
          <w:highlight w:val="none"/>
          <w:lang w:val="en-GB"/>
        </w:rPr>
        <w:t>政府采购活动确认声明书</w:t>
      </w:r>
    </w:p>
    <w:p>
      <w:pPr>
        <w:pStyle w:val="2"/>
        <w:rPr>
          <w:rFonts w:hint="eastAsia"/>
          <w:lang w:val="en-GB"/>
        </w:rPr>
      </w:pP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台州锋鼎工程项目管理有限公司</w:t>
      </w:r>
      <w:r>
        <w:rPr>
          <w:rFonts w:hint="eastAsia" w:ascii="仿宋" w:hAnsi="仿宋" w:eastAsia="仿宋" w:cs="仿宋"/>
          <w:color w:val="auto"/>
          <w:sz w:val="24"/>
          <w:szCs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本人经由</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单位</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（法人代表）合法授权参加</w:t>
      </w:r>
      <w:r>
        <w:rPr>
          <w:rFonts w:hint="eastAsia" w:ascii="仿宋" w:hAnsi="仿宋" w:eastAsia="仿宋" w:cs="仿宋"/>
          <w:b/>
          <w:bCs/>
          <w:color w:val="auto"/>
          <w:sz w:val="24"/>
          <w:szCs w:val="24"/>
          <w:highlight w:val="none"/>
          <w:u w:val="single"/>
          <w:lang w:val="zh-CN"/>
        </w:rPr>
        <w:t>2025年台州市生态环境监测----大气颗粒物组分分析委托监测、重点断面水生态监测）</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编号：</w:t>
      </w:r>
      <w:r>
        <w:rPr>
          <w:rFonts w:hint="eastAsia" w:ascii="仿宋" w:hAnsi="仿宋" w:eastAsia="仿宋" w:cs="仿宋"/>
          <w:b/>
          <w:bCs/>
          <w:color w:val="auto"/>
          <w:sz w:val="24"/>
          <w:szCs w:val="24"/>
          <w:highlight w:val="none"/>
          <w:u w:val="single"/>
          <w:lang w:val="zh-CN"/>
        </w:rPr>
        <w:t>TZFD(</w:t>
      </w:r>
      <w:r>
        <w:rPr>
          <w:rFonts w:hint="eastAsia" w:ascii="仿宋" w:hAnsi="仿宋" w:eastAsia="仿宋" w:cs="仿宋"/>
          <w:b/>
          <w:bCs/>
          <w:color w:val="auto"/>
          <w:sz w:val="24"/>
          <w:szCs w:val="24"/>
          <w:highlight w:val="none"/>
          <w:u w:val="single"/>
          <w:lang w:val="zh-CN" w:eastAsia="zh-CN"/>
        </w:rPr>
        <w:t>2025</w:t>
      </w:r>
      <w:r>
        <w:rPr>
          <w:rFonts w:hint="eastAsia" w:ascii="仿宋" w:hAnsi="仿宋" w:eastAsia="仿宋" w:cs="仿宋"/>
          <w:b/>
          <w:bCs/>
          <w:color w:val="auto"/>
          <w:sz w:val="24"/>
          <w:szCs w:val="24"/>
          <w:highlight w:val="none"/>
          <w:u w:val="single"/>
          <w:lang w:val="zh-CN"/>
        </w:rPr>
        <w:t>)-</w:t>
      </w:r>
      <w:r>
        <w:rPr>
          <w:rFonts w:hint="eastAsia" w:ascii="仿宋" w:hAnsi="仿宋" w:eastAsia="仿宋" w:cs="仿宋"/>
          <w:b/>
          <w:bCs/>
          <w:color w:val="auto"/>
          <w:sz w:val="24"/>
          <w:szCs w:val="24"/>
          <w:highlight w:val="none"/>
          <w:u w:val="single"/>
          <w:lang w:val="zh-CN" w:eastAsia="zh-CN"/>
        </w:rPr>
        <w:t>1028号</w:t>
      </w:r>
      <w:r>
        <w:rPr>
          <w:rFonts w:hint="eastAsia" w:ascii="仿宋" w:hAnsi="仿宋" w:eastAsia="仿宋" w:cs="仿宋"/>
          <w:color w:val="auto"/>
          <w:sz w:val="24"/>
          <w:szCs w:val="24"/>
          <w:highlight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 □不存在利害关系 □存在下列利害关系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A.投资关系    B.行政隶属关系    C.业务指导关系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 □与其他所有供应商之间均不存在利害关系 □与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项利害关系。</w:t>
      </w:r>
    </w:p>
    <w:p>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288" w:lineRule="auto"/>
        <w:ind w:firstLine="4819" w:firstLineChars="20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288"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说明：资格及商务技术文件开启后30分钟内，供应商通过邮件形式将经授权代表签署的《</w:t>
      </w:r>
      <w:r>
        <w:rPr>
          <w:rFonts w:hint="eastAsia" w:ascii="仿宋" w:hAnsi="仿宋" w:eastAsia="仿宋" w:cs="仿宋"/>
          <w:b/>
          <w:bCs/>
          <w:color w:val="auto"/>
          <w:sz w:val="24"/>
          <w:szCs w:val="24"/>
          <w:highlight w:val="none"/>
          <w:lang w:val="en-GB"/>
        </w:rPr>
        <w:t>政府采购活动确认声明书</w:t>
      </w:r>
      <w:r>
        <w:rPr>
          <w:rFonts w:hint="eastAsia" w:ascii="仿宋" w:hAnsi="仿宋" w:eastAsia="仿宋" w:cs="仿宋"/>
          <w:b/>
          <w:bCs/>
          <w:color w:val="auto"/>
          <w:sz w:val="24"/>
          <w:szCs w:val="24"/>
          <w:highlight w:val="none"/>
        </w:rPr>
        <w:t>》扫描件发至代理机构邮箱（邮箱地址：</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"mailto:303054329@qq.com）；"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lang w:val="en-US" w:eastAsia="zh-CN"/>
        </w:rPr>
        <w:t>171001127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qq</w:t>
      </w:r>
      <w:r>
        <w:rPr>
          <w:rFonts w:hint="eastAsia" w:ascii="仿宋" w:hAnsi="仿宋" w:eastAsia="仿宋" w:cs="仿宋"/>
          <w:b/>
          <w:bCs/>
          <w:color w:val="auto"/>
          <w:sz w:val="24"/>
          <w:szCs w:val="24"/>
          <w:highlight w:val="none"/>
        </w:rPr>
        <w:t>.com）；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不填写或未按规定发出邮件的，视同默认不存在确认声明书中的相关违规情形。</w:t>
      </w:r>
    </w:p>
    <w:p>
      <w:pPr>
        <w:keepNext w:val="0"/>
        <w:keepLines w:val="0"/>
        <w:pageBreakBefore w:val="0"/>
        <w:widowControl w:val="0"/>
        <w:kinsoku/>
        <w:wordWrap/>
        <w:overflowPunct/>
        <w:topLinePunct w:val="0"/>
        <w:autoSpaceDE/>
        <w:autoSpaceDN/>
        <w:bidi w:val="0"/>
        <w:snapToGrid/>
        <w:spacing w:line="288" w:lineRule="auto"/>
        <w:ind w:firstLine="420" w:firstLineChars="175"/>
        <w:textAlignment w:val="auto"/>
        <w:rPr>
          <w:rFonts w:hint="eastAsia" w:ascii="仿宋" w:hAnsi="仿宋" w:eastAsia="仿宋" w:cs="仿宋"/>
          <w:sz w:val="24"/>
          <w:szCs w:val="24"/>
          <w:lang w:val="zh-CN"/>
        </w:rPr>
      </w:pPr>
    </w:p>
    <w:sectPr>
      <w:pgSz w:w="11905" w:h="16838"/>
      <w:pgMar w:top="1440" w:right="1083" w:bottom="1440" w:left="1083" w:header="567"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53</w:t>
                    </w:r>
                    <w:r>
                      <w:fldChar w:fldCharType="end"/>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51</w:t>
                    </w:r>
                    <w:r>
                      <w:fldChar w:fldCharType="end"/>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37</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36</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49</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fldChar w:fldCharType="begin"/>
                    </w:r>
                    <w:r>
                      <w:instrText xml:space="preserve"> PAGE  \* MERGEFORMAT </w:instrText>
                    </w:r>
                    <w:r>
                      <w:fldChar w:fldCharType="separate"/>
                    </w:r>
                    <w:r>
                      <w:t>49</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pPr>
    <w:r>
      <w:drawing>
        <wp:inline distT="0" distB="0" distL="114300" distR="114300">
          <wp:extent cx="545465" cy="432435"/>
          <wp:effectExtent l="0" t="0" r="698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b/>
        <w:i/>
        <w:iCs/>
        <w:u w:val="single"/>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2025年台州市生态环境监测----大气颗粒物组分分析委托监测、重点断面水生态监测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rPr>
    </w:pPr>
    <w:r>
      <w:drawing>
        <wp:anchor distT="0" distB="0" distL="114300" distR="114300" simplePos="0" relativeHeight="251673600" behindDoc="0" locked="0" layoutInCell="1" allowOverlap="1">
          <wp:simplePos x="0" y="0"/>
          <wp:positionH relativeFrom="column">
            <wp:posOffset>-1905</wp:posOffset>
          </wp:positionH>
          <wp:positionV relativeFrom="paragraph">
            <wp:posOffset>-131445</wp:posOffset>
          </wp:positionV>
          <wp:extent cx="545465" cy="432435"/>
          <wp:effectExtent l="0" t="0" r="6985" b="5715"/>
          <wp:wrapNone/>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t></w:t>
    </w:r>
    <w:r>
      <w:rPr>
        <w:rFonts w:hint="eastAsia"/>
      </w:rPr>
      <w:t xml:space="preserve">     </w:t>
    </w:r>
  </w:p>
  <w:p>
    <w:pPr>
      <w:pStyle w:val="43"/>
      <w:rPr>
        <w:rFonts w:hint="eastAsia" w:eastAsia="宋体"/>
        <w:lang w:eastAsia="zh-CN"/>
      </w:rPr>
    </w:pPr>
    <w:r>
      <w:rPr>
        <w:rFonts w:hint="eastAsia"/>
        <w:lang w:val="en-US" w:eastAsia="zh-CN"/>
      </w:rPr>
      <w:t xml:space="preserve">                              </w:t>
    </w:r>
    <w:r>
      <w:rPr>
        <w:rFonts w:hint="eastAsia"/>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pPr>
    <w:r>
      <w:drawing>
        <wp:inline distT="0" distB="0" distL="114300" distR="114300">
          <wp:extent cx="545465" cy="432435"/>
          <wp:effectExtent l="0" t="0" r="698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left"/>
    </w:pPr>
    <w:r>
      <w:drawing>
        <wp:inline distT="0" distB="0" distL="114300" distR="114300">
          <wp:extent cx="545465" cy="43243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t></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b/>
        <w:i/>
        <w:u w:val="single"/>
      </w:rPr>
    </w:pPr>
    <w:r>
      <w:rPr>
        <w:rFonts w:hint="eastAsia"/>
      </w:rPr>
      <w:t xml:space="preserve"> </w:t>
    </w:r>
    <w:r>
      <w:drawing>
        <wp:inline distT="0" distB="0" distL="114300" distR="114300">
          <wp:extent cx="545465" cy="432435"/>
          <wp:effectExtent l="0" t="0" r="698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left"/>
      <w:rPr>
        <w:rFonts w:hint="eastAsia" w:ascii="仿宋" w:hAnsi="仿宋" w:eastAsia="仿宋" w:cs="仿宋"/>
        <w:lang w:eastAsia="zh-CN"/>
      </w:rPr>
    </w:pPr>
    <w:r>
      <w:drawing>
        <wp:inline distT="0" distB="0" distL="114300" distR="114300">
          <wp:extent cx="545465" cy="432435"/>
          <wp:effectExtent l="0" t="0" r="6985"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drawing>
        <wp:inline distT="0" distB="0" distL="114300" distR="114300">
          <wp:extent cx="545465" cy="432435"/>
          <wp:effectExtent l="0" t="0" r="6985" b="571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lang w:eastAsia="zh-CN"/>
      </w:rPr>
      <w:t>2025年台州市生态环境监测----大气颗粒物组分分析委托监测、重点断面水生态监测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drawing>
        <wp:anchor distT="0" distB="0" distL="114300" distR="114300" simplePos="0" relativeHeight="251672576" behindDoc="0" locked="0" layoutInCell="1" allowOverlap="1">
          <wp:simplePos x="0" y="0"/>
          <wp:positionH relativeFrom="column">
            <wp:posOffset>74295</wp:posOffset>
          </wp:positionH>
          <wp:positionV relativeFrom="paragraph">
            <wp:posOffset>-83820</wp:posOffset>
          </wp:positionV>
          <wp:extent cx="545465" cy="432435"/>
          <wp:effectExtent l="0" t="0" r="6985" b="5715"/>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p>
  <w:p>
    <w:pPr>
      <w:pStyle w:val="43"/>
      <w:jc w:val="right"/>
      <w:rPr>
        <w:rFonts w:ascii="仿宋_GB2312"/>
        <w:b/>
        <w:i/>
        <w:u w:val="single"/>
      </w:rPr>
    </w:pPr>
    <w:r>
      <w:rPr>
        <w:rFonts w:hint="eastAsia"/>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drawing>
        <wp:anchor distT="0" distB="0" distL="114300" distR="114300" simplePos="0" relativeHeight="251671552" behindDoc="0" locked="0" layoutInCell="1" allowOverlap="1">
          <wp:simplePos x="0" y="0"/>
          <wp:positionH relativeFrom="column">
            <wp:posOffset>-197485</wp:posOffset>
          </wp:positionH>
          <wp:positionV relativeFrom="paragraph">
            <wp:posOffset>-114300</wp:posOffset>
          </wp:positionV>
          <wp:extent cx="545465" cy="432435"/>
          <wp:effectExtent l="0" t="0" r="6985" b="5715"/>
          <wp:wrapNone/>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rPr>
        <w:rFonts w:hint="eastAsia"/>
      </w:rPr>
      <w:t xml:space="preserve">                                                                                                         </w:t>
    </w:r>
    <w:r>
      <w:rPr>
        <w:rFonts w:hint="eastAsia" w:ascii="仿宋" w:hAnsi="仿宋" w:eastAsia="仿宋" w:cs="仿宋"/>
      </w:rPr>
      <w:t xml:space="preserve"> </w:t>
    </w:r>
    <w:r>
      <w:rPr>
        <w:rFonts w:hint="eastAsia" w:ascii="仿宋" w:hAnsi="仿宋" w:eastAsia="仿宋" w:cs="仿宋"/>
        <w:lang w:eastAsia="zh-CN"/>
      </w:rPr>
      <w:t>2025年台州市生态环境监测----大气颗粒物组分分析委托监测、重点断面水生态监测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CAD21"/>
    <w:multiLevelType w:val="singleLevel"/>
    <w:tmpl w:val="876CAD21"/>
    <w:lvl w:ilvl="0" w:tentative="0">
      <w:start w:val="1"/>
      <w:numFmt w:val="decimal"/>
      <w:lvlText w:val="%1."/>
      <w:lvlJc w:val="left"/>
      <w:pPr>
        <w:ind w:left="425" w:hanging="425"/>
      </w:pPr>
      <w:rPr>
        <w:rFonts w:hint="default"/>
      </w:rPr>
    </w:lvl>
  </w:abstractNum>
  <w:abstractNum w:abstractNumId="1">
    <w:nsid w:val="B7E3C3F9"/>
    <w:multiLevelType w:val="singleLevel"/>
    <w:tmpl w:val="B7E3C3F9"/>
    <w:lvl w:ilvl="0" w:tentative="0">
      <w:start w:val="1"/>
      <w:numFmt w:val="chineseCounting"/>
      <w:suff w:val="nothing"/>
      <w:lvlText w:val="%1、"/>
      <w:lvlJc w:val="left"/>
      <w:pPr>
        <w:ind w:left="-2"/>
      </w:pPr>
      <w:rPr>
        <w:rFonts w:hint="eastAsia"/>
      </w:rPr>
    </w:lvl>
  </w:abstractNum>
  <w:abstractNum w:abstractNumId="2">
    <w:nsid w:val="B8AA487A"/>
    <w:multiLevelType w:val="singleLevel"/>
    <w:tmpl w:val="B8AA487A"/>
    <w:lvl w:ilvl="0" w:tentative="0">
      <w:start w:val="1"/>
      <w:numFmt w:val="decimal"/>
      <w:suff w:val="nothing"/>
      <w:lvlText w:val="（%1）"/>
      <w:lvlJc w:val="left"/>
    </w:lvl>
  </w:abstractNum>
  <w:abstractNum w:abstractNumId="3">
    <w:nsid w:val="C13D0AB9"/>
    <w:multiLevelType w:val="singleLevel"/>
    <w:tmpl w:val="C13D0AB9"/>
    <w:lvl w:ilvl="0" w:tentative="0">
      <w:start w:val="2"/>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lvlText w:val="%1."/>
      <w:lvlJc w:val="left"/>
      <w:pPr>
        <w:ind w:left="425" w:hanging="425"/>
      </w:pPr>
      <w:rPr>
        <w:rFonts w:hint="default"/>
      </w:rPr>
    </w:lvl>
  </w:abstractNum>
  <w:abstractNum w:abstractNumId="5">
    <w:nsid w:val="29F6A3B0"/>
    <w:multiLevelType w:val="singleLevel"/>
    <w:tmpl w:val="29F6A3B0"/>
    <w:lvl w:ilvl="0" w:tentative="0">
      <w:start w:val="1"/>
      <w:numFmt w:val="decimal"/>
      <w:lvlText w:val="(%1)"/>
      <w:lvlJc w:val="left"/>
      <w:pPr>
        <w:ind w:left="425" w:hanging="425"/>
      </w:pPr>
      <w:rPr>
        <w:rFonts w:hint="default"/>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7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BiNTRhNDBkZDEzYjI4MmJiNjIwNDUxM2NlMT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38"/>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6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A44"/>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FDA"/>
    <w:rsid w:val="00FD10B3"/>
    <w:rsid w:val="00FD11C3"/>
    <w:rsid w:val="00FD154E"/>
    <w:rsid w:val="00FD24D7"/>
    <w:rsid w:val="00FD29CE"/>
    <w:rsid w:val="00FD3AE2"/>
    <w:rsid w:val="00FD3E41"/>
    <w:rsid w:val="00FD3EFA"/>
    <w:rsid w:val="00FD446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1F67CC"/>
    <w:rsid w:val="01236AFB"/>
    <w:rsid w:val="019F7441"/>
    <w:rsid w:val="01B37585"/>
    <w:rsid w:val="01D55165"/>
    <w:rsid w:val="01DF6BF8"/>
    <w:rsid w:val="01EC2C57"/>
    <w:rsid w:val="02074EBC"/>
    <w:rsid w:val="024970A8"/>
    <w:rsid w:val="025F0711"/>
    <w:rsid w:val="026B2E25"/>
    <w:rsid w:val="02824D4D"/>
    <w:rsid w:val="02DC4B10"/>
    <w:rsid w:val="02DD76CE"/>
    <w:rsid w:val="02F36323"/>
    <w:rsid w:val="02F5619C"/>
    <w:rsid w:val="0326446A"/>
    <w:rsid w:val="032D5555"/>
    <w:rsid w:val="03394FBF"/>
    <w:rsid w:val="036634D2"/>
    <w:rsid w:val="03DD35E4"/>
    <w:rsid w:val="04076900"/>
    <w:rsid w:val="041A5A3B"/>
    <w:rsid w:val="042311BA"/>
    <w:rsid w:val="042B157A"/>
    <w:rsid w:val="043A4897"/>
    <w:rsid w:val="048F763B"/>
    <w:rsid w:val="049F330E"/>
    <w:rsid w:val="04AA775C"/>
    <w:rsid w:val="04AF1889"/>
    <w:rsid w:val="04F66F48"/>
    <w:rsid w:val="05070289"/>
    <w:rsid w:val="05251E14"/>
    <w:rsid w:val="05634C4A"/>
    <w:rsid w:val="05822BFD"/>
    <w:rsid w:val="05A16594"/>
    <w:rsid w:val="05A7762D"/>
    <w:rsid w:val="05B420B4"/>
    <w:rsid w:val="05B7579B"/>
    <w:rsid w:val="05FB6D37"/>
    <w:rsid w:val="060E5941"/>
    <w:rsid w:val="06110FAF"/>
    <w:rsid w:val="06475B39"/>
    <w:rsid w:val="06493CA7"/>
    <w:rsid w:val="065450EF"/>
    <w:rsid w:val="065A6178"/>
    <w:rsid w:val="065B3401"/>
    <w:rsid w:val="066F1CF3"/>
    <w:rsid w:val="06930BB8"/>
    <w:rsid w:val="07027BE1"/>
    <w:rsid w:val="07245D42"/>
    <w:rsid w:val="07264C62"/>
    <w:rsid w:val="0779354C"/>
    <w:rsid w:val="079F4812"/>
    <w:rsid w:val="07DD1966"/>
    <w:rsid w:val="08061376"/>
    <w:rsid w:val="08452D77"/>
    <w:rsid w:val="086401F8"/>
    <w:rsid w:val="08751CAA"/>
    <w:rsid w:val="087E4C40"/>
    <w:rsid w:val="08A871D0"/>
    <w:rsid w:val="08C8068D"/>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893C8C"/>
    <w:rsid w:val="0BF6188C"/>
    <w:rsid w:val="0BF73C91"/>
    <w:rsid w:val="0BFC1ACA"/>
    <w:rsid w:val="0C170175"/>
    <w:rsid w:val="0C24723A"/>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D3689"/>
    <w:rsid w:val="0EEA361E"/>
    <w:rsid w:val="0EF94D4B"/>
    <w:rsid w:val="0F4958DC"/>
    <w:rsid w:val="0F4C1BB0"/>
    <w:rsid w:val="0F515DF7"/>
    <w:rsid w:val="0F596BA8"/>
    <w:rsid w:val="0F6248D2"/>
    <w:rsid w:val="0F693536"/>
    <w:rsid w:val="0F7B0511"/>
    <w:rsid w:val="0F7B76D9"/>
    <w:rsid w:val="0F816ACD"/>
    <w:rsid w:val="0F9832DB"/>
    <w:rsid w:val="0FBF3FD2"/>
    <w:rsid w:val="0FBF7FF3"/>
    <w:rsid w:val="0FD785B0"/>
    <w:rsid w:val="0FDF5097"/>
    <w:rsid w:val="10646583"/>
    <w:rsid w:val="107D4B15"/>
    <w:rsid w:val="108A3C80"/>
    <w:rsid w:val="10BF7A79"/>
    <w:rsid w:val="10C26171"/>
    <w:rsid w:val="10F33360"/>
    <w:rsid w:val="10FC16EA"/>
    <w:rsid w:val="110F1D40"/>
    <w:rsid w:val="11266F33"/>
    <w:rsid w:val="11353636"/>
    <w:rsid w:val="11446774"/>
    <w:rsid w:val="116B11C7"/>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56991"/>
    <w:rsid w:val="13FC545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D91C4"/>
    <w:rsid w:val="172F2D79"/>
    <w:rsid w:val="17557BEF"/>
    <w:rsid w:val="178E1BA4"/>
    <w:rsid w:val="17957107"/>
    <w:rsid w:val="17966F65"/>
    <w:rsid w:val="17AD9684"/>
    <w:rsid w:val="17D349C1"/>
    <w:rsid w:val="17ED3588"/>
    <w:rsid w:val="17FCDE8F"/>
    <w:rsid w:val="1830729E"/>
    <w:rsid w:val="1870062C"/>
    <w:rsid w:val="18707171"/>
    <w:rsid w:val="18817102"/>
    <w:rsid w:val="18830A15"/>
    <w:rsid w:val="18852B28"/>
    <w:rsid w:val="188B5321"/>
    <w:rsid w:val="192B6757"/>
    <w:rsid w:val="197E02E6"/>
    <w:rsid w:val="19932372"/>
    <w:rsid w:val="19A20DD5"/>
    <w:rsid w:val="19AE03F1"/>
    <w:rsid w:val="19F11A14"/>
    <w:rsid w:val="1A071A03"/>
    <w:rsid w:val="1A1F16AE"/>
    <w:rsid w:val="1A2A6A7B"/>
    <w:rsid w:val="1A3B5C77"/>
    <w:rsid w:val="1A78B5E0"/>
    <w:rsid w:val="1A984BAD"/>
    <w:rsid w:val="1AB8220E"/>
    <w:rsid w:val="1ADF6770"/>
    <w:rsid w:val="1AE4166C"/>
    <w:rsid w:val="1AF06CFB"/>
    <w:rsid w:val="1AF11B8D"/>
    <w:rsid w:val="1B11359C"/>
    <w:rsid w:val="1B2A271F"/>
    <w:rsid w:val="1B461516"/>
    <w:rsid w:val="1B530544"/>
    <w:rsid w:val="1B713184"/>
    <w:rsid w:val="1BA209CF"/>
    <w:rsid w:val="1BB4777D"/>
    <w:rsid w:val="1BC8066E"/>
    <w:rsid w:val="1BD75AB8"/>
    <w:rsid w:val="1C0459C2"/>
    <w:rsid w:val="1C1B3B4A"/>
    <w:rsid w:val="1C88086E"/>
    <w:rsid w:val="1D266CE1"/>
    <w:rsid w:val="1D3963AF"/>
    <w:rsid w:val="1D6A673C"/>
    <w:rsid w:val="1D7F3115"/>
    <w:rsid w:val="1D9247AE"/>
    <w:rsid w:val="1DB567EC"/>
    <w:rsid w:val="1DD8129D"/>
    <w:rsid w:val="1DE9609A"/>
    <w:rsid w:val="1DF51A98"/>
    <w:rsid w:val="1DF6E6B9"/>
    <w:rsid w:val="1E3D060F"/>
    <w:rsid w:val="1E3F7D2E"/>
    <w:rsid w:val="1E4134E4"/>
    <w:rsid w:val="1E4C6FF5"/>
    <w:rsid w:val="1E5062B3"/>
    <w:rsid w:val="1E523514"/>
    <w:rsid w:val="1E714A66"/>
    <w:rsid w:val="1E802593"/>
    <w:rsid w:val="1E8B6156"/>
    <w:rsid w:val="1E9A7CBA"/>
    <w:rsid w:val="1EA703CC"/>
    <w:rsid w:val="1EB7330C"/>
    <w:rsid w:val="1EF83F1D"/>
    <w:rsid w:val="1F0A0FF3"/>
    <w:rsid w:val="1F5771FF"/>
    <w:rsid w:val="1F5D498B"/>
    <w:rsid w:val="1F5FB1BD"/>
    <w:rsid w:val="1F937DCA"/>
    <w:rsid w:val="1FBE11F2"/>
    <w:rsid w:val="1FD52DD5"/>
    <w:rsid w:val="1FD77914"/>
    <w:rsid w:val="1FE868A9"/>
    <w:rsid w:val="20034907"/>
    <w:rsid w:val="20173E4B"/>
    <w:rsid w:val="204E48BC"/>
    <w:rsid w:val="208921B3"/>
    <w:rsid w:val="20973DEB"/>
    <w:rsid w:val="20B26522"/>
    <w:rsid w:val="20B44310"/>
    <w:rsid w:val="211116EB"/>
    <w:rsid w:val="216133FC"/>
    <w:rsid w:val="2162134F"/>
    <w:rsid w:val="21C726D9"/>
    <w:rsid w:val="21D56769"/>
    <w:rsid w:val="21E52EF3"/>
    <w:rsid w:val="21FB5D7B"/>
    <w:rsid w:val="22015E94"/>
    <w:rsid w:val="220B1C3D"/>
    <w:rsid w:val="220F307C"/>
    <w:rsid w:val="221D1D20"/>
    <w:rsid w:val="22334A87"/>
    <w:rsid w:val="22721D38"/>
    <w:rsid w:val="2289203C"/>
    <w:rsid w:val="22971AE5"/>
    <w:rsid w:val="22BE6801"/>
    <w:rsid w:val="230D2B83"/>
    <w:rsid w:val="233500BF"/>
    <w:rsid w:val="23377FF7"/>
    <w:rsid w:val="236B425F"/>
    <w:rsid w:val="23836192"/>
    <w:rsid w:val="23901F29"/>
    <w:rsid w:val="239C0061"/>
    <w:rsid w:val="23B908A4"/>
    <w:rsid w:val="23E3EA33"/>
    <w:rsid w:val="23E95BEF"/>
    <w:rsid w:val="23FD0064"/>
    <w:rsid w:val="245375B0"/>
    <w:rsid w:val="24642C0A"/>
    <w:rsid w:val="24B22173"/>
    <w:rsid w:val="24B95AD9"/>
    <w:rsid w:val="24BE24DA"/>
    <w:rsid w:val="24CF5825"/>
    <w:rsid w:val="24D43BEA"/>
    <w:rsid w:val="24D663E6"/>
    <w:rsid w:val="24D77F2B"/>
    <w:rsid w:val="258B00E2"/>
    <w:rsid w:val="25A917A6"/>
    <w:rsid w:val="25BE27CC"/>
    <w:rsid w:val="25D014C9"/>
    <w:rsid w:val="25E77763"/>
    <w:rsid w:val="25F74A5C"/>
    <w:rsid w:val="2628662C"/>
    <w:rsid w:val="262D45DE"/>
    <w:rsid w:val="26871DC8"/>
    <w:rsid w:val="26A163C2"/>
    <w:rsid w:val="26A53EF9"/>
    <w:rsid w:val="26A94201"/>
    <w:rsid w:val="26AC274F"/>
    <w:rsid w:val="27044A29"/>
    <w:rsid w:val="271D34C8"/>
    <w:rsid w:val="276142BF"/>
    <w:rsid w:val="27783712"/>
    <w:rsid w:val="27907362"/>
    <w:rsid w:val="27EF55BB"/>
    <w:rsid w:val="28333E1D"/>
    <w:rsid w:val="28376AC0"/>
    <w:rsid w:val="28454BD6"/>
    <w:rsid w:val="28455253"/>
    <w:rsid w:val="28551971"/>
    <w:rsid w:val="285B1C53"/>
    <w:rsid w:val="289F7086"/>
    <w:rsid w:val="28C32028"/>
    <w:rsid w:val="28CC490F"/>
    <w:rsid w:val="28DE40AA"/>
    <w:rsid w:val="28E47056"/>
    <w:rsid w:val="28E648B3"/>
    <w:rsid w:val="29345E77"/>
    <w:rsid w:val="294C65AD"/>
    <w:rsid w:val="29806583"/>
    <w:rsid w:val="298B3C4C"/>
    <w:rsid w:val="29AB28E4"/>
    <w:rsid w:val="29F26D24"/>
    <w:rsid w:val="2A116B0D"/>
    <w:rsid w:val="2A15033F"/>
    <w:rsid w:val="2A1662C1"/>
    <w:rsid w:val="2A1C7367"/>
    <w:rsid w:val="2A2815FA"/>
    <w:rsid w:val="2A6D6092"/>
    <w:rsid w:val="2A7D76B4"/>
    <w:rsid w:val="2AF1367C"/>
    <w:rsid w:val="2B437463"/>
    <w:rsid w:val="2B7807EE"/>
    <w:rsid w:val="2BA50BF7"/>
    <w:rsid w:val="2BBF00EC"/>
    <w:rsid w:val="2BC37CFD"/>
    <w:rsid w:val="2BD5237F"/>
    <w:rsid w:val="2BE536CE"/>
    <w:rsid w:val="2BE758D9"/>
    <w:rsid w:val="2C09049E"/>
    <w:rsid w:val="2C0A653C"/>
    <w:rsid w:val="2C0B560D"/>
    <w:rsid w:val="2C191F85"/>
    <w:rsid w:val="2C404C4D"/>
    <w:rsid w:val="2C6F0331"/>
    <w:rsid w:val="2CE82D6F"/>
    <w:rsid w:val="2D343236"/>
    <w:rsid w:val="2DD15014"/>
    <w:rsid w:val="2DD77427"/>
    <w:rsid w:val="2DEFFD58"/>
    <w:rsid w:val="2DF72DE4"/>
    <w:rsid w:val="2E0220AF"/>
    <w:rsid w:val="2E4B082A"/>
    <w:rsid w:val="2E5D4E86"/>
    <w:rsid w:val="2E5D790B"/>
    <w:rsid w:val="2E7F828E"/>
    <w:rsid w:val="2E9A3C18"/>
    <w:rsid w:val="2EBB0FEE"/>
    <w:rsid w:val="2EBF00B3"/>
    <w:rsid w:val="2EC63002"/>
    <w:rsid w:val="2F0A6B38"/>
    <w:rsid w:val="2F946CCB"/>
    <w:rsid w:val="2FC33BD3"/>
    <w:rsid w:val="2FD25781"/>
    <w:rsid w:val="2FDC34A8"/>
    <w:rsid w:val="2FDC745C"/>
    <w:rsid w:val="2FEFA0D7"/>
    <w:rsid w:val="2FFB4A82"/>
    <w:rsid w:val="2FFD7934"/>
    <w:rsid w:val="2FFFEAB7"/>
    <w:rsid w:val="30733ACD"/>
    <w:rsid w:val="308C3862"/>
    <w:rsid w:val="309379D8"/>
    <w:rsid w:val="30A270F7"/>
    <w:rsid w:val="30DD6C58"/>
    <w:rsid w:val="30DF1478"/>
    <w:rsid w:val="30EC586F"/>
    <w:rsid w:val="314550B7"/>
    <w:rsid w:val="319C6071"/>
    <w:rsid w:val="31AC537E"/>
    <w:rsid w:val="31E3679B"/>
    <w:rsid w:val="31E732FD"/>
    <w:rsid w:val="32517576"/>
    <w:rsid w:val="32523F5D"/>
    <w:rsid w:val="32534937"/>
    <w:rsid w:val="32B900B2"/>
    <w:rsid w:val="32BE5C2C"/>
    <w:rsid w:val="32FB6478"/>
    <w:rsid w:val="32FC8965"/>
    <w:rsid w:val="33263B3F"/>
    <w:rsid w:val="336963EB"/>
    <w:rsid w:val="33770E5C"/>
    <w:rsid w:val="33816EEB"/>
    <w:rsid w:val="33EB55CD"/>
    <w:rsid w:val="33EC4C02"/>
    <w:rsid w:val="340D2360"/>
    <w:rsid w:val="3410665D"/>
    <w:rsid w:val="34200C63"/>
    <w:rsid w:val="34211214"/>
    <w:rsid w:val="342E63AB"/>
    <w:rsid w:val="34950E68"/>
    <w:rsid w:val="34986E94"/>
    <w:rsid w:val="34AF62C9"/>
    <w:rsid w:val="34CB4388"/>
    <w:rsid w:val="34F40389"/>
    <w:rsid w:val="34FA6E12"/>
    <w:rsid w:val="350F4D66"/>
    <w:rsid w:val="354D7158"/>
    <w:rsid w:val="3563CCAF"/>
    <w:rsid w:val="358D5588"/>
    <w:rsid w:val="35FB390D"/>
    <w:rsid w:val="363A3B40"/>
    <w:rsid w:val="365302AE"/>
    <w:rsid w:val="36607A0A"/>
    <w:rsid w:val="366D84D3"/>
    <w:rsid w:val="366E227C"/>
    <w:rsid w:val="366F2E0D"/>
    <w:rsid w:val="367B6A5C"/>
    <w:rsid w:val="36A74ADA"/>
    <w:rsid w:val="36AD60D5"/>
    <w:rsid w:val="36B224F9"/>
    <w:rsid w:val="36EC0CC9"/>
    <w:rsid w:val="373F410B"/>
    <w:rsid w:val="376B777D"/>
    <w:rsid w:val="37BFA1E3"/>
    <w:rsid w:val="37D97454"/>
    <w:rsid w:val="37E71AB5"/>
    <w:rsid w:val="37EE7094"/>
    <w:rsid w:val="3821593A"/>
    <w:rsid w:val="38296C89"/>
    <w:rsid w:val="382D2DE1"/>
    <w:rsid w:val="383002EB"/>
    <w:rsid w:val="38586797"/>
    <w:rsid w:val="387B504A"/>
    <w:rsid w:val="38B053B9"/>
    <w:rsid w:val="38B379C3"/>
    <w:rsid w:val="38BC0149"/>
    <w:rsid w:val="38D87D1C"/>
    <w:rsid w:val="3903322F"/>
    <w:rsid w:val="39636459"/>
    <w:rsid w:val="396B7F6C"/>
    <w:rsid w:val="397F11FB"/>
    <w:rsid w:val="39B417A9"/>
    <w:rsid w:val="39FC5695"/>
    <w:rsid w:val="3A006D8E"/>
    <w:rsid w:val="3A3651E5"/>
    <w:rsid w:val="3A58698B"/>
    <w:rsid w:val="3A744481"/>
    <w:rsid w:val="3A8C7BEF"/>
    <w:rsid w:val="3A906246"/>
    <w:rsid w:val="3ABF5F1C"/>
    <w:rsid w:val="3AFFB1CA"/>
    <w:rsid w:val="3B2349B7"/>
    <w:rsid w:val="3B616CFF"/>
    <w:rsid w:val="3B6259F6"/>
    <w:rsid w:val="3B776A55"/>
    <w:rsid w:val="3B976654"/>
    <w:rsid w:val="3BAE5737"/>
    <w:rsid w:val="3BBF0DC9"/>
    <w:rsid w:val="3BC01EFC"/>
    <w:rsid w:val="3BCA786A"/>
    <w:rsid w:val="3BCE15C7"/>
    <w:rsid w:val="3BD31E2F"/>
    <w:rsid w:val="3BE74FAF"/>
    <w:rsid w:val="3BF15831"/>
    <w:rsid w:val="3C105946"/>
    <w:rsid w:val="3C447FE2"/>
    <w:rsid w:val="3C471448"/>
    <w:rsid w:val="3C5F759A"/>
    <w:rsid w:val="3C6C525A"/>
    <w:rsid w:val="3CCE23CB"/>
    <w:rsid w:val="3CD17D17"/>
    <w:rsid w:val="3CFFC4D0"/>
    <w:rsid w:val="3D3C7F39"/>
    <w:rsid w:val="3D3F6F8E"/>
    <w:rsid w:val="3D440F09"/>
    <w:rsid w:val="3D4504A0"/>
    <w:rsid w:val="3D8734BB"/>
    <w:rsid w:val="3D9A11D4"/>
    <w:rsid w:val="3DA16D89"/>
    <w:rsid w:val="3DA364BE"/>
    <w:rsid w:val="3DBB6EE3"/>
    <w:rsid w:val="3DBD6462"/>
    <w:rsid w:val="3DE041CB"/>
    <w:rsid w:val="3DEF61EA"/>
    <w:rsid w:val="3E0D48F6"/>
    <w:rsid w:val="3E1868B4"/>
    <w:rsid w:val="3E377251"/>
    <w:rsid w:val="3E42664B"/>
    <w:rsid w:val="3E5A7334"/>
    <w:rsid w:val="3E7B5C15"/>
    <w:rsid w:val="3E7B5D6B"/>
    <w:rsid w:val="3E7D3A1A"/>
    <w:rsid w:val="3E843E66"/>
    <w:rsid w:val="3E8F51FE"/>
    <w:rsid w:val="3E926F87"/>
    <w:rsid w:val="3E9A59DE"/>
    <w:rsid w:val="3EAD71D7"/>
    <w:rsid w:val="3EAF4836"/>
    <w:rsid w:val="3EBE2464"/>
    <w:rsid w:val="3EC33DFA"/>
    <w:rsid w:val="3F060E16"/>
    <w:rsid w:val="3F1D1096"/>
    <w:rsid w:val="3F2F0234"/>
    <w:rsid w:val="3F5BE587"/>
    <w:rsid w:val="3F6363FE"/>
    <w:rsid w:val="3F756B8F"/>
    <w:rsid w:val="3F95482B"/>
    <w:rsid w:val="3FAF1333"/>
    <w:rsid w:val="3FAFFBE1"/>
    <w:rsid w:val="3FB3D12A"/>
    <w:rsid w:val="3FBEAECE"/>
    <w:rsid w:val="3FBF4209"/>
    <w:rsid w:val="3FBFA498"/>
    <w:rsid w:val="3FDAC8DA"/>
    <w:rsid w:val="3FE58F67"/>
    <w:rsid w:val="3FF47A28"/>
    <w:rsid w:val="3FFFC828"/>
    <w:rsid w:val="4019356B"/>
    <w:rsid w:val="40592157"/>
    <w:rsid w:val="406E1CAE"/>
    <w:rsid w:val="40A0133A"/>
    <w:rsid w:val="40B51BDF"/>
    <w:rsid w:val="40C31A53"/>
    <w:rsid w:val="40FF545D"/>
    <w:rsid w:val="410067C8"/>
    <w:rsid w:val="418F0D2A"/>
    <w:rsid w:val="41D01505"/>
    <w:rsid w:val="41E54AA0"/>
    <w:rsid w:val="41F93A10"/>
    <w:rsid w:val="42474939"/>
    <w:rsid w:val="424C3C57"/>
    <w:rsid w:val="426001C0"/>
    <w:rsid w:val="42613FF3"/>
    <w:rsid w:val="42660D96"/>
    <w:rsid w:val="428667D2"/>
    <w:rsid w:val="42945AB4"/>
    <w:rsid w:val="42CD1CE0"/>
    <w:rsid w:val="42E1381E"/>
    <w:rsid w:val="42ED6459"/>
    <w:rsid w:val="42FE58DD"/>
    <w:rsid w:val="430C5955"/>
    <w:rsid w:val="43174B3D"/>
    <w:rsid w:val="434B790E"/>
    <w:rsid w:val="4360274F"/>
    <w:rsid w:val="43977AB6"/>
    <w:rsid w:val="43A3342B"/>
    <w:rsid w:val="43C77C27"/>
    <w:rsid w:val="43DE09EE"/>
    <w:rsid w:val="44002FAD"/>
    <w:rsid w:val="449101DD"/>
    <w:rsid w:val="44DE1391"/>
    <w:rsid w:val="4510387D"/>
    <w:rsid w:val="451B225C"/>
    <w:rsid w:val="452410C9"/>
    <w:rsid w:val="45317DFB"/>
    <w:rsid w:val="456D3CE4"/>
    <w:rsid w:val="4579042C"/>
    <w:rsid w:val="457F0571"/>
    <w:rsid w:val="45851176"/>
    <w:rsid w:val="459F66FE"/>
    <w:rsid w:val="45C63B94"/>
    <w:rsid w:val="460E7DA5"/>
    <w:rsid w:val="463D5101"/>
    <w:rsid w:val="46422483"/>
    <w:rsid w:val="4659254A"/>
    <w:rsid w:val="465B0637"/>
    <w:rsid w:val="465E3F0D"/>
    <w:rsid w:val="466A16E6"/>
    <w:rsid w:val="46893F2B"/>
    <w:rsid w:val="46C44FE3"/>
    <w:rsid w:val="46C4686E"/>
    <w:rsid w:val="47390ABC"/>
    <w:rsid w:val="47571378"/>
    <w:rsid w:val="477B778F"/>
    <w:rsid w:val="477D0B90"/>
    <w:rsid w:val="478203EC"/>
    <w:rsid w:val="47B025FA"/>
    <w:rsid w:val="47FDA4DA"/>
    <w:rsid w:val="4809698F"/>
    <w:rsid w:val="4811697D"/>
    <w:rsid w:val="48465A4F"/>
    <w:rsid w:val="4865362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4C7DD3"/>
    <w:rsid w:val="4AB82D0F"/>
    <w:rsid w:val="4AC34A81"/>
    <w:rsid w:val="4AEB7664"/>
    <w:rsid w:val="4AFAAC67"/>
    <w:rsid w:val="4AFD7C19"/>
    <w:rsid w:val="4B0567D1"/>
    <w:rsid w:val="4B236AAE"/>
    <w:rsid w:val="4B707271"/>
    <w:rsid w:val="4B9739F7"/>
    <w:rsid w:val="4BDF193C"/>
    <w:rsid w:val="4BEE2503"/>
    <w:rsid w:val="4C1A3999"/>
    <w:rsid w:val="4C245A30"/>
    <w:rsid w:val="4CB6685F"/>
    <w:rsid w:val="4CC367FE"/>
    <w:rsid w:val="4CF71AAC"/>
    <w:rsid w:val="4D077F3C"/>
    <w:rsid w:val="4D123355"/>
    <w:rsid w:val="4D2A3B31"/>
    <w:rsid w:val="4D312C52"/>
    <w:rsid w:val="4D83582C"/>
    <w:rsid w:val="4D905305"/>
    <w:rsid w:val="4D964A72"/>
    <w:rsid w:val="4D9C1254"/>
    <w:rsid w:val="4DD74E02"/>
    <w:rsid w:val="4E3B1782"/>
    <w:rsid w:val="4E793892"/>
    <w:rsid w:val="4E800872"/>
    <w:rsid w:val="4EC569ED"/>
    <w:rsid w:val="4ED50EA1"/>
    <w:rsid w:val="4ED82682"/>
    <w:rsid w:val="4EEC050C"/>
    <w:rsid w:val="4F104EC3"/>
    <w:rsid w:val="4F47354A"/>
    <w:rsid w:val="4F911C54"/>
    <w:rsid w:val="4FD712A8"/>
    <w:rsid w:val="4FE625E0"/>
    <w:rsid w:val="4FF32690"/>
    <w:rsid w:val="4FF5A971"/>
    <w:rsid w:val="5021480F"/>
    <w:rsid w:val="50962ECB"/>
    <w:rsid w:val="50A42E38"/>
    <w:rsid w:val="50A4577F"/>
    <w:rsid w:val="50B73D1F"/>
    <w:rsid w:val="50BD5BC9"/>
    <w:rsid w:val="50C11EEE"/>
    <w:rsid w:val="50E97CFC"/>
    <w:rsid w:val="50FA4028"/>
    <w:rsid w:val="510D65B7"/>
    <w:rsid w:val="511157AB"/>
    <w:rsid w:val="51393205"/>
    <w:rsid w:val="5142540C"/>
    <w:rsid w:val="518832C8"/>
    <w:rsid w:val="519D3C50"/>
    <w:rsid w:val="51A0432A"/>
    <w:rsid w:val="51A86090"/>
    <w:rsid w:val="51B7396D"/>
    <w:rsid w:val="51FA74D0"/>
    <w:rsid w:val="520B36A2"/>
    <w:rsid w:val="52196B0F"/>
    <w:rsid w:val="522E4CC3"/>
    <w:rsid w:val="5244713B"/>
    <w:rsid w:val="52615633"/>
    <w:rsid w:val="526F4DE4"/>
    <w:rsid w:val="52977FD4"/>
    <w:rsid w:val="52A25790"/>
    <w:rsid w:val="52A96B6F"/>
    <w:rsid w:val="52B45975"/>
    <w:rsid w:val="52D94AA4"/>
    <w:rsid w:val="52DDA2AC"/>
    <w:rsid w:val="52EA3A62"/>
    <w:rsid w:val="52F45CCD"/>
    <w:rsid w:val="52F50BB8"/>
    <w:rsid w:val="53097272"/>
    <w:rsid w:val="53544462"/>
    <w:rsid w:val="5397158E"/>
    <w:rsid w:val="539D0113"/>
    <w:rsid w:val="54013861"/>
    <w:rsid w:val="540816BA"/>
    <w:rsid w:val="54487265"/>
    <w:rsid w:val="544D6070"/>
    <w:rsid w:val="54605E1E"/>
    <w:rsid w:val="54B3506A"/>
    <w:rsid w:val="54CA0D16"/>
    <w:rsid w:val="54DD4057"/>
    <w:rsid w:val="54E54F02"/>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710"/>
    <w:rsid w:val="566B6D1E"/>
    <w:rsid w:val="568161A9"/>
    <w:rsid w:val="57032A2C"/>
    <w:rsid w:val="570F5219"/>
    <w:rsid w:val="5728153D"/>
    <w:rsid w:val="575D12B5"/>
    <w:rsid w:val="57610A87"/>
    <w:rsid w:val="577B1140"/>
    <w:rsid w:val="577B7F21"/>
    <w:rsid w:val="577F181B"/>
    <w:rsid w:val="57921984"/>
    <w:rsid w:val="579737F0"/>
    <w:rsid w:val="57AB7B30"/>
    <w:rsid w:val="57AF5251"/>
    <w:rsid w:val="57B26373"/>
    <w:rsid w:val="57B63F04"/>
    <w:rsid w:val="57C57C38"/>
    <w:rsid w:val="57CD20C2"/>
    <w:rsid w:val="57D45866"/>
    <w:rsid w:val="57D675AB"/>
    <w:rsid w:val="57D95FDD"/>
    <w:rsid w:val="57EBA8ED"/>
    <w:rsid w:val="57EEAB76"/>
    <w:rsid w:val="57FDC240"/>
    <w:rsid w:val="588FDA93"/>
    <w:rsid w:val="58917D2F"/>
    <w:rsid w:val="5894085C"/>
    <w:rsid w:val="58AE4F0C"/>
    <w:rsid w:val="58B85899"/>
    <w:rsid w:val="58E363A9"/>
    <w:rsid w:val="595E1678"/>
    <w:rsid w:val="59677E53"/>
    <w:rsid w:val="596D5BD4"/>
    <w:rsid w:val="597E3DD8"/>
    <w:rsid w:val="597FFE61"/>
    <w:rsid w:val="59E45F9B"/>
    <w:rsid w:val="59F80043"/>
    <w:rsid w:val="5A09252F"/>
    <w:rsid w:val="5A0B2778"/>
    <w:rsid w:val="5A1275EA"/>
    <w:rsid w:val="5A2A7C7B"/>
    <w:rsid w:val="5A3E2560"/>
    <w:rsid w:val="5A4732C2"/>
    <w:rsid w:val="5A5D3B6E"/>
    <w:rsid w:val="5A637A76"/>
    <w:rsid w:val="5A6D33BA"/>
    <w:rsid w:val="5A792B1F"/>
    <w:rsid w:val="5A874767"/>
    <w:rsid w:val="5AA85BE2"/>
    <w:rsid w:val="5AA996B1"/>
    <w:rsid w:val="5AAD6F28"/>
    <w:rsid w:val="5AD3266C"/>
    <w:rsid w:val="5AD63A24"/>
    <w:rsid w:val="5B2E1A1D"/>
    <w:rsid w:val="5B843A1C"/>
    <w:rsid w:val="5B873E3F"/>
    <w:rsid w:val="5BB11BD4"/>
    <w:rsid w:val="5BD23345"/>
    <w:rsid w:val="5BE32E09"/>
    <w:rsid w:val="5C02690E"/>
    <w:rsid w:val="5C196DA7"/>
    <w:rsid w:val="5C2A048C"/>
    <w:rsid w:val="5C466E0C"/>
    <w:rsid w:val="5C80234E"/>
    <w:rsid w:val="5C8A680C"/>
    <w:rsid w:val="5CF05941"/>
    <w:rsid w:val="5CFD2D29"/>
    <w:rsid w:val="5CFFA33F"/>
    <w:rsid w:val="5D0C4701"/>
    <w:rsid w:val="5D0F0395"/>
    <w:rsid w:val="5D1909AC"/>
    <w:rsid w:val="5D221076"/>
    <w:rsid w:val="5D397964"/>
    <w:rsid w:val="5D399DB5"/>
    <w:rsid w:val="5D581A6D"/>
    <w:rsid w:val="5D5A391C"/>
    <w:rsid w:val="5D5F10C0"/>
    <w:rsid w:val="5D7DE627"/>
    <w:rsid w:val="5D891B7B"/>
    <w:rsid w:val="5DAD38EE"/>
    <w:rsid w:val="5E006862"/>
    <w:rsid w:val="5E0207B9"/>
    <w:rsid w:val="5E1834A1"/>
    <w:rsid w:val="5E1A118B"/>
    <w:rsid w:val="5E261785"/>
    <w:rsid w:val="5E3C05F1"/>
    <w:rsid w:val="5E4A7017"/>
    <w:rsid w:val="5E552BBA"/>
    <w:rsid w:val="5E611C10"/>
    <w:rsid w:val="5E631F59"/>
    <w:rsid w:val="5E6D098A"/>
    <w:rsid w:val="5E75502C"/>
    <w:rsid w:val="5E7A0F3F"/>
    <w:rsid w:val="5EDA7670"/>
    <w:rsid w:val="5EDF067E"/>
    <w:rsid w:val="5EFC1BD5"/>
    <w:rsid w:val="5EFC7377"/>
    <w:rsid w:val="5F06174D"/>
    <w:rsid w:val="5F3A3602"/>
    <w:rsid w:val="5F45733B"/>
    <w:rsid w:val="5F6277C6"/>
    <w:rsid w:val="5F6D0B1D"/>
    <w:rsid w:val="5F73687B"/>
    <w:rsid w:val="5F7F7504"/>
    <w:rsid w:val="5F8D0B82"/>
    <w:rsid w:val="5F8F57DA"/>
    <w:rsid w:val="5FAF8761"/>
    <w:rsid w:val="5FB5D4D0"/>
    <w:rsid w:val="5FBD1091"/>
    <w:rsid w:val="5FBEAF7D"/>
    <w:rsid w:val="5FCC5339"/>
    <w:rsid w:val="5FDFD0E3"/>
    <w:rsid w:val="5FE34A5B"/>
    <w:rsid w:val="5FE7DF4F"/>
    <w:rsid w:val="5FF544F3"/>
    <w:rsid w:val="5FFD30D1"/>
    <w:rsid w:val="5FFE1E36"/>
    <w:rsid w:val="5FFFF597"/>
    <w:rsid w:val="60232584"/>
    <w:rsid w:val="602E28F3"/>
    <w:rsid w:val="607330CE"/>
    <w:rsid w:val="60825176"/>
    <w:rsid w:val="609F2AC4"/>
    <w:rsid w:val="60C211B9"/>
    <w:rsid w:val="60E8620D"/>
    <w:rsid w:val="60FA2EE8"/>
    <w:rsid w:val="61054A27"/>
    <w:rsid w:val="610A52BC"/>
    <w:rsid w:val="611D2366"/>
    <w:rsid w:val="61421856"/>
    <w:rsid w:val="615227C4"/>
    <w:rsid w:val="61654E3F"/>
    <w:rsid w:val="616B3B76"/>
    <w:rsid w:val="6182292A"/>
    <w:rsid w:val="618F0071"/>
    <w:rsid w:val="619F7F92"/>
    <w:rsid w:val="61F94C26"/>
    <w:rsid w:val="62000E56"/>
    <w:rsid w:val="6217062D"/>
    <w:rsid w:val="624F3E49"/>
    <w:rsid w:val="62632286"/>
    <w:rsid w:val="6281699F"/>
    <w:rsid w:val="62885958"/>
    <w:rsid w:val="62DD447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8140A"/>
    <w:rsid w:val="652E1513"/>
    <w:rsid w:val="653C3090"/>
    <w:rsid w:val="656C5B97"/>
    <w:rsid w:val="65854376"/>
    <w:rsid w:val="658767BE"/>
    <w:rsid w:val="65892531"/>
    <w:rsid w:val="65CF619B"/>
    <w:rsid w:val="65F84064"/>
    <w:rsid w:val="660B71FA"/>
    <w:rsid w:val="66195831"/>
    <w:rsid w:val="662E75B1"/>
    <w:rsid w:val="66342C2E"/>
    <w:rsid w:val="663E784C"/>
    <w:rsid w:val="668B6A45"/>
    <w:rsid w:val="66AC42AB"/>
    <w:rsid w:val="66E149C5"/>
    <w:rsid w:val="66FCB37F"/>
    <w:rsid w:val="67011F07"/>
    <w:rsid w:val="672F3F24"/>
    <w:rsid w:val="673E055F"/>
    <w:rsid w:val="67551CE3"/>
    <w:rsid w:val="67565EEF"/>
    <w:rsid w:val="676BCCC2"/>
    <w:rsid w:val="676EF948"/>
    <w:rsid w:val="67843E7E"/>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786D4C"/>
    <w:rsid w:val="69CC2BFF"/>
    <w:rsid w:val="69FD55B8"/>
    <w:rsid w:val="6A0B1C62"/>
    <w:rsid w:val="6A2406C8"/>
    <w:rsid w:val="6AB02CA6"/>
    <w:rsid w:val="6ADE0BD1"/>
    <w:rsid w:val="6AE96859"/>
    <w:rsid w:val="6AE991DA"/>
    <w:rsid w:val="6B147746"/>
    <w:rsid w:val="6B24787C"/>
    <w:rsid w:val="6B573233"/>
    <w:rsid w:val="6B5B6274"/>
    <w:rsid w:val="6B935D53"/>
    <w:rsid w:val="6BAF67DE"/>
    <w:rsid w:val="6BEF72ED"/>
    <w:rsid w:val="6C140860"/>
    <w:rsid w:val="6C17459F"/>
    <w:rsid w:val="6C196F71"/>
    <w:rsid w:val="6C213775"/>
    <w:rsid w:val="6C226FCB"/>
    <w:rsid w:val="6C31226F"/>
    <w:rsid w:val="6C552F0B"/>
    <w:rsid w:val="6C631946"/>
    <w:rsid w:val="6C7DEDAE"/>
    <w:rsid w:val="6C8C67B7"/>
    <w:rsid w:val="6C9D744C"/>
    <w:rsid w:val="6D167928"/>
    <w:rsid w:val="6D26299B"/>
    <w:rsid w:val="6D4772EC"/>
    <w:rsid w:val="6D593A86"/>
    <w:rsid w:val="6D8FB567"/>
    <w:rsid w:val="6D9078AF"/>
    <w:rsid w:val="6DAA3FEF"/>
    <w:rsid w:val="6DB5FC52"/>
    <w:rsid w:val="6DC0172B"/>
    <w:rsid w:val="6DC9133C"/>
    <w:rsid w:val="6DCB690C"/>
    <w:rsid w:val="6DD41A5B"/>
    <w:rsid w:val="6DDD2BD2"/>
    <w:rsid w:val="6DF43C2E"/>
    <w:rsid w:val="6DF51CA3"/>
    <w:rsid w:val="6E8335BD"/>
    <w:rsid w:val="6E8E12EF"/>
    <w:rsid w:val="6E972936"/>
    <w:rsid w:val="6ED446C5"/>
    <w:rsid w:val="6F2A7D94"/>
    <w:rsid w:val="6F722C2B"/>
    <w:rsid w:val="6F7BFEBF"/>
    <w:rsid w:val="6F7FDD25"/>
    <w:rsid w:val="6F8331F1"/>
    <w:rsid w:val="6FAE1A09"/>
    <w:rsid w:val="6FBF5D08"/>
    <w:rsid w:val="6FCFF6EE"/>
    <w:rsid w:val="6FD75BF8"/>
    <w:rsid w:val="6FF7BF88"/>
    <w:rsid w:val="6FFFC41B"/>
    <w:rsid w:val="707723D0"/>
    <w:rsid w:val="70F5661B"/>
    <w:rsid w:val="70F61E34"/>
    <w:rsid w:val="712C13B5"/>
    <w:rsid w:val="71360107"/>
    <w:rsid w:val="713B688E"/>
    <w:rsid w:val="71414EAF"/>
    <w:rsid w:val="71AB541E"/>
    <w:rsid w:val="71D43752"/>
    <w:rsid w:val="71F1796A"/>
    <w:rsid w:val="72154626"/>
    <w:rsid w:val="72262B5D"/>
    <w:rsid w:val="72283FF7"/>
    <w:rsid w:val="722E7212"/>
    <w:rsid w:val="723A0474"/>
    <w:rsid w:val="723E0290"/>
    <w:rsid w:val="725923E4"/>
    <w:rsid w:val="72864BF7"/>
    <w:rsid w:val="729023FC"/>
    <w:rsid w:val="72B157EF"/>
    <w:rsid w:val="72BD382B"/>
    <w:rsid w:val="73B4CBC5"/>
    <w:rsid w:val="73C0646E"/>
    <w:rsid w:val="73DF9EA6"/>
    <w:rsid w:val="73F9BA3C"/>
    <w:rsid w:val="73FFAFFE"/>
    <w:rsid w:val="742222F5"/>
    <w:rsid w:val="7426121D"/>
    <w:rsid w:val="74433779"/>
    <w:rsid w:val="74476126"/>
    <w:rsid w:val="74706664"/>
    <w:rsid w:val="747F3682"/>
    <w:rsid w:val="749358FC"/>
    <w:rsid w:val="749C4185"/>
    <w:rsid w:val="75067759"/>
    <w:rsid w:val="75131D5F"/>
    <w:rsid w:val="752E6DCD"/>
    <w:rsid w:val="7551380D"/>
    <w:rsid w:val="755DD9C8"/>
    <w:rsid w:val="75600BE5"/>
    <w:rsid w:val="7564475C"/>
    <w:rsid w:val="7583797F"/>
    <w:rsid w:val="75934C88"/>
    <w:rsid w:val="75D155C0"/>
    <w:rsid w:val="75D20F1D"/>
    <w:rsid w:val="75DA2C18"/>
    <w:rsid w:val="75E6BF1A"/>
    <w:rsid w:val="75F54412"/>
    <w:rsid w:val="760320FA"/>
    <w:rsid w:val="761D08E0"/>
    <w:rsid w:val="761E37AB"/>
    <w:rsid w:val="765D347C"/>
    <w:rsid w:val="76826699"/>
    <w:rsid w:val="76A17DC2"/>
    <w:rsid w:val="76C87133"/>
    <w:rsid w:val="76CD08D5"/>
    <w:rsid w:val="76DB4B92"/>
    <w:rsid w:val="76E870A0"/>
    <w:rsid w:val="76EF03D6"/>
    <w:rsid w:val="76FD013A"/>
    <w:rsid w:val="770056C4"/>
    <w:rsid w:val="77052AA4"/>
    <w:rsid w:val="77136511"/>
    <w:rsid w:val="77195F11"/>
    <w:rsid w:val="772F7A6D"/>
    <w:rsid w:val="77340A39"/>
    <w:rsid w:val="77351FD0"/>
    <w:rsid w:val="77472422"/>
    <w:rsid w:val="776E579F"/>
    <w:rsid w:val="77747DE8"/>
    <w:rsid w:val="777F31F2"/>
    <w:rsid w:val="77977C02"/>
    <w:rsid w:val="77A95EF0"/>
    <w:rsid w:val="77B98E34"/>
    <w:rsid w:val="77D1700D"/>
    <w:rsid w:val="77EC04CC"/>
    <w:rsid w:val="77ED3EA9"/>
    <w:rsid w:val="77F959B0"/>
    <w:rsid w:val="77F9DC0C"/>
    <w:rsid w:val="78775729"/>
    <w:rsid w:val="787E1A12"/>
    <w:rsid w:val="78A42DB0"/>
    <w:rsid w:val="78A656AB"/>
    <w:rsid w:val="78B2245C"/>
    <w:rsid w:val="78E172CC"/>
    <w:rsid w:val="78EA1D1F"/>
    <w:rsid w:val="7904172F"/>
    <w:rsid w:val="790F7E27"/>
    <w:rsid w:val="792A231A"/>
    <w:rsid w:val="79316829"/>
    <w:rsid w:val="795C9013"/>
    <w:rsid w:val="797E66A9"/>
    <w:rsid w:val="798518A4"/>
    <w:rsid w:val="798B3323"/>
    <w:rsid w:val="79A97383"/>
    <w:rsid w:val="79BF2DA3"/>
    <w:rsid w:val="79E27E8B"/>
    <w:rsid w:val="79F850CE"/>
    <w:rsid w:val="79FD443C"/>
    <w:rsid w:val="79FFCC90"/>
    <w:rsid w:val="7A1D1975"/>
    <w:rsid w:val="7A3E5150"/>
    <w:rsid w:val="7A4670D6"/>
    <w:rsid w:val="7A534B63"/>
    <w:rsid w:val="7A615382"/>
    <w:rsid w:val="7A67303B"/>
    <w:rsid w:val="7AAB1D04"/>
    <w:rsid w:val="7ABA4368"/>
    <w:rsid w:val="7ABF1BA0"/>
    <w:rsid w:val="7AD05746"/>
    <w:rsid w:val="7AF5B874"/>
    <w:rsid w:val="7B257FFD"/>
    <w:rsid w:val="7B273D20"/>
    <w:rsid w:val="7B343476"/>
    <w:rsid w:val="7B5A2978"/>
    <w:rsid w:val="7B5A7E4C"/>
    <w:rsid w:val="7B667AF9"/>
    <w:rsid w:val="7B7468F8"/>
    <w:rsid w:val="7B7D2864"/>
    <w:rsid w:val="7BEE0103"/>
    <w:rsid w:val="7BFD0AFE"/>
    <w:rsid w:val="7C0A0FE4"/>
    <w:rsid w:val="7C254906"/>
    <w:rsid w:val="7C590818"/>
    <w:rsid w:val="7C6BDFDE"/>
    <w:rsid w:val="7C7C10F6"/>
    <w:rsid w:val="7C853BEA"/>
    <w:rsid w:val="7C865C6D"/>
    <w:rsid w:val="7C881368"/>
    <w:rsid w:val="7C971DB1"/>
    <w:rsid w:val="7CB3CA24"/>
    <w:rsid w:val="7CBBBA2C"/>
    <w:rsid w:val="7CE27788"/>
    <w:rsid w:val="7D0C32F1"/>
    <w:rsid w:val="7D0F408D"/>
    <w:rsid w:val="7D442D10"/>
    <w:rsid w:val="7D491C6C"/>
    <w:rsid w:val="7D5429C0"/>
    <w:rsid w:val="7D6E6D43"/>
    <w:rsid w:val="7D776A81"/>
    <w:rsid w:val="7D7B37B7"/>
    <w:rsid w:val="7D7B735E"/>
    <w:rsid w:val="7D7F0FE5"/>
    <w:rsid w:val="7D7F6752"/>
    <w:rsid w:val="7D942602"/>
    <w:rsid w:val="7D9A5601"/>
    <w:rsid w:val="7DA414A6"/>
    <w:rsid w:val="7DB57A34"/>
    <w:rsid w:val="7DB770A1"/>
    <w:rsid w:val="7DBB0C14"/>
    <w:rsid w:val="7DD9BE2F"/>
    <w:rsid w:val="7DDFA941"/>
    <w:rsid w:val="7DE60973"/>
    <w:rsid w:val="7DED22FE"/>
    <w:rsid w:val="7DEF0916"/>
    <w:rsid w:val="7DF19F14"/>
    <w:rsid w:val="7DFB0D50"/>
    <w:rsid w:val="7DFB294D"/>
    <w:rsid w:val="7E1E5218"/>
    <w:rsid w:val="7E571352"/>
    <w:rsid w:val="7E9A4E1F"/>
    <w:rsid w:val="7EA7723A"/>
    <w:rsid w:val="7EBFF678"/>
    <w:rsid w:val="7EC65EC0"/>
    <w:rsid w:val="7ED7FCA2"/>
    <w:rsid w:val="7EEB2592"/>
    <w:rsid w:val="7EF15B8A"/>
    <w:rsid w:val="7EF56FBB"/>
    <w:rsid w:val="7EFF539D"/>
    <w:rsid w:val="7EFF8F19"/>
    <w:rsid w:val="7EFFBBAA"/>
    <w:rsid w:val="7F0768EB"/>
    <w:rsid w:val="7F0EABDA"/>
    <w:rsid w:val="7F143BEC"/>
    <w:rsid w:val="7F2E0F53"/>
    <w:rsid w:val="7F345907"/>
    <w:rsid w:val="7F3F64C2"/>
    <w:rsid w:val="7F47945A"/>
    <w:rsid w:val="7F5FFE11"/>
    <w:rsid w:val="7F715AF2"/>
    <w:rsid w:val="7F7BCF83"/>
    <w:rsid w:val="7F7C8458"/>
    <w:rsid w:val="7F7F6E53"/>
    <w:rsid w:val="7F8395BC"/>
    <w:rsid w:val="7F886E69"/>
    <w:rsid w:val="7FA76E41"/>
    <w:rsid w:val="7FA7D4F4"/>
    <w:rsid w:val="7FABE39A"/>
    <w:rsid w:val="7FBF57FD"/>
    <w:rsid w:val="7FCFA827"/>
    <w:rsid w:val="7FDAE6A0"/>
    <w:rsid w:val="7FDFCCE8"/>
    <w:rsid w:val="7FE495B3"/>
    <w:rsid w:val="7FE5BC80"/>
    <w:rsid w:val="7FE7A7FF"/>
    <w:rsid w:val="7FEAB85E"/>
    <w:rsid w:val="7FEEB36B"/>
    <w:rsid w:val="7FEF8249"/>
    <w:rsid w:val="7FF0734A"/>
    <w:rsid w:val="7FF3D969"/>
    <w:rsid w:val="7FF3E17D"/>
    <w:rsid w:val="7FF5F1EE"/>
    <w:rsid w:val="7FF6D1DC"/>
    <w:rsid w:val="7FFACEDB"/>
    <w:rsid w:val="7FFBFD87"/>
    <w:rsid w:val="7FFCC40F"/>
    <w:rsid w:val="7FFD9C6C"/>
    <w:rsid w:val="7FFEF7D4"/>
    <w:rsid w:val="7FFF2690"/>
    <w:rsid w:val="7FFFF46D"/>
    <w:rsid w:val="8DFD4C1F"/>
    <w:rsid w:val="8FF01517"/>
    <w:rsid w:val="8FFD3A23"/>
    <w:rsid w:val="98FC0279"/>
    <w:rsid w:val="9D5FD814"/>
    <w:rsid w:val="9DFFDF29"/>
    <w:rsid w:val="9F33DE01"/>
    <w:rsid w:val="A34B20D4"/>
    <w:rsid w:val="A5EF6749"/>
    <w:rsid w:val="ACC2FDC8"/>
    <w:rsid w:val="AF4A515E"/>
    <w:rsid w:val="AFF52979"/>
    <w:rsid w:val="AFFA76EE"/>
    <w:rsid w:val="AFFDBFA2"/>
    <w:rsid w:val="AFFF2E75"/>
    <w:rsid w:val="B2DF85C3"/>
    <w:rsid w:val="B5F98311"/>
    <w:rsid w:val="B64B66F7"/>
    <w:rsid w:val="B663380E"/>
    <w:rsid w:val="B77743E5"/>
    <w:rsid w:val="B7BE9540"/>
    <w:rsid w:val="B7FFEFC8"/>
    <w:rsid w:val="B89DEB0E"/>
    <w:rsid w:val="B9733BF5"/>
    <w:rsid w:val="B9DE7D6C"/>
    <w:rsid w:val="BA3FD024"/>
    <w:rsid w:val="BA9FCC58"/>
    <w:rsid w:val="BABBDAD9"/>
    <w:rsid w:val="BAC6D445"/>
    <w:rsid w:val="BACB3A78"/>
    <w:rsid w:val="BB7FA927"/>
    <w:rsid w:val="BBF6A220"/>
    <w:rsid w:val="BBFD9B39"/>
    <w:rsid w:val="BCADE5D4"/>
    <w:rsid w:val="BD7F9A8C"/>
    <w:rsid w:val="BD87AE55"/>
    <w:rsid w:val="BDCE2D6D"/>
    <w:rsid w:val="BDE381C2"/>
    <w:rsid w:val="BDF521A0"/>
    <w:rsid w:val="BDFE5737"/>
    <w:rsid w:val="BDFFAA00"/>
    <w:rsid w:val="BEAD4475"/>
    <w:rsid w:val="BEADE250"/>
    <w:rsid w:val="BEFF125D"/>
    <w:rsid w:val="BF3F174A"/>
    <w:rsid w:val="BF3F7A84"/>
    <w:rsid w:val="BF57A4F1"/>
    <w:rsid w:val="BF60F05B"/>
    <w:rsid w:val="BFDF33EE"/>
    <w:rsid w:val="BFED6418"/>
    <w:rsid w:val="BFFAED11"/>
    <w:rsid w:val="BFFE533E"/>
    <w:rsid w:val="BFFFB869"/>
    <w:rsid w:val="C1EEE403"/>
    <w:rsid w:val="C2B68538"/>
    <w:rsid w:val="CB137B40"/>
    <w:rsid w:val="CBFD7C6B"/>
    <w:rsid w:val="CDAF842D"/>
    <w:rsid w:val="CDFF1FB9"/>
    <w:rsid w:val="CEABA5EB"/>
    <w:rsid w:val="CF375FB5"/>
    <w:rsid w:val="CF3F2859"/>
    <w:rsid w:val="CFF7F2B4"/>
    <w:rsid w:val="CFFD5B5F"/>
    <w:rsid w:val="D39D4B60"/>
    <w:rsid w:val="D54C7880"/>
    <w:rsid w:val="D57F39B2"/>
    <w:rsid w:val="D5FEC042"/>
    <w:rsid w:val="D75F12FA"/>
    <w:rsid w:val="D76FC41B"/>
    <w:rsid w:val="D7FBDFFD"/>
    <w:rsid w:val="D96B1C14"/>
    <w:rsid w:val="DACF62F4"/>
    <w:rsid w:val="DAFF9EC1"/>
    <w:rsid w:val="DB2BA0B5"/>
    <w:rsid w:val="DBCBA9D6"/>
    <w:rsid w:val="DBFB36F6"/>
    <w:rsid w:val="DCDF2801"/>
    <w:rsid w:val="DD7B3ADC"/>
    <w:rsid w:val="DDAE0B40"/>
    <w:rsid w:val="DDD95495"/>
    <w:rsid w:val="DDF3D600"/>
    <w:rsid w:val="DEFE41C9"/>
    <w:rsid w:val="DF3E50AC"/>
    <w:rsid w:val="DF4B1A26"/>
    <w:rsid w:val="DF5F76D5"/>
    <w:rsid w:val="DF8EB52B"/>
    <w:rsid w:val="DF9D45C8"/>
    <w:rsid w:val="DFB94E37"/>
    <w:rsid w:val="DFC6886F"/>
    <w:rsid w:val="DFDE6F86"/>
    <w:rsid w:val="DFDF72D1"/>
    <w:rsid w:val="DFEFFCF3"/>
    <w:rsid w:val="DFFBCBA3"/>
    <w:rsid w:val="E37AA12A"/>
    <w:rsid w:val="E5F7D018"/>
    <w:rsid w:val="E6CCC3F9"/>
    <w:rsid w:val="E6FC3F50"/>
    <w:rsid w:val="E7DB96AC"/>
    <w:rsid w:val="E7FB7737"/>
    <w:rsid w:val="E7FE46BC"/>
    <w:rsid w:val="EAF6B7BD"/>
    <w:rsid w:val="EAF7CFBF"/>
    <w:rsid w:val="EB2C2ED9"/>
    <w:rsid w:val="EB6FE4FC"/>
    <w:rsid w:val="EBBC70B0"/>
    <w:rsid w:val="EBFF9910"/>
    <w:rsid w:val="EC5621D9"/>
    <w:rsid w:val="ED6F8209"/>
    <w:rsid w:val="EDDA94A6"/>
    <w:rsid w:val="EDF2F12D"/>
    <w:rsid w:val="EEF59D1A"/>
    <w:rsid w:val="EEFBA463"/>
    <w:rsid w:val="EF5FAC0D"/>
    <w:rsid w:val="EF77EA9C"/>
    <w:rsid w:val="EF9148A0"/>
    <w:rsid w:val="EF979B8D"/>
    <w:rsid w:val="EFCB1F25"/>
    <w:rsid w:val="EFDD263B"/>
    <w:rsid w:val="EFDDFF2A"/>
    <w:rsid w:val="EFEF8FEF"/>
    <w:rsid w:val="EFF7A898"/>
    <w:rsid w:val="EFFF1E39"/>
    <w:rsid w:val="F34B47A8"/>
    <w:rsid w:val="F3BBEE31"/>
    <w:rsid w:val="F3DF4D58"/>
    <w:rsid w:val="F3FBC488"/>
    <w:rsid w:val="F57CC8BC"/>
    <w:rsid w:val="F5BD3ED8"/>
    <w:rsid w:val="F5F31944"/>
    <w:rsid w:val="F5FA680A"/>
    <w:rsid w:val="F5FFD31F"/>
    <w:rsid w:val="F6773872"/>
    <w:rsid w:val="F6E0E694"/>
    <w:rsid w:val="F734F53B"/>
    <w:rsid w:val="F7379863"/>
    <w:rsid w:val="F79F47C7"/>
    <w:rsid w:val="F7AF8228"/>
    <w:rsid w:val="F7B66FD5"/>
    <w:rsid w:val="F7BF7321"/>
    <w:rsid w:val="F7BFFCD9"/>
    <w:rsid w:val="F7FBFDE6"/>
    <w:rsid w:val="F7FD6CA3"/>
    <w:rsid w:val="F87ECB2F"/>
    <w:rsid w:val="F8BFB747"/>
    <w:rsid w:val="F9DB340A"/>
    <w:rsid w:val="FAFF98F1"/>
    <w:rsid w:val="FB7F80E2"/>
    <w:rsid w:val="FB9F2BEF"/>
    <w:rsid w:val="FBDD50C8"/>
    <w:rsid w:val="FBEF7859"/>
    <w:rsid w:val="FBFBFE5D"/>
    <w:rsid w:val="FBFF7AC0"/>
    <w:rsid w:val="FC3BAC7F"/>
    <w:rsid w:val="FCA33DDA"/>
    <w:rsid w:val="FCF5F10C"/>
    <w:rsid w:val="FCFF7FCC"/>
    <w:rsid w:val="FD7E0A2C"/>
    <w:rsid w:val="FDA3BC63"/>
    <w:rsid w:val="FDBBFD98"/>
    <w:rsid w:val="FDDD583D"/>
    <w:rsid w:val="FDFB0734"/>
    <w:rsid w:val="FE3F2573"/>
    <w:rsid w:val="FE3FAA96"/>
    <w:rsid w:val="FE97CE6B"/>
    <w:rsid w:val="FEAEF402"/>
    <w:rsid w:val="FEBF1A5C"/>
    <w:rsid w:val="FEDEA9A0"/>
    <w:rsid w:val="FEEF8CE2"/>
    <w:rsid w:val="FEEFB028"/>
    <w:rsid w:val="FEF71052"/>
    <w:rsid w:val="FEF7E8AA"/>
    <w:rsid w:val="FEFEE4BC"/>
    <w:rsid w:val="FEFF3FAD"/>
    <w:rsid w:val="FF3E565E"/>
    <w:rsid w:val="FF4FCD8A"/>
    <w:rsid w:val="FF5D462A"/>
    <w:rsid w:val="FF7CD985"/>
    <w:rsid w:val="FF7EA60C"/>
    <w:rsid w:val="FF7EEA79"/>
    <w:rsid w:val="FF996092"/>
    <w:rsid w:val="FF9F1215"/>
    <w:rsid w:val="FFB5D6E3"/>
    <w:rsid w:val="FFB7D6B6"/>
    <w:rsid w:val="FFBB884C"/>
    <w:rsid w:val="FFBFB58D"/>
    <w:rsid w:val="FFCB9AFE"/>
    <w:rsid w:val="FFCC9D9F"/>
    <w:rsid w:val="FFE138B8"/>
    <w:rsid w:val="FFE8794B"/>
    <w:rsid w:val="FFEF05F7"/>
    <w:rsid w:val="FFEF14F4"/>
    <w:rsid w:val="FFEF68B2"/>
    <w:rsid w:val="FFEFC0E3"/>
    <w:rsid w:val="FFEFE80F"/>
    <w:rsid w:val="FFF54C2D"/>
    <w:rsid w:val="FFF589C8"/>
    <w:rsid w:val="FFF66B99"/>
    <w:rsid w:val="FFF7113A"/>
    <w:rsid w:val="FFFEBEFA"/>
    <w:rsid w:val="FFFF2676"/>
    <w:rsid w:val="FFFF42E2"/>
    <w:rsid w:val="FFFF5211"/>
    <w:rsid w:val="FFFF8C7D"/>
    <w:rsid w:val="FFFFE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Closing"/>
    <w:basedOn w:val="1"/>
    <w:semiHidden/>
    <w:qFormat/>
    <w:uiPriority w:val="0"/>
    <w:pPr>
      <w:ind w:left="4320"/>
    </w:pPr>
    <w:rPr>
      <w:kern w:val="1"/>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6"/>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7"/>
    <w:qFormat/>
    <w:uiPriority w:val="0"/>
    <w:rPr>
      <w:rFonts w:ascii="宋体" w:hAnsi="Courier New" w:cs="Arial"/>
      <w:snapToGrid w:val="0"/>
      <w:szCs w:val="21"/>
    </w:r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able of figures"/>
    <w:basedOn w:val="1"/>
    <w:next w:val="1"/>
    <w:qFormat/>
    <w:uiPriority w:val="0"/>
    <w:pPr>
      <w:ind w:left="200" w:leftChars="200" w:hanging="200" w:hangingChars="200"/>
    </w:p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w:basedOn w:val="2"/>
    <w:next w:val="53"/>
    <w:link w:val="323"/>
    <w:qFormat/>
    <w:uiPriority w:val="0"/>
    <w:pPr>
      <w:ind w:firstLine="420"/>
    </w:pPr>
    <w:rPr>
      <w:rFonts w:hAnsi="Calibri" w:cs="Times New Roman"/>
      <w:snapToGrid/>
      <w:szCs w:val="20"/>
    </w:rPr>
  </w:style>
  <w:style w:type="paragraph" w:styleId="65">
    <w:name w:val="Body Text First Indent 2"/>
    <w:basedOn w:val="26"/>
    <w:next w:val="1"/>
    <w:link w:val="12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5"/>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7">
    <w:name w:val="DAS正文"/>
    <w:basedOn w:val="1"/>
    <w:qFormat/>
    <w:uiPriority w:val="0"/>
    <w:pPr>
      <w:spacing w:line="360" w:lineRule="auto"/>
      <w:ind w:right="181" w:firstLine="480" w:firstLineChars="200"/>
    </w:pPr>
    <w:rPr>
      <w:rFonts w:ascii="Verdana" w:hAnsi="Verdana"/>
    </w:rPr>
  </w:style>
  <w:style w:type="paragraph" w:customStyle="1" w:styleId="9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WPSOffice手动目录 1"/>
    <w:qFormat/>
    <w:uiPriority w:val="0"/>
    <w:rPr>
      <w:rFonts w:ascii="Times New Roman" w:hAnsi="Times New Roman" w:eastAsia="宋体" w:cs="Times New Roman"/>
      <w:lang w:val="en-US" w:eastAsia="zh-CN" w:bidi="ar-SA"/>
    </w:rPr>
  </w:style>
  <w:style w:type="paragraph" w:customStyle="1" w:styleId="971">
    <w:name w:val="列出段落6"/>
    <w:basedOn w:val="1"/>
    <w:unhideWhenUsed/>
    <w:qFormat/>
    <w:uiPriority w:val="99"/>
    <w:pPr>
      <w:ind w:firstLine="420" w:firstLineChars="200"/>
    </w:pPr>
  </w:style>
  <w:style w:type="paragraph" w:customStyle="1" w:styleId="972">
    <w:name w:val="标题 5（有编号）（绿盟科技）"/>
    <w:basedOn w:val="1"/>
    <w:next w:val="16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73">
    <w:name w:val="纯文本3"/>
    <w:basedOn w:val="1"/>
    <w:qFormat/>
    <w:uiPriority w:val="0"/>
    <w:rPr>
      <w:rFonts w:ascii="宋体" w:hAnsi="Courier New" w:eastAsia="楷体_GB2312"/>
      <w:sz w:val="28"/>
    </w:rPr>
  </w:style>
  <w:style w:type="character" w:customStyle="1" w:styleId="974">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62</Pages>
  <Words>29564</Words>
  <Characters>32327</Characters>
  <Lines>250</Lines>
  <Paragraphs>70</Paragraphs>
  <TotalTime>0</TotalTime>
  <ScaleCrop>false</ScaleCrop>
  <LinksUpToDate>false</LinksUpToDate>
  <CharactersWithSpaces>34175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睡不醒</cp:lastModifiedBy>
  <cp:lastPrinted>2022-01-03T03:06:00Z</cp:lastPrinted>
  <dcterms:modified xsi:type="dcterms:W3CDTF">2025-07-11T08:05:23Z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E0A06082579941CC939AAA585107B993_13</vt:lpwstr>
  </property>
</Properties>
</file>