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szCs w:val="32"/>
        </w:rPr>
      </w:pPr>
      <w:r>
        <w:rPr>
          <w:rFonts w:hint="eastAsia" w:ascii="宋体"/>
          <w:b/>
          <w:kern w:val="0"/>
          <w:sz w:val="32"/>
          <w:lang w:val="en-US" w:eastAsia="zh-CN"/>
        </w:rPr>
        <w:t>TZ</w:t>
      </w:r>
      <w:r>
        <w:rPr>
          <w:rFonts w:hint="eastAsia" w:ascii="宋体"/>
          <w:b/>
          <w:bCs w:val="0"/>
          <w:kern w:val="0"/>
          <w:sz w:val="32"/>
          <w:lang w:val="en-US" w:eastAsia="zh-CN"/>
        </w:rPr>
        <w:t>CG-</w:t>
      </w:r>
      <w:r>
        <w:rPr>
          <w:rFonts w:hint="eastAsia" w:ascii="宋体"/>
          <w:b/>
          <w:bCs w:val="0"/>
          <w:kern w:val="0"/>
          <w:sz w:val="32"/>
          <w:szCs w:val="32"/>
          <w:lang w:val="en-US" w:eastAsia="zh-CN"/>
        </w:rPr>
        <w:t>20</w:t>
      </w:r>
      <w:r>
        <w:rPr>
          <w:rFonts w:hint="eastAsia" w:ascii="宋体" w:hAnsi="宋体" w:cs="宋体"/>
          <w:b/>
          <w:bCs w:val="0"/>
          <w:kern w:val="0"/>
          <w:sz w:val="32"/>
          <w:szCs w:val="32"/>
          <w:lang w:val="en-US" w:eastAsia="zh-CN"/>
        </w:rPr>
        <w:t>22</w:t>
      </w:r>
      <w:r>
        <w:rPr>
          <w:rFonts w:hint="eastAsia" w:ascii="宋体"/>
          <w:b/>
          <w:bCs w:val="0"/>
          <w:kern w:val="0"/>
          <w:sz w:val="32"/>
          <w:szCs w:val="32"/>
          <w:lang w:val="en-US" w:eastAsia="zh-CN"/>
        </w:rPr>
        <w:t>-G</w:t>
      </w:r>
      <w:r>
        <w:rPr>
          <w:rFonts w:hint="eastAsia" w:ascii="宋体"/>
          <w:b/>
          <w:bCs w:val="0"/>
          <w:color w:val="auto"/>
          <w:kern w:val="0"/>
          <w:sz w:val="32"/>
          <w:szCs w:val="32"/>
          <w:lang w:val="en-US" w:eastAsia="zh-CN"/>
        </w:rPr>
        <w:t>K0</w:t>
      </w:r>
      <w:r>
        <w:rPr>
          <w:rFonts w:hint="eastAsia" w:ascii="宋体" w:hAnsi="宋体" w:cs="宋体"/>
          <w:b/>
          <w:bCs w:val="0"/>
          <w:kern w:val="0"/>
          <w:sz w:val="32"/>
          <w:szCs w:val="32"/>
          <w:lang w:val="en-US" w:eastAsia="zh-CN"/>
        </w:rPr>
        <w:t>22</w:t>
      </w:r>
      <w:r>
        <w:rPr>
          <w:rFonts w:hint="eastAsia" w:ascii="宋体"/>
          <w:b/>
          <w:kern w:val="0"/>
          <w:sz w:val="32"/>
          <w:szCs w:val="32"/>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ind w:left="0" w:leftChars="0" w:firstLine="0" w:firstLineChars="0"/>
        <w:jc w:val="center"/>
        <w:rPr>
          <w:rFonts w:hint="eastAsia" w:ascii="宋体"/>
          <w:kern w:val="0"/>
          <w:sz w:val="28"/>
          <w:highlight w:val="none"/>
        </w:rPr>
      </w:pPr>
      <w:r>
        <w:rPr>
          <w:rFonts w:hint="eastAsia" w:ascii="宋体"/>
          <w:kern w:val="0"/>
          <w:sz w:val="28"/>
        </w:rPr>
        <w:t>采购项目：</w:t>
      </w:r>
      <w:r>
        <w:rPr>
          <w:rFonts w:hint="eastAsia" w:ascii="宋体"/>
          <w:kern w:val="0"/>
          <w:sz w:val="28"/>
          <w:highlight w:val="none"/>
        </w:rPr>
        <w:t>台州学院智慧校园（2022年）项目</w:t>
      </w:r>
    </w:p>
    <w:p>
      <w:pPr>
        <w:autoSpaceDE w:val="0"/>
        <w:autoSpaceDN w:val="0"/>
        <w:adjustRightInd w:val="0"/>
        <w:spacing w:line="360" w:lineRule="auto"/>
        <w:ind w:left="0" w:leftChars="0" w:firstLine="0" w:firstLineChars="0"/>
        <w:jc w:val="center"/>
        <w:rPr>
          <w:rFonts w:hint="eastAsia" w:ascii="宋体"/>
          <w:kern w:val="0"/>
          <w:sz w:val="28"/>
          <w:highlight w:val="none"/>
        </w:rPr>
      </w:pPr>
      <w:r>
        <w:rPr>
          <w:rFonts w:hint="eastAsia" w:ascii="宋体"/>
          <w:kern w:val="0"/>
          <w:sz w:val="28"/>
          <w:highlight w:val="none"/>
        </w:rPr>
        <w:t>全景教室、直播教室LED大屏建设项目</w:t>
      </w:r>
    </w:p>
    <w:p>
      <w:pPr>
        <w:autoSpaceDE w:val="0"/>
        <w:autoSpaceDN w:val="0"/>
        <w:adjustRightInd w:val="0"/>
        <w:spacing w:line="360" w:lineRule="auto"/>
        <w:ind w:left="0" w:leftChars="0" w:firstLine="0" w:firstLineChars="0"/>
        <w:jc w:val="center"/>
        <w:rPr>
          <w:rFonts w:hint="eastAsia" w:ascii="宋体" w:eastAsia="宋体"/>
          <w:kern w:val="0"/>
          <w:sz w:val="28"/>
          <w:lang w:eastAsia="zh-CN"/>
        </w:rPr>
      </w:pPr>
      <w:r>
        <w:rPr>
          <w:rFonts w:hint="eastAsia" w:ascii="宋体"/>
          <w:kern w:val="0"/>
          <w:sz w:val="28"/>
        </w:rPr>
        <w:t>采 购 人：</w:t>
      </w:r>
      <w:r>
        <w:rPr>
          <w:rFonts w:hint="eastAsia" w:ascii="宋体"/>
          <w:kern w:val="0"/>
          <w:sz w:val="28"/>
          <w:lang w:val="en-US" w:eastAsia="zh-CN"/>
        </w:rPr>
        <w:t>台州学院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2022</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9</w:t>
      </w:r>
      <w:r>
        <w:rPr>
          <w:rFonts w:hint="eastAsia" w:ascii="宋体" w:hAnsi="宋体" w:cs="宋体"/>
          <w:kern w:val="0"/>
          <w:sz w:val="28"/>
          <w:szCs w:val="28"/>
        </w:rPr>
        <w:t xml:space="preserve"> 月 </w:t>
      </w:r>
      <w:r>
        <w:rPr>
          <w:rFonts w:hint="eastAsia" w:ascii="宋体" w:hAnsi="宋体" w:cs="宋体"/>
          <w:kern w:val="0"/>
          <w:sz w:val="28"/>
          <w:szCs w:val="28"/>
          <w:lang w:val="en-US" w:eastAsia="zh-CN"/>
        </w:rPr>
        <w:t>14</w:t>
      </w:r>
      <w:r>
        <w:rPr>
          <w:rFonts w:hint="eastAsia" w:ascii="宋体" w:hAnsi="宋体" w:cs="宋体"/>
          <w:kern w:val="0"/>
          <w:sz w:val="28"/>
          <w:szCs w:val="28"/>
        </w:rPr>
        <w:t xml:space="preserve"> 日</w:t>
      </w:r>
    </w:p>
    <w:p>
      <w:pPr>
        <w:spacing w:line="360" w:lineRule="auto"/>
      </w:pPr>
    </w:p>
    <w:p>
      <w:pPr>
        <w:pStyle w:val="19"/>
      </w:pPr>
    </w:p>
    <w:p>
      <w:pPr>
        <w:pStyle w:val="19"/>
      </w:pPr>
    </w:p>
    <w:p>
      <w:pPr>
        <w:pStyle w:val="19"/>
      </w:pPr>
    </w:p>
    <w:p>
      <w:pPr>
        <w:pStyle w:val="19"/>
      </w:pPr>
    </w:p>
    <w:p>
      <w:pPr>
        <w:pStyle w:val="19"/>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pPr>
            <w:spacing w:line="480" w:lineRule="auto"/>
            <w:jc w:val="both"/>
            <w:rPr>
              <w:rFonts w:ascii="宋体" w:hAnsi="宋体"/>
              <w:kern w:val="0"/>
              <w:sz w:val="28"/>
              <w:szCs w:val="28"/>
            </w:rPr>
          </w:pPr>
          <w:bookmarkStart w:id="0" w:name="_Toc25017_WPSOffice_Type1"/>
        </w:p>
        <w:p>
          <w:pPr>
            <w:pStyle w:val="19"/>
          </w:pPr>
        </w:p>
        <w:p>
          <w:pPr>
            <w:spacing w:line="480" w:lineRule="auto"/>
            <w:jc w:val="center"/>
            <w:rPr>
              <w:rFonts w:hint="eastAsia" w:ascii="宋体" w:hAnsi="宋体"/>
              <w:b/>
              <w:bCs/>
              <w:sz w:val="36"/>
              <w:szCs w:val="36"/>
            </w:rPr>
          </w:pPr>
          <w:r>
            <w:rPr>
              <w:rFonts w:hint="eastAsia" w:ascii="宋体" w:hAnsi="宋体"/>
              <w:b/>
              <w:bCs/>
              <w:sz w:val="36"/>
              <w:szCs w:val="36"/>
            </w:rPr>
            <w:t>目  录</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hint="eastAsia" w:eastAsiaTheme="minorEastAsia" w:cstheme="minorBidi"/>
              <w:sz w:val="28"/>
              <w:szCs w:val="28"/>
            </w:rPr>
            <w:tab/>
          </w:r>
          <w:bookmarkStart w:id="1" w:name="_Toc4350_WPSOffice_Level1Page"/>
          <w:r>
            <w:rPr>
              <w:rFonts w:hint="eastAsia" w:eastAsiaTheme="minorEastAsia" w:cstheme="minorBidi"/>
              <w:sz w:val="28"/>
              <w:szCs w:val="28"/>
            </w:rPr>
            <w:t>3</w:t>
          </w:r>
          <w:bookmarkEnd w:id="1"/>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hint="eastAsia"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hint="eastAsia"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hint="eastAsia" w:eastAsiaTheme="minorEastAsia" w:cstheme="minorBidi"/>
              <w:sz w:val="28"/>
              <w:szCs w:val="28"/>
            </w:rPr>
            <w:tab/>
          </w:r>
          <w:bookmarkStart w:id="2" w:name="_Toc31173_WPSOffice_Level1Page"/>
          <w:r>
            <w:rPr>
              <w:rFonts w:hint="eastAsia" w:eastAsiaTheme="minorEastAsia" w:cstheme="minorBidi"/>
              <w:sz w:val="28"/>
              <w:szCs w:val="28"/>
            </w:rPr>
            <w:t>22</w:t>
          </w:r>
          <w:bookmarkEnd w:id="2"/>
          <w:r>
            <w:rPr>
              <w:rFonts w:hint="eastAsia" w:eastAsiaTheme="minorEastAsia" w:cstheme="minorBidi"/>
              <w:sz w:val="28"/>
              <w:szCs w:val="28"/>
            </w:rPr>
            <w:fldChar w:fldCharType="end"/>
          </w:r>
        </w:p>
        <w:p>
          <w:pPr>
            <w:pStyle w:val="16"/>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hint="eastAsia" w:eastAsiaTheme="minorEastAsia" w:cstheme="minorBidi"/>
              <w:sz w:val="28"/>
              <w:szCs w:val="28"/>
            </w:rPr>
            <w:tab/>
          </w:r>
          <w:bookmarkStart w:id="3" w:name="_Toc27944_WPSOffice_Level1Page"/>
          <w:r>
            <w:rPr>
              <w:rFonts w:hint="eastAsia" w:eastAsiaTheme="minorEastAsia" w:cstheme="minorBidi"/>
              <w:sz w:val="28"/>
              <w:szCs w:val="28"/>
            </w:rPr>
            <w:t>35</w:t>
          </w:r>
          <w:bookmarkEnd w:id="3"/>
          <w:r>
            <w:rPr>
              <w:rFonts w:hint="eastAsia" w:eastAsiaTheme="minorEastAsia" w:cstheme="minorBidi"/>
              <w:sz w:val="28"/>
              <w:szCs w:val="28"/>
            </w:rPr>
            <w:fldChar w:fldCharType="end"/>
          </w:r>
        </w:p>
        <w:p>
          <w:pPr>
            <w:pStyle w:val="16"/>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hint="eastAsia" w:eastAsiaTheme="minorEastAsia" w:cstheme="minorBidi"/>
              <w:sz w:val="28"/>
              <w:szCs w:val="28"/>
            </w:rPr>
            <w:tab/>
          </w:r>
          <w:bookmarkStart w:id="4" w:name="_Toc5481_WPSOffice_Level1Page"/>
          <w:r>
            <w:rPr>
              <w:rFonts w:hint="eastAsia" w:eastAsiaTheme="minorEastAsia" w:cstheme="minorBidi"/>
              <w:sz w:val="28"/>
              <w:szCs w:val="28"/>
            </w:rPr>
            <w:t>41</w:t>
          </w:r>
          <w:bookmarkEnd w:id="4"/>
          <w:r>
            <w:rPr>
              <w:rFonts w:hint="eastAsia" w:eastAsiaTheme="minorEastAsia" w:cstheme="minorBidi"/>
              <w:sz w:val="28"/>
              <w:szCs w:val="28"/>
            </w:rPr>
            <w:fldChar w:fldCharType="end"/>
          </w:r>
        </w:p>
      </w:sdtContent>
    </w:sdt>
    <w:bookmarkEnd w:id="0"/>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pPr>
        <w:pStyle w:val="4"/>
        <w:numPr>
          <w:ilvl w:val="0"/>
          <w:numId w:val="0"/>
        </w:numPr>
        <w:ind w:right="25" w:rightChars="0"/>
        <w:rPr>
          <w:rFonts w:cs="宋体"/>
          <w:b w:val="0"/>
          <w:sz w:val="24"/>
          <w:szCs w:val="24"/>
        </w:rPr>
      </w:pPr>
      <w:bookmarkStart w:id="6" w:name="_Toc28359002"/>
      <w:bookmarkStart w:id="7" w:name="_Toc35393790"/>
      <w:bookmarkStart w:id="8" w:name="_Toc28359079"/>
      <w:bookmarkStart w:id="9" w:name="_Toc35393621"/>
      <w:bookmarkStart w:id="10" w:name="_Hlk24379207"/>
      <w:r>
        <w:rPr>
          <w:rFonts w:hint="eastAsia" w:cs="宋体"/>
          <w:b w:val="0"/>
          <w:sz w:val="24"/>
          <w:szCs w:val="24"/>
          <w:lang w:val="en-US" w:eastAsia="zh-CN"/>
        </w:rPr>
        <w:tab/>
      </w:r>
      <w:r>
        <w:rPr>
          <w:rFonts w:hint="eastAsia" w:cs="宋体"/>
          <w:b w:val="0"/>
          <w:sz w:val="24"/>
          <w:szCs w:val="24"/>
          <w:lang w:val="en-US" w:eastAsia="zh-CN"/>
        </w:rPr>
        <w:t>台州市</w:t>
      </w:r>
      <w:r>
        <w:rPr>
          <w:rFonts w:hint="eastAsia" w:cs="宋体"/>
          <w:b w:val="0"/>
          <w:sz w:val="24"/>
          <w:szCs w:val="24"/>
        </w:rPr>
        <w:t>政府采购</w:t>
      </w:r>
      <w:r>
        <w:rPr>
          <w:rFonts w:hint="eastAsia" w:ascii="宋体" w:hAnsi="宋体" w:eastAsia="宋体" w:cs="宋体"/>
          <w:b w:val="0"/>
          <w:sz w:val="24"/>
          <w:szCs w:val="24"/>
        </w:rPr>
        <w:t>中心</w:t>
      </w:r>
      <w:r>
        <w:rPr>
          <w:rFonts w:hint="eastAsia" w:cs="宋体"/>
          <w:b w:val="0"/>
          <w:sz w:val="24"/>
          <w:szCs w:val="24"/>
        </w:rPr>
        <w:t>构受</w:t>
      </w:r>
      <w:r>
        <w:rPr>
          <w:rFonts w:hint="eastAsia" w:cs="宋体"/>
          <w:b w:val="0"/>
          <w:sz w:val="24"/>
          <w:szCs w:val="24"/>
          <w:lang w:val="en-US" w:eastAsia="zh-CN"/>
        </w:rPr>
        <w:t>台州学院</w:t>
      </w:r>
      <w:r>
        <w:rPr>
          <w:rFonts w:hint="eastAsia" w:cs="宋体"/>
          <w:b w:val="0"/>
          <w:sz w:val="24"/>
          <w:szCs w:val="24"/>
        </w:rPr>
        <w:t>委托，就</w:t>
      </w:r>
      <w:r>
        <w:rPr>
          <w:rFonts w:hint="eastAsia" w:cs="宋体"/>
          <w:b w:val="0"/>
          <w:sz w:val="24"/>
          <w:szCs w:val="24"/>
          <w:highlight w:val="none"/>
        </w:rPr>
        <w:t>台州学院智慧校园（2022年）项目全景教室、直播教室LED大屏建设项目进行公开招标，</w:t>
      </w:r>
      <w:r>
        <w:rPr>
          <w:rFonts w:hint="eastAsia" w:cs="宋体"/>
          <w:b w:val="0"/>
          <w:sz w:val="24"/>
          <w:szCs w:val="24"/>
        </w:rPr>
        <w:t>欢迎符合资格条件的国内投标人参加投标。</w:t>
      </w:r>
    </w:p>
    <w:p>
      <w:pPr>
        <w:pStyle w:val="4"/>
        <w:numPr>
          <w:ilvl w:val="0"/>
          <w:numId w:val="0"/>
        </w:numPr>
        <w:ind w:leftChars="200" w:right="25" w:rightChars="0"/>
        <w:rPr>
          <w:rFonts w:cs="宋体"/>
          <w:bCs/>
          <w:sz w:val="24"/>
          <w:szCs w:val="24"/>
        </w:rPr>
      </w:pPr>
      <w:r>
        <w:rPr>
          <w:rFonts w:hint="eastAsia" w:cs="宋体"/>
          <w:bCs/>
          <w:sz w:val="24"/>
          <w:szCs w:val="24"/>
        </w:rPr>
        <w:t>一、项目基本情况</w:t>
      </w:r>
      <w:bookmarkEnd w:id="6"/>
      <w:bookmarkEnd w:id="7"/>
      <w:bookmarkEnd w:id="8"/>
      <w:bookmarkEnd w:id="9"/>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TZCG-2022-G</w:t>
      </w:r>
      <w:r>
        <w:rPr>
          <w:rFonts w:hint="eastAsia" w:ascii="宋体" w:hAnsi="宋体" w:cs="宋体"/>
          <w:color w:val="auto"/>
          <w:sz w:val="24"/>
          <w:lang w:val="en-US" w:eastAsia="zh-CN"/>
        </w:rPr>
        <w:t xml:space="preserve">K022 </w:t>
      </w:r>
      <w:r>
        <w:rPr>
          <w:rFonts w:hint="eastAsia" w:asciiTheme="minorEastAsia" w:hAnsiTheme="minorEastAsia" w:eastAsiaTheme="minorEastAsia" w:cstheme="minorEastAsia"/>
          <w:sz w:val="24"/>
        </w:rPr>
        <w:t>号</w:t>
      </w:r>
    </w:p>
    <w:bookmarkEnd w:id="10"/>
    <w:p>
      <w:pPr>
        <w:spacing w:line="360" w:lineRule="auto"/>
        <w:ind w:firstLine="480" w:firstLineChars="200"/>
        <w:rPr>
          <w:rFonts w:hint="eastAsia" w:ascii="宋体" w:hAnsi="宋体" w:cs="宋体"/>
          <w:kern w:val="0"/>
          <w:sz w:val="24"/>
          <w:highlight w:val="none"/>
        </w:rPr>
      </w:pPr>
      <w:r>
        <w:rPr>
          <w:rFonts w:hint="eastAsia" w:ascii="宋体" w:hAnsi="宋体" w:cs="宋体"/>
          <w:sz w:val="24"/>
        </w:rPr>
        <w:t>项目名称：</w:t>
      </w:r>
      <w:r>
        <w:rPr>
          <w:rFonts w:hint="eastAsia" w:ascii="宋体" w:hAnsi="宋体" w:cs="宋体"/>
          <w:color w:val="auto"/>
          <w:sz w:val="24"/>
          <w:highlight w:val="none"/>
        </w:rPr>
        <w:t>台州学院智慧校园（2022年）项目</w:t>
      </w:r>
      <w:r>
        <w:rPr>
          <w:rFonts w:hint="eastAsia" w:cs="宋体"/>
          <w:b w:val="0"/>
          <w:sz w:val="24"/>
          <w:szCs w:val="24"/>
          <w:highlight w:val="none"/>
        </w:rPr>
        <w:t>全景教室、直播教室LED大屏建设项目</w:t>
      </w:r>
    </w:p>
    <w:tbl>
      <w:tblPr>
        <w:tblStyle w:val="20"/>
        <w:tblpPr w:leftFromText="181" w:rightFromText="181" w:bottomFromText="170" w:vertAnchor="text" w:tblpXSpec="center" w:tblpY="1"/>
        <w:tblOverlap w:val="never"/>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3327"/>
        <w:gridCol w:w="791"/>
        <w:gridCol w:w="807"/>
        <w:gridCol w:w="130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7"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标项号</w:t>
            </w:r>
          </w:p>
        </w:tc>
        <w:tc>
          <w:tcPr>
            <w:tcW w:w="3327" w:type="dxa"/>
            <w:vAlign w:val="center"/>
          </w:tcPr>
          <w:p>
            <w:pPr>
              <w:tabs>
                <w:tab w:val="left" w:pos="8280"/>
              </w:tabs>
              <w:autoSpaceDE w:val="0"/>
              <w:autoSpaceDN w:val="0"/>
              <w:adjustRightInd w:val="0"/>
              <w:ind w:firstLine="105" w:firstLineChars="50"/>
              <w:jc w:val="center"/>
              <w:rPr>
                <w:rFonts w:ascii="宋体" w:hAnsi="宋体" w:cs="宋体"/>
                <w:b/>
                <w:sz w:val="21"/>
                <w:szCs w:val="21"/>
              </w:rPr>
            </w:pPr>
            <w:r>
              <w:rPr>
                <w:rFonts w:hint="eastAsia" w:ascii="宋体" w:hAnsi="宋体" w:cs="宋体"/>
                <w:b/>
                <w:sz w:val="21"/>
                <w:szCs w:val="21"/>
              </w:rPr>
              <w:t>标项名称</w:t>
            </w:r>
          </w:p>
        </w:tc>
        <w:tc>
          <w:tcPr>
            <w:tcW w:w="791"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kern w:val="0"/>
                <w:sz w:val="21"/>
                <w:szCs w:val="21"/>
              </w:rPr>
              <w:t>数量</w:t>
            </w:r>
          </w:p>
        </w:tc>
        <w:tc>
          <w:tcPr>
            <w:tcW w:w="807"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单位</w:t>
            </w:r>
          </w:p>
        </w:tc>
        <w:tc>
          <w:tcPr>
            <w:tcW w:w="1303"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预算</w:t>
            </w:r>
          </w:p>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（万元）</w:t>
            </w:r>
          </w:p>
        </w:tc>
        <w:tc>
          <w:tcPr>
            <w:tcW w:w="1585" w:type="dxa"/>
            <w:vAlign w:val="center"/>
          </w:tcPr>
          <w:p>
            <w:pPr>
              <w:jc w:val="center"/>
              <w:rPr>
                <w:rFonts w:ascii="宋体" w:hAnsi="宋体" w:cs="宋体"/>
                <w:b/>
                <w:sz w:val="21"/>
                <w:szCs w:val="21"/>
              </w:rPr>
            </w:pPr>
            <w:r>
              <w:rPr>
                <w:rFonts w:hint="eastAsia" w:ascii="宋体" w:hAnsi="宋体" w:cs="宋体"/>
                <w:b/>
                <w:sz w:val="21"/>
                <w:szCs w:val="21"/>
              </w:rPr>
              <w:t>最高限价</w:t>
            </w:r>
          </w:p>
          <w:p>
            <w:pPr>
              <w:jc w:val="center"/>
              <w:rPr>
                <w:rFonts w:ascii="宋体" w:hAnsi="宋体" w:cs="宋体"/>
                <w:b/>
                <w:sz w:val="21"/>
                <w:szCs w:val="21"/>
              </w:rPr>
            </w:pPr>
            <w:r>
              <w:rPr>
                <w:rFonts w:hint="eastAsia" w:ascii="宋体" w:hAnsi="宋体" w:cs="宋体"/>
                <w:b/>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27" w:type="dxa"/>
            <w:vAlign w:val="center"/>
          </w:tcPr>
          <w:p>
            <w:pPr>
              <w:tabs>
                <w:tab w:val="left" w:pos="8280"/>
              </w:tabs>
              <w:autoSpaceDE w:val="0"/>
              <w:autoSpaceDN w:val="0"/>
              <w:adjustRightInd w:val="0"/>
              <w:jc w:val="center"/>
              <w:rPr>
                <w:rFonts w:ascii="宋体" w:hAnsi="宋体" w:cs="宋体"/>
                <w:b/>
                <w:sz w:val="21"/>
                <w:szCs w:val="21"/>
              </w:rPr>
            </w:pPr>
            <w:r>
              <w:rPr>
                <w:rFonts w:hint="eastAsia" w:ascii="宋体" w:hAnsi="宋体" w:cs="宋体"/>
                <w:b/>
                <w:sz w:val="21"/>
                <w:szCs w:val="21"/>
              </w:rPr>
              <w:t>1</w:t>
            </w:r>
          </w:p>
        </w:tc>
        <w:tc>
          <w:tcPr>
            <w:tcW w:w="3327" w:type="dxa"/>
            <w:vAlign w:val="center"/>
          </w:tcPr>
          <w:p>
            <w:pPr>
              <w:tabs>
                <w:tab w:val="left" w:pos="8280"/>
              </w:tabs>
              <w:autoSpaceDE w:val="0"/>
              <w:autoSpaceDN w:val="0"/>
              <w:adjustRightInd w:val="0"/>
              <w:rPr>
                <w:rFonts w:hint="eastAsia" w:ascii="宋体" w:hAnsi="宋体" w:cs="宋体"/>
                <w:color w:val="auto"/>
                <w:kern w:val="0"/>
                <w:sz w:val="24"/>
                <w:highlight w:val="none"/>
              </w:rPr>
            </w:pPr>
            <w:r>
              <w:rPr>
                <w:rFonts w:hint="eastAsia" w:ascii="宋体" w:hAnsi="宋体" w:cs="宋体"/>
                <w:color w:val="auto"/>
                <w:kern w:val="0"/>
                <w:sz w:val="24"/>
                <w:highlight w:val="none"/>
              </w:rPr>
              <w:t>全景教室LED环幕系统建设</w:t>
            </w:r>
          </w:p>
        </w:tc>
        <w:tc>
          <w:tcPr>
            <w:tcW w:w="791" w:type="dxa"/>
            <w:vAlign w:val="center"/>
          </w:tcPr>
          <w:p>
            <w:pPr>
              <w:tabs>
                <w:tab w:val="left" w:pos="8280"/>
              </w:tabs>
              <w:autoSpaceDE w:val="0"/>
              <w:autoSpaceDN w:val="0"/>
              <w:adjustRightInd w:val="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807" w:type="dxa"/>
            <w:vAlign w:val="center"/>
          </w:tcPr>
          <w:p>
            <w:pPr>
              <w:tabs>
                <w:tab w:val="left" w:pos="8280"/>
              </w:tabs>
              <w:autoSpaceDE w:val="0"/>
              <w:autoSpaceDN w:val="0"/>
              <w:adjustRightInd w:val="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套</w:t>
            </w:r>
          </w:p>
        </w:tc>
        <w:tc>
          <w:tcPr>
            <w:tcW w:w="1303" w:type="dxa"/>
            <w:vAlign w:val="center"/>
          </w:tcPr>
          <w:p>
            <w:pPr>
              <w:tabs>
                <w:tab w:val="left" w:pos="8280"/>
              </w:tabs>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98.1990</w:t>
            </w:r>
          </w:p>
        </w:tc>
        <w:tc>
          <w:tcPr>
            <w:tcW w:w="1585" w:type="dxa"/>
            <w:vAlign w:val="center"/>
          </w:tcPr>
          <w:p>
            <w:pPr>
              <w:tabs>
                <w:tab w:val="left" w:pos="8280"/>
              </w:tabs>
              <w:autoSpaceDE w:val="0"/>
              <w:autoSpaceDN w:val="0"/>
              <w:adjustRightIn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98.1990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27" w:type="dxa"/>
            <w:vAlign w:val="center"/>
          </w:tcPr>
          <w:p>
            <w:pPr>
              <w:tabs>
                <w:tab w:val="left" w:pos="8280"/>
              </w:tabs>
              <w:autoSpaceDE w:val="0"/>
              <w:autoSpaceDN w:val="0"/>
              <w:adjustRightInd w:val="0"/>
              <w:jc w:val="center"/>
              <w:rPr>
                <w:rFonts w:hint="eastAsia" w:ascii="宋体" w:hAnsi="宋体" w:eastAsia="宋体" w:cs="宋体"/>
                <w:b/>
                <w:sz w:val="21"/>
                <w:szCs w:val="21"/>
                <w:lang w:val="en-US" w:eastAsia="zh-CN"/>
              </w:rPr>
            </w:pPr>
            <w:bookmarkStart w:id="11" w:name="_Toc28359003"/>
            <w:bookmarkStart w:id="12" w:name="_Toc28359080"/>
            <w:bookmarkStart w:id="13" w:name="_Toc35393622"/>
            <w:bookmarkStart w:id="14" w:name="_Toc35393791"/>
            <w:r>
              <w:rPr>
                <w:rFonts w:hint="eastAsia" w:ascii="宋体" w:hAnsi="宋体" w:cs="宋体"/>
                <w:b/>
                <w:sz w:val="21"/>
                <w:szCs w:val="21"/>
                <w:lang w:val="en-US" w:eastAsia="zh-CN"/>
              </w:rPr>
              <w:t>2</w:t>
            </w:r>
          </w:p>
        </w:tc>
        <w:tc>
          <w:tcPr>
            <w:tcW w:w="3327" w:type="dxa"/>
            <w:vAlign w:val="center"/>
          </w:tcPr>
          <w:p>
            <w:pPr>
              <w:tabs>
                <w:tab w:val="left" w:pos="8280"/>
              </w:tabs>
              <w:autoSpaceDE w:val="0"/>
              <w:autoSpaceDN w:val="0"/>
              <w:adjustRightInd w:val="0"/>
              <w:rPr>
                <w:rFonts w:hint="eastAsia" w:ascii="宋体" w:hAnsi="宋体" w:cs="宋体"/>
                <w:color w:val="auto"/>
                <w:kern w:val="0"/>
                <w:sz w:val="24"/>
                <w:highlight w:val="none"/>
              </w:rPr>
            </w:pPr>
            <w:r>
              <w:rPr>
                <w:rFonts w:hint="eastAsia" w:ascii="宋体" w:hAnsi="宋体" w:cs="宋体"/>
                <w:color w:val="auto"/>
                <w:kern w:val="0"/>
                <w:sz w:val="24"/>
                <w:highlight w:val="none"/>
              </w:rPr>
              <w:t>直播教室LED三分屏系统建设</w:t>
            </w:r>
          </w:p>
        </w:tc>
        <w:tc>
          <w:tcPr>
            <w:tcW w:w="791" w:type="dxa"/>
            <w:vAlign w:val="center"/>
          </w:tcPr>
          <w:p>
            <w:pPr>
              <w:tabs>
                <w:tab w:val="left" w:pos="8280"/>
              </w:tabs>
              <w:autoSpaceDE w:val="0"/>
              <w:autoSpaceDN w:val="0"/>
              <w:adjustRightInd w:val="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c>
          <w:tcPr>
            <w:tcW w:w="807" w:type="dxa"/>
            <w:vAlign w:val="center"/>
          </w:tcPr>
          <w:p>
            <w:pPr>
              <w:tabs>
                <w:tab w:val="left" w:pos="8280"/>
              </w:tabs>
              <w:autoSpaceDE w:val="0"/>
              <w:autoSpaceDN w:val="0"/>
              <w:adjustRightInd w:val="0"/>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套</w:t>
            </w:r>
          </w:p>
        </w:tc>
        <w:tc>
          <w:tcPr>
            <w:tcW w:w="1303" w:type="dxa"/>
            <w:vAlign w:val="center"/>
          </w:tcPr>
          <w:p>
            <w:pPr>
              <w:tabs>
                <w:tab w:val="left" w:pos="8280"/>
              </w:tabs>
              <w:autoSpaceDE w:val="0"/>
              <w:autoSpaceDN w:val="0"/>
              <w:adjustRightInd w:val="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45.5960</w:t>
            </w:r>
          </w:p>
        </w:tc>
        <w:tc>
          <w:tcPr>
            <w:tcW w:w="1585" w:type="dxa"/>
            <w:vAlign w:val="center"/>
          </w:tcPr>
          <w:p>
            <w:pPr>
              <w:tabs>
                <w:tab w:val="left" w:pos="8280"/>
              </w:tabs>
              <w:autoSpaceDE w:val="0"/>
              <w:autoSpaceDN w:val="0"/>
              <w:adjustRightIn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45.5960</w:t>
            </w:r>
          </w:p>
        </w:tc>
      </w:tr>
    </w:tbl>
    <w:p>
      <w:pPr>
        <w:pStyle w:val="4"/>
        <w:numPr>
          <w:ilvl w:val="0"/>
          <w:numId w:val="0"/>
        </w:numPr>
        <w:ind w:leftChars="200" w:right="0" w:rightChars="0"/>
        <w:rPr>
          <w:rFonts w:cs="宋体"/>
          <w:bCs/>
          <w:sz w:val="24"/>
          <w:szCs w:val="24"/>
        </w:rPr>
      </w:pPr>
      <w:r>
        <w:rPr>
          <w:rFonts w:hint="eastAsia" w:cs="宋体"/>
          <w:bCs/>
          <w:sz w:val="24"/>
          <w:szCs w:val="24"/>
        </w:rPr>
        <w:t>二、投标人的资格要求</w:t>
      </w:r>
      <w:bookmarkEnd w:id="11"/>
      <w:bookmarkEnd w:id="12"/>
      <w:bookmarkEnd w:id="13"/>
      <w:bookmarkEnd w:id="14"/>
    </w:p>
    <w:p>
      <w:pPr>
        <w:spacing w:line="360" w:lineRule="auto"/>
        <w:ind w:firstLine="480" w:firstLineChars="200"/>
        <w:rPr>
          <w:rFonts w:ascii="宋体" w:hAnsi="宋体" w:cs="宋体"/>
          <w:sz w:val="24"/>
        </w:rPr>
      </w:pPr>
      <w:r>
        <w:rPr>
          <w:rFonts w:hint="eastAsia" w:ascii="宋体" w:hAnsi="宋体" w:cs="宋体"/>
          <w:sz w:val="24"/>
        </w:rPr>
        <w:t>（一）满足《中华人民共和国政府采购法》第二十二条规定</w:t>
      </w:r>
      <w:bookmarkStart w:id="15" w:name="_Toc28359081"/>
      <w:bookmarkStart w:id="16" w:name="_Toc35393623"/>
      <w:bookmarkStart w:id="17" w:name="_Toc28359004"/>
      <w:bookmarkStart w:id="18" w:name="_Toc35393792"/>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（二）本项目的特定资格要求：</w:t>
      </w:r>
      <w:r>
        <w:rPr>
          <w:rFonts w:hint="eastAsia" w:ascii="宋体" w:hAnsi="宋体" w:cs="宋体"/>
          <w:color w:val="0000FF"/>
          <w:sz w:val="24"/>
          <w:lang w:val="en-US" w:eastAsia="zh-CN"/>
        </w:rPr>
        <w:t>无</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4"/>
        <w:numPr>
          <w:ilvl w:val="0"/>
          <w:numId w:val="0"/>
        </w:numPr>
        <w:ind w:leftChars="200" w:right="0" w:rightChars="0"/>
        <w:rPr>
          <w:rFonts w:cs="宋体"/>
          <w:bCs/>
          <w:sz w:val="24"/>
          <w:szCs w:val="24"/>
        </w:rPr>
      </w:pPr>
      <w:r>
        <w:rPr>
          <w:rFonts w:hint="eastAsia" w:cs="宋体"/>
          <w:bCs/>
          <w:sz w:val="24"/>
          <w:szCs w:val="24"/>
        </w:rPr>
        <w:t>三、获取招标文件</w:t>
      </w:r>
      <w:bookmarkEnd w:id="15"/>
      <w:bookmarkEnd w:id="16"/>
      <w:bookmarkEnd w:id="17"/>
      <w:bookmarkEnd w:id="18"/>
    </w:p>
    <w:p>
      <w:pPr>
        <w:spacing w:line="360" w:lineRule="auto"/>
        <w:ind w:firstLine="480" w:firstLineChars="200"/>
        <w:rPr>
          <w:rFonts w:ascii="宋体" w:hAnsi="宋体" w:cs="宋体"/>
          <w:sz w:val="24"/>
        </w:rPr>
      </w:pPr>
      <w:r>
        <w:rPr>
          <w:rFonts w:hint="eastAsia" w:ascii="宋体" w:hAnsi="宋体" w:cs="宋体"/>
          <w:sz w:val="24"/>
        </w:rPr>
        <w:t>（一）时间：</w:t>
      </w:r>
      <w:r>
        <w:rPr>
          <w:rFonts w:hint="eastAsia" w:ascii="宋体" w:hAnsi="宋体" w:cs="宋体"/>
          <w:sz w:val="24"/>
          <w:u w:val="single"/>
          <w:lang w:val="en-US" w:eastAsia="zh-CN"/>
        </w:rPr>
        <w:t>2022</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lang w:val="en-US" w:eastAsia="zh-CN"/>
        </w:rPr>
        <w:t>2022</w:t>
      </w:r>
      <w:r>
        <w:rPr>
          <w:rFonts w:hint="eastAsia" w:ascii="宋体" w:hAnsi="宋体" w:cs="宋体"/>
          <w:sz w:val="24"/>
          <w:u w:val="single"/>
        </w:rPr>
        <w:t>年</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日</w:t>
      </w:r>
    </w:p>
    <w:p>
      <w:pPr>
        <w:pStyle w:val="26"/>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（二）方式：浙江政府采购网</w:t>
      </w:r>
      <w:r>
        <w:rPr>
          <w:rFonts w:hint="eastAsia" w:ascii="宋体" w:hAnsi="宋体" w:eastAsia="宋体" w:cs="宋体"/>
          <w:kern w:val="2"/>
          <w:sz w:val="24"/>
          <w:szCs w:val="24"/>
        </w:rPr>
        <w:t>（https://zfcg.czt.zj.gov.cn）</w:t>
      </w:r>
      <w:r>
        <w:rPr>
          <w:rFonts w:hint="eastAsia" w:ascii="宋体" w:hAnsi="宋体" w:eastAsia="宋体" w:cs="宋体"/>
          <w:sz w:val="24"/>
          <w:szCs w:val="24"/>
        </w:rPr>
        <w:t>免费下载</w:t>
      </w:r>
    </w:p>
    <w:p>
      <w:pPr>
        <w:pStyle w:val="4"/>
        <w:numPr>
          <w:ilvl w:val="0"/>
          <w:numId w:val="0"/>
        </w:numPr>
        <w:ind w:leftChars="200" w:right="0" w:rightChars="0"/>
        <w:rPr>
          <w:rFonts w:cs="宋体"/>
          <w:bCs/>
          <w:sz w:val="24"/>
          <w:szCs w:val="24"/>
        </w:rPr>
      </w:pPr>
      <w:bookmarkStart w:id="19" w:name="_Toc28359005"/>
      <w:bookmarkStart w:id="20" w:name="_Toc28359082"/>
      <w:bookmarkStart w:id="21" w:name="_Toc35393624"/>
      <w:bookmarkStart w:id="22" w:name="_Toc35393793"/>
      <w:r>
        <w:rPr>
          <w:rFonts w:hint="eastAsia" w:cs="宋体"/>
          <w:bCs/>
          <w:sz w:val="24"/>
          <w:szCs w:val="24"/>
        </w:rPr>
        <w:t>四、提交投标文件</w:t>
      </w:r>
      <w:bookmarkEnd w:id="19"/>
      <w:bookmarkEnd w:id="20"/>
      <w:bookmarkEnd w:id="21"/>
      <w:bookmarkEnd w:id="22"/>
    </w:p>
    <w:p>
      <w:pPr>
        <w:spacing w:line="360" w:lineRule="auto"/>
        <w:ind w:firstLine="480" w:firstLineChars="200"/>
        <w:rPr>
          <w:rFonts w:ascii="宋体" w:hAnsi="宋体" w:cs="宋体"/>
          <w:iCs/>
          <w:sz w:val="24"/>
          <w:u w:val="single"/>
        </w:rPr>
      </w:pPr>
      <w:bookmarkStart w:id="23" w:name="_Toc28359007"/>
      <w:bookmarkStart w:id="24" w:name="_Toc35393625"/>
      <w:bookmarkStart w:id="25" w:name="_Toc28359084"/>
      <w:bookmarkStart w:id="26" w:name="_Toc35393794"/>
      <w:r>
        <w:rPr>
          <w:rFonts w:hint="eastAsia" w:ascii="宋体" w:hAnsi="宋体" w:cs="宋体"/>
          <w:sz w:val="24"/>
        </w:rPr>
        <w:t>（一）截止时间（开标时间）：</w:t>
      </w:r>
      <w:r>
        <w:rPr>
          <w:rFonts w:hint="eastAsia" w:ascii="宋体" w:hAnsi="宋体" w:cs="宋体"/>
          <w:bCs/>
          <w:sz w:val="24"/>
          <w:u w:val="single"/>
          <w:lang w:val="en-US" w:eastAsia="zh-CN"/>
        </w:rPr>
        <w:t>2022</w:t>
      </w:r>
      <w:r>
        <w:rPr>
          <w:rFonts w:hint="eastAsia" w:ascii="宋体" w:hAnsi="宋体" w:cs="宋体"/>
          <w:bCs/>
          <w:sz w:val="24"/>
          <w:u w:val="single"/>
        </w:rPr>
        <w:t>年</w:t>
      </w:r>
      <w:r>
        <w:rPr>
          <w:rFonts w:hint="eastAsia" w:ascii="宋体" w:hAnsi="宋体" w:cs="宋体"/>
          <w:sz w:val="24"/>
          <w:u w:val="single"/>
          <w:lang w:val="en-US" w:eastAsia="zh-CN"/>
        </w:rPr>
        <w:t>10</w:t>
      </w:r>
      <w:r>
        <w:rPr>
          <w:rFonts w:hint="eastAsia" w:ascii="宋体" w:hAnsi="宋体" w:cs="宋体"/>
          <w:bCs/>
          <w:sz w:val="24"/>
          <w:u w:val="single"/>
        </w:rPr>
        <w:t>月</w:t>
      </w:r>
      <w:r>
        <w:rPr>
          <w:rFonts w:hint="eastAsia" w:ascii="宋体" w:hAnsi="宋体" w:cs="宋体"/>
          <w:sz w:val="24"/>
          <w:u w:val="single"/>
          <w:lang w:val="en-US" w:eastAsia="zh-CN"/>
        </w:rPr>
        <w:t>10</w:t>
      </w:r>
      <w:r>
        <w:rPr>
          <w:rFonts w:hint="eastAsia" w:ascii="宋体" w:hAnsi="宋体" w:cs="宋体"/>
          <w:bCs/>
          <w:sz w:val="24"/>
          <w:u w:val="single"/>
        </w:rPr>
        <w:t>日</w:t>
      </w:r>
      <w:r>
        <w:rPr>
          <w:rFonts w:hint="eastAsia" w:ascii="宋体" w:hAnsi="宋体" w:cs="宋体"/>
          <w:bCs/>
          <w:sz w:val="24"/>
          <w:u w:val="single"/>
          <w:lang w:val="en-US" w:eastAsia="zh-CN"/>
        </w:rPr>
        <w:t xml:space="preserve"> 9</w:t>
      </w:r>
      <w:r>
        <w:rPr>
          <w:rFonts w:hint="eastAsia" w:ascii="宋体" w:hAnsi="宋体" w:cs="宋体"/>
          <w:bCs/>
          <w:sz w:val="24"/>
          <w:u w:val="single"/>
        </w:rPr>
        <w:t>点整</w:t>
      </w:r>
      <w:r>
        <w:rPr>
          <w:rFonts w:hint="eastAsia" w:ascii="宋体" w:hAnsi="宋体" w:cs="宋体"/>
          <w:bCs/>
          <w:sz w:val="24"/>
        </w:rPr>
        <w:t>（北京时间）</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（二）投标网址：浙江政府采购云平台（http://www.zcygov.cn）</w:t>
      </w:r>
    </w:p>
    <w:bookmarkEnd w:id="23"/>
    <w:bookmarkEnd w:id="24"/>
    <w:bookmarkEnd w:id="25"/>
    <w:bookmarkEnd w:id="26"/>
    <w:p>
      <w:pPr>
        <w:pStyle w:val="1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pPr>
        <w:pStyle w:val="19"/>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4"/>
        <w:numPr>
          <w:ilvl w:val="0"/>
          <w:numId w:val="0"/>
        </w:numPr>
        <w:ind w:leftChars="200" w:right="0" w:rightChars="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4"/>
        <w:numPr>
          <w:ilvl w:val="0"/>
          <w:numId w:val="0"/>
        </w:numPr>
        <w:ind w:leftChars="200" w:right="0" w:rightChars="0"/>
        <w:rPr>
          <w:rFonts w:cs="宋体"/>
          <w:bCs/>
          <w:sz w:val="24"/>
          <w:szCs w:val="24"/>
        </w:rPr>
      </w:pPr>
      <w:bookmarkStart w:id="29" w:name="_Toc35393627"/>
      <w:bookmarkStart w:id="30" w:name="_Toc28359085"/>
      <w:bookmarkStart w:id="31" w:name="_Toc28359008"/>
      <w:bookmarkStart w:id="32" w:name="_Toc35393796"/>
      <w:r>
        <w:rPr>
          <w:rFonts w:hint="eastAsia" w:cs="宋体"/>
          <w:bCs/>
          <w:sz w:val="24"/>
          <w:szCs w:val="24"/>
        </w:rPr>
        <w:t>七、联系</w:t>
      </w:r>
      <w:bookmarkEnd w:id="29"/>
      <w:bookmarkEnd w:id="30"/>
      <w:bookmarkEnd w:id="31"/>
      <w:bookmarkEnd w:id="32"/>
      <w:r>
        <w:rPr>
          <w:rFonts w:hint="eastAsia" w:cs="宋体"/>
          <w:bCs/>
          <w:sz w:val="24"/>
          <w:szCs w:val="24"/>
        </w:rPr>
        <w:t>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color w:val="auto"/>
          <w:sz w:val="24"/>
          <w:highlight w:val="none"/>
          <w:u w:val="single"/>
        </w:rPr>
        <w:t>台州学院</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360" w:lineRule="auto"/>
        <w:ind w:firstLine="480" w:firstLineChars="200"/>
        <w:jc w:val="left"/>
        <w:rPr>
          <w:rFonts w:hint="eastAsia" w:ascii="宋体" w:hAnsi="宋体" w:cs="宋体"/>
          <w:sz w:val="24"/>
          <w:u w:val="single"/>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w:t>
      </w:r>
      <w:r>
        <w:rPr>
          <w:rFonts w:hint="eastAsia" w:ascii="宋体" w:hAnsi="宋体" w:cs="宋体"/>
          <w:color w:val="auto"/>
          <w:sz w:val="24"/>
          <w:highlight w:val="none"/>
          <w:u w:val="single"/>
        </w:rPr>
        <w:t>台州市椒江区市府大道1139号</w:t>
      </w:r>
    </w:p>
    <w:p>
      <w:pPr>
        <w:spacing w:line="360" w:lineRule="auto"/>
        <w:ind w:firstLine="480" w:firstLineChars="200"/>
        <w:jc w:val="left"/>
        <w:rPr>
          <w:rFonts w:hint="default" w:ascii="宋体" w:hAnsi="宋体" w:cs="宋体"/>
          <w:sz w:val="24"/>
          <w:u w:val="single"/>
          <w:lang w:val="en-US"/>
        </w:rPr>
      </w:pPr>
      <w:r>
        <w:rPr>
          <w:rFonts w:hint="eastAsia" w:ascii="宋体" w:hAnsi="宋体" w:cs="宋体"/>
          <w:sz w:val="24"/>
        </w:rPr>
        <w:t>联系人：</w:t>
      </w:r>
      <w:r>
        <w:rPr>
          <w:rFonts w:hint="eastAsia" w:ascii="宋体" w:hAnsi="宋体" w:cs="宋体"/>
          <w:sz w:val="24"/>
          <w:u w:val="single"/>
          <w:lang w:val="en-US" w:eastAsia="zh-CN"/>
        </w:rPr>
        <w:t>梁老师</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r>
        <w:rPr>
          <w:rFonts w:hint="eastAsia" w:ascii="宋体" w:hAnsi="宋体" w:cs="宋体"/>
          <w:sz w:val="24"/>
          <w:u w:val="single"/>
          <w:lang w:val="en-US" w:eastAsia="zh-CN"/>
        </w:rPr>
        <w:t xml:space="preserve"> </w:t>
      </w:r>
      <w:bookmarkStart w:id="33" w:name="_Toc28359009"/>
      <w:bookmarkStart w:id="34" w:name="_Toc28359086"/>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color w:val="auto"/>
          <w:sz w:val="24"/>
          <w:highlight w:val="none"/>
          <w:u w:val="single"/>
        </w:rPr>
        <w:t>88660897</w:t>
      </w:r>
      <w:r>
        <w:rPr>
          <w:rFonts w:hint="eastAsia" w:ascii="宋体" w:hAnsi="宋体" w:cs="宋体"/>
          <w:sz w:val="24"/>
          <w:u w:val="single"/>
        </w:rPr>
        <w:t>　　</w:t>
      </w:r>
      <w:r>
        <w:rPr>
          <w:rFonts w:hint="eastAsia" w:ascii="宋体" w:hAnsi="宋体" w:cs="宋体"/>
          <w:sz w:val="24"/>
          <w:u w:val="single"/>
          <w:lang w:val="en-US" w:eastAsia="zh-CN"/>
        </w:rPr>
        <w:t xml:space="preserve"> </w:t>
      </w:r>
    </w:p>
    <w:bookmarkEnd w:id="33"/>
    <w:bookmarkEnd w:id="34"/>
    <w:p>
      <w:pPr>
        <w:spacing w:line="360" w:lineRule="auto"/>
        <w:ind w:firstLine="480" w:firstLineChars="200"/>
        <w:jc w:val="left"/>
        <w:rPr>
          <w:rFonts w:ascii="宋体" w:hAnsi="宋体" w:cs="宋体"/>
          <w:sz w:val="24"/>
        </w:rPr>
      </w:pPr>
      <w:r>
        <w:rPr>
          <w:rFonts w:hint="eastAsia" w:ascii="宋体" w:hAnsi="宋体" w:cs="宋体"/>
          <w:sz w:val="24"/>
        </w:rPr>
        <w:t>（二）</w:t>
      </w:r>
      <w:r>
        <w:rPr>
          <w:rFonts w:hint="eastAsia" w:ascii="宋体" w:hAnsi="宋体" w:cs="宋体"/>
          <w:b/>
          <w:bCs/>
          <w:sz w:val="24"/>
        </w:rPr>
        <w:t>采购组织机构</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名 称：</w:t>
      </w:r>
      <w:r>
        <w:rPr>
          <w:rFonts w:hint="eastAsia" w:ascii="宋体" w:hAnsi="宋体" w:cs="宋体"/>
          <w:sz w:val="24"/>
          <w:u w:val="single"/>
          <w:lang w:val="en-US" w:eastAsia="zh-CN"/>
        </w:rPr>
        <w:t>台州市政府采购中心</w:t>
      </w:r>
    </w:p>
    <w:p>
      <w:pPr>
        <w:spacing w:line="360" w:lineRule="auto"/>
        <w:ind w:firstLine="480" w:firstLineChars="200"/>
        <w:jc w:val="left"/>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台州市市府大道777号</w:t>
      </w:r>
    </w:p>
    <w:p>
      <w:pPr>
        <w:spacing w:line="360" w:lineRule="auto"/>
        <w:ind w:firstLine="420" w:firstLineChars="0"/>
        <w:jc w:val="left"/>
        <w:rPr>
          <w:rFonts w:hint="eastAsia" w:ascii="宋体" w:hAnsi="宋体" w:eastAsia="宋体" w:cs="宋体"/>
          <w:sz w:val="24"/>
          <w:u w:val="single"/>
          <w:lang w:val="en-US" w:eastAsia="zh-CN"/>
        </w:rPr>
      </w:pPr>
      <w:r>
        <w:rPr>
          <w:rFonts w:hint="eastAsia" w:ascii="宋体" w:hAnsi="宋体" w:cs="宋体"/>
          <w:sz w:val="24"/>
        </w:rPr>
        <w:t>项目联系人：</w:t>
      </w:r>
      <w:bookmarkStart w:id="35" w:name="_Toc28359010"/>
      <w:bookmarkStart w:id="36" w:name="_Toc28359087"/>
      <w:r>
        <w:rPr>
          <w:rFonts w:hint="eastAsia" w:ascii="宋体" w:hAnsi="宋体" w:cs="宋体"/>
          <w:sz w:val="24"/>
          <w:u w:val="single"/>
          <w:lang w:val="en-US" w:eastAsia="zh-CN"/>
        </w:rPr>
        <w:t>郑</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88685058</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lang w:val="en-US" w:eastAsia="zh-CN"/>
        </w:rPr>
        <w:t>侯</w:t>
      </w:r>
      <w:r>
        <w:rPr>
          <w:rFonts w:hint="eastAsia" w:ascii="宋体" w:hAnsi="宋体" w:cs="宋体"/>
          <w:sz w:val="24"/>
          <w:u w:val="single"/>
        </w:rPr>
        <w:t>女士（受理注册、中标结果相关质疑及答复）</w:t>
      </w:r>
    </w:p>
    <w:p>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u w:val="single"/>
        </w:rPr>
        <w:t xml:space="preserve">0576-88685121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cs="宋体"/>
          <w:sz w:val="24"/>
          <w:u w:val="single"/>
          <w:lang w:val="en-US" w:eastAsia="zh-CN"/>
        </w:rPr>
      </w:pPr>
      <w:r>
        <w:rPr>
          <w:rFonts w:hint="eastAsia" w:ascii="宋体" w:hAnsi="宋体" w:cs="宋体"/>
          <w:sz w:val="24"/>
        </w:rPr>
        <w:t>技术人员：</w:t>
      </w:r>
      <w:r>
        <w:rPr>
          <w:rFonts w:hint="eastAsia" w:ascii="宋体" w:hAnsi="宋体" w:cs="宋体"/>
          <w:sz w:val="24"/>
          <w:u w:val="single"/>
          <w:lang w:val="en-US" w:eastAsia="zh-CN"/>
        </w:rPr>
        <w:t>徐</w:t>
      </w:r>
      <w:r>
        <w:rPr>
          <w:rFonts w:hint="eastAsia" w:ascii="宋体" w:hAnsi="宋体" w:cs="宋体"/>
          <w:sz w:val="24"/>
          <w:u w:val="single"/>
        </w:rPr>
        <w:t xml:space="preserve">女士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0" w:firstLineChars="200"/>
        <w:jc w:val="left"/>
        <w:rPr>
          <w:rFonts w:hint="eastAsia" w:ascii="宋体" w:hAnsi="宋体" w:eastAsia="宋体" w:cs="宋体"/>
          <w:sz w:val="24"/>
          <w:u w:val="singl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88685161</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p>
    <w:p>
      <w:pPr>
        <w:spacing w:line="360" w:lineRule="auto"/>
        <w:ind w:firstLine="482" w:firstLineChars="200"/>
        <w:jc w:val="left"/>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名 称：</w:t>
      </w:r>
      <w:r>
        <w:rPr>
          <w:rFonts w:hint="eastAsia" w:ascii="宋体" w:hAnsi="宋体" w:cs="宋体"/>
          <w:sz w:val="24"/>
          <w:u w:val="single"/>
        </w:rPr>
        <w:t>台州市采监处</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u w:val="single"/>
        </w:rPr>
        <w:t>台州市财政局</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eastAsia="宋体" w:cs="宋体"/>
          <w:sz w:val="24"/>
          <w:u w:val="single"/>
          <w:lang w:val="en-US" w:eastAsia="zh-CN"/>
        </w:rPr>
      </w:pPr>
      <w:r>
        <w:rPr>
          <w:rFonts w:hint="eastAsia" w:ascii="宋体" w:hAnsi="宋体" w:cs="宋体"/>
          <w:sz w:val="24"/>
        </w:rPr>
        <w:t>联系人：</w:t>
      </w:r>
      <w:r>
        <w:rPr>
          <w:rFonts w:hint="eastAsia" w:ascii="宋体" w:hAnsi="宋体" w:cs="宋体"/>
          <w:sz w:val="24"/>
          <w:u w:val="single"/>
          <w:lang w:val="en-US" w:eastAsia="zh-CN"/>
        </w:rPr>
        <w:t>陈</w:t>
      </w:r>
      <w:r>
        <w:rPr>
          <w:rFonts w:hint="eastAsia" w:ascii="宋体" w:hAnsi="宋体" w:cs="宋体"/>
          <w:sz w:val="24"/>
          <w:u w:val="single"/>
        </w:rPr>
        <w:t>女士</w:t>
      </w:r>
      <w:r>
        <w:rPr>
          <w:rFonts w:hint="eastAsia" w:ascii="宋体" w:hAnsi="宋体" w:cs="宋体"/>
          <w:sz w:val="24"/>
          <w:u w:val="single"/>
          <w:lang w:val="en-US" w:eastAsia="zh-CN"/>
        </w:rPr>
        <w:t xml:space="preserve">              </w:t>
      </w:r>
    </w:p>
    <w:p>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rPr>
        <w:t>联系电话：</w:t>
      </w:r>
      <w:r>
        <w:rPr>
          <w:rFonts w:hint="eastAsia" w:ascii="宋体" w:hAnsi="宋体" w:cs="宋体"/>
          <w:sz w:val="24"/>
          <w:u w:val="single"/>
        </w:rPr>
        <w:t>0576-</w:t>
      </w:r>
      <w:r>
        <w:rPr>
          <w:rFonts w:hint="eastAsia" w:ascii="宋体" w:hAnsi="宋体" w:cs="宋体"/>
          <w:sz w:val="24"/>
          <w:u w:val="single"/>
          <w:lang w:val="en-US" w:eastAsia="zh-CN"/>
        </w:rPr>
        <w:t xml:space="preserve">88206705     </w:t>
      </w:r>
    </w:p>
    <w:p>
      <w:pPr>
        <w:spacing w:line="360" w:lineRule="auto"/>
        <w:ind w:firstLine="482" w:firstLineChars="200"/>
        <w:jc w:val="left"/>
        <w:rPr>
          <w:rFonts w:ascii="宋体" w:hAnsi="宋体" w:cs="宋体"/>
          <w:b/>
          <w:sz w:val="24"/>
        </w:rPr>
      </w:pPr>
      <w:r>
        <w:rPr>
          <w:rFonts w:hint="eastAsia" w:ascii="宋体" w:hAnsi="宋体" w:cs="宋体"/>
          <w:b/>
          <w:sz w:val="24"/>
        </w:rPr>
        <w:t>（四）政采云平台</w:t>
      </w:r>
    </w:p>
    <w:p>
      <w:pPr>
        <w:spacing w:line="360" w:lineRule="auto"/>
        <w:ind w:firstLine="480" w:firstLineChars="200"/>
        <w:jc w:val="left"/>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4008817190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2022</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kern w:val="0"/>
          <w:sz w:val="24"/>
          <w:lang w:val="en-US" w:eastAsia="zh-CN"/>
        </w:rPr>
        <w:t>9</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14</w:t>
      </w:r>
      <w:r>
        <w:rPr>
          <w:rFonts w:hint="eastAsia" w:asciiTheme="minorEastAsia" w:hAnsiTheme="minorEastAsia" w:eastAsiaTheme="minorEastAsia" w:cstheme="minorEastAsia"/>
          <w:kern w:val="0"/>
          <w:sz w:val="24"/>
        </w:rPr>
        <w:t>日</w:t>
      </w:r>
    </w:p>
    <w:p>
      <w:pPr>
        <w:pStyle w:val="19"/>
      </w:pPr>
    </w:p>
    <w:bookmarkEnd w:id="35"/>
    <w:bookmarkEnd w:id="36"/>
    <w:p>
      <w:pPr>
        <w:rPr>
          <w:rFonts w:asciiTheme="minorEastAsia" w:hAnsiTheme="minorEastAsia" w:eastAsiaTheme="minorEastAsia"/>
          <w:b/>
          <w:sz w:val="36"/>
          <w:szCs w:val="36"/>
        </w:rPr>
      </w:pPr>
      <w:bookmarkStart w:id="37" w:name="_Toc25017_WPSOffice_Level1"/>
      <w:r>
        <w:rPr>
          <w:rFonts w:hint="eastAsia" w:asciiTheme="minorEastAsia" w:hAnsiTheme="minorEastAsia" w:eastAsiaTheme="minorEastAsia"/>
          <w:b/>
          <w:sz w:val="36"/>
          <w:szCs w:val="36"/>
        </w:rPr>
        <w:br w:type="page"/>
      </w:r>
    </w:p>
    <w:p>
      <w:pPr>
        <w:numPr>
          <w:ilvl w:val="0"/>
          <w:numId w:val="5"/>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bookmarkEnd w:id="37"/>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20"/>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□是 /</w:t>
            </w:r>
            <w:r>
              <w:rPr>
                <w:rFonts w:hint="eastAsia" w:ascii="宋体" w:hAnsi="宋体" w:eastAsia="宋体" w:cs="宋体"/>
              </w:rPr>
              <w:sym w:font="Wingdings 2" w:char="0052"/>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rPr>
              <w:t>□是（但主体部分不得分包，详见招标需求内容）/</w:t>
            </w:r>
            <w:r>
              <w:rPr>
                <w:rFonts w:hint="eastAsia" w:ascii="宋体" w:hAnsi="宋体" w:eastAsia="宋体" w:cs="宋体"/>
                <w:lang w:eastAsia="zh-CN"/>
              </w:rPr>
              <w:sym w:font="Wingdings 2" w:char="0052"/>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rPr>
            </w:pPr>
            <w:r>
              <w:rPr>
                <w:rFonts w:hint="eastAsia" w:ascii="宋体" w:hAnsi="宋体" w:eastAsia="宋体" w:cs="宋体"/>
                <w:color w:val="auto"/>
              </w:rPr>
              <w:sym w:font="Wingdings 2" w:char="00A3"/>
            </w:r>
            <w:r>
              <w:rPr>
                <w:rFonts w:hint="eastAsia" w:ascii="宋体" w:hAnsi="宋体" w:eastAsia="宋体" w:cs="宋体"/>
                <w:color w:val="auto"/>
              </w:rPr>
              <w:t>是（具体清单见招标需求）</w:t>
            </w:r>
            <w:r>
              <w:rPr>
                <w:rFonts w:hint="eastAsia" w:ascii="宋体" w:hAnsi="宋体" w:eastAsia="宋体" w:cs="宋体"/>
              </w:rPr>
              <w:t>/</w:t>
            </w:r>
            <w:r>
              <w:rPr>
                <w:rFonts w:hint="eastAsia" w:ascii="宋体" w:hAnsi="宋体" w:eastAsia="宋体" w:cs="宋体"/>
              </w:rPr>
              <w:sym w:font="Wingdings 2" w:char="0052"/>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kern w:val="0"/>
                <w:szCs w:val="21"/>
              </w:rPr>
              <w:t>答疑会或</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kern w:val="0"/>
                <w:szCs w:val="21"/>
              </w:rPr>
            </w:pPr>
            <w:r>
              <w:rPr>
                <w:rFonts w:hint="eastAsia" w:ascii="宋体" w:hAnsi="宋体" w:eastAsia="宋体" w:cs="宋体"/>
                <w:color w:val="0000FF"/>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Cs w:val="21"/>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eastAsia="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09</w:t>
            </w:r>
            <w:r>
              <w:rPr>
                <w:rFonts w:hint="eastAsia" w:ascii="宋体" w:hAnsi="宋体" w:eastAsia="宋体" w:cs="宋体"/>
                <w:sz w:val="21"/>
                <w:szCs w:val="21"/>
                <w:u w:val="single"/>
              </w:rPr>
              <w:t>:</w:t>
            </w:r>
            <w:r>
              <w:rPr>
                <w:rFonts w:hint="eastAsia" w:ascii="宋体" w:hAnsi="宋体" w:cs="宋体"/>
                <w:sz w:val="21"/>
                <w:szCs w:val="21"/>
                <w:u w:val="single"/>
                <w:lang w:val="en-US" w:eastAsia="zh-CN"/>
              </w:rPr>
              <w:t>50</w:t>
            </w:r>
            <w:r>
              <w:rPr>
                <w:rFonts w:hint="eastAsia" w:ascii="宋体" w:hAnsi="宋体" w:eastAsia="宋体" w:cs="宋体"/>
                <w:sz w:val="21"/>
                <w:szCs w:val="21"/>
              </w:rPr>
              <w:t>北京时间。</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8"/>
              <w:keepNext w:val="0"/>
              <w:keepLines w:val="0"/>
              <w:pageBreakBefore w:val="0"/>
              <w:kinsoku/>
              <w:wordWrap/>
              <w:overflowPunct/>
              <w:topLinePunct w:val="0"/>
              <w:bidi w:val="0"/>
              <w:adjustRightInd/>
              <w:snapToGrid/>
              <w:spacing w:line="300" w:lineRule="auto"/>
              <w:ind w:firstLine="0"/>
              <w:jc w:val="center"/>
              <w:textAlignment w:val="auto"/>
              <w:rPr>
                <w:rFonts w:hint="eastAsia" w:ascii="宋体" w:hAnsi="宋体" w:eastAsia="宋体" w:cs="宋体"/>
                <w:szCs w:val="21"/>
              </w:rPr>
            </w:pPr>
            <w:r>
              <w:rPr>
                <w:rFonts w:hint="eastAsia" w:ascii="宋体" w:hAnsi="宋体" w:eastAsia="宋体" w:cs="宋体"/>
                <w:szCs w:val="21"/>
              </w:rPr>
              <w:t>不见面开标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7"/>
              <w:keepNext w:val="0"/>
              <w:keepLines w:val="0"/>
              <w:pageBreakBefore w:val="0"/>
              <w:kinsoku/>
              <w:wordWrap/>
              <w:overflowPunct/>
              <w:topLinePunct w:val="0"/>
              <w:bidi w:val="0"/>
              <w:adjustRightInd/>
              <w:snapToGrid/>
              <w:spacing w:before="0" w:beforeAutospacing="0" w:after="0" w:afterAutospacing="0" w:line="30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eastAsia="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eastAsia="宋体" w:cs="宋体"/>
                <w:sz w:val="21"/>
                <w:szCs w:val="21"/>
                <w:lang w:eastAsia="zh-CN"/>
              </w:rPr>
              <w:t>投标</w:t>
            </w:r>
            <w:r>
              <w:rPr>
                <w:rFonts w:hint="eastAsia" w:ascii="宋体" w:hAnsi="宋体" w:eastAsia="宋体" w:cs="宋体"/>
                <w:sz w:val="21"/>
                <w:szCs w:val="21"/>
              </w:rPr>
              <w:t>文件，所有</w:t>
            </w:r>
            <w:r>
              <w:rPr>
                <w:rFonts w:hint="eastAsia" w:ascii="宋体" w:hAnsi="宋体" w:eastAsia="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eastAsia="宋体" w:cs="宋体"/>
                <w:sz w:val="21"/>
                <w:szCs w:val="21"/>
                <w:lang w:eastAsia="zh-CN"/>
              </w:rPr>
              <w:t>投标人</w:t>
            </w:r>
            <w:r>
              <w:rPr>
                <w:rFonts w:hint="eastAsia" w:ascii="宋体" w:hAnsi="宋体" w:eastAsia="宋体" w:cs="宋体"/>
                <w:sz w:val="21"/>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9"/>
              <w:keepNext w:val="0"/>
              <w:keepLines w:val="0"/>
              <w:pageBreakBefore w:val="0"/>
              <w:kinsoku/>
              <w:wordWrap/>
              <w:overflowPunct/>
              <w:topLinePunct w:val="0"/>
              <w:bidi w:val="0"/>
              <w:adjustRightInd/>
              <w:snapToGrid/>
              <w:spacing w:line="300" w:lineRule="auto"/>
              <w:ind w:firstLine="420" w:firstLineChars="200"/>
              <w:jc w:val="both"/>
              <w:textAlignment w:val="auto"/>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en-US" w:eastAsia="zh-CN"/>
              </w:rPr>
              <w:t>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pPr>
              <w:keepNext w:val="0"/>
              <w:keepLines w:val="0"/>
              <w:pageBreakBefore w:val="0"/>
              <w:widowControl w:val="0"/>
              <w:numPr>
                <w:ilvl w:val="0"/>
                <w:numId w:val="6"/>
              </w:numPr>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lang w:eastAsia="zh-CN"/>
              </w:rPr>
            </w:pPr>
            <w:r>
              <w:rPr>
                <w:rFonts w:hint="eastAsia" w:ascii="宋体" w:hAnsi="宋体" w:eastAsia="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1"/>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bCs/>
                <w:szCs w:val="21"/>
              </w:rPr>
            </w:pPr>
            <w:r>
              <w:rPr>
                <w:rFonts w:hint="eastAsia" w:ascii="宋体" w:hAnsi="宋体" w:eastAsia="宋体" w:cs="宋体"/>
                <w:bCs/>
                <w:szCs w:val="21"/>
              </w:rPr>
              <w:t>1.本项目实行电子投标，投标人自行承担投标一切费用。</w:t>
            </w:r>
          </w:p>
          <w:p>
            <w:pPr>
              <w:pStyle w:val="11"/>
              <w:keepNext w:val="0"/>
              <w:keepLines w:val="0"/>
              <w:pageBreakBefore w:val="0"/>
              <w:kinsoku/>
              <w:wordWrap/>
              <w:overflowPunct/>
              <w:topLinePunct w:val="0"/>
              <w:bidi w:val="0"/>
              <w:adjustRightInd/>
              <w:snapToGrid/>
              <w:spacing w:line="300" w:lineRule="auto"/>
              <w:ind w:firstLine="420" w:firstLineChars="200"/>
              <w:textAlignment w:val="auto"/>
              <w:rPr>
                <w:rFonts w:hint="default"/>
                <w:lang w:val="en-US" w:eastAsia="zh-CN"/>
              </w:rPr>
            </w:pPr>
            <w:r>
              <w:rPr>
                <w:rFonts w:hint="eastAsia" w:ascii="宋体" w:hAnsi="宋体" w:eastAsia="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Cs w:val="21"/>
              </w:rPr>
              <w:t>http://www.creditchina.gov.cn</w:t>
            </w:r>
            <w:r>
              <w:rPr>
                <w:rFonts w:hint="eastAsia" w:ascii="宋体" w:hAnsi="宋体" w:eastAsia="宋体" w:cs="宋体"/>
                <w:szCs w:val="21"/>
              </w:rPr>
              <w:fldChar w:fldCharType="end"/>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中国政府采购网（网址：http://www.ccgp.gov.cn</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根据《政府采购促进中小企业发展管理办法》</w:t>
            </w:r>
            <w:r>
              <w:rPr>
                <w:rFonts w:hint="eastAsia" w:ascii="宋体" w:hAnsi="宋体" w:cs="宋体"/>
                <w:szCs w:val="21"/>
                <w:lang w:eastAsia="zh-CN"/>
              </w:rPr>
              <w:t>（</w:t>
            </w:r>
            <w:r>
              <w:rPr>
                <w:rFonts w:hint="eastAsia" w:ascii="宋体" w:hAnsi="宋体" w:eastAsia="宋体" w:cs="宋体"/>
                <w:szCs w:val="21"/>
              </w:rPr>
              <w:t>财库〔2020〕46号</w:t>
            </w:r>
            <w:r>
              <w:rPr>
                <w:rFonts w:hint="eastAsia" w:ascii="宋体" w:hAnsi="宋体" w:cs="宋体"/>
                <w:szCs w:val="21"/>
                <w:lang w:eastAsia="zh-CN"/>
              </w:rPr>
              <w:t>）</w:t>
            </w:r>
            <w:r>
              <w:rPr>
                <w:rFonts w:hint="eastAsia" w:ascii="宋体" w:hAnsi="宋体" w:eastAsia="宋体" w:cs="宋体"/>
                <w:szCs w:val="21"/>
              </w:rPr>
              <w:t>文件的规定，本项目(□是 /</w:t>
            </w:r>
            <w:r>
              <w:rPr>
                <w:rFonts w:hint="eastAsia" w:ascii="宋体" w:hAnsi="宋体" w:eastAsia="宋体" w:cs="宋体"/>
                <w:szCs w:val="21"/>
              </w:rPr>
              <w:sym w:font="Wingdings 2" w:char="0052"/>
            </w:r>
            <w:r>
              <w:rPr>
                <w:rFonts w:hint="eastAsia" w:ascii="宋体" w:hAnsi="宋体" w:eastAsia="宋体" w:cs="宋体"/>
                <w:szCs w:val="21"/>
              </w:rPr>
              <w:t xml:space="preserve"> 否</w:t>
            </w:r>
            <w:r>
              <w:rPr>
                <w:rFonts w:hint="eastAsia" w:ascii="宋体" w:hAnsi="宋体" w:eastAsia="宋体" w:cs="宋体"/>
                <w:szCs w:val="21"/>
                <w:shd w:val="clear" w:color="auto" w:fill="FFFFFF"/>
              </w:rPr>
              <w:t>)</w:t>
            </w:r>
            <w:r>
              <w:rPr>
                <w:rFonts w:hint="eastAsia" w:ascii="宋体" w:hAnsi="宋体" w:eastAsia="宋体" w:cs="宋体"/>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1.项目属性</w:t>
            </w:r>
            <w:r>
              <w:rPr>
                <w:rFonts w:hint="eastAsia" w:ascii="宋体" w:hAnsi="宋体" w:cs="宋体"/>
                <w:szCs w:val="21"/>
                <w:u w:val="none"/>
                <w:lang w:eastAsia="zh-CN"/>
              </w:rPr>
              <w:t>：</w:t>
            </w:r>
            <w:r>
              <w:rPr>
                <w:rFonts w:hint="eastAsia" w:ascii="宋体" w:hAnsi="宋体" w:eastAsia="宋体" w:cs="宋体"/>
                <w:szCs w:val="21"/>
                <w:u w:val="single"/>
              </w:rPr>
              <w:t>货物类</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cs="宋体"/>
                <w:szCs w:val="21"/>
                <w:lang w:eastAsia="zh-CN"/>
              </w:rPr>
            </w:pPr>
            <w:r>
              <w:rPr>
                <w:rFonts w:hint="eastAsia" w:ascii="宋体" w:hAnsi="宋体" w:eastAsia="宋体" w:cs="宋体"/>
                <w:szCs w:val="21"/>
              </w:rPr>
              <w:t>2.中小企业划分标准所属行业（具体根据《中小企业划型标准规定》执行）</w:t>
            </w:r>
            <w:r>
              <w:rPr>
                <w:rFonts w:hint="eastAsia" w:ascii="宋体" w:hAnsi="宋体" w:cs="宋体"/>
                <w:szCs w:val="21"/>
                <w:lang w:eastAsia="zh-CN"/>
              </w:rPr>
              <w:t>：</w:t>
            </w:r>
          </w:p>
          <w:p>
            <w:pPr>
              <w:keepNext w:val="0"/>
              <w:keepLines w:val="0"/>
              <w:pageBreakBefore w:val="0"/>
              <w:kinsoku/>
              <w:wordWrap/>
              <w:overflowPunct/>
              <w:topLinePunct w:val="0"/>
              <w:bidi w:val="0"/>
              <w:adjustRightInd/>
              <w:snapToGrid/>
              <w:spacing w:line="240" w:lineRule="auto"/>
              <w:ind w:left="420" w:leftChars="200" w:firstLine="0" w:firstLineChars="0"/>
              <w:textAlignment w:val="auto"/>
              <w:rPr>
                <w:rFonts w:hint="eastAsia" w:eastAsia="宋体"/>
                <w:lang w:eastAsia="zh-CN"/>
              </w:rPr>
            </w:pPr>
            <w:r>
              <w:rPr>
                <w:rFonts w:hint="eastAsia" w:ascii="宋体" w:hAnsi="宋体" w:eastAsia="宋体" w:cs="宋体"/>
                <w:szCs w:val="21"/>
              </w:rPr>
              <w:t>采购标的</w:t>
            </w:r>
            <w:r>
              <w:rPr>
                <w:rFonts w:hint="eastAsia" w:ascii="宋体" w:hAnsi="宋体" w:cs="宋体"/>
                <w:szCs w:val="21"/>
                <w:lang w:val="en-US" w:eastAsia="zh-CN"/>
              </w:rPr>
              <w:t>1</w:t>
            </w:r>
            <w:r>
              <w:rPr>
                <w:rFonts w:hint="eastAsia" w:ascii="宋体" w:hAnsi="宋体" w:eastAsia="宋体" w:cs="宋体"/>
                <w:szCs w:val="21"/>
              </w:rPr>
              <w:t>：</w:t>
            </w:r>
            <w:r>
              <w:rPr>
                <w:rFonts w:hint="eastAsia" w:ascii="宋体" w:hAnsi="宋体" w:eastAsia="宋体" w:cs="宋体"/>
                <w:szCs w:val="21"/>
                <w:u w:val="single"/>
              </w:rPr>
              <w:t xml:space="preserve"> 全景教室LED环幕系统建设 </w:t>
            </w:r>
            <w:r>
              <w:rPr>
                <w:rFonts w:hint="eastAsia" w:ascii="宋体" w:hAnsi="宋体" w:eastAsia="宋体" w:cs="宋体"/>
                <w:szCs w:val="21"/>
              </w:rPr>
              <w:t>，所属行业：</w:t>
            </w:r>
            <w:r>
              <w:rPr>
                <w:rFonts w:hint="eastAsia" w:ascii="宋体" w:hAnsi="宋体" w:eastAsia="宋体" w:cs="宋体"/>
                <w:szCs w:val="21"/>
                <w:u w:val="single"/>
              </w:rPr>
              <w:t xml:space="preserve"> </w:t>
            </w:r>
            <w:r>
              <w:rPr>
                <w:rFonts w:hint="eastAsia" w:ascii="宋体" w:hAnsi="宋体" w:cs="宋体"/>
                <w:szCs w:val="21"/>
                <w:u w:val="single"/>
                <w:lang w:val="en-US" w:eastAsia="zh-CN"/>
              </w:rPr>
              <w:t>工业</w:t>
            </w:r>
            <w:r>
              <w:rPr>
                <w:rFonts w:hint="eastAsia" w:ascii="宋体" w:hAnsi="宋体" w:eastAsia="宋体" w:cs="宋体"/>
                <w:szCs w:val="21"/>
                <w:u w:val="single"/>
              </w:rPr>
              <w:t xml:space="preserve"> </w:t>
            </w:r>
            <w:r>
              <w:rPr>
                <w:rFonts w:hint="eastAsia" w:ascii="宋体" w:hAnsi="宋体" w:cs="宋体"/>
                <w:szCs w:val="21"/>
                <w:u w:val="none"/>
                <w:lang w:eastAsia="zh-CN"/>
              </w:rPr>
              <w:t>；</w:t>
            </w:r>
            <w:r>
              <w:rPr>
                <w:rFonts w:hint="eastAsia" w:ascii="宋体" w:hAnsi="宋体" w:eastAsia="宋体" w:cs="宋体"/>
                <w:szCs w:val="21"/>
              </w:rPr>
              <w:t>采购标的</w:t>
            </w:r>
            <w:r>
              <w:rPr>
                <w:rFonts w:hint="eastAsia" w:ascii="宋体" w:hAnsi="宋体" w:cs="宋体"/>
                <w:szCs w:val="21"/>
                <w:lang w:val="en-US" w:eastAsia="zh-CN"/>
              </w:rPr>
              <w:t>2</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bCs w:val="0"/>
                <w:kern w:val="2"/>
                <w:sz w:val="21"/>
                <w:szCs w:val="21"/>
                <w:u w:val="single"/>
                <w:lang w:val="en-US" w:eastAsia="zh-CN" w:bidi="ar-SA"/>
              </w:rPr>
              <w:t xml:space="preserve">直播教室LED三分屏系统建设 </w:t>
            </w:r>
            <w:r>
              <w:rPr>
                <w:rFonts w:hint="eastAsia" w:ascii="宋体" w:hAnsi="宋体" w:eastAsia="宋体" w:cs="宋体"/>
                <w:szCs w:val="21"/>
              </w:rPr>
              <w:t>，所属行业：</w:t>
            </w:r>
            <w:r>
              <w:rPr>
                <w:rFonts w:hint="eastAsia" w:ascii="宋体" w:hAnsi="宋体" w:eastAsia="宋体" w:cs="宋体"/>
                <w:szCs w:val="21"/>
                <w:u w:val="single"/>
              </w:rPr>
              <w:t xml:space="preserve"> </w:t>
            </w:r>
            <w:r>
              <w:rPr>
                <w:rFonts w:hint="eastAsia" w:ascii="宋体" w:hAnsi="宋体" w:cs="宋体"/>
                <w:szCs w:val="21"/>
                <w:u w:val="single"/>
                <w:lang w:val="en-US" w:eastAsia="zh-CN"/>
              </w:rPr>
              <w:t>工业</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cs="宋体"/>
                <w:szCs w:val="21"/>
                <w:u w:val="none"/>
                <w:lang w:eastAsia="zh-CN"/>
              </w:rPr>
              <w:t>。</w:t>
            </w:r>
          </w:p>
          <w:p>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keepNext w:val="0"/>
              <w:keepLines w:val="0"/>
              <w:pageBreakBefore w:val="0"/>
              <w:kinsoku/>
              <w:wordWrap/>
              <w:overflowPunct/>
              <w:topLinePunct w:val="0"/>
              <w:bidi w:val="0"/>
              <w:adjustRightInd/>
              <w:snapToGrid/>
              <w:spacing w:line="300" w:lineRule="auto"/>
              <w:textAlignment w:val="auto"/>
              <w:rPr>
                <w:rFonts w:hint="eastAsia" w:ascii="宋体" w:hAnsi="宋体" w:eastAsia="宋体" w:cs="宋体"/>
                <w:color w:val="111F2C"/>
                <w:szCs w:val="21"/>
                <w:shd w:val="clear" w:color="auto" w:fill="FFFFFF"/>
              </w:rPr>
            </w:pPr>
            <w:r>
              <w:rPr>
                <w:rFonts w:hint="eastAsia" w:ascii="宋体" w:hAnsi="宋体" w:eastAsia="宋体" w:cs="宋体"/>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kern w:val="0"/>
                <w:szCs w:val="21"/>
              </w:rPr>
            </w:pPr>
            <w:r>
              <w:rPr>
                <w:rFonts w:hint="eastAsia" w:ascii="宋体" w:hAnsi="宋体" w:eastAsia="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kern w:val="0"/>
                <w:szCs w:val="21"/>
                <w:lang w:val="zh-CN"/>
              </w:rPr>
              <w:t>带“</w:t>
            </w:r>
            <w:r>
              <w:rPr>
                <w:rFonts w:hint="eastAsia" w:ascii="宋体" w:hAnsi="宋体" w:eastAsia="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带“★”的条款是</w:t>
            </w:r>
            <w:r>
              <w:rPr>
                <w:rFonts w:hint="eastAsia" w:ascii="宋体" w:hAnsi="宋体" w:eastAsia="宋体" w:cs="宋体"/>
              </w:rPr>
              <w:t>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bidi w:val="0"/>
              <w:adjustRightInd/>
              <w:snapToGrid/>
              <w:spacing w:line="30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rPr>
              <w:t>18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jc w:val="center"/>
              <w:textAlignment w:val="auto"/>
              <w:rPr>
                <w:rFonts w:hint="eastAsia" w:ascii="宋体" w:hAnsi="宋体" w:eastAsia="宋体" w:cs="宋体"/>
                <w:szCs w:val="21"/>
              </w:rPr>
            </w:pPr>
            <w:r>
              <w:rPr>
                <w:rFonts w:hint="eastAsia" w:ascii="宋体" w:hAnsi="宋体" w:eastAsia="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keepNext w:val="0"/>
              <w:keepLines w:val="0"/>
              <w:pageBreakBefore w:val="0"/>
              <w:kinsoku/>
              <w:wordWrap/>
              <w:overflowPunct/>
              <w:topLinePunct w:val="0"/>
              <w:autoSpaceDE w:val="0"/>
              <w:autoSpaceDN w:val="0"/>
              <w:bidi w:val="0"/>
              <w:adjustRightInd/>
              <w:snapToGrid/>
              <w:spacing w:line="30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本招标文件解释权属于采购人和采购组织机构。</w:t>
            </w:r>
          </w:p>
        </w:tc>
      </w:tr>
    </w:tbl>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10"/>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pPr>
        <w:pStyle w:val="19"/>
        <w:spacing w:after="0" w:line="360" w:lineRule="auto"/>
        <w:ind w:left="0" w:leftChars="0" w:firstLine="480" w:firstLineChars="200"/>
        <w:rPr>
          <w:rFonts w:hint="eastAsia" w:eastAsia="宋体"/>
          <w:lang w:eastAsia="zh-CN"/>
        </w:rPr>
      </w:pPr>
      <w:r>
        <w:rPr>
          <w:rFonts w:hint="eastAsia" w:ascii="宋体" w:hAnsi="宋体"/>
          <w:sz w:val="24"/>
        </w:rPr>
        <w:t>5.联合体：</w:t>
      </w:r>
      <w:r>
        <w:rPr>
          <w:rFonts w:hint="eastAsia"/>
          <w:sz w:val="24"/>
        </w:rPr>
        <w:t>两个或两个以上法人或者其他组织可以组成一个联合体，以一个投标人的身份共同投标</w:t>
      </w:r>
      <w:r>
        <w:rPr>
          <w:rFonts w:hint="eastAsia"/>
          <w:sz w:val="24"/>
          <w:lang w:eastAsia="zh-CN"/>
        </w:rPr>
        <w:t>。</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bCs w:val="0"/>
          <w:sz w:val="24"/>
          <w:szCs w:val="24"/>
          <w:lang w:val="zh-CN"/>
        </w:rPr>
        <w:t>采购组织机构</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27"/>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11"/>
        <w:snapToGrid w:val="0"/>
        <w:spacing w:line="360" w:lineRule="auto"/>
        <w:ind w:firstLine="482" w:firstLineChars="200"/>
        <w:rPr>
          <w:rFonts w:hAnsi="宋体" w:cs="宋体"/>
          <w:b/>
          <w:sz w:val="24"/>
        </w:rPr>
      </w:pPr>
      <w:r>
        <w:rPr>
          <w:rFonts w:hint="eastAsia" w:hAnsi="宋体" w:cs="宋体"/>
          <w:b/>
          <w:sz w:val="24"/>
        </w:rPr>
        <w:t>（七）特别说明</w:t>
      </w:r>
    </w:p>
    <w:p>
      <w:pPr>
        <w:pStyle w:val="11"/>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27"/>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27"/>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27"/>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hint="eastAsia" w:ascii="宋体" w:hAnsi="宋体"/>
          <w:b/>
          <w:sz w:val="24"/>
          <w:highlight w:val="none"/>
        </w:rPr>
      </w:pPr>
      <w:r>
        <w:rPr>
          <w:rFonts w:hint="eastAsia" w:ascii="宋体" w:hAnsi="宋体" w:cs="宋体" w:eastAsiaTheme="minorEastAsia"/>
          <w:b/>
          <w:sz w:val="24"/>
          <w:lang w:val="en-US" w:eastAsia="zh-CN"/>
        </w:rPr>
        <w:t xml:space="preserve"> </w:t>
      </w:r>
      <w:r>
        <w:rPr>
          <w:rFonts w:hint="eastAsia" w:asciiTheme="minorEastAsia" w:hAnsiTheme="minorEastAsia" w:eastAsiaTheme="minorEastAsia"/>
          <w:b/>
          <w:sz w:val="24"/>
        </w:rPr>
        <w:t>1.资</w:t>
      </w:r>
      <w:r>
        <w:rPr>
          <w:rFonts w:hint="eastAsia" w:asciiTheme="minorEastAsia" w:hAnsiTheme="minorEastAsia" w:eastAsiaTheme="minorEastAsia"/>
          <w:b/>
          <w:sz w:val="24"/>
          <w:highlight w:val="none"/>
        </w:rPr>
        <w:t>格证明</w:t>
      </w:r>
      <w:r>
        <w:rPr>
          <w:rFonts w:asciiTheme="minorEastAsia" w:hAnsiTheme="minorEastAsia" w:eastAsiaTheme="minorEastAsia"/>
          <w:b/>
          <w:sz w:val="24"/>
          <w:highlight w:val="none"/>
        </w:rPr>
        <w:t>文件</w:t>
      </w:r>
      <w:r>
        <w:rPr>
          <w:rFonts w:hint="eastAsia" w:ascii="宋体" w:hAnsi="宋体"/>
          <w:b/>
          <w:sz w:val="24"/>
          <w:highlight w:val="none"/>
        </w:rPr>
        <w:t>的组成</w:t>
      </w:r>
      <w:r>
        <w:rPr>
          <w:rFonts w:hint="eastAsia" w:asciiTheme="minorEastAsia" w:hAnsiTheme="minorEastAsia" w:eastAsiaTheme="minorEastAsia"/>
          <w:b/>
          <w:sz w:val="24"/>
          <w:highlight w:val="none"/>
          <w:lang w:eastAsia="zh-CN"/>
        </w:rPr>
        <w:t>（</w:t>
      </w:r>
      <w:r>
        <w:rPr>
          <w:rFonts w:hint="eastAsia" w:asciiTheme="minorEastAsia" w:hAnsiTheme="minorEastAsia" w:eastAsiaTheme="minorEastAsia"/>
          <w:b/>
          <w:sz w:val="24"/>
          <w:highlight w:val="none"/>
        </w:rPr>
        <w:t>以联合体形式参加本项目投标的，联合体各方均应当提供如下资格证明材料。</w:t>
      </w:r>
      <w:r>
        <w:rPr>
          <w:rFonts w:hint="eastAsia" w:ascii="宋体" w:hAnsi="宋体"/>
          <w:b/>
          <w:sz w:val="24"/>
          <w:highlight w:val="none"/>
          <w:lang w:eastAsia="zh-CN"/>
        </w:rPr>
        <w:t>）</w:t>
      </w:r>
    </w:p>
    <w:p>
      <w:pPr>
        <w:snapToGrid w:val="0"/>
        <w:spacing w:line="360" w:lineRule="auto"/>
        <w:ind w:firstLine="480" w:firstLineChars="200"/>
        <w:rPr>
          <w:rFonts w:hint="eastAsia" w:ascii="宋体" w:hAnsi="宋体" w:cs="宋体"/>
          <w:sz w:val="24"/>
          <w:highlight w:val="none"/>
        </w:rPr>
      </w:pPr>
      <w:r>
        <w:rPr>
          <w:rFonts w:hint="eastAsia" w:ascii="宋体" w:hAnsi="宋体"/>
          <w:b w:val="0"/>
          <w:bCs/>
          <w:sz w:val="24"/>
          <w:highlight w:val="none"/>
          <w:lang w:eastAsia="zh-CN"/>
        </w:rPr>
        <w:t>（</w:t>
      </w:r>
      <w:r>
        <w:rPr>
          <w:rFonts w:hint="eastAsia" w:ascii="宋体" w:hAnsi="宋体"/>
          <w:b w:val="0"/>
          <w:bCs/>
          <w:sz w:val="24"/>
          <w:highlight w:val="none"/>
          <w:lang w:val="en-US" w:eastAsia="zh-CN"/>
        </w:rPr>
        <w:t>1</w:t>
      </w:r>
      <w:r>
        <w:rPr>
          <w:rFonts w:hint="eastAsia" w:ascii="宋体" w:hAnsi="宋体"/>
          <w:b w:val="0"/>
          <w:bCs/>
          <w:sz w:val="24"/>
          <w:highlight w:val="none"/>
          <w:lang w:eastAsia="zh-CN"/>
        </w:rPr>
        <w:t>）</w:t>
      </w:r>
      <w:r>
        <w:rPr>
          <w:rFonts w:hint="eastAsia" w:ascii="宋体" w:hAnsi="宋体" w:cs="宋体"/>
          <w:sz w:val="24"/>
          <w:highlight w:val="none"/>
        </w:rPr>
        <w:t>投标声明书；</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授权委</w:t>
      </w:r>
      <w:r>
        <w:rPr>
          <w:rFonts w:hint="eastAsia" w:ascii="宋体" w:hAnsi="宋体" w:cs="宋体"/>
          <w:color w:val="auto"/>
          <w:sz w:val="24"/>
          <w:highlight w:val="none"/>
        </w:rPr>
        <w:t>托书</w:t>
      </w:r>
      <w:r>
        <w:rPr>
          <w:rFonts w:hint="eastAsia" w:ascii="宋体" w:hAnsi="宋体" w:cs="宋体"/>
          <w:color w:val="auto"/>
          <w:sz w:val="24"/>
          <w:highlight w:val="none"/>
          <w:lang w:val="en-US" w:eastAsia="zh-CN"/>
        </w:rPr>
        <w:t>或联合体授权委托书</w:t>
      </w:r>
      <w:r>
        <w:rPr>
          <w:rFonts w:hint="eastAsia" w:ascii="宋体" w:hAnsi="宋体" w:cs="宋体"/>
          <w:color w:val="auto"/>
          <w:sz w:val="24"/>
          <w:highlight w:val="none"/>
        </w:rPr>
        <w:t>（法</w:t>
      </w:r>
      <w:r>
        <w:rPr>
          <w:rFonts w:hint="eastAsia" w:ascii="宋体" w:hAnsi="宋体" w:cs="宋体"/>
          <w:sz w:val="24"/>
          <w:highlight w:val="none"/>
        </w:rPr>
        <w:t>定代表人亲自办理投标事宜的，则无需提交授权委托书</w:t>
      </w:r>
      <w:r>
        <w:rPr>
          <w:rFonts w:hint="eastAsia" w:ascii="宋体" w:hAnsi="宋体" w:cs="宋体"/>
          <w:sz w:val="24"/>
          <w:highlight w:val="none"/>
          <w:lang w:eastAsia="zh-CN"/>
        </w:rPr>
        <w:t>；</w:t>
      </w:r>
      <w:r>
        <w:rPr>
          <w:rFonts w:hint="eastAsia" w:ascii="宋体" w:hAnsi="宋体" w:cs="宋体"/>
          <w:sz w:val="24"/>
          <w:highlight w:val="none"/>
          <w:lang w:val="en-US" w:eastAsia="zh-CN"/>
        </w:rPr>
        <w:t>以联合体形式投标时需</w:t>
      </w:r>
      <w:r>
        <w:rPr>
          <w:rFonts w:hint="eastAsia" w:ascii="宋体" w:hAnsi="宋体" w:cs="宋体"/>
          <w:color w:val="auto"/>
          <w:sz w:val="24"/>
          <w:highlight w:val="none"/>
          <w:lang w:val="en-US" w:eastAsia="zh-CN"/>
        </w:rPr>
        <w:t>提供联合体授权委托书</w:t>
      </w:r>
      <w:r>
        <w:rPr>
          <w:rFonts w:hint="eastAsia" w:ascii="宋体" w:hAnsi="宋体" w:cs="宋体"/>
          <w:sz w:val="24"/>
          <w:highlight w:val="none"/>
          <w:lang w:eastAsia="zh-CN"/>
        </w:rPr>
        <w:t>）</w:t>
      </w:r>
      <w:r>
        <w:rPr>
          <w:rFonts w:hint="eastAsia" w:ascii="宋体" w:hAnsi="宋体" w:cs="宋体"/>
          <w:sz w:val="24"/>
          <w:highlight w:val="none"/>
        </w:rPr>
        <w:t>；</w:t>
      </w:r>
    </w:p>
    <w:p>
      <w:pPr>
        <w:snapToGrid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eastAsia="宋体" w:cs="宋体"/>
          <w:color w:val="auto"/>
          <w:sz w:val="24"/>
          <w:szCs w:val="24"/>
          <w:highlight w:val="none"/>
        </w:rPr>
        <w:t>联合体共同投标协议书</w:t>
      </w:r>
      <w:r>
        <w:rPr>
          <w:rFonts w:hint="eastAsia" w:ascii="宋体" w:hAnsi="宋体" w:cs="宋体"/>
          <w:sz w:val="24"/>
          <w:highlight w:val="none"/>
          <w:lang w:eastAsia="zh-CN"/>
        </w:rPr>
        <w:t>（</w:t>
      </w:r>
      <w:r>
        <w:rPr>
          <w:rFonts w:hint="eastAsia" w:ascii="宋体" w:hAnsi="宋体" w:cs="宋体"/>
          <w:sz w:val="24"/>
          <w:highlight w:val="none"/>
          <w:lang w:val="en-US" w:eastAsia="zh-CN"/>
        </w:rPr>
        <w:t>以</w:t>
      </w:r>
      <w:r>
        <w:rPr>
          <w:rFonts w:hint="eastAsia" w:ascii="宋体" w:hAnsi="宋体" w:cs="宋体"/>
          <w:sz w:val="24"/>
          <w:highlight w:val="none"/>
          <w:lang w:eastAsia="zh-CN"/>
        </w:rPr>
        <w:t>联合体</w:t>
      </w:r>
      <w:r>
        <w:rPr>
          <w:rFonts w:hint="eastAsia" w:ascii="宋体" w:hAnsi="宋体" w:cs="宋体"/>
          <w:sz w:val="24"/>
          <w:highlight w:val="none"/>
          <w:lang w:val="en-US" w:eastAsia="zh-CN"/>
        </w:rPr>
        <w:t>形式</w:t>
      </w:r>
      <w:r>
        <w:rPr>
          <w:rFonts w:hint="eastAsia" w:ascii="宋体" w:hAnsi="宋体" w:cs="宋体"/>
          <w:sz w:val="24"/>
          <w:highlight w:val="none"/>
          <w:lang w:eastAsia="zh-CN"/>
        </w:rPr>
        <w:t>投标时需提供）；</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）法人或者其他组织的营业执照等证明文件，自然人的</w:t>
      </w:r>
      <w:r>
        <w:rPr>
          <w:rFonts w:hint="eastAsia" w:ascii="宋体" w:hAnsi="宋体" w:cs="宋体"/>
          <w:sz w:val="24"/>
          <w:highlight w:val="none"/>
        </w:rPr>
        <w:t>身份证明；</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符合参与政府采购活动的资格条件并且没有税收缴纳、社会保障等方面的失信记录的承诺函；</w:t>
      </w:r>
    </w:p>
    <w:p>
      <w:pPr>
        <w:snapToGrid w:val="0"/>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具备履行合同所必需的设备和专业技术能力的证明材料</w:t>
      </w:r>
      <w:r>
        <w:rPr>
          <w:rFonts w:hint="eastAsia" w:ascii="宋体" w:hAnsi="宋体" w:cs="宋体"/>
          <w:sz w:val="24"/>
          <w:lang w:eastAsia="zh-CN"/>
        </w:rPr>
        <w:t>（</w:t>
      </w:r>
      <w:r>
        <w:rPr>
          <w:rFonts w:hint="eastAsia" w:ascii="宋体" w:hAnsi="宋体" w:cs="宋体"/>
          <w:sz w:val="24"/>
        </w:rPr>
        <w:t>根据项目性质提供</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提供采购公告中符合投标人特定条件的有效资质证书扫描件，以及需要说明的其他资料。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8"/>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（1）技术方案描述部分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w:t>
      </w:r>
      <w:r>
        <w:rPr>
          <w:rFonts w:hint="eastAsia" w:ascii="宋体" w:hAnsi="宋体" w:cs="宋体"/>
          <w:sz w:val="24"/>
          <w:szCs w:val="24"/>
          <w:lang w:eastAsia="zh-CN"/>
        </w:rPr>
        <w:t>（</w:t>
      </w:r>
      <w:r>
        <w:rPr>
          <w:rFonts w:hint="eastAsia" w:ascii="宋体" w:hAnsi="宋体" w:cs="宋体"/>
          <w:sz w:val="24"/>
          <w:szCs w:val="24"/>
        </w:rPr>
        <w:t>投标人对项目现状及需求的理解</w:t>
      </w:r>
      <w:r>
        <w:rPr>
          <w:rFonts w:hint="eastAsia" w:ascii="宋体" w:hAnsi="宋体" w:cs="宋体"/>
          <w:sz w:val="24"/>
          <w:szCs w:val="24"/>
          <w:lang w:eastAsia="zh-CN"/>
        </w:rPr>
        <w:t>状况</w:t>
      </w:r>
      <w:r>
        <w:rPr>
          <w:rFonts w:hint="eastAsia" w:ascii="宋体" w:hAnsi="宋体" w:cs="宋体"/>
          <w:sz w:val="24"/>
          <w:szCs w:val="24"/>
        </w:rPr>
        <w:t>，对项目现状和需求描述的全面性、准确性、针对性，项目功能设计完备、对系统各组成部分等功能进行准确的分析，对项目重点、难点的把握，解决方案及合理化建议</w:t>
      </w:r>
      <w:r>
        <w:rPr>
          <w:rFonts w:hint="eastAsia" w:ascii="宋体" w:hAnsi="宋体" w:cs="宋体"/>
          <w:sz w:val="24"/>
          <w:szCs w:val="24"/>
          <w:lang w:eastAsia="zh-CN"/>
        </w:rPr>
        <w:t>）</w:t>
      </w:r>
      <w:r>
        <w:rPr>
          <w:rFonts w:hint="eastAsia" w:ascii="宋体" w:hAnsi="宋体" w:cs="宋体"/>
          <w:sz w:val="24"/>
          <w:szCs w:val="24"/>
        </w:rPr>
        <w:t>；</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w:t>
      </w:r>
      <w:r>
        <w:rPr>
          <w:rFonts w:hint="eastAsia" w:ascii="宋体" w:hAnsi="宋体" w:cs="宋体"/>
          <w:sz w:val="24"/>
          <w:szCs w:val="24"/>
          <w:highlight w:val="none"/>
        </w:rPr>
        <w:t>（包括</w:t>
      </w:r>
      <w:r>
        <w:rPr>
          <w:rFonts w:hint="eastAsia" w:ascii="宋体" w:hAnsi="宋体" w:cs="宋体"/>
          <w:sz w:val="24"/>
          <w:szCs w:val="24"/>
          <w:highlight w:val="none"/>
          <w:lang w:val="en-US" w:eastAsia="zh-CN"/>
        </w:rPr>
        <w:t>分包方案、</w:t>
      </w:r>
      <w:r>
        <w:rPr>
          <w:rFonts w:hint="eastAsia" w:ascii="宋体" w:hAnsi="宋体" w:cs="宋体"/>
          <w:sz w:val="24"/>
          <w:szCs w:val="24"/>
          <w:highlight w:val="none"/>
        </w:rPr>
        <w:t>项目工期、确保项目供货的措施或方案、项目实施进度安排、项目实施人员及项目负责人</w:t>
      </w:r>
      <w:r>
        <w:rPr>
          <w:rFonts w:hint="eastAsia" w:ascii="宋体" w:hAnsi="宋体" w:cs="宋体"/>
          <w:sz w:val="24"/>
          <w:szCs w:val="24"/>
        </w:rPr>
        <w:t>的资质、类似经验及社保证明等）；</w:t>
      </w:r>
    </w:p>
    <w:p>
      <w:pPr>
        <w:pStyle w:val="8"/>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8"/>
        <w:widowControl/>
        <w:adjustRightInd w:val="0"/>
        <w:snapToGrid w:val="0"/>
        <w:spacing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rPr>
        <w:t>（2）投标产品描述部分</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8"/>
        <w:widowControl/>
        <w:adjustRightInd w:val="0"/>
        <w:snapToGrid w:val="0"/>
        <w:spacing w:line="360" w:lineRule="auto"/>
        <w:ind w:firstLine="480" w:firstLineChars="200"/>
        <w:rPr>
          <w:sz w:val="24"/>
        </w:rPr>
      </w:pPr>
      <w:r>
        <w:rPr>
          <w:rFonts w:hint="eastAsia"/>
          <w:sz w:val="24"/>
        </w:rPr>
        <w:t>②技术需求响应表；</w:t>
      </w:r>
    </w:p>
    <w:p>
      <w:pPr>
        <w:pStyle w:val="8"/>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hint="eastAsia" w:asciiTheme="minorEastAsia" w:hAnsiTheme="minorEastAsia" w:eastAsiaTheme="minorEastAsia"/>
          <w:b/>
          <w:bCs/>
          <w:kern w:val="0"/>
          <w:sz w:val="24"/>
          <w:lang w:eastAsia="zh-CN"/>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8"/>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8"/>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8"/>
        <w:widowControl/>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B.针对本项目的售后服务措施及承诺（售后技术服务方案、人员配备、故障响应时间、技术培训方案等）</w:t>
      </w:r>
      <w:r>
        <w:rPr>
          <w:rFonts w:hint="eastAsia" w:ascii="宋体" w:hAnsi="宋体" w:cs="宋体"/>
          <w:sz w:val="24"/>
          <w:szCs w:val="24"/>
          <w:lang w:eastAsia="zh-CN"/>
        </w:rPr>
        <w:t>；</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hint="eastAsia" w:asciiTheme="minorEastAsia" w:hAnsiTheme="minorEastAsia" w:eastAsiaTheme="minorEastAsia"/>
          <w:b/>
          <w:kern w:val="0"/>
          <w:sz w:val="24"/>
          <w:lang w:eastAsia="zh-CN"/>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（1）开标一览表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rPr>
        <w:t>（2）报价明细表</w:t>
      </w:r>
      <w:r>
        <w:rPr>
          <w:rFonts w:hint="eastAsia" w:asciiTheme="minorEastAsia" w:hAnsiTheme="minorEastAsia" w:eastAsiaTheme="minorEastAsia"/>
          <w:kern w:val="0"/>
          <w:sz w:val="24"/>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kern w:val="0"/>
          <w:sz w:val="24"/>
          <w:lang w:val="en-GB" w:eastAsia="zh-CN"/>
        </w:rPr>
      </w:pPr>
      <w:r>
        <w:rPr>
          <w:rFonts w:hint="eastAsia" w:asciiTheme="minorEastAsia" w:hAnsiTheme="minorEastAsia" w:eastAsiaTheme="minorEastAsia"/>
          <w:kern w:val="0"/>
          <w:sz w:val="24"/>
        </w:rPr>
        <w:t>（3）</w:t>
      </w: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Theme="minorEastAsia" w:hAnsiTheme="minorEastAsia" w:eastAsiaTheme="minorEastAsia"/>
          <w:kern w:val="0"/>
          <w:sz w:val="24"/>
          <w:lang w:val="en-GB" w:eastAsia="zh-CN"/>
        </w:rPr>
        <w:t>；</w:t>
      </w:r>
    </w:p>
    <w:p>
      <w:pPr>
        <w:autoSpaceDE w:val="0"/>
        <w:autoSpaceDN w:val="0"/>
        <w:adjustRightInd w:val="0"/>
        <w:spacing w:line="360" w:lineRule="auto"/>
        <w:ind w:firstLine="480" w:firstLineChars="200"/>
        <w:rPr>
          <w:rFonts w:hint="eastAsia" w:asciiTheme="minorEastAsia" w:hAnsiTheme="minorEastAsia" w:eastAsiaTheme="minorEastAsia"/>
          <w:b/>
          <w:kern w:val="0"/>
          <w:sz w:val="24"/>
          <w:lang w:eastAsia="zh-CN"/>
        </w:rPr>
      </w:pPr>
      <w:r>
        <w:rPr>
          <w:rFonts w:hint="eastAsia" w:asciiTheme="minorEastAsia" w:hAnsiTheme="minorEastAsia" w:eastAsiaTheme="minorEastAsia"/>
          <w:kern w:val="0"/>
          <w:sz w:val="24"/>
        </w:rPr>
        <w:t>（4）针对报价投标人认为其他需要说明的</w:t>
      </w:r>
      <w:r>
        <w:rPr>
          <w:rFonts w:hint="eastAsia" w:asciiTheme="minorEastAsia" w:hAnsiTheme="minorEastAsia" w:eastAsiaTheme="minorEastAsia"/>
          <w:kern w:val="0"/>
          <w:sz w:val="24"/>
          <w:lang w:eastAsia="zh-CN"/>
        </w:rPr>
        <w:t>。</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8"/>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8"/>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snapToGrid w:val="0"/>
        <w:spacing w:line="360" w:lineRule="auto"/>
        <w:ind w:firstLine="480" w:firstLineChars="200"/>
        <w:outlineLvl w:val="0"/>
        <w:rPr>
          <w:rFonts w:asciiTheme="minorEastAsia" w:hAnsiTheme="minorEastAsia" w:eastAsiaTheme="minorEastAsia"/>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投标文件</w:t>
      </w:r>
      <w:r>
        <w:rPr>
          <w:rFonts w:asciiTheme="minorEastAsia" w:hAnsiTheme="minorEastAsia" w:eastAsiaTheme="minorEastAsia"/>
          <w:sz w:val="24"/>
        </w:rPr>
        <w:t>自开标之日起至合同履行完毕均应保持有效。</w:t>
      </w:r>
    </w:p>
    <w:p>
      <w:pPr>
        <w:snapToGrid w:val="0"/>
        <w:spacing w:line="360" w:lineRule="auto"/>
        <w:ind w:firstLine="482" w:firstLineChars="200"/>
        <w:outlineLvl w:val="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w:t>
      </w:r>
      <w:r>
        <w:rPr>
          <w:rFonts w:hint="eastAsia" w:asciiTheme="minorEastAsia" w:hAnsiTheme="minorEastAsia" w:eastAsiaTheme="minorEastAsia"/>
          <w:kern w:val="0"/>
          <w:sz w:val="24"/>
          <w:highlight w:val="none"/>
        </w:rPr>
        <w:t>构</w:t>
      </w:r>
      <w:r>
        <w:rPr>
          <w:rFonts w:hint="eastAsia" w:asciiTheme="minorEastAsia" w:hAnsiTheme="minorEastAsia" w:eastAsiaTheme="minorEastAsia"/>
          <w:kern w:val="0"/>
          <w:sz w:val="24"/>
          <w:highlight w:val="none"/>
          <w:lang w:val="en-US" w:eastAsia="zh-CN"/>
        </w:rPr>
        <w:t>顺延</w:t>
      </w:r>
      <w:r>
        <w:rPr>
          <w:rFonts w:hint="eastAsia" w:asciiTheme="minorEastAsia" w:hAnsiTheme="minorEastAsia" w:eastAsiaTheme="minorEastAsia"/>
          <w:kern w:val="0"/>
          <w:sz w:val="24"/>
          <w:highlight w:val="none"/>
        </w:rPr>
        <w:t>截</w:t>
      </w:r>
      <w:r>
        <w:rPr>
          <w:rFonts w:hint="eastAsia" w:asciiTheme="minorEastAsia" w:hAnsiTheme="minorEastAsia" w:eastAsiaTheme="minorEastAsia"/>
          <w:kern w:val="0"/>
          <w:sz w:val="24"/>
        </w:rPr>
        <w:t>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hint="eastAsia" w:asciiTheme="minorEastAsia" w:hAnsiTheme="minorEastAsia" w:eastAsiaTheme="minorEastAsia"/>
          <w:b/>
          <w:sz w:val="24"/>
          <w:lang w:eastAsia="zh-CN"/>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8"/>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8"/>
        <w:spacing w:line="360" w:lineRule="auto"/>
        <w:ind w:firstLine="482" w:firstLineChars="200"/>
        <w:rPr>
          <w:b/>
          <w:bCs/>
          <w:sz w:val="24"/>
          <w:szCs w:val="22"/>
        </w:rPr>
      </w:pPr>
      <w:r>
        <w:rPr>
          <w:rFonts w:hint="eastAsia"/>
          <w:b/>
          <w:bCs/>
          <w:sz w:val="24"/>
          <w:szCs w:val="22"/>
        </w:rPr>
        <w:t>（二）开标异议</w:t>
      </w:r>
    </w:p>
    <w:p>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11"/>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17"/>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numPr>
          <w:ilvl w:val="0"/>
          <w:numId w:val="7"/>
        </w:numPr>
        <w:spacing w:line="360" w:lineRule="auto"/>
        <w:ind w:firstLine="482" w:firstLineChars="200"/>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发布中标结果公告</w:t>
      </w:r>
    </w:p>
    <w:p>
      <w:pPr>
        <w:numPr>
          <w:ilvl w:val="0"/>
          <w:numId w:val="0"/>
        </w:num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w:t>
      </w:r>
      <w:r>
        <w:rPr>
          <w:rFonts w:hint="eastAsia" w:cs="Times New Roman" w:asciiTheme="minorEastAsia" w:hAnsiTheme="minorEastAsia" w:eastAsiaTheme="minorEastAsia"/>
          <w:kern w:val="0"/>
          <w:sz w:val="24"/>
          <w:szCs w:val="24"/>
          <w:lang w:val="en-US" w:eastAsia="zh-CN" w:bidi="ar-SA"/>
        </w:rPr>
        <w:t>期为1个工</w:t>
      </w:r>
      <w:r>
        <w:rPr>
          <w:sz w:val="24"/>
        </w:rPr>
        <w:t>作日</w:t>
      </w:r>
      <w:r>
        <w:rPr>
          <w:rFonts w:hint="eastAsia" w:ascii="宋体" w:hAnsi="宋体"/>
          <w:kern w:val="0"/>
          <w:sz w:val="24"/>
        </w:rPr>
        <w:t>。</w:t>
      </w:r>
    </w:p>
    <w:p>
      <w:pPr>
        <w:pStyle w:val="9"/>
        <w:numPr>
          <w:ilvl w:val="0"/>
          <w:numId w:val="7"/>
        </w:numPr>
        <w:spacing w:line="360" w:lineRule="auto"/>
        <w:ind w:left="0" w:leftChars="0" w:firstLine="482" w:firstLineChars="200"/>
        <w:jc w:val="both"/>
        <w:rPr>
          <w:rFonts w:hint="eastAsia" w:cs="Times New Roman" w:asciiTheme="minorEastAsia" w:hAnsiTheme="minorEastAsia" w:eastAsiaTheme="minorEastAsia"/>
          <w:b/>
          <w:bCs/>
          <w:kern w:val="0"/>
          <w:sz w:val="24"/>
          <w:szCs w:val="24"/>
          <w:lang w:val="en-US" w:eastAsia="zh-CN" w:bidi="ar-SA"/>
        </w:rPr>
      </w:pPr>
      <w:r>
        <w:rPr>
          <w:rFonts w:hint="eastAsia" w:cs="Times New Roman" w:asciiTheme="minorEastAsia" w:hAnsiTheme="minorEastAsia" w:eastAsiaTheme="minorEastAsia"/>
          <w:b/>
          <w:bCs/>
          <w:kern w:val="0"/>
          <w:sz w:val="24"/>
          <w:szCs w:val="24"/>
          <w:lang w:val="en-US" w:eastAsia="zh-CN" w:bidi="ar-SA"/>
        </w:rPr>
        <w:t>发放中标通知书</w:t>
      </w:r>
    </w:p>
    <w:p>
      <w:pPr>
        <w:pStyle w:val="9"/>
        <w:numPr>
          <w:ilvl w:val="0"/>
          <w:numId w:val="0"/>
        </w:numPr>
        <w:spacing w:line="360" w:lineRule="auto"/>
        <w:ind w:firstLine="480" w:firstLineChars="20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7"/>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17"/>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17"/>
        <w:spacing w:before="0" w:beforeAutospacing="0" w:after="0" w:afterAutospacing="0" w:line="360" w:lineRule="auto"/>
        <w:ind w:firstLine="480" w:firstLineChars="200"/>
        <w:jc w:val="both"/>
        <w:rPr>
          <w:rFonts w:hint="default"/>
        </w:rPr>
      </w:pPr>
      <w:r>
        <w:t>3.中标人无故拖延、拒签合同的</w:t>
      </w:r>
      <w:r>
        <w:rPr>
          <w:rFonts w:hint="eastAsia"/>
          <w:lang w:eastAsia="zh-CN"/>
        </w:rPr>
        <w:t>，</w:t>
      </w:r>
      <w:r>
        <w:t>将取消中标资格。</w:t>
      </w:r>
    </w:p>
    <w:p>
      <w:pPr>
        <w:pStyle w:val="17"/>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17"/>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17"/>
        <w:spacing w:before="0" w:beforeAutospacing="0" w:after="0" w:afterAutospacing="0" w:line="360" w:lineRule="auto"/>
        <w:ind w:firstLine="482" w:firstLineChars="200"/>
        <w:jc w:val="both"/>
        <w:rPr>
          <w:rFonts w:hint="default" w:cs="仿宋_GB2312"/>
          <w:b/>
        </w:rPr>
      </w:pPr>
      <w:r>
        <w:rPr>
          <w:b/>
        </w:rPr>
        <w:t>（二）合同公告及备案</w:t>
      </w:r>
    </w:p>
    <w:p>
      <w:pPr>
        <w:pStyle w:val="2"/>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9"/>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9"/>
        <w:spacing w:line="360" w:lineRule="auto"/>
        <w:ind w:firstLine="482" w:firstLineChars="200"/>
        <w:jc w:val="both"/>
        <w:rPr>
          <w:rFonts w:ascii="宋体" w:hAnsi="宋体"/>
          <w:b/>
          <w:bCs/>
          <w:sz w:val="24"/>
        </w:rPr>
      </w:pPr>
      <w:r>
        <w:rPr>
          <w:rFonts w:hint="eastAsia" w:ascii="宋体" w:hAnsi="宋体"/>
          <w:b/>
          <w:bCs/>
          <w:sz w:val="24"/>
        </w:rPr>
        <w:t>（一）询问</w:t>
      </w:r>
    </w:p>
    <w:p>
      <w:pPr>
        <w:pStyle w:val="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9"/>
        <w:spacing w:line="360" w:lineRule="auto"/>
        <w:ind w:firstLine="482" w:firstLineChars="200"/>
        <w:jc w:val="both"/>
        <w:rPr>
          <w:rFonts w:ascii="宋体" w:hAnsi="宋体"/>
          <w:b/>
          <w:bCs/>
          <w:sz w:val="24"/>
        </w:rPr>
      </w:pPr>
      <w:r>
        <w:rPr>
          <w:rFonts w:hint="eastAsia" w:ascii="宋体" w:hAnsi="宋体"/>
          <w:b/>
          <w:bCs/>
          <w:sz w:val="24"/>
        </w:rPr>
        <w:t>（二）质疑</w:t>
      </w:r>
    </w:p>
    <w:p>
      <w:pPr>
        <w:pStyle w:val="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9"/>
        <w:spacing w:line="360" w:lineRule="auto"/>
        <w:ind w:firstLine="480" w:firstLineChars="200"/>
        <w:jc w:val="both"/>
        <w:rPr>
          <w:rFonts w:hint="eastAsia" w:ascii="宋体" w:hAnsi="宋体" w:eastAsia="宋体"/>
          <w:sz w:val="24"/>
          <w:lang w:eastAsia="zh-CN"/>
        </w:rPr>
      </w:pPr>
      <w:r>
        <w:rPr>
          <w:rFonts w:hint="eastAsia" w:ascii="宋体" w:hAnsi="宋体"/>
          <w:sz w:val="24"/>
        </w:rPr>
        <w:t>（3）投标人对中标结果提出质疑的，应当在中标结果公告期限届满之日起7个工作日内提出质疑</w:t>
      </w:r>
      <w:r>
        <w:rPr>
          <w:rFonts w:hint="eastAsia" w:ascii="宋体" w:hAnsi="宋体"/>
          <w:sz w:val="24"/>
          <w:lang w:eastAsia="zh-CN"/>
        </w:rPr>
        <w:t>。</w:t>
      </w:r>
    </w:p>
    <w:p>
      <w:pPr>
        <w:pStyle w:val="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sz w:val="24"/>
        </w:rPr>
      </w:pPr>
      <w:r>
        <w:rPr>
          <w:rFonts w:hint="eastAsia" w:ascii="宋体" w:hAnsi="宋体"/>
          <w:b/>
          <w:bCs/>
          <w:sz w:val="24"/>
        </w:rPr>
        <w:t>（三）投诉</w:t>
      </w:r>
    </w:p>
    <w:p>
      <w:pPr>
        <w:pStyle w:val="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rPr>
          <w:rFonts w:asciiTheme="minorEastAsia" w:hAnsiTheme="minorEastAsia" w:eastAsiaTheme="minorEastAsia"/>
          <w:b/>
          <w:sz w:val="36"/>
          <w:szCs w:val="36"/>
        </w:rPr>
      </w:pPr>
      <w:r>
        <w:rPr>
          <w:rFonts w:hint="eastAsia" w:ascii="宋体" w:hAnsi="宋体"/>
          <w:sz w:val="24"/>
        </w:rPr>
        <w:br w:type="page"/>
      </w:r>
    </w:p>
    <w:p>
      <w:pPr>
        <w:numPr>
          <w:ilvl w:val="0"/>
          <w:numId w:val="5"/>
        </w:numPr>
        <w:spacing w:line="360" w:lineRule="auto"/>
        <w:jc w:val="center"/>
        <w:rPr>
          <w:rFonts w:asciiTheme="minorEastAsia" w:hAnsiTheme="minorEastAsia" w:eastAsiaTheme="minorEastAsia"/>
          <w:b/>
          <w:sz w:val="36"/>
          <w:szCs w:val="36"/>
        </w:rPr>
      </w:pPr>
      <w:bookmarkStart w:id="38" w:name="_Toc13072_WPSOffice_Level1"/>
      <w:r>
        <w:rPr>
          <w:rFonts w:hint="eastAsia" w:asciiTheme="minorEastAsia" w:hAnsiTheme="minorEastAsia" w:eastAsiaTheme="minorEastAsia"/>
          <w:b/>
          <w:sz w:val="36"/>
          <w:szCs w:val="36"/>
        </w:rPr>
        <w:t>招标需求</w:t>
      </w:r>
      <w:bookmarkEnd w:id="38"/>
    </w:p>
    <w:p>
      <w:pPr>
        <w:tabs>
          <w:tab w:val="left" w:pos="8280"/>
        </w:tabs>
        <w:autoSpaceDE w:val="0"/>
        <w:autoSpaceDN w:val="0"/>
        <w:adjustRightIn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pPr>
        <w:tabs>
          <w:tab w:val="left" w:pos="8280"/>
        </w:tabs>
        <w:autoSpaceDE w:val="0"/>
        <w:autoSpaceDN w:val="0"/>
        <w:adjustRightIn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2</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0"/>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标项号</w:t>
            </w:r>
          </w:p>
        </w:tc>
        <w:tc>
          <w:tcPr>
            <w:tcW w:w="1477"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项目名称</w:t>
            </w:r>
          </w:p>
        </w:tc>
        <w:tc>
          <w:tcPr>
            <w:tcW w:w="1991" w:type="dxa"/>
            <w:vAlign w:val="center"/>
          </w:tcPr>
          <w:p>
            <w:pPr>
              <w:tabs>
                <w:tab w:val="left" w:pos="8280"/>
              </w:tabs>
              <w:autoSpaceDE w:val="0"/>
              <w:autoSpaceDN w:val="0"/>
              <w:adjustRightInd w:val="0"/>
              <w:jc w:val="center"/>
              <w:rPr>
                <w:rFonts w:ascii="宋体"/>
                <w:b/>
                <w:sz w:val="21"/>
                <w:szCs w:val="21"/>
              </w:rPr>
            </w:pPr>
            <w:r>
              <w:rPr>
                <w:rFonts w:hint="eastAsia" w:ascii="宋体" w:hAnsi="宋体" w:cs="宋体"/>
                <w:b/>
                <w:kern w:val="0"/>
                <w:sz w:val="21"/>
                <w:szCs w:val="21"/>
              </w:rPr>
              <w:t>简要技术要求</w:t>
            </w:r>
          </w:p>
        </w:tc>
        <w:tc>
          <w:tcPr>
            <w:tcW w:w="1099"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数量</w:t>
            </w:r>
          </w:p>
        </w:tc>
        <w:tc>
          <w:tcPr>
            <w:tcW w:w="85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单位</w:t>
            </w:r>
          </w:p>
        </w:tc>
        <w:tc>
          <w:tcPr>
            <w:tcW w:w="1142" w:type="dxa"/>
            <w:vAlign w:val="center"/>
          </w:tcPr>
          <w:p>
            <w:pPr>
              <w:tabs>
                <w:tab w:val="left" w:pos="8280"/>
              </w:tabs>
              <w:autoSpaceDE w:val="0"/>
              <w:autoSpaceDN w:val="0"/>
              <w:adjustRightInd w:val="0"/>
              <w:jc w:val="center"/>
              <w:rPr>
                <w:rFonts w:ascii="宋体"/>
                <w:b/>
                <w:sz w:val="21"/>
                <w:szCs w:val="21"/>
              </w:rPr>
            </w:pPr>
            <w:r>
              <w:rPr>
                <w:rFonts w:hint="eastAsia" w:ascii="宋体" w:hAnsi="宋体"/>
                <w:b/>
                <w:sz w:val="21"/>
                <w:szCs w:val="21"/>
              </w:rPr>
              <w:t>总预算（万元）</w:t>
            </w:r>
          </w:p>
        </w:tc>
        <w:tc>
          <w:tcPr>
            <w:tcW w:w="1203" w:type="dxa"/>
            <w:vAlign w:val="center"/>
          </w:tcPr>
          <w:p>
            <w:pPr>
              <w:tabs>
                <w:tab w:val="left" w:pos="8280"/>
              </w:tabs>
              <w:autoSpaceDE w:val="0"/>
              <w:autoSpaceDN w:val="0"/>
              <w:adjustRightInd w:val="0"/>
              <w:jc w:val="center"/>
              <w:rPr>
                <w:rFonts w:ascii="宋体" w:hAnsi="宋体"/>
                <w:b/>
                <w:sz w:val="21"/>
                <w:szCs w:val="21"/>
              </w:rPr>
            </w:pPr>
            <w:r>
              <w:rPr>
                <w:rFonts w:hint="eastAsia" w:ascii="宋体" w:hAnsi="宋体"/>
                <w:b/>
                <w:sz w:val="21"/>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477"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cs="宋体"/>
                <w:color w:val="auto"/>
                <w:kern w:val="0"/>
                <w:sz w:val="24"/>
                <w:highlight w:val="none"/>
              </w:rPr>
              <w:t>全景教室</w:t>
            </w:r>
            <w:r>
              <w:rPr>
                <w:rFonts w:ascii="宋体" w:hAnsi="宋体" w:cs="宋体"/>
                <w:color w:val="auto"/>
                <w:kern w:val="0"/>
                <w:sz w:val="24"/>
                <w:highlight w:val="none"/>
              </w:rPr>
              <w:t>LED</w:t>
            </w:r>
            <w:r>
              <w:rPr>
                <w:rFonts w:hint="eastAsia" w:ascii="宋体" w:hAnsi="宋体" w:cs="宋体"/>
                <w:color w:val="auto"/>
                <w:kern w:val="0"/>
                <w:sz w:val="24"/>
                <w:highlight w:val="none"/>
              </w:rPr>
              <w:t>环幕系统建设</w:t>
            </w:r>
          </w:p>
        </w:tc>
        <w:tc>
          <w:tcPr>
            <w:tcW w:w="1991"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套</w:t>
            </w:r>
          </w:p>
        </w:tc>
        <w:tc>
          <w:tcPr>
            <w:tcW w:w="1142" w:type="dxa"/>
            <w:vAlign w:val="center"/>
          </w:tcPr>
          <w:p>
            <w:pPr>
              <w:jc w:val="center"/>
              <w:rPr>
                <w:rFonts w:hint="eastAsia" w:ascii="宋体" w:hAnsi="宋体" w:eastAsia="宋体" w:cs="宋体"/>
                <w:bCs/>
                <w:sz w:val="21"/>
                <w:szCs w:val="21"/>
              </w:rPr>
            </w:pPr>
            <w:r>
              <w:rPr>
                <w:color w:val="auto"/>
                <w:sz w:val="24"/>
                <w:highlight w:val="none"/>
              </w:rPr>
              <w:t>9</w:t>
            </w:r>
            <w:r>
              <w:rPr>
                <w:rFonts w:hint="eastAsia"/>
                <w:color w:val="auto"/>
                <w:sz w:val="24"/>
                <w:highlight w:val="none"/>
              </w:rPr>
              <w:t>8.1990</w:t>
            </w:r>
          </w:p>
        </w:tc>
        <w:tc>
          <w:tcPr>
            <w:tcW w:w="1203" w:type="dxa"/>
            <w:vAlign w:val="center"/>
          </w:tcPr>
          <w:p>
            <w:pPr>
              <w:jc w:val="center"/>
              <w:rPr>
                <w:rFonts w:hint="eastAsia" w:ascii="宋体" w:hAnsi="宋体" w:eastAsia="宋体" w:cs="宋体"/>
                <w:bCs/>
                <w:kern w:val="2"/>
                <w:sz w:val="21"/>
                <w:szCs w:val="21"/>
                <w:lang w:val="en-US" w:eastAsia="zh-CN" w:bidi="ar-SA"/>
              </w:rPr>
            </w:pPr>
            <w:r>
              <w:rPr>
                <w:color w:val="auto"/>
                <w:sz w:val="24"/>
                <w:highlight w:val="none"/>
              </w:rPr>
              <w:t>9</w:t>
            </w:r>
            <w:r>
              <w:rPr>
                <w:rFonts w:hint="eastAsia"/>
                <w:color w:val="auto"/>
                <w:sz w:val="24"/>
                <w:highlight w:val="none"/>
              </w:rPr>
              <w:t>8.1990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882" w:type="dxa"/>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477"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cs="宋体"/>
                <w:color w:val="auto"/>
                <w:kern w:val="0"/>
                <w:sz w:val="24"/>
                <w:highlight w:val="none"/>
              </w:rPr>
              <w:t>直播教室</w:t>
            </w:r>
            <w:r>
              <w:rPr>
                <w:rFonts w:ascii="宋体" w:hAnsi="宋体" w:cs="宋体"/>
                <w:color w:val="auto"/>
                <w:kern w:val="0"/>
                <w:sz w:val="24"/>
                <w:highlight w:val="none"/>
              </w:rPr>
              <w:t>LED</w:t>
            </w:r>
            <w:r>
              <w:rPr>
                <w:rFonts w:hint="eastAsia" w:ascii="宋体" w:hAnsi="宋体" w:cs="宋体"/>
                <w:color w:val="auto"/>
                <w:kern w:val="0"/>
                <w:sz w:val="24"/>
                <w:highlight w:val="none"/>
              </w:rPr>
              <w:t>三分屏系统建设</w:t>
            </w:r>
          </w:p>
        </w:tc>
        <w:tc>
          <w:tcPr>
            <w:tcW w:w="1991" w:type="dxa"/>
            <w:vAlign w:val="center"/>
          </w:tcPr>
          <w:p>
            <w:pPr>
              <w:tabs>
                <w:tab w:val="left" w:pos="8280"/>
              </w:tabs>
              <w:autoSpaceDE w:val="0"/>
              <w:autoSpaceDN w:val="0"/>
              <w:adjustRightInd w:val="0"/>
              <w:jc w:val="center"/>
              <w:rPr>
                <w:rFonts w:hint="eastAsia" w:ascii="宋体" w:hAnsi="宋体" w:eastAsia="宋体" w:cs="宋体"/>
                <w:b/>
                <w:sz w:val="21"/>
                <w:szCs w:val="21"/>
              </w:rPr>
            </w:pPr>
            <w:r>
              <w:rPr>
                <w:rFonts w:hint="eastAsia" w:ascii="宋体" w:hAnsi="宋体" w:eastAsia="宋体" w:cs="宋体"/>
                <w:sz w:val="21"/>
                <w:szCs w:val="21"/>
              </w:rPr>
              <w:t>详见技术需求</w:t>
            </w:r>
          </w:p>
        </w:tc>
        <w:tc>
          <w:tcPr>
            <w:tcW w:w="1099" w:type="dxa"/>
            <w:vAlign w:val="center"/>
          </w:tcPr>
          <w:p>
            <w:pPr>
              <w:tabs>
                <w:tab w:val="left" w:pos="8280"/>
              </w:tabs>
              <w:autoSpaceDE w:val="0"/>
              <w:autoSpaceDN w:val="0"/>
              <w:adjustRightInd w:val="0"/>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1</w:t>
            </w:r>
          </w:p>
        </w:tc>
        <w:tc>
          <w:tcPr>
            <w:tcW w:w="852" w:type="dxa"/>
            <w:vAlign w:val="center"/>
          </w:tcPr>
          <w:p>
            <w:pPr>
              <w:tabs>
                <w:tab w:val="left" w:pos="8280"/>
              </w:tabs>
              <w:autoSpaceDE w:val="0"/>
              <w:autoSpaceDN w:val="0"/>
              <w:adjustRightInd w:val="0"/>
              <w:jc w:val="center"/>
              <w:rPr>
                <w:rFonts w:hint="eastAsia" w:ascii="宋体" w:hAnsi="宋体" w:eastAsia="宋体" w:cs="宋体"/>
                <w:bCs/>
                <w:sz w:val="21"/>
                <w:szCs w:val="21"/>
              </w:rPr>
            </w:pPr>
            <w:r>
              <w:rPr>
                <w:rFonts w:hint="eastAsia" w:ascii="宋体" w:hAnsi="宋体" w:cs="宋体"/>
                <w:bCs/>
                <w:sz w:val="21"/>
                <w:szCs w:val="21"/>
                <w:lang w:val="en-US" w:eastAsia="zh-CN"/>
              </w:rPr>
              <w:t>套</w:t>
            </w:r>
          </w:p>
        </w:tc>
        <w:tc>
          <w:tcPr>
            <w:tcW w:w="1142" w:type="dxa"/>
            <w:vAlign w:val="center"/>
          </w:tcPr>
          <w:p>
            <w:pPr>
              <w:jc w:val="center"/>
              <w:rPr>
                <w:rFonts w:hint="eastAsia" w:ascii="宋体" w:hAnsi="宋体" w:eastAsia="宋体" w:cs="宋体"/>
                <w:bCs/>
                <w:sz w:val="21"/>
                <w:szCs w:val="21"/>
              </w:rPr>
            </w:pPr>
            <w:r>
              <w:rPr>
                <w:rFonts w:hint="eastAsia"/>
                <w:color w:val="auto"/>
                <w:sz w:val="24"/>
                <w:highlight w:val="none"/>
              </w:rPr>
              <w:t>45.596</w:t>
            </w:r>
            <w:r>
              <w:rPr>
                <w:color w:val="auto"/>
                <w:sz w:val="24"/>
                <w:highlight w:val="none"/>
              </w:rPr>
              <w:t>0</w:t>
            </w:r>
          </w:p>
        </w:tc>
        <w:tc>
          <w:tcPr>
            <w:tcW w:w="1203" w:type="dxa"/>
            <w:vAlign w:val="center"/>
          </w:tcPr>
          <w:p>
            <w:pPr>
              <w:jc w:val="center"/>
              <w:rPr>
                <w:rFonts w:hint="eastAsia" w:ascii="宋体" w:hAnsi="宋体" w:eastAsia="宋体" w:cs="宋体"/>
                <w:bCs/>
                <w:kern w:val="2"/>
                <w:sz w:val="21"/>
                <w:szCs w:val="21"/>
                <w:lang w:val="en-US" w:eastAsia="zh-CN" w:bidi="ar-SA"/>
              </w:rPr>
            </w:pPr>
            <w:r>
              <w:rPr>
                <w:rFonts w:hint="eastAsia"/>
                <w:color w:val="auto"/>
                <w:sz w:val="24"/>
                <w:highlight w:val="none"/>
              </w:rPr>
              <w:t>45.596</w:t>
            </w:r>
            <w:r>
              <w:rPr>
                <w:color w:val="auto"/>
                <w:sz w:val="24"/>
                <w:highlight w:val="none"/>
              </w:rPr>
              <w:t>0</w:t>
            </w:r>
          </w:p>
        </w:tc>
      </w:tr>
    </w:tbl>
    <w:p>
      <w:pPr>
        <w:tabs>
          <w:tab w:val="left" w:pos="8280"/>
        </w:tabs>
        <w:autoSpaceDE w:val="0"/>
        <w:autoSpaceDN w:val="0"/>
        <w:adjustRightInd w:val="0"/>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sz w:val="24"/>
        </w:rPr>
        <w:t>二、</w:t>
      </w:r>
      <w:r>
        <w:rPr>
          <w:rFonts w:hint="eastAsia" w:asciiTheme="minorEastAsia" w:hAnsiTheme="minorEastAsia" w:eastAsiaTheme="minorEastAsia"/>
          <w:b/>
          <w:sz w:val="24"/>
          <w:highlight w:val="none"/>
        </w:rPr>
        <w:t>技术需求</w:t>
      </w:r>
    </w:p>
    <w:p>
      <w:pPr>
        <w:keepNext/>
        <w:keepLines/>
        <w:spacing w:before="260" w:after="260" w:line="416" w:lineRule="auto"/>
        <w:contextualSpacing/>
        <w:jc w:val="center"/>
        <w:outlineLvl w:val="1"/>
        <w:rPr>
          <w:rFonts w:hint="eastAsia" w:ascii="宋体" w:hAnsi="宋体"/>
          <w:b/>
          <w:color w:val="auto"/>
          <w:sz w:val="24"/>
          <w:highlight w:val="none"/>
        </w:rPr>
      </w:pPr>
      <w:r>
        <w:rPr>
          <w:rFonts w:hint="eastAsia" w:ascii="宋体" w:hAnsi="宋体"/>
          <w:b/>
          <w:color w:val="auto"/>
          <w:sz w:val="24"/>
          <w:highlight w:val="none"/>
        </w:rPr>
        <w:t>标段一  台州学院智慧校园（2022年）项目全景教室LED环幕系统建设</w:t>
      </w:r>
    </w:p>
    <w:p>
      <w:pPr>
        <w:jc w:val="center"/>
        <w:rPr>
          <w:rFonts w:hint="eastAsia"/>
          <w:color w:val="auto"/>
          <w:highlight w:val="none"/>
        </w:rPr>
      </w:pPr>
      <w:r>
        <w:rPr>
          <w:color w:val="auto"/>
          <w:highlight w:val="none"/>
        </w:rPr>
        <w:drawing>
          <wp:inline distT="0" distB="0" distL="114300" distR="114300">
            <wp:extent cx="5052060" cy="3414395"/>
            <wp:effectExtent l="0" t="0" r="1524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rcRect t="4659" b="6839"/>
                    <a:stretch>
                      <a:fillRect/>
                    </a:stretch>
                  </pic:blipFill>
                  <pic:spPr>
                    <a:xfrm>
                      <a:off x="0" y="0"/>
                      <a:ext cx="5052060" cy="3414395"/>
                    </a:xfrm>
                    <a:prstGeom prst="rect">
                      <a:avLst/>
                    </a:prstGeom>
                    <a:noFill/>
                    <a:ln>
                      <a:noFill/>
                    </a:ln>
                  </pic:spPr>
                </pic:pic>
              </a:graphicData>
            </a:graphic>
          </wp:inline>
        </w:drawing>
      </w:r>
    </w:p>
    <w:p>
      <w:pPr>
        <w:jc w:val="center"/>
        <w:rPr>
          <w:rFonts w:hint="eastAsia"/>
          <w:color w:val="auto"/>
          <w:sz w:val="16"/>
          <w:szCs w:val="20"/>
          <w:highlight w:val="none"/>
        </w:rPr>
      </w:pPr>
      <w:r>
        <w:rPr>
          <w:rFonts w:hint="eastAsia"/>
          <w:color w:val="auto"/>
          <w:sz w:val="16"/>
          <w:szCs w:val="20"/>
          <w:highlight w:val="none"/>
        </w:rPr>
        <w:t>全景教室</w:t>
      </w:r>
    </w:p>
    <w:p>
      <w:pPr>
        <w:spacing w:line="360" w:lineRule="auto"/>
        <w:ind w:firstLine="560" w:firstLineChars="200"/>
        <w:rPr>
          <w:rFonts w:hint="eastAsia" w:ascii="宋体" w:hAnsi="宋体" w:eastAsia="宋体" w:cs="宋体"/>
          <w:bCs/>
          <w:color w:val="auto"/>
          <w:sz w:val="28"/>
          <w:szCs w:val="28"/>
          <w:highlight w:val="none"/>
          <w:lang w:eastAsia="zh-CN"/>
        </w:rPr>
      </w:pPr>
    </w:p>
    <w:p>
      <w:pPr>
        <w:pStyle w:val="6"/>
        <w:rPr>
          <w:rFonts w:hint="eastAsia"/>
          <w:lang w:eastAsia="zh-CN"/>
        </w:rPr>
      </w:pPr>
    </w:p>
    <w:p>
      <w:pPr>
        <w:spacing w:line="360" w:lineRule="auto"/>
        <w:ind w:firstLine="560" w:firstLineChars="200"/>
        <w:rPr>
          <w:rFonts w:hint="eastAsia" w:ascii="宋体" w:hAnsi="宋体" w:cs="宋体"/>
          <w:bCs/>
          <w:color w:val="auto"/>
          <w:sz w:val="28"/>
          <w:szCs w:val="28"/>
          <w:highlight w:val="none"/>
        </w:rPr>
      </w:pP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1、标段一设备清单</w:t>
      </w:r>
    </w:p>
    <w:tbl>
      <w:tblPr>
        <w:tblStyle w:val="20"/>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22"/>
        <w:gridCol w:w="662"/>
        <w:gridCol w:w="1098"/>
        <w:gridCol w:w="2045"/>
        <w:gridCol w:w="1323"/>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8"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序号</w:t>
            </w:r>
          </w:p>
        </w:tc>
        <w:tc>
          <w:tcPr>
            <w:tcW w:w="1822"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采购内容</w:t>
            </w:r>
          </w:p>
        </w:tc>
        <w:tc>
          <w:tcPr>
            <w:tcW w:w="662"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数量</w:t>
            </w:r>
          </w:p>
        </w:tc>
        <w:tc>
          <w:tcPr>
            <w:tcW w:w="1098"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单位</w:t>
            </w:r>
          </w:p>
        </w:tc>
        <w:tc>
          <w:tcPr>
            <w:tcW w:w="2045"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是否为核心产品，若不填则以所占金额比重衡量</w:t>
            </w:r>
          </w:p>
        </w:tc>
        <w:tc>
          <w:tcPr>
            <w:tcW w:w="1323"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是否</w:t>
            </w:r>
          </w:p>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为主要产品</w:t>
            </w:r>
          </w:p>
        </w:tc>
        <w:tc>
          <w:tcPr>
            <w:tcW w:w="1422"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8"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82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66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098"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2045"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323"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42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8"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82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66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098"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2045"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323"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42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82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66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098"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2045"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323"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42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color w:val="auto"/>
                <w:sz w:val="21"/>
                <w:szCs w:val="21"/>
                <w:highlight w:val="none"/>
              </w:rPr>
            </w:pPr>
            <w:r>
              <w:rPr>
                <w:rFonts w:hint="eastAsia"/>
                <w:color w:val="auto"/>
                <w:sz w:val="21"/>
                <w:szCs w:val="21"/>
                <w:highlight w:val="none"/>
              </w:rPr>
              <w:t>1</w:t>
            </w:r>
          </w:p>
        </w:tc>
        <w:tc>
          <w:tcPr>
            <w:tcW w:w="1822" w:type="dxa"/>
            <w:noWrap w:val="0"/>
            <w:vAlign w:val="center"/>
          </w:tcPr>
          <w:p>
            <w:pPr>
              <w:widowControl/>
              <w:jc w:val="center"/>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LED环幕显示屏</w:t>
            </w:r>
          </w:p>
        </w:tc>
        <w:tc>
          <w:tcPr>
            <w:tcW w:w="662"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49.15</w:t>
            </w:r>
          </w:p>
        </w:tc>
        <w:tc>
          <w:tcPr>
            <w:tcW w:w="109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平方米</w:t>
            </w:r>
          </w:p>
        </w:tc>
        <w:tc>
          <w:tcPr>
            <w:tcW w:w="2045"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323"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42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2</w:t>
            </w:r>
          </w:p>
        </w:tc>
        <w:tc>
          <w:tcPr>
            <w:tcW w:w="1822" w:type="dxa"/>
            <w:noWrap w:val="0"/>
            <w:vAlign w:val="center"/>
          </w:tcPr>
          <w:p>
            <w:pPr>
              <w:widowControl/>
              <w:jc w:val="center"/>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2D媒体服务器</w:t>
            </w:r>
          </w:p>
        </w:tc>
        <w:tc>
          <w:tcPr>
            <w:tcW w:w="662"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9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2045"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23"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42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3</w:t>
            </w:r>
          </w:p>
        </w:tc>
        <w:tc>
          <w:tcPr>
            <w:tcW w:w="1822" w:type="dxa"/>
            <w:noWrap w:val="0"/>
            <w:vAlign w:val="center"/>
          </w:tcPr>
          <w:p>
            <w:pPr>
              <w:widowControl/>
              <w:jc w:val="center"/>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lang w:bidi="ar"/>
              </w:rPr>
              <w:t>2D全景还原教学软件</w:t>
            </w:r>
          </w:p>
        </w:tc>
        <w:tc>
          <w:tcPr>
            <w:tcW w:w="662"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9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2045"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323"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42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4</w:t>
            </w:r>
          </w:p>
        </w:tc>
        <w:tc>
          <w:tcPr>
            <w:tcW w:w="1822" w:type="dxa"/>
            <w:noWrap w:val="0"/>
            <w:vAlign w:val="center"/>
          </w:tcPr>
          <w:p>
            <w:pPr>
              <w:widowControl/>
              <w:jc w:val="center"/>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lang w:bidi="ar"/>
              </w:rPr>
              <w:t>视频矩阵</w:t>
            </w:r>
          </w:p>
        </w:tc>
        <w:tc>
          <w:tcPr>
            <w:tcW w:w="662"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9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2045"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23"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42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5</w:t>
            </w:r>
          </w:p>
        </w:tc>
        <w:tc>
          <w:tcPr>
            <w:tcW w:w="1822" w:type="dxa"/>
            <w:noWrap w:val="0"/>
            <w:vAlign w:val="center"/>
          </w:tcPr>
          <w:p>
            <w:pPr>
              <w:widowControl/>
              <w:jc w:val="center"/>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全景中控（Android）软件</w:t>
            </w:r>
          </w:p>
        </w:tc>
        <w:tc>
          <w:tcPr>
            <w:tcW w:w="662"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9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2045"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323"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42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6</w:t>
            </w:r>
          </w:p>
        </w:tc>
        <w:tc>
          <w:tcPr>
            <w:tcW w:w="1822" w:type="dxa"/>
            <w:noWrap w:val="0"/>
            <w:vAlign w:val="center"/>
          </w:tcPr>
          <w:p>
            <w:pPr>
              <w:widowControl/>
              <w:jc w:val="center"/>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接收卡</w:t>
            </w:r>
          </w:p>
        </w:tc>
        <w:tc>
          <w:tcPr>
            <w:tcW w:w="662"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128</w:t>
            </w:r>
          </w:p>
        </w:tc>
        <w:tc>
          <w:tcPr>
            <w:tcW w:w="109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2045"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23" w:type="dxa"/>
            <w:noWrap w:val="0"/>
            <w:vAlign w:val="center"/>
          </w:tcPr>
          <w:p>
            <w:pPr>
              <w:spacing w:line="360" w:lineRule="auto"/>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42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7</w:t>
            </w:r>
          </w:p>
        </w:tc>
        <w:tc>
          <w:tcPr>
            <w:tcW w:w="1822" w:type="dxa"/>
            <w:noWrap w:val="0"/>
            <w:vAlign w:val="center"/>
          </w:tcPr>
          <w:p>
            <w:pPr>
              <w:widowControl/>
              <w:jc w:val="center"/>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发送卡</w:t>
            </w:r>
          </w:p>
        </w:tc>
        <w:tc>
          <w:tcPr>
            <w:tcW w:w="662"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w:t>
            </w:r>
          </w:p>
        </w:tc>
        <w:tc>
          <w:tcPr>
            <w:tcW w:w="109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2045"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23"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42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8</w:t>
            </w:r>
          </w:p>
        </w:tc>
        <w:tc>
          <w:tcPr>
            <w:tcW w:w="1822" w:type="dxa"/>
            <w:noWrap w:val="0"/>
            <w:vAlign w:val="center"/>
          </w:tcPr>
          <w:p>
            <w:pPr>
              <w:widowControl/>
              <w:jc w:val="center"/>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视频拼接器</w:t>
            </w:r>
          </w:p>
        </w:tc>
        <w:tc>
          <w:tcPr>
            <w:tcW w:w="662"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09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台</w:t>
            </w:r>
          </w:p>
        </w:tc>
        <w:tc>
          <w:tcPr>
            <w:tcW w:w="2045"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23"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42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9</w:t>
            </w:r>
          </w:p>
        </w:tc>
        <w:tc>
          <w:tcPr>
            <w:tcW w:w="1822" w:type="dxa"/>
            <w:noWrap w:val="0"/>
            <w:vAlign w:val="center"/>
          </w:tcPr>
          <w:p>
            <w:pPr>
              <w:widowControl/>
              <w:jc w:val="center"/>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电源适配器</w:t>
            </w:r>
          </w:p>
        </w:tc>
        <w:tc>
          <w:tcPr>
            <w:tcW w:w="662"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250</w:t>
            </w:r>
          </w:p>
        </w:tc>
        <w:tc>
          <w:tcPr>
            <w:tcW w:w="109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个</w:t>
            </w:r>
          </w:p>
        </w:tc>
        <w:tc>
          <w:tcPr>
            <w:tcW w:w="2045"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23"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42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10</w:t>
            </w:r>
          </w:p>
        </w:tc>
        <w:tc>
          <w:tcPr>
            <w:tcW w:w="1822" w:type="dxa"/>
            <w:noWrap w:val="0"/>
            <w:vAlign w:val="center"/>
          </w:tcPr>
          <w:p>
            <w:pPr>
              <w:widowControl/>
              <w:jc w:val="center"/>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大屏支架</w:t>
            </w:r>
          </w:p>
        </w:tc>
        <w:tc>
          <w:tcPr>
            <w:tcW w:w="662"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9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2045"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23"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42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11</w:t>
            </w:r>
          </w:p>
        </w:tc>
        <w:tc>
          <w:tcPr>
            <w:tcW w:w="1822" w:type="dxa"/>
            <w:noWrap w:val="0"/>
            <w:vAlign w:val="center"/>
          </w:tcPr>
          <w:p>
            <w:pPr>
              <w:widowControl/>
              <w:jc w:val="center"/>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LED大屏装饰</w:t>
            </w:r>
          </w:p>
        </w:tc>
        <w:tc>
          <w:tcPr>
            <w:tcW w:w="662"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9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2045"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23"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42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12</w:t>
            </w:r>
          </w:p>
        </w:tc>
        <w:tc>
          <w:tcPr>
            <w:tcW w:w="1822" w:type="dxa"/>
            <w:noWrap w:val="0"/>
            <w:vAlign w:val="center"/>
          </w:tcPr>
          <w:p>
            <w:pPr>
              <w:widowControl/>
              <w:jc w:val="center"/>
              <w:rPr>
                <w:rFonts w:hint="eastAsia" w:ascii="宋体" w:hAnsi="宋体" w:cs="宋体"/>
                <w:bCs/>
                <w:color w:val="auto"/>
                <w:kern w:val="0"/>
                <w:sz w:val="21"/>
                <w:szCs w:val="21"/>
                <w:highlight w:val="none"/>
              </w:rPr>
            </w:pPr>
            <w:r>
              <w:rPr>
                <w:rFonts w:hint="eastAsia" w:ascii="宋体" w:hAnsi="宋体" w:cs="宋体"/>
                <w:color w:val="auto"/>
                <w:kern w:val="0"/>
                <w:sz w:val="21"/>
                <w:szCs w:val="21"/>
                <w:highlight w:val="none"/>
              </w:rPr>
              <w:t>大屏配电柜</w:t>
            </w:r>
          </w:p>
        </w:tc>
        <w:tc>
          <w:tcPr>
            <w:tcW w:w="662"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098" w:type="dxa"/>
            <w:noWrap w:val="0"/>
            <w:vAlign w:val="center"/>
          </w:tcPr>
          <w:p>
            <w:pPr>
              <w:widowControl/>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套</w:t>
            </w:r>
          </w:p>
        </w:tc>
        <w:tc>
          <w:tcPr>
            <w:tcW w:w="2045"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23"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42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bl>
    <w:p>
      <w:pPr>
        <w:spacing w:line="360" w:lineRule="auto"/>
        <w:rPr>
          <w:bCs/>
          <w:color w:val="auto"/>
          <w:sz w:val="24"/>
          <w:highlight w:val="none"/>
        </w:rPr>
      </w:pP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2、具体技术参数需求</w:t>
      </w:r>
    </w:p>
    <w:tbl>
      <w:tblPr>
        <w:tblStyle w:val="20"/>
        <w:tblW w:w="9153" w:type="dxa"/>
        <w:tblInd w:w="-30" w:type="dxa"/>
        <w:tblLayout w:type="fixed"/>
        <w:tblCellMar>
          <w:top w:w="15" w:type="dxa"/>
          <w:left w:w="15" w:type="dxa"/>
          <w:bottom w:w="15" w:type="dxa"/>
          <w:right w:w="15" w:type="dxa"/>
        </w:tblCellMar>
      </w:tblPr>
      <w:tblGrid>
        <w:gridCol w:w="818"/>
        <w:gridCol w:w="438"/>
        <w:gridCol w:w="387"/>
        <w:gridCol w:w="538"/>
        <w:gridCol w:w="787"/>
        <w:gridCol w:w="1407"/>
        <w:gridCol w:w="545"/>
        <w:gridCol w:w="3590"/>
        <w:gridCol w:w="643"/>
      </w:tblGrid>
      <w:tr>
        <w:tblPrEx>
          <w:tblCellMar>
            <w:top w:w="15" w:type="dxa"/>
            <w:left w:w="15" w:type="dxa"/>
            <w:bottom w:w="15" w:type="dxa"/>
            <w:right w:w="15" w:type="dxa"/>
          </w:tblCellMar>
        </w:tblPrEx>
        <w:trPr>
          <w:trHeight w:val="540"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货物名称</w:t>
            </w:r>
          </w:p>
        </w:tc>
        <w:tc>
          <w:tcPr>
            <w:tcW w:w="4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数量</w:t>
            </w:r>
          </w:p>
        </w:tc>
        <w:tc>
          <w:tcPr>
            <w:tcW w:w="3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单位</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序号</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pStyle w:val="19"/>
              <w:spacing w:line="240" w:lineRule="auto"/>
              <w:ind w:left="0" w:leftChars="0"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主要性能参数指标★/实质性参数指标▲</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指标项</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指标要求</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其他</w:t>
            </w:r>
          </w:p>
        </w:tc>
      </w:tr>
      <w:tr>
        <w:tblPrEx>
          <w:tblCellMar>
            <w:top w:w="15" w:type="dxa"/>
            <w:left w:w="15" w:type="dxa"/>
            <w:bottom w:w="15" w:type="dxa"/>
            <w:right w:w="15" w:type="dxa"/>
          </w:tblCellMar>
        </w:tblPrEx>
        <w:trPr>
          <w:trHeight w:val="285" w:hRule="atLeast"/>
        </w:trPr>
        <w:tc>
          <w:tcPr>
            <w:tcW w:w="8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LED环幕显示屏</w:t>
            </w:r>
          </w:p>
        </w:tc>
        <w:tc>
          <w:tcPr>
            <w:tcW w:w="43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49.15</w:t>
            </w:r>
          </w:p>
        </w:tc>
        <w:tc>
          <w:tcPr>
            <w:tcW w:w="3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平方米</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top"/>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LED环幕面积</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top"/>
              <w:rPr>
                <w:rFonts w:hint="eastAsia" w:ascii="宋体" w:hAnsi="宋体" w:eastAsia="宋体" w:cs="宋体"/>
                <w:bCs/>
                <w:color w:val="auto"/>
                <w:sz w:val="21"/>
                <w:szCs w:val="21"/>
                <w:highlight w:val="none"/>
              </w:rPr>
            </w:pPr>
            <w:bookmarkStart w:id="39" w:name="_Hlk107743241"/>
            <w:r>
              <w:rPr>
                <w:rFonts w:hint="eastAsia" w:ascii="宋体" w:hAnsi="宋体" w:eastAsia="宋体" w:cs="宋体"/>
                <w:color w:val="auto"/>
                <w:kern w:val="0"/>
                <w:sz w:val="21"/>
                <w:szCs w:val="21"/>
                <w:highlight w:val="none"/>
                <w:lang w:bidi="ar"/>
              </w:rPr>
              <w:t>≥</w:t>
            </w:r>
            <w:bookmarkEnd w:id="39"/>
            <w:r>
              <w:rPr>
                <w:rFonts w:hint="eastAsia" w:ascii="宋体" w:hAnsi="宋体" w:eastAsia="宋体" w:cs="宋体"/>
                <w:color w:val="auto"/>
                <w:kern w:val="0"/>
                <w:sz w:val="21"/>
                <w:szCs w:val="21"/>
                <w:highlight w:val="none"/>
                <w:lang w:bidi="ar"/>
              </w:rPr>
              <w:t>20.48m*2.4m=49.152㎡</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366" w:hRule="atLeast"/>
        </w:trPr>
        <w:tc>
          <w:tcPr>
            <w:tcW w:w="818"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像素间距</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≤1.86mm</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像素点密度</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≥285000（点/㎡）</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亮度</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≥600(cd/㎡）</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769"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峰值功耗（W/m2）不大于</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1000</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平均功耗（W/m2）不大于</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350</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刷新频率</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≥3840Hz</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控制方式</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与计算机及视频同步</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90"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视角</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水平：≥160°；垂直：≥160°</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平均无故障时间</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≥10000小时</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驱动方式</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恒流驱动</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亮度均匀性</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采用逐点亮度校正技术，确保相邻像素之间亮度均匀性≤1%</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灰度等级</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红、绿、蓝灰度非线性纠偏后各1024级；</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灰度校正</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采用灰度技术及反伽马校正技术，校正深度达65536级</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平整度</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整屏&lt;±1mm，模块间拼逢&lt;1mm</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失控点</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&lt;1/10000（出厂时为零）</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杂点率</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&lt;0.0001</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供电要求</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380V±10%，AC50HZ，三相五线制</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连续工作时间</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&gt;1000小时</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亮度调节</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根据环境亮度，自动或手动100级亮度调节，0-100%可调</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21</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图像调节</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单点亮度调节、白平衡调节、对比度调节、色饱和度调节、色温调节</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图像处理</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图像有降噪、增强、运动补偿、色坐标变换处理</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23</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保护技术</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显示屏具有防潮、防腐蚀、防尘、阻燃、抗电磁干扰等功能，并具有过流、短路、过压、欠压保护和防静电的功能</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24</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售后服务承诺</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top"/>
              <w:rPr>
                <w:rFonts w:hint="eastAsia" w:ascii="宋体" w:hAnsi="宋体" w:eastAsia="宋体" w:cs="宋体"/>
                <w:color w:val="auto"/>
                <w:kern w:val="0"/>
                <w:sz w:val="21"/>
                <w:szCs w:val="21"/>
                <w:highlight w:val="none"/>
                <w:lang w:bidi="ar"/>
              </w:rPr>
            </w:pP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rPr>
              <w:t>中标后提供原厂针对本项目的授权文件</w:t>
            </w:r>
            <w:r>
              <w:rPr>
                <w:rFonts w:hint="eastAsia" w:ascii="宋体" w:hAnsi="宋体" w:eastAsia="宋体" w:cs="宋体"/>
                <w:sz w:val="21"/>
                <w:szCs w:val="21"/>
                <w:highlight w:val="none"/>
                <w:lang w:eastAsia="zh-CN"/>
              </w:rPr>
              <w:t>以</w:t>
            </w:r>
            <w:r>
              <w:rPr>
                <w:rFonts w:hint="eastAsia" w:ascii="宋体" w:hAnsi="宋体" w:eastAsia="宋体" w:cs="宋体"/>
                <w:color w:val="auto"/>
                <w:sz w:val="21"/>
                <w:szCs w:val="21"/>
                <w:highlight w:val="none"/>
              </w:rPr>
              <w:t>及三年售后</w:t>
            </w:r>
            <w:r>
              <w:rPr>
                <w:rFonts w:hint="eastAsia" w:ascii="宋体" w:hAnsi="宋体" w:eastAsia="宋体" w:cs="宋体"/>
                <w:color w:val="auto"/>
                <w:sz w:val="21"/>
                <w:szCs w:val="21"/>
                <w:highlight w:val="none"/>
                <w:lang w:val="en-US" w:eastAsia="zh-CN"/>
              </w:rPr>
              <w:t>服务。</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561"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25</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rPr>
            </w:pPr>
          </w:p>
        </w:tc>
        <w:tc>
          <w:tcPr>
            <w:tcW w:w="1407" w:type="dxa"/>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提供配套控制软件</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top"/>
              <w:rPr>
                <w:rFonts w:hint="default" w:ascii="宋体" w:hAnsi="宋体" w:eastAsia="宋体" w:cs="宋体"/>
                <w:color w:val="auto"/>
                <w:sz w:val="21"/>
                <w:szCs w:val="21"/>
                <w:highlight w:val="green"/>
                <w:lang w:val="en-US" w:eastAsia="zh-CN"/>
              </w:rPr>
            </w:pPr>
            <w:r>
              <w:rPr>
                <w:rFonts w:hint="eastAsia" w:ascii="宋体" w:hAnsi="宋体" w:cs="宋体"/>
                <w:color w:val="auto"/>
                <w:kern w:val="0"/>
                <w:sz w:val="21"/>
                <w:szCs w:val="21"/>
                <w:highlight w:val="none"/>
                <w:lang w:val="en-US" w:eastAsia="zh-CN" w:bidi="ar"/>
              </w:rPr>
              <w:t>显示屏的</w:t>
            </w:r>
            <w:r>
              <w:rPr>
                <w:rFonts w:hint="eastAsia" w:ascii="宋体" w:hAnsi="宋体" w:eastAsia="宋体" w:cs="宋体"/>
                <w:color w:val="auto"/>
                <w:kern w:val="0"/>
                <w:sz w:val="21"/>
                <w:szCs w:val="21"/>
                <w:highlight w:val="none"/>
                <w:lang w:bidi="ar"/>
              </w:rPr>
              <w:t>配套控制软件</w:t>
            </w:r>
            <w:r>
              <w:rPr>
                <w:rFonts w:hint="eastAsia" w:ascii="宋体" w:hAnsi="宋体" w:cs="宋体"/>
                <w:color w:val="auto"/>
                <w:kern w:val="0"/>
                <w:sz w:val="21"/>
                <w:szCs w:val="21"/>
                <w:highlight w:val="none"/>
                <w:lang w:val="en-US" w:eastAsia="zh-CN" w:bidi="ar"/>
              </w:rPr>
              <w:t>需满足以下要求：</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color w:val="auto"/>
              </w:rPr>
              <w:t>此项不参与扣分</w:t>
            </w: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25-1</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系统具备 C/S 和 B/S 结构，可通过客户端软件、平板和浏览器对大屏系统进行统一管理，包括大屏门户、 场景配置、预案切换、远程操控、 信号控制、 一键上墙、内容切换、多屏互动、窗口叠加/拼接/漫游/放大/缩小/移动/关闭等操作；支持查看信号源实时画面，实时查看大屏中正在播放的内容等功能</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（提供检测报告并加盖公章）</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支持拼控器、播控主机、PC主机、中控主机设备增删改查的统一管理；支持查看播控主机、 PC 主机、中控主机设备的在线/离线状态；支持通过平台远程重启、更新播控主机的程序；支持场景关联播控主机的开关量模式</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（提供检测报告并加盖公章）</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90"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25-3</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支持查看指定屏幕场景的播放状态，可添加、修改、删除、切换场景，并且可将场景关联中控模式，使场景与灯光、空调、投影等设备开关量模式联动</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（提供检测报告并加盖公章）</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304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25-4</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支持将网页、程序包、图片、视频、 PPT、Word 文档、 Excel、 PDF、文本等内容窗口拖动到大屏中，每种类型窗口可添加多个文件，可设置内容文件播放时长，内容播放顺序等属性；支持实时查看大屏显示的内容，可远程操控数据可视化面板、AR 客户端、VR 网页端、第三方业务系统等</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（提供检测报告并加盖公章）</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452"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25-5</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大屏上支持显示配置好的门户，作为统一的门户入口，可控制单块或多块屏幕一起切换；支持自定义设置门户标题、背景图片、菜单名称、菜单图片、菜单链接内容，包含页面、场景、二级门户等</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（提供检测报告并加盖公章）</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881"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25-6</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可控制大屏的智能控制功能，包括广告、会议、监控、护眼模式的开启屏保，以及对具有除湿功能的大屏进行除湿</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（提供检测报告并加盖公章）</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3"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25-7</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支持可视化展示播控主机、屏幕、拼控器、中控主机、 PC 主机等设备的在离线统计信息以及播控主机的页面数量、分辨率、温度、稳定运行时长、设备告警等信息</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（提供检测报告并加盖公章）</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426"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25-8</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支持屏幕、网页、窗口等类型投屏，不需要外接物理线缆；通过电脑/平板远程控制播控主机，并可实时显示画面，支持设置抓屏区域的分辨率，可设置为7680×2160、 3840×2160、 2736×1824、 1920×1080、 1280×720</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（提供检测报告并加盖公章）</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25-9</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支持通过平板设置大屏门户菜单，可切换屏幕进行内容显示；支持通过门户菜单实现对大屏内容显示的导航操作；支持控制正在播放视频的进度，启动、停止播放；支持在平板上进行 PPT 上一页、下一页等操作；支持同步 WEB 端平台添加的所有内容，可实时切换大屏中显示的网页、视频、图片等；支持查看场景详情；支持拖动信号源至场景，可设置该信号窗口的大小、位置、置顶、放大/还原、层级等；支持查看场景下的信号源列表；支持查看预案、启动预案、停止预案；支持通过鹰眼视图框选大屏局部进行查看和控制；支持查看服务器 cpu、 gpu、内存参数；可实时查看大屏正在播放内容；可在播放信号源内容之前进行预查看，不影响大屏内容当前显示的内容；支持实时查看大屏显示的内容，可远程操控数据可视化面板、AR 客户端、VR 网页端、第三方业务系统等。（提供检测报告并加盖公章）</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25-10</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软件平台采用模块化设计，实现实时浏览、录像回放、大屏管理、字幕管理、中控管理、音频配置、信息发布等系统互联互通，在同一平台下可对不同功能模块进行操作，实现统一管理</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25-11</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提供操作提示，每一步操作成功或失败都会有弹框提醒，并有日志记录</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25-12</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支持可编程中控功能，通过对系统的编程配合周边的功能扩展模块，可实现灯光、音箱、投影、幕布、空调、窗帘、大屏等统一控制，支持模式切换</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25-13</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支持大屏预编辑功能，在不影响大屏显示的前提下进行后台布局</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406"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25-14</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120"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支持一键将本地电脑桌面，投放到大屏上显示</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25-15</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可对 PLC 配电箱单台控制或多台级联控制；统一配置配电箱控制时，支持大屏系统一键开关机，并可设置定时开关机</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818" w:type="dxa"/>
            <w:vMerge w:val="restart"/>
            <w:tcBorders>
              <w:top w:val="single" w:color="auto"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2D媒体服务器</w:t>
            </w:r>
          </w:p>
        </w:tc>
        <w:tc>
          <w:tcPr>
            <w:tcW w:w="438" w:type="dxa"/>
            <w:vMerge w:val="restart"/>
            <w:tcBorders>
              <w:top w:val="single" w:color="auto" w:sz="4" w:space="0"/>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87" w:type="dxa"/>
            <w:vMerge w:val="restart"/>
            <w:tcBorders>
              <w:top w:val="single" w:color="auto" w:sz="4" w:space="0"/>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1</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CPU和主板</w:t>
            </w:r>
          </w:p>
        </w:tc>
        <w:tc>
          <w:tcPr>
            <w:tcW w:w="413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处理器</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i9-10920X</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主板</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X299系列高性能主板</w:t>
            </w:r>
            <w:r>
              <w:rPr>
                <w:rFonts w:hint="eastAsia"/>
                <w:color w:val="auto"/>
                <w:highlight w:val="none"/>
                <w:lang w:eastAsia="zh-CN"/>
              </w:rPr>
              <w:t>。</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62" w:hRule="atLeast"/>
        </w:trPr>
        <w:tc>
          <w:tcPr>
            <w:tcW w:w="81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2</w:t>
            </w:r>
          </w:p>
        </w:tc>
        <w:tc>
          <w:tcPr>
            <w:tcW w:w="787"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显卡</w:t>
            </w:r>
          </w:p>
        </w:tc>
        <w:tc>
          <w:tcPr>
            <w:tcW w:w="4135" w:type="dxa"/>
            <w:gridSpan w:val="2"/>
            <w:tcBorders>
              <w:top w:val="single" w:color="000000" w:sz="4" w:space="0"/>
              <w:left w:val="single" w:color="000000" w:sz="4" w:space="0"/>
              <w:bottom w:val="single" w:color="auto" w:sz="4" w:space="0"/>
              <w:right w:val="single" w:color="000000" w:sz="4" w:space="0"/>
            </w:tcBorders>
            <w:noWrap w:val="0"/>
            <w:vAlign w:val="center"/>
          </w:tcPr>
          <w:p>
            <w:pPr>
              <w:spacing w:after="120" w:line="240" w:lineRule="auto"/>
              <w:jc w:val="left"/>
              <w:rPr>
                <w:rFonts w:hint="eastAsia" w:ascii="宋体" w:hAnsi="宋体" w:eastAsia="宋体" w:cs="宋体"/>
                <w:bCs/>
                <w:color w:val="auto"/>
                <w:sz w:val="21"/>
                <w:szCs w:val="21"/>
                <w:highlight w:val="none"/>
              </w:rPr>
            </w:pP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RTX4000，显存</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8GB GDDR6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显存位宽</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256bit</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接口</w:t>
            </w:r>
            <w:r>
              <w:rPr>
                <w:rFonts w:hint="eastAsia" w:ascii="宋体" w:hAnsi="宋体" w:cs="宋体"/>
                <w:color w:val="auto"/>
                <w:sz w:val="21"/>
                <w:szCs w:val="21"/>
                <w:highlight w:val="none"/>
                <w:lang w:eastAsia="zh-CN"/>
              </w:rPr>
              <w:t>：</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3×Display Port，1×USB-C，支持DP 1.4</w:t>
            </w:r>
            <w:r>
              <w:rPr>
                <w:rFonts w:hint="eastAsia" w:ascii="宋体" w:hAnsi="宋体" w:cs="宋体"/>
                <w:color w:val="auto"/>
                <w:sz w:val="21"/>
                <w:szCs w:val="21"/>
                <w:highlight w:val="none"/>
                <w:lang w:eastAsia="zh-CN"/>
              </w:rPr>
              <w:t>；</w:t>
            </w:r>
          </w:p>
        </w:tc>
        <w:tc>
          <w:tcPr>
            <w:tcW w:w="643"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62" w:hRule="atLeast"/>
        </w:trPr>
        <w:tc>
          <w:tcPr>
            <w:tcW w:w="81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787"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内存</w:t>
            </w:r>
          </w:p>
        </w:tc>
        <w:tc>
          <w:tcPr>
            <w:tcW w:w="4135" w:type="dxa"/>
            <w:gridSpan w:val="2"/>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32G内存，频速：</w:t>
            </w: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DDR4-2666</w:t>
            </w:r>
          </w:p>
        </w:tc>
        <w:tc>
          <w:tcPr>
            <w:tcW w:w="643"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62" w:hRule="atLeast"/>
        </w:trPr>
        <w:tc>
          <w:tcPr>
            <w:tcW w:w="81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787"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硬盘</w:t>
            </w:r>
          </w:p>
        </w:tc>
        <w:tc>
          <w:tcPr>
            <w:tcW w:w="4135" w:type="dxa"/>
            <w:gridSpan w:val="2"/>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default" w:ascii="Arial" w:hAnsi="Arial" w:eastAsia="宋体" w:cs="Arial"/>
                <w:color w:val="auto"/>
                <w:sz w:val="21"/>
                <w:szCs w:val="21"/>
                <w:highlight w:val="none"/>
              </w:rPr>
              <w:t>≥</w:t>
            </w:r>
            <w:r>
              <w:rPr>
                <w:rFonts w:hint="eastAsia" w:ascii="宋体" w:hAnsi="宋体" w:eastAsia="宋体" w:cs="宋体"/>
                <w:color w:val="auto"/>
                <w:sz w:val="21"/>
                <w:szCs w:val="21"/>
                <w:highlight w:val="none"/>
              </w:rPr>
              <w:t>1T固态硬盘</w:t>
            </w:r>
          </w:p>
        </w:tc>
        <w:tc>
          <w:tcPr>
            <w:tcW w:w="643"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62" w:hRule="atLeast"/>
        </w:trPr>
        <w:tc>
          <w:tcPr>
            <w:tcW w:w="81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p>
        </w:tc>
        <w:tc>
          <w:tcPr>
            <w:tcW w:w="787"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电源</w:t>
            </w:r>
          </w:p>
        </w:tc>
        <w:tc>
          <w:tcPr>
            <w:tcW w:w="4135" w:type="dxa"/>
            <w:gridSpan w:val="2"/>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900W以上电源</w:t>
            </w:r>
          </w:p>
        </w:tc>
        <w:tc>
          <w:tcPr>
            <w:tcW w:w="643"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62" w:hRule="atLeast"/>
        </w:trPr>
        <w:tc>
          <w:tcPr>
            <w:tcW w:w="81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787"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w:t>
            </w:r>
          </w:p>
        </w:tc>
        <w:tc>
          <w:tcPr>
            <w:tcW w:w="4135" w:type="dxa"/>
            <w:gridSpan w:val="2"/>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装配4路高清HDMI采集卡2张共8路，支持DVI 1.0、HDMI 1.4a，支持Windows 7及以上、Linux（内核版本2.6.35及以上）、Mac OS X 10.9及以上操作系统，输入视频最高支持 2048x2160 分辨率，支持自定义的 EDID，支持全比色法，支持 8/10/12-bit 色彩深度，支持提取 3D 格式信息，采集帧率最高可支持 144fps，支持自动检测 Intel GPU 块状图像表面，支持 AMD GPU 的 DirectGMA，支持 Nvidia GPU 的 GPUDirect</w:t>
            </w:r>
          </w:p>
        </w:tc>
        <w:tc>
          <w:tcPr>
            <w:tcW w:w="643" w:type="dxa"/>
            <w:tcBorders>
              <w:top w:val="single" w:color="000000"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证书</w:t>
            </w: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需提供节能证书</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restart"/>
            <w:tcBorders>
              <w:top w:val="single" w:color="auto"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2D全景还原教学软件</w:t>
            </w:r>
          </w:p>
        </w:tc>
        <w:tc>
          <w:tcPr>
            <w:tcW w:w="438" w:type="dxa"/>
            <w:vMerge w:val="restart"/>
            <w:tcBorders>
              <w:top w:val="single" w:color="auto" w:sz="4" w:space="0"/>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1</w:t>
            </w:r>
          </w:p>
        </w:tc>
        <w:tc>
          <w:tcPr>
            <w:tcW w:w="387" w:type="dxa"/>
            <w:vMerge w:val="restart"/>
            <w:tcBorders>
              <w:top w:val="single" w:color="auto" w:sz="4" w:space="0"/>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套</w:t>
            </w: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restart"/>
            <w:tcBorders>
              <w:top w:val="single" w:color="auto"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授课模式</w:t>
            </w: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支持展示常规分辨率和长宽比的课件内容（1280*720、1920*1080等）</w:t>
            </w:r>
          </w:p>
        </w:tc>
        <w:tc>
          <w:tcPr>
            <w:tcW w:w="643" w:type="dxa"/>
            <w:vMerge w:val="restart"/>
            <w:tcBorders>
              <w:top w:val="single" w:color="auto"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该软件属于全景教室环幕2D显示系统必备配套软件</w:t>
            </w: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可以根据不同课程的授课场景需要，在教室内切换不同的授课主题模式（包括在环幕上展示分辨率≥10240*1200的主题背景，直播互动状态下，可根据不同互动模式显示远端或本地画面）</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restart"/>
            <w:tcBorders>
              <w:top w:val="single" w:color="auto"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小组模式</w:t>
            </w: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支持4个研讨式小组布置下的教学模式，每个小组可根据不同场景需求，实现不同投屏展示效果</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支持不同类型智能终端设备系统的原生投屏功能（如常见的Android、iPhone、iPad、Windows等设备，无需额外安装软件或者APP应用）</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2-3</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支持1920*1080分辨率的视频投屏，并保证音视频同步播放</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支持老师通过中控平板控制两个小组的音源同时输出</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支持在直播互动状态下远端教室画面和声音展示和播放</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597"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restart"/>
            <w:tcBorders>
              <w:top w:val="single" w:color="auto"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全景模式</w:t>
            </w: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支持全景图片、全景视频、三维模型、场景互动课件等媒体资源的展示</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3-</w:t>
            </w:r>
            <w:r>
              <w:rPr>
                <w:rFonts w:hint="eastAsia" w:ascii="宋体" w:hAnsi="宋体" w:cs="宋体"/>
                <w:bCs/>
                <w:color w:val="auto"/>
                <w:kern w:val="0"/>
                <w:sz w:val="21"/>
                <w:szCs w:val="21"/>
                <w:highlight w:val="none"/>
                <w:lang w:val="en-US" w:eastAsia="zh-CN"/>
              </w:rPr>
              <w:t>2</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支持通过中控平板实现全景</w:t>
            </w:r>
            <w:r>
              <w:rPr>
                <w:rFonts w:hint="eastAsia" w:ascii="宋体" w:hAnsi="宋体" w:cs="宋体"/>
                <w:color w:val="auto"/>
                <w:kern w:val="0"/>
                <w:sz w:val="21"/>
                <w:szCs w:val="21"/>
                <w:highlight w:val="none"/>
                <w:lang w:val="en-US" w:eastAsia="zh-CN" w:bidi="ar"/>
              </w:rPr>
              <w:t>图片</w:t>
            </w:r>
            <w:r>
              <w:rPr>
                <w:rFonts w:hint="eastAsia" w:ascii="宋体" w:hAnsi="宋体" w:eastAsia="宋体" w:cs="宋体"/>
                <w:color w:val="auto"/>
                <w:kern w:val="0"/>
                <w:sz w:val="21"/>
                <w:szCs w:val="21"/>
                <w:highlight w:val="none"/>
                <w:lang w:bidi="ar"/>
              </w:rPr>
              <w:t>类资源的360°水平旋转和一定角度的上下拖动功能</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3-</w:t>
            </w:r>
            <w:r>
              <w:rPr>
                <w:rFonts w:hint="eastAsia" w:ascii="宋体" w:hAnsi="宋体" w:cs="宋体"/>
                <w:bCs/>
                <w:color w:val="auto"/>
                <w:kern w:val="0"/>
                <w:sz w:val="21"/>
                <w:szCs w:val="21"/>
                <w:highlight w:val="none"/>
                <w:lang w:val="en-US" w:eastAsia="zh-CN"/>
              </w:rPr>
              <w:t>3</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支持H.264编码的全景2D视频资源的最高规格≥15000*2200|30fps|300Mbps，支持H.265编码的全景2D视频资源的最高规格≥13000*2000|30fps|100Mbps；支持JPG、PNG全景图片类资源的最高分辨率≥16000*2200</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3-</w:t>
            </w:r>
            <w:r>
              <w:rPr>
                <w:rFonts w:hint="eastAsia" w:ascii="宋体" w:hAnsi="宋体" w:cs="宋体"/>
                <w:bCs/>
                <w:color w:val="auto"/>
                <w:kern w:val="0"/>
                <w:sz w:val="21"/>
                <w:szCs w:val="21"/>
                <w:highlight w:val="none"/>
                <w:lang w:val="en-US" w:eastAsia="zh-CN"/>
              </w:rPr>
              <w:t>4</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支持互动场景课件资源，实现情景化的互动授课体验，可以对在场景内指定互动点，并为互动点添加讲解内容</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3-</w:t>
            </w:r>
            <w:r>
              <w:rPr>
                <w:rFonts w:hint="eastAsia" w:ascii="宋体" w:hAnsi="宋体" w:cs="宋体"/>
                <w:bCs/>
                <w:color w:val="auto"/>
                <w:kern w:val="0"/>
                <w:sz w:val="21"/>
                <w:szCs w:val="21"/>
                <w:highlight w:val="none"/>
                <w:lang w:val="en-US" w:eastAsia="zh-CN"/>
              </w:rPr>
              <w:t>5</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支持在教室环幕上展示三维模型，实现模型的360°全方位无死角展示，让学生对展示模型的外观和特点有更直观和全面的了解，使用目前流行的行业标准unity3d技术，支持展示多种交互特效和动画效果</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3-</w:t>
            </w:r>
            <w:r>
              <w:rPr>
                <w:rFonts w:hint="eastAsia" w:ascii="宋体" w:hAnsi="宋体" w:cs="宋体"/>
                <w:bCs/>
                <w:color w:val="auto"/>
                <w:kern w:val="0"/>
                <w:sz w:val="21"/>
                <w:szCs w:val="21"/>
                <w:highlight w:val="none"/>
                <w:lang w:val="en-US" w:eastAsia="zh-CN"/>
              </w:rPr>
              <w:t>6</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val="en-US" w:eastAsia="zh-CN" w:bidi="ar"/>
              </w:rPr>
              <w:t>支</w:t>
            </w:r>
            <w:r>
              <w:rPr>
                <w:rFonts w:hint="eastAsia" w:ascii="宋体" w:hAnsi="宋体" w:eastAsia="宋体" w:cs="宋体"/>
                <w:color w:val="auto"/>
                <w:kern w:val="0"/>
                <w:sz w:val="21"/>
                <w:szCs w:val="21"/>
                <w:highlight w:val="none"/>
                <w:lang w:bidi="ar"/>
              </w:rPr>
              <w:t>持使用中控平板作为操作端对各种三维模型进行各种实时的功能性操作</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-1</w:t>
            </w:r>
          </w:p>
        </w:tc>
        <w:tc>
          <w:tcPr>
            <w:tcW w:w="787" w:type="dxa"/>
            <w:tcBorders>
              <w:top w:val="single" w:color="auto" w:sz="4" w:space="0"/>
              <w:left w:val="single" w:color="000000"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基础功能</w:t>
            </w:r>
          </w:p>
        </w:tc>
        <w:tc>
          <w:tcPr>
            <w:tcW w:w="545"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旋转功能</w:t>
            </w:r>
          </w:p>
        </w:tc>
        <w:tc>
          <w:tcPr>
            <w:tcW w:w="3590"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可通过中控平板控制环幕上指定的模型实现旋转效果</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-2</w:t>
            </w:r>
          </w:p>
        </w:tc>
        <w:tc>
          <w:tcPr>
            <w:tcW w:w="787" w:type="dxa"/>
            <w:tcBorders>
              <w:top w:val="single" w:color="auto" w:sz="4" w:space="0"/>
              <w:left w:val="single" w:color="000000"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545"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缩放功能</w:t>
            </w:r>
          </w:p>
        </w:tc>
        <w:tc>
          <w:tcPr>
            <w:tcW w:w="3590"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可通过中控平板控制环幕上指定模型实现缩放效果</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-3</w:t>
            </w:r>
          </w:p>
        </w:tc>
        <w:tc>
          <w:tcPr>
            <w:tcW w:w="787" w:type="dxa"/>
            <w:tcBorders>
              <w:top w:val="single" w:color="auto" w:sz="4" w:space="0"/>
              <w:left w:val="single" w:color="000000"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545"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移动功能</w:t>
            </w:r>
          </w:p>
        </w:tc>
        <w:tc>
          <w:tcPr>
            <w:tcW w:w="3590"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可通过中控平板控制环幕上指定模型实现移动效果（上下左右移动）</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498"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-4</w:t>
            </w:r>
          </w:p>
        </w:tc>
        <w:tc>
          <w:tcPr>
            <w:tcW w:w="787" w:type="dxa"/>
            <w:tcBorders>
              <w:top w:val="single" w:color="auto" w:sz="4" w:space="0"/>
              <w:left w:val="single" w:color="000000"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自定义功能（不同模型支持不同的特殊功能）</w:t>
            </w:r>
          </w:p>
        </w:tc>
        <w:tc>
          <w:tcPr>
            <w:tcW w:w="545"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拆卸功能</w:t>
            </w:r>
          </w:p>
        </w:tc>
        <w:tc>
          <w:tcPr>
            <w:tcW w:w="3590"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可通过中控平板控制环幕上的三维模型，若选择的是模型整体那么就会拆卸模型上的所有子模型，如果选择的是单个子模型零件则会拆卸该单个子模型零件</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9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r>
              <w:rPr>
                <w:rFonts w:hint="eastAsia" w:ascii="宋体" w:hAnsi="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-5</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vMerge w:val="continue"/>
            <w:tcBorders>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54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合成功能</w:t>
            </w:r>
          </w:p>
        </w:tc>
        <w:tc>
          <w:tcPr>
            <w:tcW w:w="3590" w:type="dxa"/>
            <w:tcBorders>
              <w:top w:val="single" w:color="auto" w:sz="4" w:space="0"/>
              <w:left w:val="single" w:color="000000" w:sz="4" w:space="0"/>
              <w:bottom w:val="single" w:color="auto" w:sz="4" w:space="0"/>
              <w:right w:val="single" w:color="000000" w:sz="4" w:space="0"/>
            </w:tcBorders>
            <w:noWrap w:val="0"/>
            <w:vAlign w:val="center"/>
          </w:tcPr>
          <w:p>
            <w:pPr>
              <w:spacing w:after="120"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可通过中控平板一键合成三维模型整体</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cs="宋体"/>
                <w:bCs/>
                <w:color w:val="auto"/>
                <w:kern w:val="0"/>
                <w:sz w:val="21"/>
                <w:szCs w:val="21"/>
                <w:highlight w:val="none"/>
                <w:lang w:val="en-US" w:eastAsia="zh-CN"/>
              </w:rPr>
              <w:t>4</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测试</w:t>
            </w:r>
            <w:r>
              <w:rPr>
                <w:rFonts w:hint="eastAsia" w:ascii="宋体" w:hAnsi="宋体" w:eastAsia="宋体" w:cs="宋体"/>
                <w:bCs/>
                <w:color w:val="auto"/>
                <w:sz w:val="21"/>
                <w:szCs w:val="21"/>
                <w:highlight w:val="none"/>
              </w:rPr>
              <w:t>报告</w:t>
            </w: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提供软件</w:t>
            </w:r>
            <w:r>
              <w:rPr>
                <w:rFonts w:hint="eastAsia" w:ascii="宋体" w:hAnsi="宋体" w:cs="宋体"/>
                <w:color w:val="auto"/>
                <w:kern w:val="0"/>
                <w:sz w:val="21"/>
                <w:szCs w:val="21"/>
                <w:highlight w:val="none"/>
                <w:lang w:eastAsia="zh-CN" w:bidi="ar"/>
              </w:rPr>
              <w:t>测试</w:t>
            </w:r>
            <w:r>
              <w:rPr>
                <w:rFonts w:hint="eastAsia" w:ascii="宋体" w:hAnsi="宋体" w:eastAsia="宋体" w:cs="宋体"/>
                <w:color w:val="auto"/>
                <w:kern w:val="0"/>
                <w:sz w:val="21"/>
                <w:szCs w:val="21"/>
                <w:highlight w:val="none"/>
                <w:lang w:bidi="ar"/>
              </w:rPr>
              <w:t>报告并加盖公章</w:t>
            </w:r>
          </w:p>
        </w:tc>
        <w:tc>
          <w:tcPr>
            <w:tcW w:w="643"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restart"/>
            <w:tcBorders>
              <w:top w:val="single" w:color="auto"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视频矩阵</w:t>
            </w:r>
          </w:p>
        </w:tc>
        <w:tc>
          <w:tcPr>
            <w:tcW w:w="438" w:type="dxa"/>
            <w:vMerge w:val="restart"/>
            <w:tcBorders>
              <w:top w:val="single" w:color="auto" w:sz="4" w:space="0"/>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1</w:t>
            </w:r>
          </w:p>
        </w:tc>
        <w:tc>
          <w:tcPr>
            <w:tcW w:w="387" w:type="dxa"/>
            <w:vMerge w:val="restart"/>
            <w:tcBorders>
              <w:top w:val="single" w:color="auto" w:sz="4" w:space="0"/>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套</w:t>
            </w: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视频矩阵为HDMI矩阵，8个HDMI输入端口，8个HDMI输出端口</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w:t>
            </w: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支持无缝切换功能(Seamless Switch™) –保证不同分辨率、不同输入信号切换时、无黑屏、无闪烁情况出现(毫秒级别的快速切换)（需提供证明材料并加盖公章）</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EDID设定模式，确保在不同屏幕上拥有最佳分辨率和顺畅的画面显示</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w:t>
            </w: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多重操作方式：可通过前面板按键、红外线遥控器、RS-232控制器以及以太网络联机(Telnet /网络图形化用户界面)操控（需提供证明材料并加盖公章）</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支持480p、720p、1080i和1080p(1920x1080)分辨率</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支持Dolby True HD和DTS HD Master audio；</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7.视频最大传输速率：6.75Gbps（每通道2.25Gbps），最大时钟频率225MHz</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视频最大传输速率：6.75Gbps（每通道2.25Gbps），最大时钟频率225MHz</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支持长距离信号传输，最远可达15米</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内建双向RS-232串口连接端口，可用于高阶系统控制</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HDMI静电保护</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支持CEC</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支持红外线信号传输</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采用机架式设计</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w:t>
            </w: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为方便管理人员可随时通过个人设备如手机或PAD来管理该设备，要求为该设备</w:t>
            </w:r>
            <w:r>
              <w:rPr>
                <w:rFonts w:hint="eastAsia" w:ascii="宋体" w:hAnsi="宋体" w:eastAsia="宋体" w:cs="宋体"/>
                <w:color w:val="auto"/>
                <w:kern w:val="0"/>
                <w:sz w:val="21"/>
                <w:szCs w:val="21"/>
                <w:highlight w:val="none"/>
                <w:lang w:bidi="ar"/>
              </w:rPr>
              <w:t>提供相应影音管理App，需同时支持IOS和安卓系统</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（提供一份相对应的官网截图证明文件并加盖公章）</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为方便管理人员可集中管理现有及未来设备，要求该设备必须接入原有在使用的全球影音系统管理平台Unizon，需提供该平台可兼容的产品及型号。（提供一份相对应的官网截图证明文件并加盖公章）</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kern w:val="0"/>
                <w:sz w:val="21"/>
                <w:szCs w:val="21"/>
                <w:highlight w:val="none"/>
                <w:lang w:bidi="ar"/>
              </w:rPr>
            </w:pPr>
          </w:p>
        </w:tc>
        <w:tc>
          <w:tcPr>
            <w:tcW w:w="43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387"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16.提供FCC、RoHS、CE、CCC、ISO14001认证</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w:t>
            </w:r>
          </w:p>
        </w:tc>
        <w:tc>
          <w:tcPr>
            <w:tcW w:w="787"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w:t>
            </w:r>
          </w:p>
        </w:tc>
        <w:tc>
          <w:tcPr>
            <w:tcW w:w="140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rPr>
              <w:t>中标后</w:t>
            </w:r>
            <w:r>
              <w:rPr>
                <w:rFonts w:hint="eastAsia" w:ascii="宋体" w:hAnsi="宋体" w:eastAsia="宋体" w:cs="宋体"/>
                <w:color w:val="auto"/>
                <w:kern w:val="0"/>
                <w:sz w:val="21"/>
                <w:szCs w:val="21"/>
                <w:highlight w:val="none"/>
                <w:lang w:bidi="ar"/>
              </w:rPr>
              <w:t>提供原厂授权</w:t>
            </w:r>
            <w:r>
              <w:rPr>
                <w:rFonts w:hint="eastAsia" w:ascii="宋体" w:hAnsi="宋体" w:eastAsia="宋体" w:cs="宋体"/>
                <w:color w:val="auto"/>
                <w:kern w:val="0"/>
                <w:sz w:val="21"/>
                <w:szCs w:val="21"/>
                <w:highlight w:val="none"/>
                <w:lang w:eastAsia="zh-CN" w:bidi="ar"/>
              </w:rPr>
              <w:t>文件</w:t>
            </w:r>
          </w:p>
        </w:tc>
        <w:tc>
          <w:tcPr>
            <w:tcW w:w="643" w:type="dxa"/>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312" w:hRule="atLeast"/>
        </w:trPr>
        <w:tc>
          <w:tcPr>
            <w:tcW w:w="818"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全景中控（Android）软件</w:t>
            </w:r>
          </w:p>
        </w:tc>
        <w:tc>
          <w:tcPr>
            <w:tcW w:w="43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87"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支持一键开启、关闭全景教室内所有设备；</w:t>
            </w:r>
          </w:p>
        </w:tc>
        <w:tc>
          <w:tcPr>
            <w:tcW w:w="643"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与</w:t>
            </w:r>
            <w:r>
              <w:rPr>
                <w:rFonts w:hint="eastAsia" w:ascii="宋体" w:hAnsi="宋体" w:eastAsia="宋体" w:cs="宋体"/>
                <w:color w:val="auto"/>
                <w:kern w:val="0"/>
                <w:sz w:val="21"/>
                <w:szCs w:val="21"/>
                <w:highlight w:val="none"/>
                <w:lang w:bidi="ar"/>
              </w:rPr>
              <w:t>环幕2D教学资源还原软件配套使用，方便教师快速展示全景图片、全景视频、三维模型、场景互动课件等媒体资源</w:t>
            </w:r>
            <w:r>
              <w:rPr>
                <w:rFonts w:hint="eastAsia" w:ascii="宋体" w:hAnsi="宋体" w:eastAsia="宋体" w:cs="宋体"/>
                <w:color w:val="auto"/>
                <w:sz w:val="21"/>
                <w:szCs w:val="21"/>
                <w:highlight w:val="none"/>
              </w:rPr>
              <w:t>。</w:t>
            </w: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支持在首页面显示教室内主要设备状态，可以实时查看设备是否配置、是否开机；</w:t>
            </w:r>
          </w:p>
        </w:tc>
        <w:tc>
          <w:tcPr>
            <w:tcW w:w="64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支持配置指定WiFi，而且当WiFi连接错误时主动提示；</w:t>
            </w:r>
          </w:p>
        </w:tc>
        <w:tc>
          <w:tcPr>
            <w:tcW w:w="64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支持控制小组讨论模式和投屏方式（笔记本、投屏器、课件信号）；</w:t>
            </w:r>
          </w:p>
        </w:tc>
        <w:tc>
          <w:tcPr>
            <w:tcW w:w="64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支持在授课模式和全景模式下均可更换教室全景环幕默认背景；</w:t>
            </w:r>
          </w:p>
        </w:tc>
        <w:tc>
          <w:tcPr>
            <w:tcW w:w="64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支持对当前播放的视频进行进度控制和音量控制；</w:t>
            </w:r>
          </w:p>
        </w:tc>
        <w:tc>
          <w:tcPr>
            <w:tcW w:w="64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支持对三维模型资源的拆解、旋转、放大缩小、移动；</w:t>
            </w:r>
          </w:p>
        </w:tc>
        <w:tc>
          <w:tcPr>
            <w:tcW w:w="64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支持对互动资源的指定位置进行注释讲解和视频讲解；</w:t>
            </w:r>
          </w:p>
        </w:tc>
        <w:tc>
          <w:tcPr>
            <w:tcW w:w="64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支持中控平板与一体机、助教软件间的实时状态同步；</w:t>
            </w:r>
          </w:p>
        </w:tc>
        <w:tc>
          <w:tcPr>
            <w:tcW w:w="64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支持在互动资源的讲解过程中定位讲解点的位置。</w:t>
            </w:r>
          </w:p>
        </w:tc>
        <w:tc>
          <w:tcPr>
            <w:tcW w:w="64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9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支持在互动资源的讲解过程中定位讲解点的位置。</w:t>
            </w:r>
          </w:p>
        </w:tc>
        <w:tc>
          <w:tcPr>
            <w:tcW w:w="643"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1</w:t>
            </w:r>
            <w:r>
              <w:rPr>
                <w:rFonts w:hint="eastAsia" w:ascii="宋体" w:hAnsi="宋体" w:cs="宋体"/>
                <w:bCs/>
                <w:color w:val="auto"/>
                <w:kern w:val="0"/>
                <w:sz w:val="21"/>
                <w:szCs w:val="21"/>
                <w:highlight w:val="none"/>
                <w:lang w:val="en-US" w:eastAsia="zh-CN"/>
              </w:rPr>
              <w:t>2</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测试</w:t>
            </w:r>
            <w:r>
              <w:rPr>
                <w:rFonts w:hint="eastAsia" w:ascii="宋体" w:hAnsi="宋体" w:eastAsia="宋体" w:cs="宋体"/>
                <w:color w:val="auto"/>
                <w:sz w:val="21"/>
                <w:szCs w:val="21"/>
                <w:highlight w:val="none"/>
              </w:rPr>
              <w:t>报告</w:t>
            </w: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提供软件</w:t>
            </w:r>
            <w:r>
              <w:rPr>
                <w:rFonts w:hint="eastAsia" w:ascii="宋体" w:hAnsi="宋体" w:cs="宋体"/>
                <w:color w:val="auto"/>
                <w:sz w:val="21"/>
                <w:szCs w:val="21"/>
                <w:highlight w:val="none"/>
                <w:lang w:eastAsia="zh-CN"/>
              </w:rPr>
              <w:t>测试</w:t>
            </w:r>
            <w:r>
              <w:rPr>
                <w:rFonts w:hint="eastAsia" w:ascii="宋体" w:hAnsi="宋体" w:eastAsia="宋体" w:cs="宋体"/>
                <w:color w:val="auto"/>
                <w:sz w:val="21"/>
                <w:szCs w:val="21"/>
                <w:highlight w:val="none"/>
              </w:rPr>
              <w:t>报告并加盖公章</w:t>
            </w:r>
          </w:p>
        </w:tc>
        <w:tc>
          <w:tcPr>
            <w:tcW w:w="643"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接收卡</w:t>
            </w:r>
          </w:p>
        </w:tc>
        <w:tc>
          <w:tcPr>
            <w:tcW w:w="43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w:t>
            </w:r>
          </w:p>
        </w:tc>
        <w:tc>
          <w:tcPr>
            <w:tcW w:w="387"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支持常规芯片实现高刷新、高灰度、高亮度；</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全新灰度引擎，低灰度表现更佳；</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可消除单元板设计引起的某行偏暗、低灰偏红、鬼影等细节问题；</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支持高精度的色度、亮度一体化逐点校正；</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支持所有常规芯片、PWM芯片和灯饰芯片；</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支持静态屏、2~64扫之间的任意扫描类型；</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支持任意抽点，支持数据偏移，可轻松实现各种异型屏、球形屏、创意显示屏；</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单卡支持≥16组RGB信号输出；</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支持超大带载面积；</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支持DC 3.3V~5.5V超宽工作电压，有效减弱电压波动带来的影响；</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支持发送设备</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发送卡</w:t>
            </w:r>
          </w:p>
        </w:tc>
        <w:tc>
          <w:tcPr>
            <w:tcW w:w="43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387"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支持视频源任意切换，可根据显示屏分辨率对输入图像进行拼接、缩放；</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 HDCP 2.2双 USB 2.0 高速通讯接口，用于电脑调试和主控 间任意级联；</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支持亮度和色温调节；</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支持低亮高灰；</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支持接收卡、多功能卡、光纤收发器；</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视频拼接器</w:t>
            </w:r>
          </w:p>
        </w:tc>
        <w:tc>
          <w:tcPr>
            <w:tcW w:w="43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387"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支持DP1.4和HDMI2.0接口的4K视频信号输入；</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同时支持HDMI 1.4及DVI接口的2K视频信号输入；</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支持最大带载1048万像素，最宽16384像素，或最高8192像素；</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top"/>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支持最大输入分辨率 4096×2160@60Hz，支持自定义分辨率设置；</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top"/>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支持多路信号间无缝切换。单机最大支持带载1048万像素点；</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支持16路千兆网口，支持对视频信号任意切换，裁剪，拼接，缩放；</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top"/>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具备一系列丰富实用的功能，支持6画面显示，位置，大小可自由调节</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提供灵活的屏幕控制和高品质的图像显示。</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电源适配器</w:t>
            </w:r>
          </w:p>
        </w:tc>
        <w:tc>
          <w:tcPr>
            <w:tcW w:w="43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w:t>
            </w:r>
          </w:p>
        </w:tc>
        <w:tc>
          <w:tcPr>
            <w:tcW w:w="387"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个</w:t>
            </w: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允许输入电压/输入频率</w:t>
            </w: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top"/>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176~264VAC/47~63HZ；</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具备浪涌电流</w:t>
            </w: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top"/>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 xml:space="preserve">  冷启动，60A/230VAC；</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线性调整率</w:t>
            </w: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top"/>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 xml:space="preserve"> ≤0.5%</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具有输出过载保护</w:t>
            </w: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top"/>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 xml:space="preserve"> 110%-150%切断输出，输入重启后 上升，保持时间  50ms，20ms额定满载</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允许工作温度</w:t>
            </w: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-30℃~+60℃</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大屏支架</w:t>
            </w:r>
          </w:p>
        </w:tc>
        <w:tc>
          <w:tcPr>
            <w:tcW w:w="438"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87" w:type="dxa"/>
            <w:vMerge w:val="restart"/>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top"/>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显示屏安装钢架采用50mm*30mm镀锌方管。</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top"/>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显示屏安装面结构焊接要平整，无变型。</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textAlignment w:val="top"/>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承重结构预埋件需要根据现场来固定。</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438"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387"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承重结构焊接要牢固，需要长期承受50Kg平方米的重量。</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LED大屏装饰</w:t>
            </w:r>
          </w:p>
        </w:tc>
        <w:tc>
          <w:tcPr>
            <w:tcW w:w="438"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87"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大屏装饰，大屏包边、饰条等</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大屏配电柜</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p>
        </w:tc>
        <w:tc>
          <w:tcPr>
            <w:tcW w:w="413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bidi="ar"/>
              </w:rPr>
              <w:t>60KW配电箱，配电柜具备防雷、过压、过流、欠压、短路、断路以及漏电保护措施；配电柜内装有漏电保护开关、空气开关、熔断器、延时启动接触器、电源防雷器等，配电柜门上还装有旋钮开关和指示灯等；配电柜内主令开关均选用品牌器件，PLC远程控电。</w:t>
            </w:r>
          </w:p>
        </w:tc>
        <w:tc>
          <w:tcPr>
            <w:tcW w:w="64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bl>
    <w:p>
      <w:pPr>
        <w:spacing w:line="360" w:lineRule="auto"/>
        <w:rPr>
          <w:rFonts w:hint="eastAsia"/>
          <w:bCs/>
          <w:color w:val="auto"/>
          <w:sz w:val="24"/>
          <w:highlight w:val="none"/>
        </w:rPr>
      </w:pP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 详细要求</w:t>
      </w:r>
    </w:p>
    <w:p>
      <w:pPr>
        <w:adjustRightInd w:val="0"/>
        <w:snapToGrid w:val="0"/>
        <w:spacing w:line="360" w:lineRule="auto"/>
        <w:ind w:firstLine="482" w:firstLineChars="200"/>
        <w:rPr>
          <w:rFonts w:hint="eastAsia" w:ascii="宋体" w:hAnsi="宋体"/>
          <w:color w:val="auto"/>
          <w:sz w:val="24"/>
          <w:highlight w:val="none"/>
          <w:lang w:val="zh-TW"/>
        </w:rPr>
      </w:pPr>
      <w:r>
        <w:rPr>
          <w:rFonts w:hint="eastAsia" w:ascii="宋体" w:hAnsi="宋体" w:cs="宋体"/>
          <w:b/>
          <w:bCs/>
          <w:color w:val="auto"/>
          <w:kern w:val="0"/>
          <w:sz w:val="24"/>
          <w:highlight w:val="none"/>
          <w:lang w:bidi="ar"/>
        </w:rPr>
        <w:t>全景教室环幕2D显示系统</w:t>
      </w:r>
      <w:r>
        <w:rPr>
          <w:rFonts w:hint="eastAsia" w:ascii="宋体" w:hAnsi="宋体"/>
          <w:color w:val="auto"/>
          <w:sz w:val="24"/>
          <w:highlight w:val="none"/>
        </w:rPr>
        <w:t>由正圆弧LED屏幕组成，弧长约20.48米，LED屏幕净高约2.4米。LED屏幕采用</w:t>
      </w:r>
      <w:r>
        <w:rPr>
          <w:rFonts w:hint="eastAsia" w:ascii="宋体" w:hAnsi="宋体"/>
          <w:color w:val="auto"/>
          <w:sz w:val="24"/>
          <w:highlight w:val="none"/>
          <w:lang w:val="zh-TW"/>
        </w:rPr>
        <w:t>模块化组装，提高了系统整体的可靠性以及简化了日后的调试维护工作。</w:t>
      </w:r>
    </w:p>
    <w:p>
      <w:pPr>
        <w:adjustRightInd w:val="0"/>
        <w:snapToGrid w:val="0"/>
        <w:spacing w:line="360" w:lineRule="auto"/>
        <w:outlineLvl w:val="2"/>
        <w:rPr>
          <w:rFonts w:hint="eastAsia" w:ascii="宋体" w:hAnsi="宋体"/>
          <w:color w:val="auto"/>
          <w:sz w:val="24"/>
          <w:highlight w:val="none"/>
        </w:rPr>
      </w:pPr>
      <w:bookmarkStart w:id="40" w:name="_Toc101806311"/>
      <w:r>
        <w:rPr>
          <w:rFonts w:hint="eastAsia" w:ascii="宋体" w:hAnsi="宋体"/>
          <w:color w:val="auto"/>
          <w:sz w:val="24"/>
          <w:highlight w:val="none"/>
        </w:rPr>
        <w:t>3.1显示系统选型原则</w:t>
      </w:r>
      <w:bookmarkEnd w:id="40"/>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选择LED显示屏点间距，和三个方面的因素有关：</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第一、视距</w:t>
      </w:r>
      <w:r>
        <w:rPr>
          <w:rFonts w:hint="eastAsia" w:ascii="宋体" w:hAnsi="宋体"/>
          <w:color w:val="auto"/>
          <w:sz w:val="24"/>
          <w:highlight w:val="none"/>
          <w:lang w:eastAsia="zh-CN"/>
        </w:rPr>
        <w:t>。</w:t>
      </w:r>
      <w:r>
        <w:rPr>
          <w:rFonts w:hint="eastAsia" w:ascii="宋体" w:hAnsi="宋体"/>
          <w:color w:val="auto"/>
          <w:sz w:val="24"/>
          <w:highlight w:val="none"/>
        </w:rPr>
        <w:t>led显示屏放在什么位置，一般时候人站在多远的距离看，只是选择LED显示屏时确定点间距的一个重要因素。一般最佳可视距离=点间距。</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第二、总像素点数</w:t>
      </w:r>
      <w:r>
        <w:rPr>
          <w:rFonts w:hint="eastAsia" w:ascii="宋体" w:hAnsi="宋体"/>
          <w:color w:val="auto"/>
          <w:sz w:val="24"/>
          <w:highlight w:val="none"/>
          <w:lang w:eastAsia="zh-CN"/>
        </w:rPr>
        <w:t>。</w:t>
      </w:r>
      <w:r>
        <w:rPr>
          <w:rFonts w:hint="eastAsia" w:ascii="宋体" w:hAnsi="宋体"/>
          <w:color w:val="auto"/>
          <w:sz w:val="24"/>
          <w:highlight w:val="none"/>
        </w:rPr>
        <w:t>对于视频，基本的是VCD格式，分辨率352288的，DVD格式的768576的。所以对于视频屏，我们建议最低分辨率不低于352288，这样显示的效果才足够好。如果再低，虽然可以显示，但是达不到更好的效果。</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第三、造价</w:t>
      </w:r>
      <w:r>
        <w:rPr>
          <w:rFonts w:hint="eastAsia" w:ascii="宋体" w:hAnsi="宋体"/>
          <w:color w:val="auto"/>
          <w:sz w:val="24"/>
          <w:highlight w:val="none"/>
          <w:lang w:eastAsia="zh-CN"/>
        </w:rPr>
        <w:t>。</w:t>
      </w:r>
      <w:r>
        <w:rPr>
          <w:rFonts w:hint="eastAsia" w:ascii="宋体" w:hAnsi="宋体"/>
          <w:color w:val="auto"/>
          <w:sz w:val="24"/>
          <w:highlight w:val="none"/>
        </w:rPr>
        <w:t>LED屏随着点间距的减小，因模板工艺要求及原材料要求成指数级增加，选择合适的点间距更加的有利于项目的建设及后期的使用。</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综上所述，本项目采用使用P</w:t>
      </w:r>
      <w:r>
        <w:rPr>
          <w:rFonts w:ascii="宋体" w:hAnsi="宋体"/>
          <w:color w:val="auto"/>
          <w:sz w:val="24"/>
          <w:highlight w:val="none"/>
        </w:rPr>
        <w:t>1.86</w:t>
      </w:r>
      <w:r>
        <w:rPr>
          <w:rFonts w:hint="eastAsia" w:ascii="宋体" w:hAnsi="宋体"/>
          <w:color w:val="auto"/>
          <w:sz w:val="24"/>
          <w:highlight w:val="none"/>
        </w:rPr>
        <w:t>规格LED屏，可以在满足教学使用及工程造价方面达到一个最佳点。</w:t>
      </w:r>
    </w:p>
    <w:p>
      <w:pPr>
        <w:adjustRightInd w:val="0"/>
        <w:snapToGrid w:val="0"/>
        <w:spacing w:line="360" w:lineRule="auto"/>
        <w:outlineLvl w:val="2"/>
        <w:rPr>
          <w:rFonts w:hint="eastAsia" w:ascii="宋体" w:hAnsi="宋体"/>
          <w:color w:val="auto"/>
          <w:sz w:val="24"/>
          <w:highlight w:val="none"/>
        </w:rPr>
      </w:pPr>
      <w:bookmarkStart w:id="41" w:name="_Toc101806312"/>
      <w:r>
        <w:rPr>
          <w:rFonts w:hint="eastAsia" w:ascii="宋体" w:hAnsi="宋体"/>
          <w:color w:val="auto"/>
          <w:sz w:val="24"/>
          <w:highlight w:val="none"/>
        </w:rPr>
        <w:t>3.2显示系统的主要功能</w:t>
      </w:r>
      <w:bookmarkEnd w:id="41"/>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可将60位参与直播互动的学生实时显示在LED环幕，老师可以观看每一位学生的状态，同时当有学生申请互动，屏幕上会有动态显示窗口。</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利用超大环幕可将VR资源进行展示，方便老师、学生共上一堂课，增加课堂沟通力。</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通过对LED环屏进行五画面分割，开展小组教学。</w:t>
      </w:r>
    </w:p>
    <w:p>
      <w:pPr>
        <w:adjustRightInd w:val="0"/>
        <w:snapToGrid w:val="0"/>
        <w:spacing w:line="360" w:lineRule="auto"/>
        <w:outlineLvl w:val="2"/>
        <w:rPr>
          <w:rFonts w:hint="eastAsia" w:ascii="宋体" w:hAnsi="宋体"/>
          <w:color w:val="auto"/>
          <w:sz w:val="24"/>
          <w:highlight w:val="none"/>
        </w:rPr>
      </w:pPr>
      <w:bookmarkStart w:id="42" w:name="_Toc101806313"/>
      <w:r>
        <w:rPr>
          <w:rFonts w:hint="eastAsia" w:ascii="宋体" w:hAnsi="宋体"/>
          <w:color w:val="auto"/>
          <w:sz w:val="24"/>
          <w:highlight w:val="none"/>
        </w:rPr>
        <w:t>3.3显示系统平面图</w:t>
      </w:r>
      <w:bookmarkEnd w:id="42"/>
    </w:p>
    <w:p>
      <w:pPr>
        <w:jc w:val="center"/>
        <w:rPr>
          <w:rFonts w:hint="eastAsia" w:ascii="宋体" w:hAnsi="宋体"/>
          <w:color w:val="auto"/>
          <w:sz w:val="24"/>
          <w:highlight w:val="none"/>
        </w:rPr>
      </w:pPr>
      <w:r>
        <w:rPr>
          <w:rFonts w:hint="eastAsia" w:ascii="宋体" w:hAnsi="宋体"/>
          <w:color w:val="auto"/>
          <w:sz w:val="24"/>
          <w:highlight w:val="none"/>
        </w:rPr>
        <w:drawing>
          <wp:inline distT="0" distB="0" distL="114300" distR="114300">
            <wp:extent cx="4288790" cy="4540250"/>
            <wp:effectExtent l="0" t="0" r="16510" b="1270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rcRect l="6049" t="6989" r="5423"/>
                    <a:stretch>
                      <a:fillRect/>
                    </a:stretch>
                  </pic:blipFill>
                  <pic:spPr>
                    <a:xfrm>
                      <a:off x="0" y="0"/>
                      <a:ext cx="4288790" cy="4540250"/>
                    </a:xfrm>
                    <a:prstGeom prst="rect">
                      <a:avLst/>
                    </a:prstGeom>
                    <a:noFill/>
                    <a:ln>
                      <a:noFill/>
                    </a:ln>
                  </pic:spPr>
                </pic:pic>
              </a:graphicData>
            </a:graphic>
          </wp:inline>
        </w:drawing>
      </w:r>
    </w:p>
    <w:p>
      <w:pPr>
        <w:adjustRightInd w:val="0"/>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LED环幕平面图</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 其它要求</w:t>
      </w:r>
    </w:p>
    <w:p>
      <w:pPr>
        <w:adjustRightInd w:val="0"/>
        <w:snapToGrid w:val="0"/>
        <w:spacing w:line="360" w:lineRule="auto"/>
        <w:ind w:firstLine="480" w:firstLineChars="200"/>
        <w:rPr>
          <w:rFonts w:hint="eastAsia" w:ascii="宋体" w:hAnsi="宋体"/>
          <w:color w:val="auto"/>
          <w:sz w:val="24"/>
          <w:highlight w:val="green"/>
        </w:rPr>
      </w:pPr>
      <w:r>
        <w:rPr>
          <w:rFonts w:hint="eastAsia" w:ascii="宋体" w:hAnsi="宋体" w:cs="宋体"/>
          <w:bCs/>
          <w:color w:val="auto"/>
          <w:sz w:val="24"/>
          <w:highlight w:val="none"/>
        </w:rPr>
        <w:t>▲</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b/>
          <w:bCs/>
          <w:color w:val="auto"/>
          <w:sz w:val="24"/>
          <w:highlight w:val="none"/>
        </w:rPr>
        <w:t>全景教室项目是一高度集成的系统工程项目，LED环幕系统建设要求中标供应商在合同签订后配合前期装修工作，提出明确的安装要求以免影响设备安装和实施效果，要求项目实施过程中与其余部分</w:t>
      </w:r>
      <w:r>
        <w:rPr>
          <w:rFonts w:hint="eastAsia" w:ascii="宋体" w:hAnsi="宋体"/>
          <w:b/>
          <w:bCs/>
          <w:color w:val="auto"/>
          <w:sz w:val="24"/>
          <w:highlight w:val="none"/>
          <w:lang w:eastAsia="zh-CN"/>
        </w:rPr>
        <w:t>中标</w:t>
      </w:r>
      <w:r>
        <w:rPr>
          <w:rFonts w:hint="eastAsia" w:ascii="宋体" w:hAnsi="宋体"/>
          <w:b/>
          <w:bCs/>
          <w:color w:val="auto"/>
          <w:sz w:val="24"/>
          <w:highlight w:val="none"/>
          <w:lang w:val="en-US" w:eastAsia="zh-CN"/>
        </w:rPr>
        <w:t>供应商</w:t>
      </w:r>
      <w:r>
        <w:rPr>
          <w:rFonts w:hint="eastAsia" w:ascii="宋体" w:hAnsi="宋体"/>
          <w:b/>
          <w:bCs/>
          <w:color w:val="auto"/>
          <w:sz w:val="24"/>
          <w:highlight w:val="none"/>
        </w:rPr>
        <w:t>密切合作，满足全景教室其余部分的集成调试要求，集成调试过程中，若控制软件部分</w:t>
      </w:r>
      <w:r>
        <w:rPr>
          <w:rFonts w:hint="eastAsia" w:ascii="宋体" w:hAnsi="宋体"/>
          <w:b/>
          <w:bCs/>
          <w:color w:val="auto"/>
          <w:sz w:val="24"/>
          <w:highlight w:val="none"/>
          <w:lang w:eastAsia="zh-CN"/>
        </w:rPr>
        <w:t>需</w:t>
      </w:r>
      <w:r>
        <w:rPr>
          <w:rFonts w:hint="eastAsia" w:ascii="宋体" w:hAnsi="宋体"/>
          <w:b/>
          <w:bCs/>
          <w:color w:val="auto"/>
          <w:sz w:val="24"/>
          <w:highlight w:val="none"/>
        </w:rPr>
        <w:t>修改接口，由全景教室其余部分中标供应商完成，</w:t>
      </w:r>
      <w:r>
        <w:rPr>
          <w:rFonts w:hint="eastAsia" w:ascii="宋体" w:hAnsi="宋体"/>
          <w:b/>
          <w:bCs/>
          <w:color w:val="auto"/>
          <w:sz w:val="24"/>
          <w:highlight w:val="none"/>
          <w:lang w:eastAsia="zh-CN"/>
        </w:rPr>
        <w:t>协调工作由采购人进</w:t>
      </w:r>
      <w:r>
        <w:rPr>
          <w:rFonts w:hint="eastAsia" w:ascii="宋体" w:hAnsi="宋体" w:eastAsia="宋体" w:cs="Times New Roman"/>
          <w:b/>
          <w:bCs/>
          <w:color w:val="auto"/>
          <w:sz w:val="24"/>
          <w:highlight w:val="none"/>
          <w:lang w:eastAsia="zh-CN"/>
        </w:rPr>
        <w:t>行，可按各自职责范围进行支付，</w:t>
      </w:r>
      <w:r>
        <w:rPr>
          <w:rFonts w:hint="eastAsia" w:ascii="宋体" w:hAnsi="宋体"/>
          <w:b/>
          <w:bCs/>
          <w:color w:val="auto"/>
          <w:sz w:val="24"/>
          <w:highlight w:val="none"/>
          <w:lang w:eastAsia="zh-CN"/>
        </w:rPr>
        <w:t>但</w:t>
      </w:r>
      <w:r>
        <w:rPr>
          <w:rFonts w:hint="eastAsia" w:ascii="宋体" w:hAnsi="宋体"/>
          <w:b/>
          <w:bCs/>
          <w:color w:val="auto"/>
          <w:sz w:val="24"/>
          <w:highlight w:val="none"/>
        </w:rPr>
        <w:t>采购方不再另行支付费用。</w:t>
      </w:r>
    </w:p>
    <w:p>
      <w:pPr>
        <w:adjustRightInd w:val="0"/>
        <w:snapToGrid w:val="0"/>
        <w:spacing w:line="360" w:lineRule="auto"/>
        <w:ind w:firstLine="480" w:firstLineChars="200"/>
        <w:rPr>
          <w:rFonts w:hint="eastAsia" w:ascii="宋体" w:hAnsi="宋体"/>
          <w:b w:val="0"/>
          <w:bCs w:val="0"/>
          <w:color w:val="auto"/>
          <w:sz w:val="24"/>
          <w:highlight w:val="none"/>
        </w:rPr>
      </w:pPr>
      <w:r>
        <w:rPr>
          <w:rFonts w:hint="eastAsia" w:ascii="宋体" w:hAnsi="宋体"/>
          <w:color w:val="auto"/>
          <w:sz w:val="24"/>
          <w:highlight w:val="none"/>
        </w:rPr>
        <w:t>4.2．投标</w:t>
      </w:r>
      <w:r>
        <w:rPr>
          <w:rFonts w:hint="eastAsia" w:ascii="宋体" w:hAnsi="宋体"/>
          <w:color w:val="auto"/>
          <w:sz w:val="24"/>
          <w:highlight w:val="none"/>
          <w:lang w:val="en-US" w:eastAsia="zh-CN"/>
        </w:rPr>
        <w:t>人</w:t>
      </w:r>
      <w:r>
        <w:rPr>
          <w:rFonts w:hint="eastAsia" w:ascii="宋体" w:hAnsi="宋体"/>
          <w:color w:val="auto"/>
          <w:sz w:val="24"/>
          <w:highlight w:val="none"/>
        </w:rPr>
        <w:t>在清单中列明品牌、产地、型号、数量，在技术规范偏离表中应详细描述产品特性，并说明偏离情况，对文件中提到需提供的扫描件资料做好索引，方便核查。</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b w:val="0"/>
          <w:bCs w:val="0"/>
          <w:color w:val="auto"/>
          <w:sz w:val="24"/>
          <w:highlight w:val="none"/>
        </w:rPr>
        <w:t>4.3．设备清单中的数量及功能完备性，以实际需要为准，若有未考虑到的或数量不足的，采购</w:t>
      </w:r>
      <w:r>
        <w:rPr>
          <w:rFonts w:hint="eastAsia" w:ascii="宋体" w:hAnsi="宋体"/>
          <w:b w:val="0"/>
          <w:bCs w:val="0"/>
          <w:color w:val="auto"/>
          <w:sz w:val="24"/>
          <w:highlight w:val="none"/>
          <w:lang w:val="en-US" w:eastAsia="zh-CN"/>
        </w:rPr>
        <w:t>人</w:t>
      </w:r>
      <w:r>
        <w:rPr>
          <w:rFonts w:hint="eastAsia" w:ascii="宋体" w:hAnsi="宋体"/>
          <w:b w:val="0"/>
          <w:bCs w:val="0"/>
          <w:color w:val="auto"/>
          <w:sz w:val="24"/>
          <w:highlight w:val="none"/>
        </w:rPr>
        <w:t>不再购买，投标</w:t>
      </w:r>
      <w:r>
        <w:rPr>
          <w:rFonts w:hint="eastAsia" w:ascii="宋体" w:hAnsi="宋体"/>
          <w:b w:val="0"/>
          <w:bCs w:val="0"/>
          <w:color w:val="auto"/>
          <w:sz w:val="24"/>
          <w:highlight w:val="none"/>
          <w:lang w:val="en-US" w:eastAsia="zh-CN"/>
        </w:rPr>
        <w:t>人</w:t>
      </w:r>
      <w:r>
        <w:rPr>
          <w:rFonts w:hint="eastAsia" w:ascii="宋体" w:hAnsi="宋体"/>
          <w:b w:val="0"/>
          <w:bCs w:val="0"/>
          <w:color w:val="auto"/>
          <w:sz w:val="24"/>
          <w:highlight w:val="none"/>
        </w:rPr>
        <w:t>在中标后实施时应无偿补足，保证功能完备</w:t>
      </w:r>
      <w:r>
        <w:rPr>
          <w:rFonts w:hint="eastAsia" w:ascii="宋体" w:hAnsi="宋体"/>
          <w:b/>
          <w:bCs/>
          <w:color w:val="auto"/>
          <w:sz w:val="24"/>
          <w:highlight w:val="none"/>
        </w:rPr>
        <w:t>。</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4.4．提供培训方案和售后服务方案以及备品备件方案。具体培训时间依实际情况经双方协商后确定，要求质保期内每年至少巡检1次，解决存在问题。</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4.5．对于需要提供原厂质保函的产品，在中标后、签订合同前提供质保函。关键设备质保期根据产品序列号官网可查。</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4.6．信息系统等级保护要求：项目中涉及的软件系统，在验收前须配合通过信息系统等级保护二级测评。</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测评费用不包含本次中标价中，由采购人另行支付</w:t>
      </w:r>
      <w:r>
        <w:rPr>
          <w:rFonts w:hint="eastAsia" w:ascii="宋体" w:hAnsi="宋体"/>
          <w:color w:val="auto"/>
          <w:sz w:val="24"/>
          <w:highlight w:val="none"/>
          <w:lang w:eastAsia="zh-CN"/>
        </w:rPr>
        <w:t>）</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4.7.要求所有原材料、设备在供货时外包装完好。</w:t>
      </w:r>
    </w:p>
    <w:p>
      <w:pPr>
        <w:adjustRightInd w:val="0"/>
        <w:snapToGrid w:val="0"/>
        <w:spacing w:line="360" w:lineRule="auto"/>
        <w:ind w:firstLine="480" w:firstLineChars="200"/>
      </w:pPr>
      <w:r>
        <w:rPr>
          <w:rFonts w:hint="eastAsia" w:ascii="宋体" w:hAnsi="宋体"/>
          <w:color w:val="auto"/>
          <w:sz w:val="24"/>
          <w:highlight w:val="none"/>
        </w:rPr>
        <w:t>4.8.要求中标供应商在项目实施时配合监理日常工作。</w:t>
      </w:r>
    </w:p>
    <w:p>
      <w:pPr>
        <w:spacing w:line="360" w:lineRule="auto"/>
        <w:ind w:firstLine="480" w:firstLineChars="200"/>
        <w:rPr>
          <w:rFonts w:hint="default"/>
          <w:color w:val="auto"/>
          <w:lang w:val="en-US" w:eastAsia="zh-CN"/>
        </w:rPr>
      </w:pPr>
      <w:r>
        <w:rPr>
          <w:rFonts w:hint="eastAsia" w:ascii="宋体" w:hAnsi="宋体" w:eastAsia="宋体" w:cs="Times New Roman"/>
          <w:color w:val="auto"/>
          <w:sz w:val="24"/>
          <w:highlight w:val="none"/>
          <w:lang w:val="en-US" w:eastAsia="zh-CN"/>
        </w:rPr>
        <w:t>4.9 投标</w:t>
      </w:r>
      <w:r>
        <w:rPr>
          <w:rFonts w:hint="eastAsia" w:ascii="宋体" w:hAnsi="宋体" w:eastAsia="宋体" w:cs="宋体"/>
          <w:color w:val="auto"/>
          <w:kern w:val="2"/>
          <w:sz w:val="24"/>
          <w:szCs w:val="24"/>
          <w:highlight w:val="none"/>
          <w:lang w:val="en-US" w:eastAsia="zh-CN" w:bidi="ar-SA"/>
        </w:rPr>
        <w:t>人中标后、项目实施期间，若采购人发现投标人所投产品性能与投标文件有出入，采购人有权要求中标人按照投标文件指标，免费提供满足投标文件性能指标的产品。</w:t>
      </w:r>
    </w:p>
    <w:p>
      <w:pPr>
        <w:spacing w:line="360" w:lineRule="auto"/>
        <w:ind w:firstLine="420" w:firstLineChars="0"/>
        <w:rPr>
          <w:rFonts w:hint="eastAsia" w:ascii="宋体" w:hAnsi="宋体" w:eastAsia="宋体" w:cs="Times New Roman"/>
          <w:color w:val="auto"/>
          <w:sz w:val="24"/>
          <w:szCs w:val="24"/>
          <w:highlight w:val="none"/>
          <w:lang w:val="en-US" w:eastAsia="zh-CN"/>
        </w:rPr>
      </w:pPr>
    </w:p>
    <w:p>
      <w:pPr>
        <w:spacing w:line="360" w:lineRule="auto"/>
        <w:ind w:firstLine="420" w:firstLineChars="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5、验收标准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由中标方负责将货物按合同签订的具体要求、具体数量、具体时间地点运送到最终目的地，并负责系统现场安装、调试、集成、技术培训、验收和售后服务等工作，系统经完工验收合格后交付业主方使用。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中标方应提供系统现场安装、调试、集成等分阶段的计划表。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系统安装、联网调测所需各种工器具、仪表及安装材料辅料等均由中标方负责提供。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调试由中标方负责，中标方调试前应提出完整的调试计划并经业主方确认，包括安装调试的内容、项目、指标、方法和进度，并提供相应的仪器和工具。中标方有责任对业主方提出的问题作出解答。调试应进行详细记录，调试结束后，由中标方技术人员签字后交给业主方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安装工作开始前，中标方应提供相关的安装技术资料、规范以及详细的测试内容、测试方法、测试目标和系统测试的必需仪器。在严格的系统测试后，中标方认为系统的质量和稳定性达到要求时，中标方应向业主方提供汇总的测试记录和全套最新的软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5.6. 在全景教室整体联调联试中功能和性能满足采购人使用要求，并且符合监理要求，方算验收合格。</w:t>
      </w:r>
    </w:p>
    <w:p>
      <w:pPr>
        <w:pStyle w:val="4"/>
        <w:numPr>
          <w:ilvl w:val="0"/>
          <w:numId w:val="0"/>
        </w:numPr>
        <w:tabs>
          <w:tab w:val="clear" w:pos="8280"/>
        </w:tabs>
        <w:jc w:val="both"/>
        <w:rPr>
          <w:rFonts w:hint="eastAsia" w:ascii="宋体" w:hAnsi="宋体" w:eastAsia="宋体"/>
          <w:color w:val="auto"/>
          <w:sz w:val="24"/>
          <w:szCs w:val="24"/>
          <w:highlight w:val="none"/>
        </w:rPr>
        <w:sectPr>
          <w:pgSz w:w="11906" w:h="16838"/>
          <w:pgMar w:top="1701" w:right="1418" w:bottom="1588" w:left="1418" w:header="851" w:footer="851" w:gutter="0"/>
          <w:cols w:space="720" w:num="1"/>
          <w:docGrid w:linePitch="312" w:charSpace="0"/>
        </w:sectPr>
      </w:pPr>
    </w:p>
    <w:p>
      <w:pPr>
        <w:pStyle w:val="4"/>
        <w:numPr>
          <w:ilvl w:val="0"/>
          <w:numId w:val="0"/>
        </w:numPr>
        <w:tabs>
          <w:tab w:val="clear" w:pos="8280"/>
        </w:tabs>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标段二  </w:t>
      </w:r>
      <w:r>
        <w:rPr>
          <w:rFonts w:hint="eastAsia" w:ascii="宋体" w:hAnsi="宋体" w:eastAsia="宋体" w:cs="宋体"/>
          <w:color w:val="auto"/>
          <w:sz w:val="24"/>
          <w:szCs w:val="24"/>
          <w:highlight w:val="none"/>
        </w:rPr>
        <w:t>台州学院智慧校园（2022年）项目直播教室LED三分屏系统建设</w:t>
      </w:r>
    </w:p>
    <w:p>
      <w:pPr>
        <w:jc w:val="center"/>
        <w:rPr>
          <w:rFonts w:hint="eastAsia"/>
          <w:color w:val="auto"/>
          <w:sz w:val="16"/>
          <w:szCs w:val="20"/>
          <w:highlight w:val="none"/>
        </w:rPr>
      </w:pPr>
      <w:r>
        <w:rPr>
          <w:color w:val="auto"/>
          <w:sz w:val="16"/>
          <w:szCs w:val="20"/>
          <w:highlight w:val="none"/>
        </w:rPr>
        <w:drawing>
          <wp:inline distT="0" distB="0" distL="114300" distR="114300">
            <wp:extent cx="5236210" cy="2931795"/>
            <wp:effectExtent l="0" t="0" r="2540" b="19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3"/>
                    <a:srcRect t="3790" b="2780"/>
                    <a:stretch>
                      <a:fillRect/>
                    </a:stretch>
                  </pic:blipFill>
                  <pic:spPr>
                    <a:xfrm>
                      <a:off x="0" y="0"/>
                      <a:ext cx="5236210" cy="2931795"/>
                    </a:xfrm>
                    <a:prstGeom prst="rect">
                      <a:avLst/>
                    </a:prstGeom>
                    <a:noFill/>
                    <a:ln>
                      <a:noFill/>
                    </a:ln>
                  </pic:spPr>
                </pic:pic>
              </a:graphicData>
            </a:graphic>
          </wp:inline>
        </w:drawing>
      </w:r>
    </w:p>
    <w:p>
      <w:pPr>
        <w:jc w:val="center"/>
        <w:rPr>
          <w:rFonts w:hint="eastAsia"/>
          <w:color w:val="auto"/>
          <w:sz w:val="16"/>
          <w:szCs w:val="20"/>
          <w:highlight w:val="none"/>
        </w:rPr>
      </w:pPr>
      <w:r>
        <w:rPr>
          <w:rFonts w:hint="eastAsia"/>
          <w:color w:val="auto"/>
          <w:sz w:val="16"/>
          <w:szCs w:val="20"/>
          <w:highlight w:val="none"/>
        </w:rPr>
        <w:t>直播教室</w:t>
      </w:r>
    </w:p>
    <w:p>
      <w:pPr>
        <w:spacing w:line="360" w:lineRule="auto"/>
        <w:ind w:firstLine="480" w:firstLineChars="200"/>
        <w:rPr>
          <w:rFonts w:hint="eastAsia" w:ascii="宋体" w:hAnsi="宋体" w:cs="宋体"/>
          <w:bCs/>
          <w:color w:val="auto"/>
          <w:sz w:val="24"/>
          <w:szCs w:val="24"/>
          <w:highlight w:val="none"/>
        </w:rPr>
      </w:pPr>
    </w:p>
    <w:p>
      <w:pPr>
        <w:spacing w:line="360" w:lineRule="auto"/>
        <w:ind w:firstLine="480" w:firstLineChars="200"/>
        <w:rPr>
          <w:rFonts w:hint="eastAsia" w:ascii="宋体" w:hAnsi="宋体" w:cs="宋体"/>
          <w:bCs/>
          <w:color w:val="auto"/>
          <w:sz w:val="24"/>
          <w:szCs w:val="24"/>
          <w:highlight w:val="none"/>
        </w:rPr>
      </w:pPr>
    </w:p>
    <w:p>
      <w:pPr>
        <w:spacing w:line="360" w:lineRule="auto"/>
        <w:rPr>
          <w:rFonts w:hint="eastAsia" w:ascii="宋体" w:hAnsi="宋体" w:cs="宋体"/>
          <w:bCs/>
          <w:color w:val="auto"/>
          <w:sz w:val="24"/>
          <w:szCs w:val="24"/>
          <w:highlight w:val="none"/>
        </w:rPr>
      </w:pPr>
    </w:p>
    <w:p>
      <w:pPr>
        <w:spacing w:line="360" w:lineRule="auto"/>
        <w:ind w:firstLine="480" w:firstLineChars="200"/>
        <w:rPr>
          <w:rFonts w:hint="eastAsia" w:ascii="宋体" w:hAnsi="宋体" w:cs="宋体"/>
          <w:bCs/>
          <w:color w:val="auto"/>
          <w:sz w:val="24"/>
          <w:szCs w:val="24"/>
          <w:highlight w:val="none"/>
        </w:rPr>
      </w:pP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1、标段二设备清单</w:t>
      </w:r>
    </w:p>
    <w:tbl>
      <w:tblPr>
        <w:tblStyle w:val="20"/>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22"/>
        <w:gridCol w:w="1310"/>
        <w:gridCol w:w="1118"/>
        <w:gridCol w:w="1502"/>
        <w:gridCol w:w="131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8"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序号</w:t>
            </w:r>
          </w:p>
        </w:tc>
        <w:tc>
          <w:tcPr>
            <w:tcW w:w="1822"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采购内容</w:t>
            </w:r>
          </w:p>
        </w:tc>
        <w:tc>
          <w:tcPr>
            <w:tcW w:w="1310"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数量</w:t>
            </w:r>
          </w:p>
        </w:tc>
        <w:tc>
          <w:tcPr>
            <w:tcW w:w="1118"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单位</w:t>
            </w:r>
          </w:p>
        </w:tc>
        <w:tc>
          <w:tcPr>
            <w:tcW w:w="1502"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是否为核心产品，若不填则以所占金额比重衡量</w:t>
            </w:r>
          </w:p>
        </w:tc>
        <w:tc>
          <w:tcPr>
            <w:tcW w:w="1310"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是否</w:t>
            </w:r>
          </w:p>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为主要产品</w:t>
            </w:r>
          </w:p>
        </w:tc>
        <w:tc>
          <w:tcPr>
            <w:tcW w:w="1310" w:type="dxa"/>
            <w:vMerge w:val="restart"/>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8"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82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310"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118"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50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310"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310"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8"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82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310"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118"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50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310"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310"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98"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82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310"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118"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502"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310"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c>
          <w:tcPr>
            <w:tcW w:w="1310" w:type="dxa"/>
            <w:vMerge w:val="continue"/>
            <w:noWrap w:val="0"/>
            <w:vAlign w:val="center"/>
          </w:tcPr>
          <w:p>
            <w:pPr>
              <w:spacing w:line="360" w:lineRule="auto"/>
              <w:jc w:val="center"/>
              <w:rPr>
                <w:rFonts w:hint="eastAsia" w:ascii="宋体" w:hAnsi="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color w:val="auto"/>
                <w:sz w:val="21"/>
                <w:szCs w:val="21"/>
                <w:highlight w:val="none"/>
              </w:rPr>
            </w:pPr>
            <w:r>
              <w:rPr>
                <w:rFonts w:hint="eastAsia"/>
                <w:color w:val="auto"/>
                <w:sz w:val="21"/>
                <w:szCs w:val="21"/>
                <w:highlight w:val="none"/>
              </w:rPr>
              <w:t>1</w:t>
            </w:r>
          </w:p>
        </w:tc>
        <w:tc>
          <w:tcPr>
            <w:tcW w:w="1822" w:type="dxa"/>
            <w:noWrap w:val="0"/>
            <w:vAlign w:val="center"/>
          </w:tcPr>
          <w:p>
            <w:pPr>
              <w:jc w:val="center"/>
              <w:rPr>
                <w:rFonts w:hint="eastAsia" w:ascii="宋体" w:hAnsi="宋体" w:cs="宋体"/>
                <w:bCs/>
                <w:color w:val="auto"/>
                <w:kern w:val="0"/>
                <w:sz w:val="21"/>
                <w:szCs w:val="21"/>
                <w:highlight w:val="none"/>
              </w:rPr>
            </w:pPr>
            <w:r>
              <w:rPr>
                <w:rFonts w:hint="eastAsia"/>
                <w:color w:val="auto"/>
                <w:sz w:val="21"/>
                <w:szCs w:val="21"/>
                <w:highlight w:val="none"/>
              </w:rPr>
              <w:t>室内全彩LED显示屏</w:t>
            </w:r>
          </w:p>
        </w:tc>
        <w:tc>
          <w:tcPr>
            <w:tcW w:w="1310"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27.65</w:t>
            </w:r>
          </w:p>
        </w:tc>
        <w:tc>
          <w:tcPr>
            <w:tcW w:w="1118"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w:t>
            </w:r>
          </w:p>
        </w:tc>
        <w:tc>
          <w:tcPr>
            <w:tcW w:w="150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310"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310"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2</w:t>
            </w:r>
          </w:p>
        </w:tc>
        <w:tc>
          <w:tcPr>
            <w:tcW w:w="1822" w:type="dxa"/>
            <w:noWrap w:val="0"/>
            <w:vAlign w:val="center"/>
          </w:tcPr>
          <w:p>
            <w:pPr>
              <w:jc w:val="center"/>
              <w:rPr>
                <w:rFonts w:hint="eastAsia" w:ascii="宋体" w:hAnsi="宋体" w:cs="宋体"/>
                <w:bCs/>
                <w:color w:val="auto"/>
                <w:kern w:val="0"/>
                <w:sz w:val="21"/>
                <w:szCs w:val="21"/>
                <w:highlight w:val="none"/>
              </w:rPr>
            </w:pPr>
            <w:r>
              <w:rPr>
                <w:rFonts w:hint="eastAsia"/>
                <w:color w:val="auto"/>
                <w:sz w:val="21"/>
                <w:szCs w:val="21"/>
                <w:highlight w:val="none"/>
              </w:rPr>
              <w:t>大屏电源</w:t>
            </w:r>
          </w:p>
        </w:tc>
        <w:tc>
          <w:tcPr>
            <w:tcW w:w="1310"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100</w:t>
            </w:r>
          </w:p>
        </w:tc>
        <w:tc>
          <w:tcPr>
            <w:tcW w:w="1118"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台</w:t>
            </w:r>
          </w:p>
        </w:tc>
        <w:tc>
          <w:tcPr>
            <w:tcW w:w="150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10"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10"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3</w:t>
            </w:r>
          </w:p>
        </w:tc>
        <w:tc>
          <w:tcPr>
            <w:tcW w:w="1822" w:type="dxa"/>
            <w:noWrap w:val="0"/>
            <w:vAlign w:val="center"/>
          </w:tcPr>
          <w:p>
            <w:pPr>
              <w:jc w:val="center"/>
              <w:rPr>
                <w:rFonts w:hint="eastAsia" w:ascii="宋体" w:hAnsi="宋体" w:cs="宋体"/>
                <w:bCs/>
                <w:color w:val="auto"/>
                <w:kern w:val="0"/>
                <w:sz w:val="21"/>
                <w:szCs w:val="21"/>
                <w:highlight w:val="none"/>
              </w:rPr>
            </w:pPr>
            <w:r>
              <w:rPr>
                <w:rFonts w:hint="eastAsia"/>
                <w:color w:val="auto"/>
                <w:sz w:val="21"/>
                <w:szCs w:val="21"/>
                <w:highlight w:val="none"/>
              </w:rPr>
              <w:t>大屏幕控制系统接收卡</w:t>
            </w:r>
          </w:p>
        </w:tc>
        <w:tc>
          <w:tcPr>
            <w:tcW w:w="1310"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72</w:t>
            </w:r>
          </w:p>
        </w:tc>
        <w:tc>
          <w:tcPr>
            <w:tcW w:w="1118"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张</w:t>
            </w:r>
          </w:p>
        </w:tc>
        <w:tc>
          <w:tcPr>
            <w:tcW w:w="150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10"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310"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4</w:t>
            </w:r>
          </w:p>
        </w:tc>
        <w:tc>
          <w:tcPr>
            <w:tcW w:w="1822" w:type="dxa"/>
            <w:noWrap w:val="0"/>
            <w:vAlign w:val="center"/>
          </w:tcPr>
          <w:p>
            <w:pPr>
              <w:jc w:val="center"/>
              <w:rPr>
                <w:rFonts w:hint="eastAsia" w:ascii="宋体" w:hAnsi="宋体" w:cs="宋体"/>
                <w:bCs/>
                <w:color w:val="auto"/>
                <w:kern w:val="0"/>
                <w:sz w:val="21"/>
                <w:szCs w:val="21"/>
                <w:highlight w:val="none"/>
              </w:rPr>
            </w:pPr>
            <w:r>
              <w:rPr>
                <w:rFonts w:hint="eastAsia"/>
                <w:color w:val="auto"/>
                <w:sz w:val="21"/>
                <w:szCs w:val="21"/>
                <w:highlight w:val="none"/>
              </w:rPr>
              <w:t>视频拼接器</w:t>
            </w:r>
          </w:p>
        </w:tc>
        <w:tc>
          <w:tcPr>
            <w:tcW w:w="1310"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1</w:t>
            </w:r>
          </w:p>
        </w:tc>
        <w:tc>
          <w:tcPr>
            <w:tcW w:w="1118"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台</w:t>
            </w:r>
          </w:p>
        </w:tc>
        <w:tc>
          <w:tcPr>
            <w:tcW w:w="150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10"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310"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5</w:t>
            </w:r>
          </w:p>
        </w:tc>
        <w:tc>
          <w:tcPr>
            <w:tcW w:w="1822" w:type="dxa"/>
            <w:noWrap w:val="0"/>
            <w:vAlign w:val="center"/>
          </w:tcPr>
          <w:p>
            <w:pPr>
              <w:jc w:val="center"/>
              <w:rPr>
                <w:rFonts w:hint="eastAsia" w:ascii="宋体" w:hAnsi="宋体" w:cs="宋体"/>
                <w:bCs/>
                <w:color w:val="auto"/>
                <w:kern w:val="0"/>
                <w:sz w:val="21"/>
                <w:szCs w:val="21"/>
                <w:highlight w:val="none"/>
              </w:rPr>
            </w:pPr>
            <w:r>
              <w:rPr>
                <w:rFonts w:hint="eastAsia"/>
                <w:color w:val="auto"/>
                <w:sz w:val="21"/>
                <w:szCs w:val="21"/>
                <w:highlight w:val="none"/>
              </w:rPr>
              <w:t>媒体服务器</w:t>
            </w:r>
          </w:p>
        </w:tc>
        <w:tc>
          <w:tcPr>
            <w:tcW w:w="1310"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1</w:t>
            </w:r>
          </w:p>
        </w:tc>
        <w:tc>
          <w:tcPr>
            <w:tcW w:w="1118"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台</w:t>
            </w:r>
          </w:p>
        </w:tc>
        <w:tc>
          <w:tcPr>
            <w:tcW w:w="150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310"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是</w:t>
            </w:r>
          </w:p>
        </w:tc>
        <w:tc>
          <w:tcPr>
            <w:tcW w:w="1310"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6</w:t>
            </w:r>
          </w:p>
        </w:tc>
        <w:tc>
          <w:tcPr>
            <w:tcW w:w="1822" w:type="dxa"/>
            <w:noWrap w:val="0"/>
            <w:vAlign w:val="center"/>
          </w:tcPr>
          <w:p>
            <w:pPr>
              <w:jc w:val="center"/>
              <w:rPr>
                <w:rFonts w:hint="eastAsia" w:ascii="宋体" w:hAnsi="宋体" w:cs="宋体"/>
                <w:bCs/>
                <w:color w:val="auto"/>
                <w:kern w:val="0"/>
                <w:sz w:val="21"/>
                <w:szCs w:val="21"/>
                <w:highlight w:val="none"/>
              </w:rPr>
            </w:pPr>
            <w:r>
              <w:rPr>
                <w:rFonts w:hint="eastAsia"/>
                <w:color w:val="auto"/>
                <w:sz w:val="21"/>
                <w:szCs w:val="21"/>
                <w:highlight w:val="none"/>
              </w:rPr>
              <w:t>配电柜</w:t>
            </w:r>
          </w:p>
        </w:tc>
        <w:tc>
          <w:tcPr>
            <w:tcW w:w="1310"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1</w:t>
            </w:r>
          </w:p>
        </w:tc>
        <w:tc>
          <w:tcPr>
            <w:tcW w:w="1118"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台</w:t>
            </w:r>
          </w:p>
        </w:tc>
        <w:tc>
          <w:tcPr>
            <w:tcW w:w="150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10" w:type="dxa"/>
            <w:noWrap w:val="0"/>
            <w:vAlign w:val="center"/>
          </w:tcPr>
          <w:p>
            <w:pPr>
              <w:spacing w:line="360" w:lineRule="auto"/>
              <w:jc w:val="center"/>
              <w:rPr>
                <w:rFonts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10"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7</w:t>
            </w:r>
          </w:p>
        </w:tc>
        <w:tc>
          <w:tcPr>
            <w:tcW w:w="1822" w:type="dxa"/>
            <w:noWrap w:val="0"/>
            <w:vAlign w:val="center"/>
          </w:tcPr>
          <w:p>
            <w:pPr>
              <w:jc w:val="center"/>
              <w:rPr>
                <w:rFonts w:hint="eastAsia" w:ascii="宋体" w:hAnsi="宋体" w:cs="宋体"/>
                <w:bCs/>
                <w:color w:val="auto"/>
                <w:kern w:val="0"/>
                <w:sz w:val="21"/>
                <w:szCs w:val="21"/>
                <w:highlight w:val="none"/>
              </w:rPr>
            </w:pPr>
            <w:r>
              <w:rPr>
                <w:rFonts w:hint="eastAsia"/>
                <w:color w:val="auto"/>
                <w:sz w:val="21"/>
                <w:szCs w:val="21"/>
                <w:highlight w:val="none"/>
              </w:rPr>
              <w:t>结构装饰</w:t>
            </w:r>
          </w:p>
        </w:tc>
        <w:tc>
          <w:tcPr>
            <w:tcW w:w="1310"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1</w:t>
            </w:r>
          </w:p>
        </w:tc>
        <w:tc>
          <w:tcPr>
            <w:tcW w:w="1118" w:type="dxa"/>
            <w:noWrap w:val="0"/>
            <w:vAlign w:val="center"/>
          </w:tcPr>
          <w:p>
            <w:pPr>
              <w:jc w:val="center"/>
              <w:rPr>
                <w:rFonts w:hint="eastAsia" w:ascii="宋体" w:hAnsi="宋体" w:cs="宋体"/>
                <w:color w:val="auto"/>
                <w:kern w:val="0"/>
                <w:sz w:val="21"/>
                <w:szCs w:val="21"/>
                <w:highlight w:val="none"/>
              </w:rPr>
            </w:pPr>
            <w:r>
              <w:rPr>
                <w:rFonts w:hint="eastAsia"/>
                <w:color w:val="auto"/>
                <w:sz w:val="21"/>
                <w:szCs w:val="21"/>
                <w:highlight w:val="none"/>
              </w:rPr>
              <w:t>项</w:t>
            </w:r>
          </w:p>
        </w:tc>
        <w:tc>
          <w:tcPr>
            <w:tcW w:w="1502"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10"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c>
          <w:tcPr>
            <w:tcW w:w="1310" w:type="dxa"/>
            <w:noWrap w:val="0"/>
            <w:vAlign w:val="center"/>
          </w:tcPr>
          <w:p>
            <w:pPr>
              <w:spacing w:line="360" w:lineRule="auto"/>
              <w:jc w:val="center"/>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否</w:t>
            </w:r>
          </w:p>
        </w:tc>
      </w:tr>
    </w:tbl>
    <w:p>
      <w:pPr>
        <w:spacing w:line="360" w:lineRule="auto"/>
        <w:rPr>
          <w:bCs/>
          <w:color w:val="auto"/>
          <w:sz w:val="24"/>
          <w:highlight w:val="none"/>
        </w:rPr>
      </w:pP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2、具体技术参数需求</w:t>
      </w:r>
    </w:p>
    <w:tbl>
      <w:tblPr>
        <w:tblStyle w:val="20"/>
        <w:tblW w:w="9153" w:type="dxa"/>
        <w:tblInd w:w="-30" w:type="dxa"/>
        <w:tblLayout w:type="fixed"/>
        <w:tblCellMar>
          <w:top w:w="15" w:type="dxa"/>
          <w:left w:w="15" w:type="dxa"/>
          <w:bottom w:w="15" w:type="dxa"/>
          <w:right w:w="15" w:type="dxa"/>
        </w:tblCellMar>
      </w:tblPr>
      <w:tblGrid>
        <w:gridCol w:w="1034"/>
        <w:gridCol w:w="518"/>
        <w:gridCol w:w="559"/>
        <w:gridCol w:w="600"/>
        <w:gridCol w:w="682"/>
        <w:gridCol w:w="1282"/>
        <w:gridCol w:w="3625"/>
        <w:gridCol w:w="853"/>
      </w:tblGrid>
      <w:tr>
        <w:tblPrEx>
          <w:tblCellMar>
            <w:top w:w="15" w:type="dxa"/>
            <w:left w:w="15" w:type="dxa"/>
            <w:bottom w:w="15" w:type="dxa"/>
            <w:right w:w="15" w:type="dxa"/>
          </w:tblCellMar>
        </w:tblPrEx>
        <w:trPr>
          <w:trHeight w:val="1262" w:hRule="atLeast"/>
        </w:trPr>
        <w:tc>
          <w:tcPr>
            <w:tcW w:w="10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货物名称</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数量</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单位</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序号</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pStyle w:val="19"/>
              <w:spacing w:line="240" w:lineRule="auto"/>
              <w:ind w:left="0" w:leftChars="0" w:firstLine="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主要性能参数指标★/实质性参数指标▲</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指标项</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指标要求</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其他</w:t>
            </w:r>
          </w:p>
        </w:tc>
      </w:tr>
      <w:tr>
        <w:tblPrEx>
          <w:tblCellMar>
            <w:top w:w="15" w:type="dxa"/>
            <w:left w:w="15" w:type="dxa"/>
            <w:bottom w:w="15" w:type="dxa"/>
            <w:right w:w="15" w:type="dxa"/>
          </w:tblCellMar>
        </w:tblPrEx>
        <w:trPr>
          <w:trHeight w:val="285" w:hRule="atLeast"/>
        </w:trPr>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bookmarkStart w:id="43" w:name="_Hlk111727839"/>
            <w:r>
              <w:rPr>
                <w:rFonts w:hint="eastAsia" w:ascii="宋体" w:hAnsi="宋体" w:eastAsia="宋体" w:cs="宋体"/>
                <w:color w:val="auto"/>
                <w:sz w:val="21"/>
                <w:szCs w:val="21"/>
                <w:highlight w:val="none"/>
              </w:rPr>
              <w:t>室内全彩LED显示屏</w:t>
            </w:r>
            <w:bookmarkEnd w:id="43"/>
          </w:p>
        </w:tc>
        <w:tc>
          <w:tcPr>
            <w:tcW w:w="51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27.65</w:t>
            </w:r>
          </w:p>
        </w:tc>
        <w:tc>
          <w:tcPr>
            <w:tcW w:w="55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kern w:val="0"/>
                <w:sz w:val="21"/>
                <w:szCs w:val="21"/>
                <w:highlight w:val="none"/>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三分屏屏幕面积</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≥11.52m*2.4m=27.648m2</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rPr>
            </w:pPr>
          </w:p>
        </w:tc>
        <w:tc>
          <w:tcPr>
            <w:tcW w:w="51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像素间距</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≤1.86mm</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分辨率</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≥6192*1290</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刷新频率</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≥3840Hz</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亮度≥650cd/m²，可实现0cd/m～800cd/m²调节，视角水平：≥160°；垂直：≥160°；</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采用多层PCB设计，一体化驱动控制，PCB表面沉金处理，采用抗消隐设计，模组与HUB板采用排线连接，无级联，可直接插拔和热插拔；</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LED显示模组和LED显示屏的基色主波长的测量误差值△λD≤5nm，达到SJ/T11141-2017的最高级别C级要求；视觉舒适度（VICO指数）测试值在0≤VICO＜1，满足CSA035.2-2017标准量化分级1级；</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亮度均匀性</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采用逐点亮度校正技术，确保相邻像素之间亮度均匀性≤1%；</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90"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显示屏支持模组、电源，系统卡屏体前方和后方热插拔快速更换，同时支持通过控制软件让模组自动维护，更换模组支持自动校正；LED显示屏模组之间上下精密微调技术，LED模组之间左右精密微调技术，且上下模组的空隙≤0.02mm，相邻模组的屏面之间的最大空隙≤0.02mm；防护等级IP5X；</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提供封面带有CNAS、CMA标识的第三方检测报告</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rPr>
              <w:t>并加盖公章</w:t>
            </w:r>
            <w:r>
              <w:rPr>
                <w:rFonts w:hint="eastAsia" w:ascii="宋体" w:hAnsi="宋体" w:eastAsia="宋体" w:cs="宋体"/>
                <w:color w:val="auto"/>
                <w:sz w:val="21"/>
                <w:szCs w:val="21"/>
                <w:highlight w:val="none"/>
                <w:lang w:eastAsia="zh-CN"/>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供电要求</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支持双电网供电，实现永不黑屏；LED显示单元支持采用双接收信号卡备份；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提供封面带有CNAS、CMA标识的第三方检测报告</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rPr>
              <w:t>并加盖公章</w:t>
            </w:r>
            <w:r>
              <w:rPr>
                <w:rFonts w:hint="eastAsia" w:ascii="宋体" w:hAnsi="宋体" w:eastAsia="宋体" w:cs="宋体"/>
                <w:color w:val="auto"/>
                <w:sz w:val="21"/>
                <w:szCs w:val="21"/>
                <w:highlight w:val="none"/>
                <w:lang w:eastAsia="zh-CN"/>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LED显示屏可实时监控显示屏工作状态，具有故障自动告警功能；LED显示屏具有多点测温系统，均衡散热，防止局部温度过高造成色彩漂移，并提高显示屏寿命；LED显示屏具有LED显示屏温度控制系统，提供LED显示屏实时温度监控，超出设定温度自动报警，防止过温失效；</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12</w:t>
            </w:r>
            <w:r>
              <w:rPr>
                <w:rFonts w:hint="eastAsia" w:ascii="宋体" w:hAnsi="宋体" w:cs="宋体"/>
                <w:bCs/>
                <w:color w:val="auto"/>
                <w:sz w:val="21"/>
                <w:szCs w:val="21"/>
                <w:highlight w:val="none"/>
                <w:lang w:val="en-US" w:eastAsia="zh-CN"/>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显示屏具有故障自诊断，排查功能及毛毛虫现象消除功能；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需提供官网截图证明或相关</w:t>
            </w:r>
            <w:r>
              <w:rPr>
                <w:rFonts w:hint="eastAsia" w:ascii="宋体" w:hAnsi="宋体" w:eastAsia="宋体" w:cs="宋体"/>
                <w:color w:val="auto"/>
                <w:sz w:val="21"/>
                <w:szCs w:val="21"/>
                <w:highlight w:val="none"/>
                <w:lang w:val="en-US" w:eastAsia="zh-CN"/>
              </w:rPr>
              <w:t>证书</w:t>
            </w:r>
            <w:r>
              <w:rPr>
                <w:rFonts w:hint="eastAsia" w:ascii="宋体" w:hAnsi="宋体" w:cs="宋体"/>
                <w:color w:val="auto"/>
                <w:sz w:val="21"/>
                <w:szCs w:val="21"/>
                <w:highlight w:val="none"/>
                <w:lang w:val="en-US" w:eastAsia="zh-CN"/>
              </w:rPr>
              <w:t>证明，</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12</w:t>
            </w:r>
            <w:r>
              <w:rPr>
                <w:rFonts w:hint="eastAsia" w:ascii="宋体" w:hAnsi="宋体" w:cs="宋体"/>
                <w:bCs/>
                <w:color w:val="auto"/>
                <w:sz w:val="21"/>
                <w:szCs w:val="21"/>
                <w:highlight w:val="none"/>
                <w:lang w:val="en-US" w:eastAsia="zh-CN"/>
              </w:rPr>
              <w:t>-2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显示屏具有视频图像稳定性检测与控制功能；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需提供官网截图证明或相关</w:t>
            </w:r>
            <w:r>
              <w:rPr>
                <w:rFonts w:hint="eastAsia" w:ascii="宋体" w:hAnsi="宋体" w:eastAsia="宋体" w:cs="宋体"/>
                <w:color w:val="auto"/>
                <w:sz w:val="21"/>
                <w:szCs w:val="21"/>
                <w:highlight w:val="none"/>
                <w:lang w:val="en-US" w:eastAsia="zh-CN"/>
              </w:rPr>
              <w:t>证书</w:t>
            </w:r>
            <w:r>
              <w:rPr>
                <w:rFonts w:hint="eastAsia" w:ascii="宋体" w:hAnsi="宋体" w:cs="宋体"/>
                <w:color w:val="auto"/>
                <w:sz w:val="21"/>
                <w:szCs w:val="21"/>
                <w:highlight w:val="none"/>
                <w:lang w:val="en-US" w:eastAsia="zh-CN"/>
              </w:rPr>
              <w:t>证明，</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12</w:t>
            </w:r>
            <w:r>
              <w:rPr>
                <w:rFonts w:hint="eastAsia" w:ascii="宋体" w:hAnsi="宋体" w:cs="宋体"/>
                <w:bCs/>
                <w:color w:val="auto"/>
                <w:sz w:val="21"/>
                <w:szCs w:val="21"/>
                <w:highlight w:val="none"/>
                <w:lang w:val="en-US" w:eastAsia="zh-CN"/>
              </w:rPr>
              <w:t>-3</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显示屏具有智能亮度调节</w:t>
            </w:r>
            <w:r>
              <w:rPr>
                <w:rFonts w:hint="eastAsia" w:ascii="宋体" w:hAnsi="宋体" w:cs="宋体"/>
                <w:color w:val="auto"/>
                <w:sz w:val="21"/>
                <w:szCs w:val="21"/>
                <w:highlight w:val="none"/>
                <w:lang w:val="en-US" w:eastAsia="zh-CN"/>
              </w:rPr>
              <w:t>功能</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需提供官网截图证明或相关</w:t>
            </w:r>
            <w:r>
              <w:rPr>
                <w:rFonts w:hint="eastAsia" w:ascii="宋体" w:hAnsi="宋体" w:eastAsia="宋体" w:cs="宋体"/>
                <w:color w:val="auto"/>
                <w:sz w:val="21"/>
                <w:szCs w:val="21"/>
                <w:highlight w:val="none"/>
                <w:lang w:val="en-US" w:eastAsia="zh-CN"/>
              </w:rPr>
              <w:t>证书</w:t>
            </w:r>
            <w:r>
              <w:rPr>
                <w:rFonts w:hint="eastAsia" w:ascii="宋体" w:hAnsi="宋体" w:cs="宋体"/>
                <w:color w:val="auto"/>
                <w:sz w:val="21"/>
                <w:szCs w:val="21"/>
                <w:highlight w:val="none"/>
                <w:lang w:val="en-US" w:eastAsia="zh-CN"/>
              </w:rPr>
              <w:t>证明，</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12</w:t>
            </w:r>
            <w:r>
              <w:rPr>
                <w:rFonts w:hint="eastAsia" w:ascii="宋体" w:hAnsi="宋体" w:cs="宋体"/>
                <w:bCs/>
                <w:color w:val="auto"/>
                <w:sz w:val="21"/>
                <w:szCs w:val="21"/>
                <w:highlight w:val="none"/>
                <w:lang w:val="en-US" w:eastAsia="zh-CN"/>
              </w:rPr>
              <w:t>-4</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显示屏具有逐点校正系统边缘亮暗线调节</w:t>
            </w:r>
            <w:r>
              <w:rPr>
                <w:rFonts w:hint="eastAsia" w:ascii="宋体" w:hAnsi="宋体" w:cs="宋体"/>
                <w:color w:val="auto"/>
                <w:sz w:val="21"/>
                <w:szCs w:val="21"/>
                <w:highlight w:val="none"/>
                <w:lang w:val="en-US" w:eastAsia="zh-CN"/>
              </w:rPr>
              <w:t>功能</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需提供官网截图证明或相关</w:t>
            </w:r>
            <w:r>
              <w:rPr>
                <w:rFonts w:hint="eastAsia" w:ascii="宋体" w:hAnsi="宋体" w:eastAsia="宋体" w:cs="宋体"/>
                <w:color w:val="auto"/>
                <w:sz w:val="21"/>
                <w:szCs w:val="21"/>
                <w:highlight w:val="none"/>
                <w:lang w:val="en-US" w:eastAsia="zh-CN"/>
              </w:rPr>
              <w:t>证书</w:t>
            </w:r>
            <w:r>
              <w:rPr>
                <w:rFonts w:hint="eastAsia" w:ascii="宋体" w:hAnsi="宋体" w:cs="宋体"/>
                <w:color w:val="auto"/>
                <w:sz w:val="21"/>
                <w:szCs w:val="21"/>
                <w:highlight w:val="none"/>
                <w:lang w:val="en-US" w:eastAsia="zh-CN"/>
              </w:rPr>
              <w:t>证明，</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有毒有害物质检测</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LED显示屏所使用的各种材料和元器件，都应满足《SJ/T11363-2016电子信息产品中有毒有害物质的限量要求》，铅、汞、六价铬、多溴联苯、多溴二苯醚（十溴二苯醚除外）的含量不应超过0.1%，镉的含量不应超过0.01%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提供封面带有CNAS、CMA标识的第三方检测报告复印件并加盖公章</w:t>
            </w:r>
            <w:r>
              <w:rPr>
                <w:rFonts w:hint="eastAsia" w:ascii="宋体" w:hAnsi="宋体" w:eastAsia="宋体" w:cs="宋体"/>
                <w:color w:val="auto"/>
                <w:sz w:val="21"/>
                <w:szCs w:val="21"/>
                <w:highlight w:val="none"/>
                <w:lang w:eastAsia="zh-CN"/>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光生物安全</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sz w:val="21"/>
                <w:szCs w:val="21"/>
                <w:highlight w:val="none"/>
              </w:rPr>
              <w:t>无危险类的基础是</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rPr>
              <w:t>IEC62471:2006/EN62471:2008(GB/T20145-2006)标准要求的极限条件下也不造成任何光生物危害</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在8h（30000s）曝辐中不造成光化学紫外危害（Es），在1000s（约16min）内不造成近紫外危害（EUVA）</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在1000s（约2.8h）内不造成对视网膜蓝光危害（Lb）</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在10s内不造成对视网膜热危害（LR）</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在1000s不造成对眼睛的红外辐射危害（EIR）</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低蓝光测试：显示屏经蓝光危害检测结果为无危害；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提供封面带有CNAS</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rPr>
              <w:t>CMA标识的第三方检测报告复印件并加盖公章</w:t>
            </w:r>
            <w:r>
              <w:rPr>
                <w:rFonts w:hint="eastAsia" w:ascii="宋体" w:hAnsi="宋体" w:eastAsia="宋体" w:cs="宋体"/>
                <w:color w:val="auto"/>
                <w:sz w:val="21"/>
                <w:szCs w:val="21"/>
                <w:highlight w:val="none"/>
                <w:lang w:eastAsia="zh-CN"/>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sz w:val="21"/>
                <w:szCs w:val="21"/>
                <w:highlight w:val="none"/>
              </w:rPr>
              <w:t>显示屏具有快速组合和快速安装功能、显示屏具有新型LED白光灯具</w:t>
            </w:r>
            <w:r>
              <w:rPr>
                <w:rFonts w:hint="eastAsia"/>
                <w:color w:val="auto"/>
                <w:highlight w:val="none"/>
                <w:lang w:eastAsia="zh-CN"/>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大数据展示屏幕配套管理端</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有效整合在教学过程中产生的过程性数据，支持与学校现有网络教学平台进行对接，建立教学大数据中心，进行有效数据挖掘，实现三分屏系统屏幕端可视化展示分析。相关展示内容应至少包括以下模块：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color w:val="auto"/>
                <w:highlight w:val="none"/>
              </w:rPr>
              <w:t>此项不参与扣分</w:t>
            </w: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可视化页面</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可视化页面支持展示自定义栏目，支持自由布局、轮播展示、插入富媒体插件（文本、图片、视频、动画装饰、表格等）、常规栏目组件（天气、日期、内嵌网页）等功能；</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可视化图表</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可视化图表类型应至少包括柱状图、折线图、饼图、雷达图、地图、3D地球、词云等；</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16-3</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三分屏系统设置</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支持按需添加学校大数据展示屏轮播图，自定义设置屏幕切换时间，数据统计范围、以及可对三分屏数据进行人工数据校正。</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16-4</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数据看板</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数据看板展示轮播界面应至少包含：整体概况、今日动态、考勤监控、课堂活动、资源建设等展示界面。</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大屏电源</w:t>
            </w:r>
          </w:p>
        </w:tc>
        <w:tc>
          <w:tcPr>
            <w:tcW w:w="51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55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高低温循环</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-40-50℃，输入电源220V，100%带载，电源能正常工作；</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纹波和噪音</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≤150mVp-p 25℃</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效率</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输入220V，常温下≥86%；</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过流保护</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额定负载的110-150%范围内电源保护，过载消失后，至空载时自动恢复正常输出；</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接地电阻</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32A 2minite，阻抗小于≤0.1欧姆；</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大屏幕控制系统接收卡</w:t>
            </w:r>
          </w:p>
        </w:tc>
        <w:tc>
          <w:tcPr>
            <w:tcW w:w="51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55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单卡输出RGBR数据</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≥16组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单卡输出RGB数据</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≥20组；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单卡输出串行数据</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≥64组；</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单卡带载像素</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≥256×226；</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支持绝大多数芯片高灰度高刷新；配置72张，单张配置如下：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color w:val="auto"/>
                <w:highlight w:val="none"/>
              </w:rPr>
              <w:t>此项不参与扣分</w:t>
            </w: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HDMI 1.4−1×DVI−1×3G-SDI（IN+LOOP）、1×3.5mm音频输入接口、输出接口−10路千兆网口，最大带载650万像素，单台设备输出最大宽度10240，高度8192、1路HDMI 1.3输出接口，可用作输出预监或视频输。</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音频输入输出−支持HDMI伴随音频输入−支持3.5mm的独立音频输入−支持3.5mm独立音频输出−支持通过多功能卡进行音频输出</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5-3</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3个图层，图层大小和位置可单独调节，支持图层按照Z序优先级调整。</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5-4</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支持快捷配屏和高级配屏功能</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支持HDMI、DVI输入分辨率自定义调节。</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5-6</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支持设备间备份设置。</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5-7</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最大带载</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视频输出最大带载高达650万像素。</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5-8</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支持一键将优先级最低的窗口全屏自动缩放，增强产品实用性能。</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5-9</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支持创建10个用户场景作为模板保存，方便使用。</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扩展子卡支持AP+WiFi无线模式，可实现手机，电脑的无线投屏。</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视频拼接器</w:t>
            </w:r>
          </w:p>
        </w:tc>
        <w:tc>
          <w:tcPr>
            <w:tcW w:w="51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5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设备具备输入板卡、输出板卡、预监板卡、主控板卡，均采用插卡式设计，同时内置数据交换背板，支持设备温度、电压、风扇在线状态监测。</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单台设备最大支持40路HDMI、DVI输入和48路网口输出+6路10G光口输出或40路HDMI、DVI输入和12路HDMI、DVI输出。</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单个二合一网口输出卡最大输出视频分辨率为5120 x 2048或10240 x 972,带载宽度和高度最大可达10240，单台设备最多可接入3张二合一网口输出卡。</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系统为基于FPGA的纯硬件架构设计，系统运行高效稳定，内部视频数据传输采用基于业界领先的CrossPoint矩阵总线交换技术，输入和输出总线带宽高达312 Gbps，单张输入板卡视频总线传输带宽高达5*6.5 Gbps，单张输出板卡视频总线传输带宽高达16*6.5 Gbps。</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单台设备支持创建高达12个屏幕；支持屏幕非规则建屏，且可实现单卡单接口建屏。</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DVI和HDMI等2K视频输出接口，输出宽度和输出高度最大支持2560，单张DVI和HDMI等2K视频输出板卡支持的最大分辨率为10240x972@60Hz或884x10240@60Hz。</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支持RS232串口、RS485、网络控制，支持对接第三方控制设备控制。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媒体服务器</w:t>
            </w:r>
          </w:p>
        </w:tc>
        <w:tc>
          <w:tcPr>
            <w:tcW w:w="51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5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处理器≥I7-11700K，支持64位运算和GPU压缩编码；内存≥DDR4 2666MHz 16GB； B系列高性能主板、≥512G M.2固态硬盘。</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支持独立的2路DP输出，接口分辨率可设置为4096*2160@60Hz，单接口极限宽度可设置为8192，单口极限高度可设置8192。</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支持单设备2接口拼接同步显示，拼接带载分辨率可设置为8192*2160@60Hz。</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支持3D视频源解码播放输出，可实现单接口独立3D播放输出或2接口拼接3D同步输出，分辨率可设置为3840x2160@60Hz。</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支持独立的HDMI或DP监视接口输出，用于播控软件界面编辑，不占用显示输出接口。</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支持1路3.5mm麦克风音频输入接口，1路3.5mm外置音频输入接口，1路3.5mm音频输出接口。</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支持5.1声道，可实现立体环绕声输出。支持2路PCIE插槽，用于同步卡、采集卡、网卡的扩展。</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千兆网口通讯，可支持第三方通过TCP、UDP进行集成控制。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可满足至少1个8K2K或2个4K2K硬件解码播放，且播放流畅不卡顿。</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支持实现多个输出接口的任意重组以及任意角度旋转，实现对不规则显示屏的拼接带载。</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支持播放画面编辑和输出分离，预览编辑完成后再输出播放。</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支</w:t>
            </w:r>
            <w:r>
              <w:rPr>
                <w:rFonts w:hint="eastAsia" w:ascii="宋体" w:hAnsi="宋体" w:eastAsia="宋体" w:cs="宋体"/>
                <w:color w:val="auto"/>
                <w:sz w:val="21"/>
                <w:szCs w:val="21"/>
                <w:highlight w:val="none"/>
              </w:rPr>
              <w:t>持播放画面直切、淡入淡出的切换特效和渐变黑屏、测试画面、输出显示控制。</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1支持从本地媒体画面或输入源画面中拾取颜色，然后按照拾取的颜色进行抠像处理。支持多画面同时播放时按照主计时媒体进行跳转。</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支持节目整体播放、暂停、停止、音量调节，单个媒体的音量调节，单个媒体的快进和快退播放。</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媒体服务器内置可视化分析系统，能与学校网络教学平台数据进行对接，</w:t>
            </w:r>
            <w:r>
              <w:rPr>
                <w:rFonts w:hint="eastAsia" w:ascii="宋体" w:hAnsi="宋体" w:eastAsia="宋体" w:cs="宋体"/>
                <w:color w:val="auto"/>
                <w:sz w:val="21"/>
                <w:szCs w:val="21"/>
                <w:highlight w:val="none"/>
              </w:rPr>
              <w:t>将教学全过程进行数据跟踪管理，后台进行数据的分析汇总，贯穿课前课中课后，融合线上线下、打通课内课外，支持可视化分析，能实时为学校科学决策提供数据支撑。可视化分析系统数据采集模块应至少包括以下模块：</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color w:val="auto"/>
              </w:rPr>
              <w:t>此项不参与扣分</w:t>
            </w: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15-1</w:t>
            </w:r>
          </w:p>
        </w:tc>
        <w:tc>
          <w:tcPr>
            <w:tcW w:w="682" w:type="dxa"/>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整体数据概况</w:t>
            </w:r>
          </w:p>
        </w:tc>
        <w:tc>
          <w:tcPr>
            <w:tcW w:w="3625" w:type="dxa"/>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统计本校基础数据信息，以教师、学生、课程、考勤、资源、行为，六个维度进行数据概览展示；并支持根据访问量情况，统计教师、学生、课程排行榜。</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default" w:ascii="宋体" w:hAnsi="宋体" w:eastAsia="宋体" w:cs="宋体"/>
                <w:bCs/>
                <w:color w:val="auto"/>
                <w:sz w:val="21"/>
                <w:szCs w:val="21"/>
                <w:highlight w:val="none"/>
                <w:lang w:val="en-US"/>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15-2</w:t>
            </w:r>
          </w:p>
        </w:tc>
        <w:tc>
          <w:tcPr>
            <w:tcW w:w="682" w:type="dxa"/>
            <w:tcBorders>
              <w:top w:val="single" w:color="000000" w:sz="4" w:space="0"/>
              <w:left w:val="single" w:color="000000" w:sz="4" w:space="0"/>
              <w:bottom w:val="single" w:color="000000"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课程数据</w:t>
            </w:r>
          </w:p>
        </w:tc>
        <w:tc>
          <w:tcPr>
            <w:tcW w:w="3625" w:type="dxa"/>
            <w:tcBorders>
              <w:top w:val="single" w:color="000000" w:sz="4" w:space="0"/>
              <w:left w:val="single" w:color="auto"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统计平台新建课程、活跃课程、运行班次数据总览及排行；支持按创建章节总数、题目数、作业数、试卷数等维度分析课程建设情况排行。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1050"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15-3</w:t>
            </w:r>
          </w:p>
          <w:p>
            <w:pPr>
              <w:spacing w:line="240" w:lineRule="auto"/>
              <w:jc w:val="center"/>
              <w:textAlignment w:val="center"/>
              <w:rPr>
                <w:rFonts w:hint="eastAsia" w:ascii="宋体" w:hAnsi="宋体" w:eastAsia="宋体" w:cs="宋体"/>
                <w:bCs/>
                <w:color w:val="auto"/>
                <w:sz w:val="21"/>
                <w:szCs w:val="21"/>
                <w:highlight w:val="none"/>
              </w:rPr>
            </w:pPr>
          </w:p>
        </w:tc>
        <w:tc>
          <w:tcPr>
            <w:tcW w:w="682" w:type="dxa"/>
            <w:tcBorders>
              <w:top w:val="single" w:color="000000" w:sz="4" w:space="0"/>
              <w:left w:val="single" w:color="000000" w:sz="4" w:space="0"/>
              <w:right w:val="single" w:color="auto"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auto" w:sz="4" w:space="0"/>
              <w:left w:val="single" w:color="auto" w:sz="4" w:space="0"/>
              <w:right w:val="single" w:color="auto" w:sz="4" w:space="0"/>
            </w:tcBorders>
            <w:noWrap w:val="0"/>
            <w:vAlign w:val="center"/>
          </w:tcPr>
          <w:p>
            <w:pPr>
              <w:widowControl/>
              <w:spacing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教学运行</w:t>
            </w:r>
          </w:p>
        </w:tc>
        <w:tc>
          <w:tcPr>
            <w:tcW w:w="3625" w:type="dxa"/>
            <w:tcBorders>
              <w:top w:val="single" w:color="000000" w:sz="4" w:space="0"/>
              <w:left w:val="single" w:color="auto"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按任务点、章节测验、作业、考试、课堂活动、互动讨论等维度，统计学校教师课程建设及运行过程中相关教学活动创建数据及排行。</w:t>
            </w:r>
          </w:p>
        </w:tc>
        <w:tc>
          <w:tcPr>
            <w:tcW w:w="853"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15-4</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出勤分析</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学生整体出勤情况分析，平均出勤率、整体出勤趋势、今日上课班级出勤率统计排名，各院系/课程出勤率排行情况、院系学生签到异常监测等。</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资源建设</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统计全校资源总量、资源类型分布，近一月资源增长趋势、全校题库建设情况，题库总量及各个题型占比、教师资源上传排行榜等。</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15-6</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师生活跃</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统计一定时间内平台师生教与学的活动情况，包含活动数、活动类型、变化趋势、使用终端分布等，并提供师生排行。</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15-7</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教学报告</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sz w:val="21"/>
                <w:szCs w:val="21"/>
                <w:highlight w:val="magenta"/>
                <w:lang w:eastAsia="zh-CN"/>
              </w:rPr>
            </w:pPr>
            <w:r>
              <w:rPr>
                <w:rFonts w:hint="eastAsia" w:ascii="宋体" w:hAnsi="宋体" w:eastAsia="宋体" w:cs="宋体"/>
                <w:color w:val="auto"/>
                <w:sz w:val="21"/>
                <w:szCs w:val="21"/>
                <w:highlight w:val="none"/>
              </w:rPr>
              <w:t>（1）日常报告：支持日报、周报、月报、自定义时间时间维度，统计筛选时间区间内课程数据、教师数据、学生数据，并支持导出。</w:t>
            </w:r>
          </w:p>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（2）学期报告：以院系、课程、教师、学生、资源、到课率、活动数、七个维度，统计每学期平台师生教与学活动的运行情况，并支持导出。</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15-8</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eastAsia="zh-Hans"/>
              </w:rPr>
              <w:t>画像分析</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spacing w:after="12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教师画像：支持展示学校整体教师平台运用情况，可自定义设置教师画像成绩权重；教师个人画像中展示教师平台关键词、评比排名、课程雷达图，并支持所教课程、基础数据、教学分析、教学轨迹等数据的展示与分析。</w:t>
            </w:r>
          </w:p>
          <w:p>
            <w:pPr>
              <w:numPr>
                <w:ilvl w:val="0"/>
                <w:numId w:val="0"/>
              </w:numPr>
              <w:spacing w:after="12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学生画像：支持展示学校整体学生平台使用情况，分类型展示学生课程活动参与情况及排行；可自定义设置学生画像权重；学生个人画像展示学生平台关键词、表现排名及学习雷达图，并支持所学课程、基础数据、学习分析、学习轨迹等数据的展示与分析。</w:t>
            </w:r>
          </w:p>
          <w:p>
            <w:pPr>
              <w:numPr>
                <w:ilvl w:val="0"/>
                <w:numId w:val="0"/>
              </w:numPr>
              <w:spacing w:after="120" w:line="240" w:lineRule="auto"/>
              <w:jc w:val="left"/>
              <w:rPr>
                <w:rFonts w:hint="eastAsia" w:ascii="宋体" w:hAnsi="宋体" w:eastAsia="宋体" w:cs="宋体"/>
                <w:color w:val="auto"/>
                <w:sz w:val="21"/>
                <w:szCs w:val="21"/>
                <w:highlight w:val="magent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课程画像：支持展示学校整体课程建设和运行情况，支持课程综合成绩权重设置；课程画像展示课程关键词、排名、课程雷达图，支持基础数据、课堂报告、学情分析、学生成绩、课程日志等数据展示与分析。</w:t>
            </w:r>
          </w:p>
          <w:p>
            <w:pPr>
              <w:numPr>
                <w:ilvl w:val="0"/>
                <w:numId w:val="0"/>
              </w:numPr>
              <w:spacing w:after="12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院系画像:根据管理者的管理范围，可看到对应院系画像.院系画像由教师、学生、课程三个维度显示，展示院系维度的教师、学生、课程情况。</w:t>
            </w:r>
          </w:p>
          <w:p>
            <w:pPr>
              <w:numPr>
                <w:ilvl w:val="0"/>
                <w:numId w:val="0"/>
              </w:numPr>
              <w:spacing w:after="120"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全校画像:以教师、学生、课程三个维度，展示全校整体数据，把标准抽象画用图表和标签展示，把数据具体化，把各个数据量清晰的展示出来，进而反映出全校的整体情况。</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shd w:val="clear" w:color="auto" w:fill="auto"/>
                <w:lang w:bidi="ar"/>
              </w:rPr>
              <w:t>远程互动</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媒体服务器内置远程直播互动客户端系统，可便于教师课堂发起远程直播互动教学，直播教学产生互动数据能与数据分析系统做对接。</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配电柜</w:t>
            </w:r>
          </w:p>
        </w:tc>
        <w:tc>
          <w:tcPr>
            <w:tcW w:w="518"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59"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shd w:val="clear" w:color="auto" w:fill="auto"/>
                <w:lang w:bidi="ar"/>
              </w:rPr>
              <w:t>供电系统</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提供≥30KW供电系统，配电柜给三分屏设备供电需按照标准网络机房供电标准设计安装供电，为考虑峰值电流影响，需考虑分路供电，时序控制。电源供电需考虑二级防雷，设备、保护地分开，整个三分屏接地系统需接入大楼接地系统，还应考虑关键信息设备端口防雷措施；</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防护功能</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具有防静电、抗震动、防电磁干扰、抗雷击等功能，具有电源过压、过流、断电保护、分布上电措施，具有实时监控温度、故障报警功能；</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shd w:val="clear" w:color="auto" w:fill="auto"/>
                <w:lang w:bidi="ar"/>
              </w:rPr>
              <w:t>认证</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sz w:val="21"/>
                <w:szCs w:val="21"/>
                <w:highlight w:val="none"/>
              </w:rPr>
              <w:t>配电柜具有CQC认证（提供报告复印件加盖公章）</w:t>
            </w:r>
            <w:r>
              <w:rPr>
                <w:rFonts w:hint="eastAsia"/>
                <w:lang w:eastAsia="zh-CN"/>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left w:val="single" w:color="000000"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shd w:val="clear" w:color="auto" w:fill="auto"/>
                <w:lang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具有配电PLC自动控制</w:t>
            </w:r>
            <w:r>
              <w:rPr>
                <w:rFonts w:hint="eastAsia" w:ascii="宋体" w:hAnsi="宋体" w:cs="宋体"/>
                <w:color w:val="auto"/>
                <w:sz w:val="21"/>
                <w:szCs w:val="21"/>
                <w:highlight w:val="none"/>
                <w:lang w:val="en-US" w:eastAsia="zh-CN"/>
              </w:rPr>
              <w:t>功能；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需提供官网截图证明或相关</w:t>
            </w:r>
            <w:r>
              <w:rPr>
                <w:rFonts w:hint="eastAsia" w:ascii="宋体" w:hAnsi="宋体" w:eastAsia="宋体" w:cs="宋体"/>
                <w:color w:val="auto"/>
                <w:sz w:val="21"/>
                <w:szCs w:val="21"/>
                <w:highlight w:val="none"/>
                <w:lang w:val="en-US" w:eastAsia="zh-CN"/>
              </w:rPr>
              <w:t>证书</w:t>
            </w:r>
            <w:r>
              <w:rPr>
                <w:rFonts w:hint="eastAsia" w:ascii="宋体" w:hAnsi="宋体" w:cs="宋体"/>
                <w:color w:val="auto"/>
                <w:sz w:val="21"/>
                <w:szCs w:val="21"/>
                <w:highlight w:val="none"/>
                <w:lang w:val="en-US" w:eastAsia="zh-CN"/>
              </w:rPr>
              <w:t>证明，</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518" w:type="dxa"/>
            <w:vMerge w:val="continue"/>
            <w:tcBorders>
              <w:left w:val="single" w:color="000000" w:sz="4" w:space="0"/>
              <w:bottom w:val="single" w:color="auto"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559" w:type="dxa"/>
            <w:vMerge w:val="continue"/>
            <w:tcBorders>
              <w:left w:val="single" w:color="000000" w:sz="4" w:space="0"/>
              <w:bottom w:val="single" w:color="auto" w:sz="4" w:space="0"/>
              <w:right w:val="single" w:color="000000" w:sz="4" w:space="0"/>
            </w:tcBorders>
            <w:noWrap w:val="0"/>
            <w:vAlign w:val="center"/>
          </w:tcPr>
          <w:p>
            <w:pPr>
              <w:widowControl/>
              <w:spacing w:line="240" w:lineRule="auto"/>
              <w:jc w:val="center"/>
              <w:rPr>
                <w:rFonts w:hint="eastAsia" w:ascii="宋体" w:hAnsi="宋体" w:eastAsia="宋体" w:cs="宋体"/>
                <w:color w:val="auto"/>
                <w:kern w:val="0"/>
                <w:sz w:val="21"/>
                <w:szCs w:val="21"/>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shd w:val="clear" w:color="auto" w:fill="auto"/>
                <w:lang w:val="en-US" w:eastAsia="zh-CN" w:bidi="ar"/>
              </w:rPr>
            </w:pP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具有</w:t>
            </w:r>
            <w:r>
              <w:rPr>
                <w:rFonts w:hint="eastAsia" w:ascii="宋体" w:hAnsi="宋体" w:eastAsia="宋体" w:cs="宋体"/>
                <w:color w:val="auto"/>
                <w:sz w:val="21"/>
                <w:szCs w:val="21"/>
                <w:highlight w:val="none"/>
              </w:rPr>
              <w:t>配电管理</w:t>
            </w:r>
            <w:r>
              <w:rPr>
                <w:rFonts w:hint="eastAsia" w:ascii="宋体" w:hAnsi="宋体" w:cs="宋体"/>
                <w:color w:val="auto"/>
                <w:sz w:val="21"/>
                <w:szCs w:val="21"/>
                <w:highlight w:val="none"/>
                <w:lang w:val="en-US" w:eastAsia="zh-CN"/>
              </w:rPr>
              <w:t>功能；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需提供官网截图证明或相关</w:t>
            </w:r>
            <w:r>
              <w:rPr>
                <w:rFonts w:hint="eastAsia" w:ascii="宋体" w:hAnsi="宋体" w:eastAsia="宋体" w:cs="宋体"/>
                <w:color w:val="auto"/>
                <w:sz w:val="21"/>
                <w:szCs w:val="21"/>
                <w:highlight w:val="none"/>
                <w:lang w:val="en-US" w:eastAsia="zh-CN"/>
              </w:rPr>
              <w:t>证书</w:t>
            </w:r>
            <w:r>
              <w:rPr>
                <w:rFonts w:hint="eastAsia" w:ascii="宋体" w:hAnsi="宋体" w:cs="宋体"/>
                <w:color w:val="auto"/>
                <w:sz w:val="21"/>
                <w:szCs w:val="21"/>
                <w:highlight w:val="none"/>
                <w:lang w:val="en-US" w:eastAsia="zh-CN"/>
              </w:rPr>
              <w:t>证明，</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restart"/>
            <w:tcBorders>
              <w:top w:val="single" w:color="auto" w:sz="4" w:space="0"/>
              <w:left w:val="single" w:color="auto"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结构装饰</w:t>
            </w:r>
          </w:p>
        </w:tc>
        <w:tc>
          <w:tcPr>
            <w:tcW w:w="518" w:type="dxa"/>
            <w:vMerge w:val="restart"/>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59" w:type="dxa"/>
            <w:vMerge w:val="restart"/>
            <w:tcBorders>
              <w:top w:val="single" w:color="auto" w:sz="4" w:space="0"/>
              <w:left w:val="single" w:color="000000"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60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安装</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LED高清屏幕采用水平安装（具体依照现场条件确定），安装结构能满足LED高清显示屏的整体均匀平滑要求；</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支架</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支架颜色、质感、支撑结构的整体风格一致；</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r>
        <w:tblPrEx>
          <w:tblCellMar>
            <w:top w:w="15" w:type="dxa"/>
            <w:left w:w="15" w:type="dxa"/>
            <w:bottom w:w="15" w:type="dxa"/>
            <w:right w:w="15" w:type="dxa"/>
          </w:tblCellMar>
        </w:tblPrEx>
        <w:trPr>
          <w:trHeight w:val="285" w:hRule="atLeast"/>
        </w:trPr>
        <w:tc>
          <w:tcPr>
            <w:tcW w:w="1034"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18"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559"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highlight w:val="none"/>
              </w:rPr>
            </w:pPr>
          </w:p>
        </w:tc>
        <w:tc>
          <w:tcPr>
            <w:tcW w:w="60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结构</w:t>
            </w:r>
          </w:p>
        </w:tc>
        <w:tc>
          <w:tcPr>
            <w:tcW w:w="362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结构部分选用定制安装结构铝型材制作或者根据现场情况定制，具有足够的静态与动态机械强度和刚度；</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Cs/>
                <w:color w:val="auto"/>
                <w:sz w:val="21"/>
                <w:szCs w:val="21"/>
                <w:highlight w:val="none"/>
              </w:rPr>
            </w:pPr>
          </w:p>
        </w:tc>
      </w:tr>
    </w:tbl>
    <w:p>
      <w:pPr>
        <w:spacing w:line="360" w:lineRule="auto"/>
        <w:ind w:firstLine="560" w:firstLineChars="200"/>
        <w:rPr>
          <w:rFonts w:hint="eastAsia" w:ascii="宋体" w:hAnsi="宋体" w:cs="宋体"/>
          <w:bCs/>
          <w:color w:val="auto"/>
          <w:sz w:val="28"/>
          <w:szCs w:val="28"/>
          <w:highlight w:val="none"/>
        </w:rPr>
      </w:pPr>
    </w:p>
    <w:p>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3、 其它要求</w:t>
      </w:r>
    </w:p>
    <w:p>
      <w:pPr>
        <w:adjustRightInd w:val="0"/>
        <w:snapToGrid w:val="0"/>
        <w:spacing w:line="360" w:lineRule="auto"/>
        <w:ind w:firstLine="480" w:firstLineChars="200"/>
        <w:rPr>
          <w:rFonts w:hint="eastAsia" w:ascii="宋体" w:hAnsi="宋体"/>
          <w:b/>
          <w:bCs/>
          <w:color w:val="auto"/>
          <w:sz w:val="24"/>
          <w:highlight w:val="none"/>
        </w:rPr>
      </w:pPr>
      <w:r>
        <w:rPr>
          <w:rFonts w:hint="eastAsia" w:ascii="宋体" w:hAnsi="宋体" w:cs="宋体"/>
          <w:bCs/>
          <w:color w:val="auto"/>
          <w:sz w:val="24"/>
          <w:highlight w:val="none"/>
        </w:rPr>
        <w:t>▲3.</w:t>
      </w:r>
      <w:r>
        <w:rPr>
          <w:rFonts w:hint="eastAsia" w:ascii="宋体" w:hAnsi="宋体"/>
          <w:color w:val="auto"/>
          <w:sz w:val="24"/>
          <w:highlight w:val="none"/>
        </w:rPr>
        <w:t>1</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直播教室项目是一高度集成的系统工程项目，LED三分屏系统建设要求中标供应商在合同签订后配合前期装修工作，提出明确的安装要求</w:t>
      </w:r>
      <w:r>
        <w:rPr>
          <w:rFonts w:hint="eastAsia" w:ascii="宋体" w:hAnsi="宋体"/>
          <w:color w:val="auto"/>
          <w:sz w:val="24"/>
          <w:highlight w:val="none"/>
          <w:lang w:eastAsia="zh-CN"/>
        </w:rPr>
        <w:t>，</w:t>
      </w:r>
      <w:r>
        <w:rPr>
          <w:rFonts w:hint="eastAsia" w:ascii="宋体" w:hAnsi="宋体"/>
          <w:color w:val="auto"/>
          <w:sz w:val="24"/>
          <w:highlight w:val="none"/>
        </w:rPr>
        <w:t>以免影响设备安装和实施效果，</w:t>
      </w:r>
      <w:r>
        <w:rPr>
          <w:rFonts w:hint="eastAsia" w:ascii="宋体" w:hAnsi="宋体"/>
          <w:b/>
          <w:bCs/>
          <w:color w:val="auto"/>
          <w:sz w:val="24"/>
          <w:highlight w:val="none"/>
        </w:rPr>
        <w:t>要求项目实施过程中与其</w:t>
      </w:r>
      <w:r>
        <w:rPr>
          <w:rFonts w:hint="eastAsia" w:ascii="宋体" w:hAnsi="宋体" w:eastAsia="宋体" w:cs="Times New Roman"/>
          <w:b/>
          <w:bCs/>
          <w:color w:val="auto"/>
          <w:sz w:val="24"/>
          <w:highlight w:val="none"/>
        </w:rPr>
        <w:t>余部分</w:t>
      </w:r>
      <w:r>
        <w:rPr>
          <w:rFonts w:hint="eastAsia" w:ascii="宋体" w:hAnsi="宋体" w:eastAsia="宋体" w:cs="Times New Roman"/>
          <w:b/>
          <w:bCs/>
          <w:color w:val="auto"/>
          <w:sz w:val="24"/>
          <w:highlight w:val="none"/>
          <w:lang w:eastAsia="zh-CN"/>
        </w:rPr>
        <w:t>中标</w:t>
      </w:r>
      <w:r>
        <w:rPr>
          <w:rFonts w:hint="eastAsia" w:ascii="宋体" w:hAnsi="宋体" w:eastAsia="宋体" w:cs="Times New Roman"/>
          <w:b/>
          <w:bCs/>
          <w:color w:val="auto"/>
          <w:sz w:val="24"/>
          <w:highlight w:val="none"/>
          <w:lang w:val="en-US" w:eastAsia="zh-CN"/>
        </w:rPr>
        <w:t>供应商</w:t>
      </w:r>
      <w:r>
        <w:rPr>
          <w:rFonts w:hint="eastAsia" w:ascii="宋体" w:hAnsi="宋体" w:eastAsia="宋体" w:cs="Times New Roman"/>
          <w:b/>
          <w:bCs/>
          <w:color w:val="auto"/>
          <w:sz w:val="24"/>
          <w:highlight w:val="none"/>
        </w:rPr>
        <w:t>密切</w:t>
      </w:r>
      <w:r>
        <w:rPr>
          <w:rFonts w:hint="eastAsia" w:ascii="宋体" w:hAnsi="宋体"/>
          <w:b/>
          <w:bCs/>
          <w:color w:val="auto"/>
          <w:sz w:val="24"/>
          <w:highlight w:val="none"/>
        </w:rPr>
        <w:t>合作，满足</w:t>
      </w:r>
      <w:r>
        <w:rPr>
          <w:rFonts w:hint="eastAsia" w:ascii="宋体" w:hAnsi="宋体"/>
          <w:b/>
          <w:bCs/>
          <w:color w:val="auto"/>
          <w:sz w:val="24"/>
          <w:highlight w:val="none"/>
          <w:lang w:eastAsia="zh-CN"/>
        </w:rPr>
        <w:t>直播</w:t>
      </w:r>
      <w:r>
        <w:rPr>
          <w:rFonts w:hint="eastAsia" w:ascii="宋体" w:hAnsi="宋体"/>
          <w:b/>
          <w:bCs/>
          <w:color w:val="auto"/>
          <w:sz w:val="24"/>
          <w:highlight w:val="none"/>
        </w:rPr>
        <w:t>教室其余部分的集成调试要求，集成调试过程中，若控制软件部分</w:t>
      </w:r>
      <w:r>
        <w:rPr>
          <w:rFonts w:hint="eastAsia" w:ascii="宋体" w:hAnsi="宋体"/>
          <w:b/>
          <w:bCs/>
          <w:color w:val="auto"/>
          <w:sz w:val="24"/>
          <w:highlight w:val="none"/>
          <w:lang w:eastAsia="zh-CN"/>
        </w:rPr>
        <w:t>需</w:t>
      </w:r>
      <w:r>
        <w:rPr>
          <w:rFonts w:hint="eastAsia" w:ascii="宋体" w:hAnsi="宋体"/>
          <w:b/>
          <w:bCs/>
          <w:color w:val="auto"/>
          <w:sz w:val="24"/>
          <w:highlight w:val="none"/>
        </w:rPr>
        <w:t>修改接口，由</w:t>
      </w:r>
      <w:r>
        <w:rPr>
          <w:rFonts w:hint="eastAsia" w:ascii="宋体" w:hAnsi="宋体"/>
          <w:b/>
          <w:bCs/>
          <w:color w:val="auto"/>
          <w:sz w:val="24"/>
          <w:highlight w:val="none"/>
          <w:lang w:eastAsia="zh-CN"/>
        </w:rPr>
        <w:t>直播</w:t>
      </w:r>
      <w:r>
        <w:rPr>
          <w:rFonts w:hint="eastAsia" w:ascii="宋体" w:hAnsi="宋体"/>
          <w:b/>
          <w:bCs/>
          <w:color w:val="auto"/>
          <w:sz w:val="24"/>
          <w:highlight w:val="none"/>
        </w:rPr>
        <w:t>教室其余部分中标供应商完成，</w:t>
      </w:r>
      <w:r>
        <w:rPr>
          <w:rFonts w:hint="eastAsia" w:ascii="宋体" w:hAnsi="宋体"/>
          <w:b/>
          <w:bCs/>
          <w:color w:val="auto"/>
          <w:sz w:val="24"/>
          <w:highlight w:val="none"/>
          <w:lang w:eastAsia="zh-CN"/>
        </w:rPr>
        <w:t>协调工作由采购人进行</w:t>
      </w:r>
      <w:r>
        <w:rPr>
          <w:rFonts w:hint="eastAsia" w:ascii="宋体" w:hAnsi="宋体" w:eastAsia="宋体" w:cs="Times New Roman"/>
          <w:b/>
          <w:bCs/>
          <w:color w:val="auto"/>
          <w:sz w:val="24"/>
          <w:highlight w:val="none"/>
          <w:lang w:eastAsia="zh-CN"/>
        </w:rPr>
        <w:t>，可按各自职责范围进行支付，</w:t>
      </w:r>
      <w:r>
        <w:rPr>
          <w:rFonts w:hint="eastAsia" w:ascii="宋体" w:hAnsi="宋体"/>
          <w:b/>
          <w:bCs/>
          <w:color w:val="auto"/>
          <w:sz w:val="24"/>
          <w:highlight w:val="none"/>
          <w:lang w:eastAsia="zh-CN"/>
        </w:rPr>
        <w:t>但</w:t>
      </w:r>
      <w:r>
        <w:rPr>
          <w:rFonts w:hint="eastAsia" w:ascii="宋体" w:hAnsi="宋体"/>
          <w:b/>
          <w:bCs/>
          <w:color w:val="auto"/>
          <w:sz w:val="24"/>
          <w:highlight w:val="none"/>
        </w:rPr>
        <w:t>采购方不再另行支付费用。</w:t>
      </w:r>
    </w:p>
    <w:p>
      <w:pPr>
        <w:adjustRightInd w:val="0"/>
        <w:snapToGrid w:val="0"/>
        <w:spacing w:line="360" w:lineRule="auto"/>
        <w:ind w:firstLine="480" w:firstLineChars="200"/>
        <w:rPr>
          <w:rFonts w:hint="eastAsia"/>
          <w:color w:val="auto"/>
        </w:rPr>
      </w:pPr>
      <w:r>
        <w:rPr>
          <w:rFonts w:hint="eastAsia" w:ascii="宋体" w:hAnsi="宋体" w:eastAsia="宋体" w:cs="Times New Roman"/>
          <w:color w:val="auto"/>
          <w:sz w:val="24"/>
          <w:highlight w:val="none"/>
          <w:lang w:val="en-US" w:eastAsia="zh-CN"/>
        </w:rPr>
        <w:t>3.2 投标</w:t>
      </w:r>
      <w:r>
        <w:rPr>
          <w:rFonts w:hint="eastAsia" w:ascii="宋体" w:hAnsi="宋体" w:eastAsia="宋体" w:cs="宋体"/>
          <w:color w:val="auto"/>
          <w:kern w:val="2"/>
          <w:sz w:val="24"/>
          <w:szCs w:val="24"/>
          <w:highlight w:val="none"/>
          <w:lang w:val="en-US" w:eastAsia="zh-CN" w:bidi="ar-SA"/>
        </w:rPr>
        <w:t>人中标后、项目实施期间，若采购人发现投标人所投产品性能与投标文件有出入，采购人有权要求中标人按照投标文件指标，免费提供满足投标文件性能指标的产品。</w:t>
      </w:r>
    </w:p>
    <w:p>
      <w:pPr>
        <w:spacing w:line="360" w:lineRule="auto"/>
        <w:ind w:firstLine="480" w:firstLineChars="200"/>
        <w:rPr>
          <w:rFonts w:ascii="宋体" w:hAnsi="宋体"/>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val="en-US" w:eastAsia="zh-CN"/>
        </w:rPr>
        <w:t xml:space="preserve">3 </w:t>
      </w:r>
      <w:r>
        <w:rPr>
          <w:rFonts w:hint="eastAsia" w:ascii="宋体" w:hAnsi="宋体" w:eastAsia="宋体" w:cs="Times New Roman"/>
          <w:color w:val="auto"/>
          <w:sz w:val="24"/>
          <w:highlight w:val="none"/>
        </w:rPr>
        <w:t>投标方在清单中列明品牌、产地、型号、数量，在技术规范偏离表中应详细描</w:t>
      </w:r>
      <w:r>
        <w:rPr>
          <w:rFonts w:ascii="宋体" w:hAnsi="宋体"/>
          <w:color w:val="auto"/>
          <w:sz w:val="24"/>
          <w:highlight w:val="none"/>
        </w:rPr>
        <w:t>述产品特性，并说明偏离情况</w:t>
      </w:r>
      <w:r>
        <w:rPr>
          <w:rFonts w:hint="eastAsia" w:ascii="宋体" w:hAnsi="宋体"/>
          <w:color w:val="auto"/>
          <w:sz w:val="24"/>
          <w:highlight w:val="none"/>
        </w:rPr>
        <w:t>，对文件中提到需提供的扫描件资料做好索引，方便核查。</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 xml:space="preserve">4 </w:t>
      </w:r>
      <w:r>
        <w:rPr>
          <w:rFonts w:hint="eastAsia" w:ascii="宋体" w:hAnsi="宋体"/>
          <w:color w:val="auto"/>
          <w:sz w:val="24"/>
          <w:highlight w:val="none"/>
        </w:rPr>
        <w:t>设备清单中的数量及功能完备性，以实际需要为准，若有未考虑到的或数量不足的，采购方不再购买，投标方在中标后实施时应无偿补足，保证功能完备。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 xml:space="preserve">5 </w:t>
      </w:r>
      <w:r>
        <w:rPr>
          <w:rFonts w:hint="eastAsia" w:ascii="宋体" w:hAnsi="宋体"/>
          <w:color w:val="auto"/>
          <w:sz w:val="24"/>
          <w:highlight w:val="none"/>
        </w:rPr>
        <w:t>提供培训方案和售后服务方案以及备品备件方案。具体培训时间依实际情况经双方协商后确定，要求质保期内每年至少巡检1次，解决存在问题，并出具巡检报告。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 xml:space="preserve">6 </w:t>
      </w:r>
      <w:r>
        <w:rPr>
          <w:rFonts w:hint="eastAsia" w:ascii="宋体" w:hAnsi="宋体"/>
          <w:color w:val="auto"/>
          <w:sz w:val="24"/>
          <w:highlight w:val="none"/>
        </w:rPr>
        <w:t>对于需要提供原厂质保函的产品，在中标后、签订合同前提供质保函。关键设备质保期根据产品序列号官网可查。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 xml:space="preserve">7 </w:t>
      </w:r>
      <w:r>
        <w:rPr>
          <w:rFonts w:hint="eastAsia" w:ascii="宋体" w:hAnsi="宋体"/>
          <w:color w:val="auto"/>
          <w:sz w:val="24"/>
          <w:highlight w:val="none"/>
        </w:rPr>
        <w:t>信息系统等级保护要求：项目中涉及的软件系统，在验收前须配合通过信息系统等级保护二级测评。</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测评费用不包含本次中标价中，由采购人另行支付</w:t>
      </w:r>
      <w:r>
        <w:rPr>
          <w:rFonts w:hint="eastAsia" w:ascii="宋体" w:hAnsi="宋体"/>
          <w:color w:val="auto"/>
          <w:sz w:val="24"/>
          <w:highlight w:val="none"/>
          <w:lang w:eastAsia="zh-CN"/>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 xml:space="preserve">8 </w:t>
      </w:r>
      <w:r>
        <w:rPr>
          <w:rFonts w:hint="eastAsia" w:ascii="宋体" w:hAnsi="宋体"/>
          <w:color w:val="auto"/>
          <w:sz w:val="24"/>
          <w:highlight w:val="none"/>
        </w:rPr>
        <w:t>要求所有原材料、设备在供货时外包装完好。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 xml:space="preserve">9 </w:t>
      </w:r>
      <w:r>
        <w:rPr>
          <w:rFonts w:hint="eastAsia" w:ascii="宋体" w:hAnsi="宋体"/>
          <w:color w:val="auto"/>
          <w:sz w:val="24"/>
          <w:highlight w:val="none"/>
        </w:rPr>
        <w:t>要求中标供应商在项目实施时配合监理日常工作。</w:t>
      </w:r>
    </w:p>
    <w:p>
      <w:pPr>
        <w:spacing w:line="360" w:lineRule="auto"/>
        <w:rPr>
          <w:rFonts w:hint="eastAsia" w:ascii="宋体" w:hAnsi="宋体" w:eastAsia="宋体" w:cs="Times New Roman"/>
          <w:color w:val="auto"/>
          <w:sz w:val="24"/>
          <w:szCs w:val="24"/>
          <w:highlight w:val="none"/>
          <w:lang w:val="en-US" w:eastAsia="zh-CN"/>
        </w:rPr>
      </w:pPr>
    </w:p>
    <w:p>
      <w:pPr>
        <w:spacing w:line="360"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4、验收标准：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由中标方负责将货物按合同签订的具体要求、具体数量、具体时间地点运送到最终目的地，并负责系统现场安装、调试、集成、技术培训、验收和售后服务等工作，系统经完工验收合格后交付业主方使用。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中标方应提供系统现场安装、调试、集成等分阶段的计划表。</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系统安装、联网调测所需各种工器具、仪表及安装材料辅料等均由中标方负责提供。</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装调试由中标方负责，中标方调试前应提出完整的调试计划并经业主方确认，包括安装调试的内容、项目、指标、方法和进度，并提供相应的仪器和工具。中标方有责任对业主方提出的问题作出解答。调试应进行详细记录，调试结束后，由中标方技术人员签字后交给业主方验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安装工作开始前，中标方应提供相关的安装技术资料、规范以及详细的测试内容、测试方法、测试目标和系统测试的必需仪器。在严格的系统测试后，中标方认为系统的质量和稳定性达到要求时，中标方应向业主方提供汇总的测试记录和全套最新的软件。</w:t>
      </w:r>
    </w:p>
    <w:p>
      <w:pPr>
        <w:spacing w:line="360" w:lineRule="auto"/>
        <w:ind w:firstLine="480" w:firstLineChars="200"/>
        <w:rPr>
          <w:rFonts w:hint="eastAsia"/>
          <w:highlight w:val="none"/>
        </w:rPr>
      </w:pPr>
      <w:r>
        <w:rPr>
          <w:rFonts w:hint="eastAsia" w:ascii="宋体" w:hAnsi="宋体" w:eastAsia="宋体" w:cs="宋体"/>
          <w:color w:val="auto"/>
          <w:sz w:val="24"/>
          <w:szCs w:val="24"/>
          <w:highlight w:val="none"/>
          <w:lang w:val="en-US" w:eastAsia="zh-CN"/>
        </w:rPr>
        <w:t>4.6.在直播教室整体联调联试中功能和性能满足采购人使用要求，并且符合监理要求，方算验收合格。</w:t>
      </w:r>
    </w:p>
    <w:p/>
    <w:p>
      <w:pPr>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p>
      <w:pPr>
        <w:pStyle w:val="11"/>
        <w:snapToGrid w:val="0"/>
        <w:spacing w:line="360" w:lineRule="auto"/>
        <w:ind w:firstLine="482" w:firstLineChars="200"/>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w:t>
      </w:r>
      <w:r>
        <w:rPr>
          <w:rFonts w:hint="eastAsia" w:asciiTheme="minorEastAsia" w:hAnsiTheme="minorEastAsia" w:eastAsiaTheme="minorEastAsia"/>
          <w:b/>
          <w:color w:val="000000" w:themeColor="text1"/>
          <w:sz w:val="24"/>
          <w:lang w:val="en-US" w:eastAsia="zh-CN"/>
          <w14:textFill>
            <w14:solidFill>
              <w14:schemeClr w14:val="tx1"/>
            </w14:solidFill>
          </w14:textFill>
        </w:rPr>
        <w:t>标项一、二</w:t>
      </w:r>
      <w:r>
        <w:rPr>
          <w:rFonts w:hint="eastAsia" w:asciiTheme="minorEastAsia" w:hAnsiTheme="minorEastAsia" w:eastAsiaTheme="minorEastAsia"/>
          <w:b/>
          <w:color w:val="000000" w:themeColor="text1"/>
          <w:sz w:val="24"/>
          <w14:textFill>
            <w14:solidFill>
              <w14:schemeClr w14:val="tx1"/>
            </w14:solidFill>
          </w14:textFill>
        </w:rPr>
        <w:t>质保期：</w:t>
      </w:r>
      <w:r>
        <w:rPr>
          <w:rFonts w:hint="eastAsia" w:ascii="宋体" w:hAnsi="宋体" w:cs="宋体"/>
          <w:color w:val="auto"/>
          <w:sz w:val="24"/>
          <w:highlight w:val="none"/>
        </w:rPr>
        <w:t>免费质保期至少</w:t>
      </w:r>
      <w:r>
        <w:rPr>
          <w:rFonts w:hint="eastAsia" w:ascii="宋体" w:hAnsi="宋体" w:cs="宋体"/>
          <w:color w:val="auto"/>
          <w:sz w:val="24"/>
          <w:highlight w:val="none"/>
          <w:u w:val="single"/>
        </w:rPr>
        <w:t xml:space="preserve"> 3 </w:t>
      </w:r>
      <w:r>
        <w:rPr>
          <w:rFonts w:hint="eastAsia" w:ascii="宋体" w:hAnsi="宋体" w:cs="宋体"/>
          <w:color w:val="auto"/>
          <w:sz w:val="24"/>
          <w:highlight w:val="none"/>
        </w:rPr>
        <w:t>年</w:t>
      </w:r>
      <w:r>
        <w:rPr>
          <w:rFonts w:hint="eastAsia"/>
          <w:color w:val="auto"/>
          <w:highlight w:val="none"/>
        </w:rPr>
        <w:t>，</w:t>
      </w:r>
      <w:r>
        <w:rPr>
          <w:rFonts w:hint="eastAsia" w:ascii="宋体" w:hAnsi="宋体" w:cs="宋体"/>
          <w:color w:val="auto"/>
          <w:sz w:val="24"/>
          <w:highlight w:val="none"/>
        </w:rPr>
        <w:t>以项目整体验收之日起；硬件设备提供原厂3年质保，签订合同时提供质保授权函。（产品技术需求栏中有特别注明的除外）</w:t>
      </w:r>
    </w:p>
    <w:p>
      <w:pPr>
        <w:pStyle w:val="11"/>
        <w:snapToGrid w:val="0"/>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（二）</w:t>
      </w:r>
      <w:r>
        <w:rPr>
          <w:rFonts w:hint="eastAsia" w:asciiTheme="minorEastAsia" w:hAnsiTheme="minorEastAsia" w:eastAsiaTheme="minorEastAsia"/>
          <w:b/>
          <w:color w:val="000000" w:themeColor="text1"/>
          <w:sz w:val="24"/>
          <w:lang w:val="en-US" w:eastAsia="zh-CN"/>
          <w14:textFill>
            <w14:solidFill>
              <w14:schemeClr w14:val="tx1"/>
            </w14:solidFill>
          </w14:textFill>
        </w:rPr>
        <w:t>标项一、二</w:t>
      </w:r>
      <w:r>
        <w:rPr>
          <w:rFonts w:hint="eastAsia" w:asciiTheme="minorEastAsia" w:hAnsiTheme="minorEastAsia" w:eastAsiaTheme="minorEastAsia"/>
          <w:b/>
          <w:color w:val="000000" w:themeColor="text1"/>
          <w:kern w:val="0"/>
          <w:sz w:val="24"/>
          <w14:textFill>
            <w14:solidFill>
              <w14:schemeClr w14:val="tx1"/>
            </w14:solidFill>
          </w14:textFill>
        </w:rPr>
        <w:t>交货时间及地点：</w:t>
      </w:r>
    </w:p>
    <w:p>
      <w:pPr>
        <w:spacing w:line="360" w:lineRule="auto"/>
        <w:ind w:left="420" w:leftChars="0" w:firstLine="420" w:firstLineChars="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项目工期：自签订合同之日起90个日历天内供货、安装调试完毕。</w:t>
      </w:r>
    </w:p>
    <w:p>
      <w:pPr>
        <w:spacing w:line="360" w:lineRule="auto"/>
        <w:ind w:left="420" w:leftChars="0" w:firstLine="420" w:firstLineChars="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交货地点：台州学院椒江校区</w:t>
      </w:r>
      <w:r>
        <w:rPr>
          <w:rFonts w:hint="eastAsia" w:ascii="宋体" w:hAnsi="宋体" w:cs="宋体"/>
          <w:color w:val="auto"/>
          <w:sz w:val="24"/>
          <w:highlight w:val="none"/>
          <w:lang w:eastAsia="zh-CN"/>
        </w:rPr>
        <w:t>。</w:t>
      </w:r>
    </w:p>
    <w:p>
      <w:pPr>
        <w:pStyle w:val="11"/>
        <w:snapToGrid w:val="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000000" w:themeColor="text1"/>
          <w:kern w:val="0"/>
          <w:sz w:val="24"/>
          <w14:textFill>
            <w14:solidFill>
              <w14:schemeClr w14:val="tx1"/>
            </w14:solidFill>
          </w14:textFill>
        </w:rPr>
        <w:t>（三）</w:t>
      </w:r>
      <w:r>
        <w:rPr>
          <w:rFonts w:hint="eastAsia" w:asciiTheme="minorEastAsia" w:hAnsiTheme="minorEastAsia" w:eastAsiaTheme="minorEastAsia"/>
          <w:b/>
          <w:color w:val="000000" w:themeColor="text1"/>
          <w:sz w:val="24"/>
          <w:lang w:val="en-US" w:eastAsia="zh-CN"/>
          <w14:textFill>
            <w14:solidFill>
              <w14:schemeClr w14:val="tx1"/>
            </w14:solidFill>
          </w14:textFill>
        </w:rPr>
        <w:t>标项一、二</w:t>
      </w:r>
      <w:r>
        <w:rPr>
          <w:rFonts w:hint="eastAsia" w:asciiTheme="minorEastAsia" w:hAnsiTheme="minorEastAsia" w:eastAsiaTheme="minorEastAsia"/>
          <w:b/>
          <w:color w:val="000000" w:themeColor="text1"/>
          <w:sz w:val="24"/>
          <w14:textFill>
            <w14:solidFill>
              <w14:schemeClr w14:val="tx1"/>
            </w14:solidFill>
          </w14:textFill>
        </w:rPr>
        <w:t>付款条件：</w:t>
      </w:r>
      <w:r>
        <w:rPr>
          <w:rFonts w:hint="eastAsia" w:hAnsi="宋体" w:cs="宋体"/>
          <w:color w:val="auto"/>
          <w:sz w:val="24"/>
          <w:highlight w:val="none"/>
        </w:rPr>
        <w:t>合同签订后，</w:t>
      </w:r>
      <w:r>
        <w:rPr>
          <w:rFonts w:hint="eastAsia" w:hAnsi="宋体" w:cs="宋体"/>
          <w:color w:val="auto"/>
          <w:sz w:val="24"/>
          <w:highlight w:val="none"/>
          <w:lang w:val="en-US" w:eastAsia="zh-CN"/>
        </w:rPr>
        <w:t>采购人</w:t>
      </w:r>
      <w:r>
        <w:rPr>
          <w:rFonts w:hint="eastAsia" w:hAnsi="宋体" w:cs="宋体"/>
          <w:color w:val="auto"/>
          <w:sz w:val="24"/>
          <w:highlight w:val="none"/>
        </w:rPr>
        <w:t>向</w:t>
      </w:r>
      <w:r>
        <w:rPr>
          <w:rFonts w:hint="eastAsia" w:hAnsi="宋体" w:cs="宋体"/>
          <w:color w:val="auto"/>
          <w:sz w:val="24"/>
          <w:highlight w:val="none"/>
          <w:lang w:val="en-US" w:eastAsia="zh-CN"/>
        </w:rPr>
        <w:t>中标人</w:t>
      </w:r>
      <w:r>
        <w:rPr>
          <w:rFonts w:hint="eastAsia" w:hAnsi="宋体" w:cs="宋体"/>
          <w:color w:val="auto"/>
          <w:sz w:val="24"/>
          <w:highlight w:val="none"/>
        </w:rPr>
        <w:t>支付40%的合同款项作为预付款；货到</w:t>
      </w:r>
      <w:r>
        <w:rPr>
          <w:rFonts w:hint="eastAsia" w:hAnsi="宋体" w:cs="宋体"/>
          <w:color w:val="auto"/>
          <w:sz w:val="24"/>
          <w:highlight w:val="none"/>
          <w:lang w:val="en-US" w:eastAsia="zh-CN"/>
        </w:rPr>
        <w:t>中标人</w:t>
      </w:r>
      <w:r>
        <w:rPr>
          <w:rFonts w:hint="eastAsia" w:hAnsi="宋体" w:cs="宋体"/>
          <w:color w:val="auto"/>
          <w:sz w:val="24"/>
          <w:highlight w:val="none"/>
        </w:rPr>
        <w:t>安装调试完成，经台州学院该项目验收小组组织验收，验收合格后，在</w:t>
      </w:r>
      <w:r>
        <w:rPr>
          <w:rFonts w:hint="eastAsia" w:hAnsi="宋体" w:cs="宋体"/>
          <w:color w:val="auto"/>
          <w:sz w:val="24"/>
          <w:highlight w:val="none"/>
          <w:lang w:val="en-US" w:eastAsia="zh-CN"/>
        </w:rPr>
        <w:t>中标人</w:t>
      </w:r>
      <w:r>
        <w:rPr>
          <w:rFonts w:hint="eastAsia" w:hAnsi="宋体" w:cs="宋体"/>
          <w:color w:val="auto"/>
          <w:sz w:val="24"/>
          <w:highlight w:val="none"/>
        </w:rPr>
        <w:t>票证齐全，且符合</w:t>
      </w:r>
      <w:r>
        <w:rPr>
          <w:rFonts w:hint="eastAsia" w:hAnsi="宋体" w:cs="宋体"/>
          <w:color w:val="auto"/>
          <w:sz w:val="24"/>
          <w:highlight w:val="none"/>
          <w:lang w:val="en-US" w:eastAsia="zh-CN"/>
        </w:rPr>
        <w:t>采购人</w:t>
      </w:r>
      <w:r>
        <w:rPr>
          <w:rFonts w:hint="eastAsia" w:hAnsi="宋体" w:cs="宋体"/>
          <w:color w:val="auto"/>
          <w:sz w:val="24"/>
          <w:highlight w:val="none"/>
        </w:rPr>
        <w:t>付款流程的前提下，</w:t>
      </w:r>
      <w:r>
        <w:rPr>
          <w:rFonts w:hint="eastAsia" w:hAnsi="宋体" w:cs="宋体"/>
          <w:color w:val="auto"/>
          <w:sz w:val="24"/>
          <w:highlight w:val="none"/>
          <w:lang w:val="en-US" w:eastAsia="zh-CN"/>
        </w:rPr>
        <w:t>在7个工作日内</w:t>
      </w:r>
      <w:r>
        <w:rPr>
          <w:rFonts w:hint="eastAsia" w:hAnsi="宋体" w:cs="宋体"/>
          <w:color w:val="auto"/>
          <w:sz w:val="24"/>
          <w:highlight w:val="none"/>
        </w:rPr>
        <w:t>一次性付清剩余款项。</w:t>
      </w:r>
    </w:p>
    <w:p>
      <w:pPr>
        <w:snapToGrid w:val="0"/>
        <w:spacing w:line="360" w:lineRule="auto"/>
        <w:ind w:firstLine="482" w:firstLineChars="200"/>
        <w:rPr>
          <w:rFonts w:hint="eastAsia" w:ascii="宋体" w:hAnsi="宋体" w:cs="宋体"/>
          <w:color w:val="auto"/>
          <w:sz w:val="24"/>
          <w:highlight w:val="none"/>
          <w:lang w:eastAsia="zh-CN"/>
        </w:rPr>
      </w:pPr>
      <w:r>
        <w:rPr>
          <w:rFonts w:hint="eastAsia" w:asciiTheme="minorEastAsia" w:hAnsiTheme="minorEastAsia" w:eastAsiaTheme="minorEastAsia"/>
          <w:b/>
          <w:color w:val="000000" w:themeColor="text1"/>
          <w:sz w:val="24"/>
          <w14:textFill>
            <w14:solidFill>
              <w14:schemeClr w14:val="tx1"/>
            </w14:solidFill>
          </w14:textFill>
        </w:rPr>
        <w:t>（四）</w:t>
      </w:r>
      <w:r>
        <w:rPr>
          <w:rFonts w:hint="eastAsia" w:asciiTheme="minorEastAsia" w:hAnsiTheme="minorEastAsia" w:eastAsiaTheme="minorEastAsia"/>
          <w:b/>
          <w:color w:val="000000" w:themeColor="text1"/>
          <w:sz w:val="24"/>
          <w:lang w:val="en-US" w:eastAsia="zh-CN"/>
          <w14:textFill>
            <w14:solidFill>
              <w14:schemeClr w14:val="tx1"/>
            </w14:solidFill>
          </w14:textFill>
        </w:rPr>
        <w:t>标项一、二</w:t>
      </w:r>
      <w:r>
        <w:rPr>
          <w:rFonts w:hint="eastAsia" w:asciiTheme="minorEastAsia" w:hAnsiTheme="minorEastAsia" w:eastAsiaTheme="minorEastAsia"/>
          <w:b/>
          <w:sz w:val="24"/>
        </w:rPr>
        <w:t>履约保证金</w:t>
      </w:r>
      <w:r>
        <w:rPr>
          <w:rFonts w:hint="eastAsia" w:asciiTheme="minorEastAsia" w:hAnsiTheme="minorEastAsia" w:eastAsiaTheme="minorEastAsia"/>
          <w:b/>
          <w:sz w:val="24"/>
          <w:lang w:eastAsia="zh-CN"/>
        </w:rPr>
        <w:t>：</w:t>
      </w:r>
      <w:r>
        <w:rPr>
          <w:rFonts w:hint="eastAsia" w:ascii="宋体" w:hAnsi="宋体" w:cs="宋体"/>
          <w:color w:val="auto"/>
          <w:sz w:val="24"/>
          <w:highlight w:val="none"/>
        </w:rPr>
        <w:t>合同签订前，中标人应先缴纳合同总金额1%的履约保证金，</w:t>
      </w:r>
      <w:r>
        <w:rPr>
          <w:rFonts w:hint="eastAsia" w:ascii="宋体" w:hAnsi="宋体" w:cs="宋体"/>
          <w:sz w:val="24"/>
          <w:highlight w:val="none"/>
          <w:lang w:val="en-US" w:eastAsia="zh-CN"/>
        </w:rPr>
        <w:t>履约保证金在采购人</w:t>
      </w:r>
      <w:r>
        <w:rPr>
          <w:rFonts w:hint="eastAsia" w:ascii="宋体" w:hAnsi="宋体" w:cs="宋体"/>
          <w:color w:val="auto"/>
          <w:sz w:val="24"/>
          <w:highlight w:val="none"/>
        </w:rPr>
        <w:t>最终验收</w:t>
      </w:r>
      <w:r>
        <w:rPr>
          <w:rFonts w:hint="eastAsia" w:ascii="宋体" w:hAnsi="宋体" w:cs="宋体"/>
          <w:color w:val="auto"/>
          <w:sz w:val="24"/>
          <w:highlight w:val="none"/>
          <w:lang w:val="en-US" w:eastAsia="zh-CN"/>
        </w:rPr>
        <w:t>通过</w:t>
      </w:r>
      <w:r>
        <w:rPr>
          <w:rFonts w:hint="eastAsia" w:ascii="宋体" w:hAnsi="宋体" w:cs="宋体"/>
          <w:color w:val="auto"/>
          <w:sz w:val="24"/>
          <w:highlight w:val="none"/>
        </w:rPr>
        <w:t>后</w:t>
      </w:r>
      <w:r>
        <w:rPr>
          <w:rFonts w:hint="eastAsia" w:ascii="宋体" w:hAnsi="宋体" w:cs="宋体"/>
          <w:color w:val="auto"/>
          <w:sz w:val="24"/>
          <w:highlight w:val="none"/>
          <w:lang w:val="en-US" w:eastAsia="zh-CN"/>
        </w:rPr>
        <w:t>及时</w:t>
      </w:r>
      <w:r>
        <w:rPr>
          <w:rFonts w:hint="eastAsia" w:ascii="宋体" w:hAnsi="宋体" w:cs="宋体"/>
          <w:sz w:val="24"/>
          <w:highlight w:val="none"/>
          <w:lang w:val="en-US" w:eastAsia="zh-CN"/>
        </w:rPr>
        <w:t>返还</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供应商以电汇、转帐、或者金融机构、担保机构出具的保函等形式提交履约保证金，注明用途为“履约保证金”</w:t>
      </w:r>
      <w:r>
        <w:rPr>
          <w:rFonts w:hint="eastAsia" w:ascii="宋体" w:hAnsi="宋体" w:cs="宋体"/>
          <w:color w:val="auto"/>
          <w:sz w:val="24"/>
          <w:highlight w:val="none"/>
          <w:lang w:eastAsia="zh-CN"/>
        </w:rPr>
        <w:t>。）</w:t>
      </w:r>
    </w:p>
    <w:p>
      <w:pPr>
        <w:rPr>
          <w:rFonts w:hint="eastAsia"/>
          <w:lang w:eastAsia="zh-CN"/>
        </w:rPr>
      </w:pPr>
      <w:r>
        <w:rPr>
          <w:rFonts w:hint="eastAsia" w:ascii="宋体" w:hAnsi="宋体" w:cs="宋体"/>
          <w:color w:val="auto"/>
          <w:sz w:val="24"/>
          <w:highlight w:val="none"/>
          <w:lang w:eastAsia="zh-CN"/>
        </w:rPr>
        <w:br w:type="page"/>
      </w:r>
    </w:p>
    <w:p>
      <w:pPr>
        <w:pStyle w:val="11"/>
        <w:tabs>
          <w:tab w:val="left" w:pos="630"/>
        </w:tabs>
        <w:snapToGrid w:val="0"/>
        <w:spacing w:line="360" w:lineRule="auto"/>
        <w:jc w:val="center"/>
        <w:rPr>
          <w:rFonts w:asciiTheme="minorEastAsia" w:hAnsiTheme="minorEastAsia" w:eastAsiaTheme="minorEastAsia"/>
          <w:b/>
          <w:sz w:val="32"/>
          <w:szCs w:val="32"/>
        </w:rPr>
      </w:pPr>
      <w:bookmarkStart w:id="44" w:name="_Toc31173_WPSOffice_Level1"/>
      <w:r>
        <w:rPr>
          <w:rFonts w:hint="eastAsia" w:cs="Times New Roman" w:asciiTheme="minorEastAsia" w:hAnsiTheme="minorEastAsia" w:eastAsiaTheme="minorEastAsia"/>
          <w:b/>
          <w:sz w:val="36"/>
          <w:szCs w:val="36"/>
        </w:rPr>
        <w:t>第四章  评标</w:t>
      </w:r>
      <w:bookmarkEnd w:id="44"/>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pPr>
        <w:pStyle w:val="19"/>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8"/>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17"/>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17"/>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r>
        <w:rPr>
          <w:rFonts w:hint="default" w:asciiTheme="minorEastAsia" w:hAnsiTheme="minorEastAsia" w:eastAsiaTheme="minorEastAsia"/>
        </w:rPr>
        <w:tab/>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17"/>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（五）报价超过招标文件中规定的预算金额/最高限价或未填写投标报价的； </w:t>
      </w:r>
    </w:p>
    <w:p>
      <w:pPr>
        <w:pStyle w:val="9"/>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w:t>
      </w:r>
      <w:r>
        <w:rPr>
          <w:rFonts w:hint="eastAsia" w:asciiTheme="minorEastAsia" w:hAnsiTheme="minorEastAsia" w:eastAsiaTheme="minorEastAsia"/>
          <w:color w:val="auto"/>
          <w:kern w:val="0"/>
          <w:sz w:val="24"/>
        </w:rPr>
        <w:t>偏离</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u w:val="single"/>
          <w:lang w:val="en-US" w:eastAsia="zh-CN"/>
        </w:rPr>
        <w:t>10</w:t>
      </w:r>
      <w:r>
        <w:rPr>
          <w:rFonts w:hint="eastAsia" w:asciiTheme="minorEastAsia" w:hAnsiTheme="minorEastAsia" w:eastAsiaTheme="minorEastAsia"/>
          <w:color w:val="auto"/>
          <w:kern w:val="0"/>
          <w:sz w:val="24"/>
          <w:u w:val="single"/>
        </w:rPr>
        <w:t xml:space="preserve"> </w:t>
      </w:r>
      <w:r>
        <w:rPr>
          <w:rFonts w:hint="eastAsia" w:asciiTheme="minorEastAsia" w:hAnsiTheme="minorEastAsia" w:eastAsiaTheme="minorEastAsia"/>
          <w:color w:val="auto"/>
          <w:kern w:val="0"/>
          <w:sz w:val="24"/>
        </w:rPr>
        <w:t>项（含</w:t>
      </w:r>
      <w:r>
        <w:rPr>
          <w:rFonts w:hint="eastAsia" w:asciiTheme="minorEastAsia" w:hAnsiTheme="minorEastAsia" w:eastAsiaTheme="minorEastAsia"/>
          <w:kern w:val="0"/>
          <w:sz w:val="24"/>
        </w:rPr>
        <w:t>）以上的；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17"/>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17"/>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8"/>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8"/>
        <w:spacing w:line="360" w:lineRule="auto"/>
        <w:ind w:firstLine="480" w:firstLineChars="200"/>
        <w:rPr>
          <w:rFonts w:hint="eastAsia" w:ascii="宋体" w:hAnsi="宋体" w:cs="宋体"/>
          <w:sz w:val="24"/>
          <w:szCs w:val="24"/>
        </w:rPr>
      </w:pPr>
      <w:r>
        <w:rPr>
          <w:rFonts w:hint="eastAsia" w:ascii="宋体" w:hAnsi="宋体" w:cs="宋体"/>
          <w:sz w:val="24"/>
          <w:szCs w:val="24"/>
        </w:rPr>
        <w:t>（十三）逾期或未按要求提交投标文件的；</w:t>
      </w:r>
    </w:p>
    <w:p>
      <w:pPr>
        <w:pStyle w:val="8"/>
        <w:spacing w:line="360" w:lineRule="auto"/>
        <w:ind w:firstLine="480" w:firstLineChars="200"/>
        <w:rPr>
          <w:rFonts w:hint="eastAsia" w:ascii="宋体" w:hAnsi="宋体" w:cs="宋体"/>
          <w:sz w:val="24"/>
          <w:szCs w:val="24"/>
        </w:rPr>
      </w:pPr>
      <w:r>
        <w:rPr>
          <w:rFonts w:hint="eastAsia" w:ascii="宋体" w:hAnsi="宋体" w:cs="宋体"/>
          <w:sz w:val="24"/>
          <w:szCs w:val="24"/>
        </w:rPr>
        <w:t>（十</w:t>
      </w:r>
      <w:r>
        <w:rPr>
          <w:rFonts w:hint="eastAsia" w:ascii="宋体" w:hAnsi="宋体" w:cs="宋体"/>
          <w:sz w:val="24"/>
          <w:szCs w:val="24"/>
          <w:lang w:val="en-US" w:eastAsia="zh-CN"/>
        </w:rPr>
        <w:t>四</w:t>
      </w:r>
      <w:r>
        <w:rPr>
          <w:rFonts w:hint="eastAsia" w:ascii="宋体" w:hAnsi="宋体" w:cs="宋体"/>
          <w:sz w:val="24"/>
          <w:szCs w:val="24"/>
          <w:lang w:eastAsia="zh-CN"/>
        </w:rPr>
        <w:t>）未</w:t>
      </w:r>
      <w:r>
        <w:rPr>
          <w:rFonts w:hint="eastAsia" w:ascii="宋体" w:hAnsi="宋体" w:eastAsia="宋体" w:cs="Times New Roman"/>
          <w:color w:val="auto"/>
          <w:kern w:val="0"/>
          <w:sz w:val="24"/>
          <w:szCs w:val="24"/>
          <w:lang w:eastAsia="zh-CN"/>
        </w:rPr>
        <w:t>按要求提供资格证明文件的；</w:t>
      </w:r>
    </w:p>
    <w:p>
      <w:pPr>
        <w:pStyle w:val="8"/>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w:t>
      </w:r>
      <w:r>
        <w:rPr>
          <w:rFonts w:hint="eastAsia" w:asciiTheme="minorEastAsia" w:hAnsiTheme="minorEastAsia" w:eastAsiaTheme="minorEastAsia"/>
          <w:kern w:val="0"/>
          <w:sz w:val="24"/>
          <w:lang w:val="en-US" w:eastAsia="zh-CN"/>
        </w:rPr>
        <w:t>五</w:t>
      </w:r>
      <w:r>
        <w:rPr>
          <w:rFonts w:hint="eastAsia" w:asciiTheme="minorEastAsia" w:hAnsiTheme="minorEastAsia" w:eastAsiaTheme="minorEastAsia"/>
          <w:kern w:val="0"/>
          <w:sz w:val="24"/>
        </w:rPr>
        <w:t>）其他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17"/>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17"/>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11"/>
        <w:snapToGrid w:val="0"/>
        <w:spacing w:line="360" w:lineRule="auto"/>
        <w:ind w:firstLine="482" w:firstLineChars="200"/>
        <w:rPr>
          <w:rFonts w:hAnsi="宋体" w:cs="宋体"/>
          <w:b/>
          <w:sz w:val="24"/>
        </w:rPr>
      </w:pPr>
      <w:r>
        <w:rPr>
          <w:rFonts w:hint="eastAsia" w:hAnsi="宋体" w:cs="宋体"/>
          <w:b/>
          <w:sz w:val="24"/>
        </w:rPr>
        <w:t>六、评标过程的监控</w:t>
      </w:r>
    </w:p>
    <w:p>
      <w:pPr>
        <w:pStyle w:val="17"/>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11"/>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hint="eastAsia" w:ascii="宋体" w:eastAsia="宋体"/>
          <w:color w:val="auto"/>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color w:val="auto"/>
          <w:sz w:val="24"/>
          <w:lang w:val="zh-CN"/>
        </w:rPr>
        <w:t>》（</w:t>
      </w:r>
      <w:r>
        <w:rPr>
          <w:rFonts w:hint="eastAsia" w:ascii="宋体"/>
          <w:color w:val="auto"/>
          <w:sz w:val="24"/>
        </w:rPr>
        <w:t>见附件1</w:t>
      </w:r>
      <w:r>
        <w:rPr>
          <w:rFonts w:hint="eastAsia" w:ascii="宋体"/>
          <w:color w:val="auto"/>
          <w:sz w:val="24"/>
          <w:lang w:val="en-US" w:eastAsia="zh-CN"/>
        </w:rPr>
        <w:t>6</w:t>
      </w:r>
      <w:r>
        <w:rPr>
          <w:rFonts w:hint="eastAsia" w:ascii="宋体"/>
          <w:color w:val="auto"/>
          <w:sz w:val="24"/>
          <w:lang w:val="zh-CN"/>
        </w:rPr>
        <w:t>），</w:t>
      </w:r>
      <w:r>
        <w:rPr>
          <w:rFonts w:hint="eastAsia" w:ascii="宋体"/>
          <w:color w:val="auto"/>
          <w:sz w:val="24"/>
        </w:rPr>
        <w:t>投标人未提供以上资料或者经</w:t>
      </w:r>
      <w:r>
        <w:rPr>
          <w:rFonts w:hint="eastAsia" w:ascii="宋体"/>
          <w:color w:val="auto"/>
          <w:sz w:val="24"/>
          <w:lang w:val="zh-CN"/>
        </w:rPr>
        <w:t>评标委员会核查不符的</w:t>
      </w:r>
      <w:r>
        <w:rPr>
          <w:rFonts w:hint="eastAsia" w:ascii="宋体"/>
          <w:color w:val="auto"/>
          <w:sz w:val="24"/>
        </w:rPr>
        <w:t>，将不能享受</w:t>
      </w:r>
      <w:r>
        <w:rPr>
          <w:rFonts w:hint="eastAsia"/>
          <w:color w:val="auto"/>
          <w:sz w:val="24"/>
        </w:rPr>
        <w:t>相应的</w:t>
      </w:r>
      <w:r>
        <w:rPr>
          <w:rFonts w:hint="eastAsia" w:ascii="宋体"/>
          <w:color w:val="auto"/>
          <w:sz w:val="24"/>
        </w:rPr>
        <w:t>小微企业优惠政策</w:t>
      </w:r>
      <w:r>
        <w:rPr>
          <w:rFonts w:hint="eastAsia" w:ascii="宋体"/>
          <w:color w:val="auto"/>
          <w:sz w:val="24"/>
          <w:lang w:eastAsia="zh-CN"/>
        </w:rPr>
        <w:t>。</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2.</w:t>
      </w:r>
      <w:r>
        <w:rPr>
          <w:rFonts w:hint="eastAsia" w:ascii="宋体"/>
          <w:color w:val="auto"/>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color w:val="auto"/>
          <w:sz w:val="24"/>
          <w:lang w:val="zh-CN"/>
        </w:rPr>
      </w:pPr>
      <w:r>
        <w:rPr>
          <w:rFonts w:hint="eastAsia" w:ascii="宋体"/>
          <w:color w:val="auto"/>
          <w:sz w:val="24"/>
        </w:rPr>
        <w:t>3.</w:t>
      </w:r>
      <w:r>
        <w:rPr>
          <w:rFonts w:hint="eastAsia" w:ascii="宋体"/>
          <w:color w:val="auto"/>
          <w:sz w:val="24"/>
          <w:lang w:val="zh-CN"/>
        </w:rPr>
        <w:t>残疾人福利性单位在参加政府采购活动时，应提供《残疾人福利性单位声明函》（见附件</w:t>
      </w:r>
      <w:r>
        <w:rPr>
          <w:rFonts w:hint="eastAsia" w:ascii="宋体"/>
          <w:color w:val="auto"/>
          <w:sz w:val="24"/>
        </w:rPr>
        <w:t>1</w:t>
      </w:r>
      <w:r>
        <w:rPr>
          <w:rFonts w:hint="eastAsia" w:ascii="宋体"/>
          <w:color w:val="auto"/>
          <w:sz w:val="24"/>
          <w:lang w:val="en-US" w:eastAsia="zh-CN"/>
        </w:rPr>
        <w:t>6</w:t>
      </w:r>
      <w:r>
        <w:rPr>
          <w:rFonts w:hint="eastAsia" w:ascii="宋体"/>
          <w:color w:val="auto"/>
          <w:sz w:val="24"/>
          <w:lang w:val="zh-CN"/>
        </w:rPr>
        <w:t>），视同小型、微型企业，享受小微企业政府采购优惠政策。</w:t>
      </w:r>
    </w:p>
    <w:p>
      <w:pPr>
        <w:pStyle w:val="9"/>
        <w:spacing w:line="360" w:lineRule="auto"/>
        <w:ind w:firstLine="480" w:firstLineChars="200"/>
        <w:jc w:val="both"/>
        <w:rPr>
          <w:rFonts w:hint="eastAsia" w:ascii="宋体" w:hAnsi="宋体" w:eastAsia="宋体" w:cs="宋体"/>
          <w:sz w:val="24"/>
          <w:lang w:eastAsia="zh-CN"/>
        </w:rPr>
      </w:pPr>
      <w:r>
        <w:rPr>
          <w:rFonts w:hint="eastAsia" w:ascii="宋体"/>
          <w:color w:val="auto"/>
          <w:sz w:val="24"/>
        </w:rPr>
        <w:t>4.</w:t>
      </w:r>
      <w:r>
        <w:rPr>
          <w:rFonts w:hint="eastAsia" w:ascii="宋体" w:hAnsi="宋体" w:cs="宋体"/>
          <w:color w:val="auto"/>
          <w:sz w:val="24"/>
        </w:rPr>
        <w:t>投标产品中有符合最新一期行政主管部门公布的“节能产品政</w:t>
      </w:r>
      <w:r>
        <w:rPr>
          <w:rFonts w:hint="eastAsia" w:ascii="宋体" w:hAnsi="宋体" w:cs="宋体"/>
          <w:sz w:val="24"/>
        </w:rPr>
        <w:t>府采购品目清单”、“环境标志产品政府采购品目清单”标准的节能环保产品，应提供所投产品由国家确定的认证机关出具的节能产品、环保产品有效认证证书</w:t>
      </w:r>
      <w:r>
        <w:rPr>
          <w:rFonts w:hint="eastAsia" w:ascii="宋体" w:hAnsi="宋体" w:cs="宋体"/>
          <w:sz w:val="24"/>
          <w:lang w:eastAsia="zh-CN"/>
        </w:rPr>
        <w:t>。</w:t>
      </w:r>
      <w:r>
        <w:rPr>
          <w:rFonts w:hint="eastAsia" w:ascii="宋体" w:hAnsi="宋体" w:cs="宋体"/>
          <w:sz w:val="24"/>
        </w:rPr>
        <w:t>【特别提示：节能和环境标志产品最新一期政府采购品目清单，可在“中国政府采购网”中查看】</w:t>
      </w:r>
    </w:p>
    <w:p>
      <w:pPr>
        <w:pStyle w:val="9"/>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pPr>
        <w:pStyle w:val="11"/>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9"/>
        <w:spacing w:line="360" w:lineRule="auto"/>
        <w:ind w:firstLine="480" w:firstLineChars="200"/>
        <w:jc w:val="both"/>
        <w:rPr>
          <w:rFonts w:hint="eastAsia"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20"/>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具有独立承担民事责任的能力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在中华人民共和国境内注册的法人或其他组织或自然人，投标时提交有效的营业执照（或事业法人登记证或身份证等相关证明）扫描件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法定代表人委托办理招标事宜的请提交授权委托书</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授权委托书</w:t>
            </w:r>
            <w:r>
              <w:rPr>
                <w:rFonts w:hint="eastAsia" w:ascii="宋体" w:hAnsi="宋体" w:eastAsia="宋体" w:cs="宋体"/>
                <w:color w:val="000000" w:themeColor="text1"/>
                <w:sz w:val="21"/>
                <w:szCs w:val="21"/>
                <w:lang w:val="en-US" w:eastAsia="zh-CN"/>
                <w14:textFill>
                  <w14:solidFill>
                    <w14:schemeClr w14:val="tx1"/>
                  </w14:solidFill>
                </w14:textFill>
              </w:rPr>
              <w:t>》填报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具有良好的商业信誉和健全的财务会计制度</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cs="宋体"/>
                <w:sz w:val="21"/>
                <w:szCs w:val="21"/>
                <w:lang w:eastAsia="zh-CN"/>
              </w:rPr>
              <w:t>提供具有良好的商业信誉和健全的财务会计制度的承诺函。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履行合同所必需的设备和专业技术能力</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按投标文件格式填报设备及专业技术能力情况（根据附件</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《投标人基本情况表》和附件</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《项目实施人员一览表》填报）。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有依法缴纳税收和社会保障资金的良好记录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提供</w:t>
            </w:r>
            <w:r>
              <w:rPr>
                <w:rFonts w:hint="eastAsia" w:ascii="宋体" w:hAnsi="宋体" w:eastAsia="宋体" w:cs="宋体"/>
                <w:color w:val="000000" w:themeColor="text1"/>
                <w:sz w:val="21"/>
                <w:szCs w:val="21"/>
                <w14:textFill>
                  <w14:solidFill>
                    <w14:schemeClr w14:val="tx1"/>
                  </w14:solidFill>
                </w14:textFill>
              </w:rPr>
              <w:t>没有税收缴纳、社会保障等方面的失信记录的承诺函。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w:t>
            </w:r>
            <w:r>
              <w:rPr>
                <w:rFonts w:hint="eastAsia" w:ascii="宋体" w:hAnsi="宋体" w:eastAsia="宋体" w:cs="宋体"/>
                <w:color w:val="000000" w:themeColor="text1"/>
                <w:sz w:val="21"/>
                <w:szCs w:val="21"/>
                <w:lang w:eastAsia="zh-CN"/>
                <w14:textFill>
                  <w14:solidFill>
                    <w14:schemeClr w14:val="tx1"/>
                  </w14:solidFill>
                </w14:textFill>
              </w:rPr>
              <w:t>本次</w:t>
            </w:r>
            <w:r>
              <w:rPr>
                <w:rFonts w:hint="eastAsia" w:ascii="宋体" w:hAnsi="宋体" w:eastAsia="宋体" w:cs="宋体"/>
                <w:color w:val="000000" w:themeColor="text1"/>
                <w:sz w:val="21"/>
                <w:szCs w:val="21"/>
                <w14:textFill>
                  <w14:solidFill>
                    <w14:schemeClr w14:val="tx1"/>
                  </w14:solidFill>
                </w14:textFill>
              </w:rPr>
              <w:t>采购活动前3年内，在经营活动中没有重大违法记录</w:t>
            </w:r>
            <w:r>
              <w:rPr>
                <w:rFonts w:hint="eastAsia" w:ascii="宋体" w:hAnsi="宋体" w:eastAsia="宋体" w:cs="宋体"/>
                <w:color w:val="000000" w:themeColor="text1"/>
                <w:sz w:val="21"/>
                <w:szCs w:val="21"/>
                <w:lang w:eastAsia="zh-CN"/>
                <w14:textFill>
                  <w14:solidFill>
                    <w14:schemeClr w14:val="tx1"/>
                  </w14:solidFill>
                </w14:textFill>
              </w:rPr>
              <w:t>（根据附件</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投标声明书</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本项目的特定资格要求</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信用记录</w:t>
            </w:r>
          </w:p>
        </w:tc>
        <w:tc>
          <w:tcPr>
            <w:tcW w:w="7495" w:type="dxa"/>
            <w:shd w:val="clear" w:color="auto" w:fill="auto"/>
            <w:tcMar>
              <w:top w:w="57" w:type="dxa"/>
              <w:left w:w="108" w:type="dxa"/>
              <w:bottom w:w="0" w:type="dxa"/>
              <w:right w:w="108" w:type="dxa"/>
            </w:tcMar>
            <w:vAlign w:val="center"/>
          </w:tcPr>
          <w:p>
            <w:pPr>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1.截止时点：开标后评标前。</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2.信用信息查询记录和证据留存的具体方式：由采购组织机构在规定查询时间内打印信用信息查询记录并归入项目档案。</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3.使用规则：投标人未被列入“信用中国”失信被执行人或重大税收违法案件当事人名单；未处于“中国政府采购网”政府采购严重违法失信行为信息记录中的禁止参加政府采购活动期间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必须符合法律、行政法规规定的其他条件</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1.单位负责人为同一人或者存在直接控股、管理关系的不同供应商，不得同时参加本项目投标。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2.为本项目提供整体设计、规范编制或者项目管理、监理、检测等服务的供应商，不得再参与本项目投标。</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3.投标（报价）文件相关承诺要求内容。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7495" w:type="dxa"/>
            <w:shd w:val="clear" w:color="auto" w:fill="auto"/>
            <w:tcMar>
              <w:top w:w="57" w:type="dxa"/>
              <w:left w:w="108" w:type="dxa"/>
              <w:bottom w:w="0" w:type="dxa"/>
              <w:right w:w="108" w:type="dxa"/>
            </w:tcMar>
            <w:vAlign w:val="center"/>
          </w:tcPr>
          <w:p>
            <w:pPr>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auto"/>
                <w:sz w:val="21"/>
                <w:szCs w:val="21"/>
                <w:highlight w:val="none"/>
                <w:lang w:val="en-US" w:eastAsia="zh-CN"/>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若以联合体形式投标，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请提交联合体授权委托书</w:t>
            </w:r>
            <w:r>
              <w:rPr>
                <w:rFonts w:hint="eastAsia" w:ascii="宋体" w:hAnsi="宋体" w:eastAsia="宋体" w:cs="宋体"/>
                <w:color w:val="000000" w:themeColor="text1"/>
                <w:sz w:val="21"/>
                <w:szCs w:val="21"/>
                <w:highlight w:val="none"/>
                <w:lang w:eastAsia="zh-CN"/>
                <w14:textFill>
                  <w14:solidFill>
                    <w14:schemeClr w14:val="tx1"/>
                  </w14:solidFill>
                </w14:textFill>
              </w:rPr>
              <w:t>（根据附件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2-2《联合体</w:t>
            </w:r>
            <w:r>
              <w:rPr>
                <w:rFonts w:hint="eastAsia" w:ascii="宋体" w:hAnsi="宋体" w:eastAsia="宋体" w:cs="宋体"/>
                <w:color w:val="000000" w:themeColor="text1"/>
                <w:sz w:val="21"/>
                <w:szCs w:val="21"/>
                <w:highlight w:val="none"/>
                <w:lang w:eastAsia="zh-CN"/>
                <w14:textFill>
                  <w14:solidFill>
                    <w14:schemeClr w14:val="tx1"/>
                  </w14:solidFill>
                </w14:textFill>
              </w:rPr>
              <w:t>授权委托书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并载明联合体各方承担的工作和义务</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根据附件3 《</w:t>
            </w:r>
            <w:r>
              <w:rPr>
                <w:rFonts w:hint="eastAsia" w:ascii="宋体" w:hAnsi="宋体" w:eastAsia="宋体" w:cs="宋体"/>
                <w:color w:val="000000" w:themeColor="text1"/>
                <w:sz w:val="21"/>
                <w:szCs w:val="21"/>
                <w:highlight w:val="none"/>
                <w:lang w:eastAsia="zh-CN"/>
                <w14:textFill>
                  <w14:solidFill>
                    <w14:schemeClr w14:val="tx1"/>
                  </w14:solidFill>
                </w14:textFill>
              </w:rPr>
              <w:t>联合体共同投标协议书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》填报</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若</w:t>
            </w:r>
            <w:r>
              <w:rPr>
                <w:rFonts w:hint="eastAsia" w:ascii="宋体" w:hAnsi="宋体" w:eastAsia="宋体" w:cs="宋体"/>
                <w:color w:val="000000" w:themeColor="text1"/>
                <w:sz w:val="21"/>
                <w:szCs w:val="21"/>
                <w:highlight w:val="none"/>
                <w14:textFill>
                  <w14:solidFill>
                    <w14:schemeClr w14:val="tx1"/>
                  </w14:solidFill>
                </w14:textFill>
              </w:rPr>
              <w:t>以联合体形式投标，联合体各方均须满足</w:t>
            </w:r>
            <w:r>
              <w:rPr>
                <w:rFonts w:hint="eastAsia" w:ascii="宋体" w:hAnsi="宋体" w:eastAsia="宋体" w:cs="宋体"/>
                <w:color w:val="000000" w:themeColor="text1"/>
                <w:sz w:val="21"/>
                <w:szCs w:val="21"/>
                <w:highlight w:val="none"/>
                <w:lang w:val="en-US" w:eastAsia="zh-CN"/>
                <w14:textFill>
                  <w14:solidFill>
                    <w14:schemeClr w14:val="tx1"/>
                  </w14:solidFill>
                </w14:textFill>
              </w:rPr>
              <w:t>上方</w:t>
            </w:r>
            <w:r>
              <w:rPr>
                <w:rFonts w:hint="eastAsia" w:ascii="宋体" w:hAnsi="宋体" w:eastAsia="宋体" w:cs="宋体"/>
                <w:color w:val="000000" w:themeColor="text1"/>
                <w:sz w:val="21"/>
                <w:szCs w:val="21"/>
                <w:highlight w:val="none"/>
                <w14:textFill>
                  <w14:solidFill>
                    <w14:schemeClr w14:val="tx1"/>
                  </w14:solidFill>
                </w14:textFill>
              </w:rPr>
              <w:t>条款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并提供相应承诺或说明</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94" w:type="dxa"/>
            <w:shd w:val="clear" w:color="auto" w:fill="auto"/>
            <w:tcMar>
              <w:top w:w="57" w:type="dxa"/>
              <w:left w:w="108" w:type="dxa"/>
              <w:bottom w:w="0" w:type="dxa"/>
              <w:right w:w="108" w:type="dxa"/>
            </w:tcMar>
            <w:vAlign w:val="center"/>
          </w:tcPr>
          <w:p>
            <w:pPr>
              <w:jc w:val="center"/>
              <w:rPr>
                <w:rFonts w:hint="eastAsia" w:ascii="宋体" w:hAnsi="宋体" w:eastAsia="宋体" w:cs="宋体"/>
                <w:color w:val="000000" w:themeColor="text1"/>
                <w:spacing w:val="0"/>
                <w:w w:val="10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落实政府采购政策需满足的资格要求</w:t>
            </w:r>
          </w:p>
        </w:tc>
        <w:tc>
          <w:tcPr>
            <w:tcW w:w="7495" w:type="dxa"/>
            <w:shd w:val="clear" w:color="auto" w:fill="auto"/>
            <w:tcMar>
              <w:top w:w="57" w:type="dxa"/>
              <w:left w:w="108" w:type="dxa"/>
              <w:bottom w:w="0" w:type="dxa"/>
              <w:right w:w="108" w:type="dxa"/>
            </w:tcMar>
            <w:vAlign w:val="center"/>
          </w:tcPr>
          <w:p>
            <w:pPr>
              <w:rPr>
                <w:rFonts w:hint="eastAsia" w:ascii="宋体" w:hAnsi="宋体" w:eastAsia="宋体" w:cs="宋体"/>
                <w:color w:val="000000" w:themeColor="text1"/>
                <w:sz w:val="21"/>
                <w:szCs w:val="21"/>
                <w14:textFill>
                  <w14:solidFill>
                    <w14:schemeClr w14:val="tx1"/>
                  </w14:solidFill>
                </w14:textFill>
              </w:rPr>
            </w:pPr>
          </w:p>
          <w:p>
            <w:pPr>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根据实际情形设置。</w:t>
            </w:r>
          </w:p>
          <w:p>
            <w:pPr>
              <w:rPr>
                <w:rFonts w:hint="eastAsia" w:ascii="宋体" w:hAnsi="宋体" w:eastAsia="宋体" w:cs="宋体"/>
                <w:color w:val="000000" w:themeColor="text1"/>
                <w:spacing w:val="0"/>
                <w:w w:val="100"/>
                <w:sz w:val="21"/>
                <w:szCs w:val="21"/>
                <w14:textFill>
                  <w14:solidFill>
                    <w14:schemeClr w14:val="tx1"/>
                  </w14:solidFill>
                </w14:textFill>
              </w:rPr>
            </w:pPr>
          </w:p>
        </w:tc>
      </w:tr>
    </w:tbl>
    <w:p>
      <w:pPr>
        <w:pStyle w:val="9"/>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9"/>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20"/>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“▲”实质性条款</w:t>
            </w:r>
          </w:p>
        </w:tc>
        <w:tc>
          <w:tcPr>
            <w:tcW w:w="7476"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串通投标</w:t>
            </w:r>
          </w:p>
        </w:tc>
        <w:tc>
          <w:tcPr>
            <w:tcW w:w="7476"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02"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line="300" w:lineRule="auto"/>
              <w:ind w:right="146"/>
              <w:jc w:val="center"/>
              <w:textAlignment w:val="auto"/>
              <w:rPr>
                <w:sz w:val="21"/>
                <w:szCs w:val="21"/>
              </w:rPr>
            </w:pPr>
            <w:r>
              <w:rPr>
                <w:rFonts w:hint="eastAsia"/>
                <w:sz w:val="21"/>
                <w:szCs w:val="21"/>
              </w:rPr>
              <w:t>附加条件</w:t>
            </w:r>
          </w:p>
        </w:tc>
        <w:tc>
          <w:tcPr>
            <w:tcW w:w="7476" w:type="dxa"/>
            <w:shd w:val="clear" w:color="auto" w:fill="auto"/>
            <w:tcMar>
              <w:top w:w="57" w:type="dxa"/>
              <w:left w:w="108" w:type="dxa"/>
              <w:bottom w:w="0" w:type="dxa"/>
              <w:right w:w="108" w:type="dxa"/>
            </w:tcMar>
            <w:vAlign w:val="center"/>
          </w:tcPr>
          <w:p>
            <w:pPr>
              <w:pStyle w:val="46"/>
              <w:keepNext w:val="0"/>
              <w:keepLines w:val="0"/>
              <w:pageBreakBefore w:val="0"/>
              <w:widowControl w:val="0"/>
              <w:kinsoku/>
              <w:wordWrap/>
              <w:overflowPunct/>
              <w:topLinePunct w:val="0"/>
              <w:autoSpaceDE/>
              <w:autoSpaceDN/>
              <w:bidi w:val="0"/>
              <w:adjustRightInd/>
              <w:snapToGrid/>
              <w:spacing w:before="48" w:line="300" w:lineRule="auto"/>
              <w:ind w:firstLine="420" w:firstLineChars="200"/>
              <w:textAlignment w:val="auto"/>
              <w:rPr>
                <w:sz w:val="21"/>
                <w:szCs w:val="21"/>
              </w:rPr>
            </w:pPr>
            <w:r>
              <w:rPr>
                <w:rFonts w:hint="eastAsia"/>
                <w:sz w:val="21"/>
                <w:szCs w:val="21"/>
              </w:rPr>
              <w:t>投标文件未含有采购人不可接受的附加条件。</w:t>
            </w:r>
          </w:p>
        </w:tc>
      </w:tr>
    </w:tbl>
    <w:p>
      <w:pPr>
        <w:pStyle w:val="9"/>
        <w:spacing w:line="360" w:lineRule="auto"/>
        <w:ind w:firstLine="482" w:firstLineChars="200"/>
        <w:jc w:val="both"/>
        <w:rPr>
          <w:rFonts w:hint="default" w:asciiTheme="minorEastAsia" w:hAnsiTheme="minorEastAsia" w:eastAsiaTheme="minorEastAsia"/>
          <w:b/>
          <w:bCs/>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宋体" w:hAnsi="宋体" w:cs="宋体"/>
          <w:sz w:val="24"/>
          <w:u w:val="single"/>
          <w:lang w:val="en-US" w:eastAsia="zh-CN"/>
        </w:rPr>
        <w:t xml:space="preserve"> 2</w:t>
      </w:r>
      <w:r>
        <w:rPr>
          <w:rFonts w:hint="eastAsia" w:ascii="宋体" w:hAnsi="宋体" w:cs="宋体"/>
          <w:sz w:val="24"/>
          <w:u w:val="single"/>
        </w:rPr>
        <w:t xml:space="preserve"> </w:t>
      </w:r>
      <w:r>
        <w:rPr>
          <w:rFonts w:hint="eastAsia" w:asciiTheme="minorEastAsia" w:hAnsiTheme="minorEastAsia" w:eastAsiaTheme="minorEastAsia"/>
          <w:kern w:val="0"/>
          <w:sz w:val="24"/>
        </w:rPr>
        <w:t>标项项目评标方法为综合评分法，总计100分，评标按以下标准及要求进行：</w:t>
      </w:r>
    </w:p>
    <w:p>
      <w:pPr>
        <w:numPr>
          <w:ilvl w:val="0"/>
          <w:numId w:val="8"/>
        </w:numPr>
        <w:autoSpaceDE w:val="0"/>
        <w:autoSpaceDN w:val="0"/>
        <w:adjustRightInd w:val="0"/>
        <w:spacing w:line="360" w:lineRule="auto"/>
        <w:ind w:firstLine="482" w:firstLineChars="200"/>
        <w:rPr>
          <w:rFonts w:hint="eastAsia" w:ascii="宋体"/>
          <w:b/>
          <w:bCs/>
          <w:sz w:val="24"/>
        </w:rPr>
      </w:pPr>
      <w:r>
        <w:rPr>
          <w:rFonts w:hint="eastAsia" w:ascii="宋体"/>
          <w:b/>
          <w:bCs/>
          <w:sz w:val="24"/>
        </w:rPr>
        <w:t>评分标准</w:t>
      </w:r>
    </w:p>
    <w:p>
      <w:pPr>
        <w:pStyle w:val="4"/>
        <w:numPr>
          <w:ilvl w:val="0"/>
          <w:numId w:val="0"/>
        </w:numPr>
        <w:tabs>
          <w:tab w:val="clear" w:pos="8280"/>
        </w:tabs>
        <w:jc w:val="center"/>
      </w:pPr>
      <w:r>
        <w:rPr>
          <w:rFonts w:hint="eastAsia" w:ascii="宋体" w:hAnsi="宋体" w:eastAsia="宋体"/>
          <w:bCs w:val="0"/>
          <w:color w:val="auto"/>
          <w:kern w:val="2"/>
          <w:sz w:val="24"/>
          <w:szCs w:val="24"/>
          <w:highlight w:val="none"/>
        </w:rPr>
        <w:t>标</w:t>
      </w:r>
      <w:r>
        <w:rPr>
          <w:rFonts w:hint="eastAsia"/>
          <w:bCs w:val="0"/>
          <w:color w:val="auto"/>
          <w:kern w:val="2"/>
          <w:sz w:val="24"/>
          <w:szCs w:val="24"/>
          <w:highlight w:val="none"/>
          <w:lang w:val="en-US" w:eastAsia="zh-CN"/>
        </w:rPr>
        <w:t>项</w:t>
      </w:r>
      <w:r>
        <w:rPr>
          <w:rFonts w:hint="eastAsia" w:ascii="宋体" w:hAnsi="宋体" w:eastAsia="宋体"/>
          <w:bCs w:val="0"/>
          <w:color w:val="auto"/>
          <w:kern w:val="2"/>
          <w:sz w:val="24"/>
          <w:szCs w:val="24"/>
          <w:highlight w:val="none"/>
        </w:rPr>
        <w:t>一  全景教室LED环幕系统建设</w:t>
      </w:r>
    </w:p>
    <w:tbl>
      <w:tblPr>
        <w:tblStyle w:val="20"/>
        <w:tblW w:w="8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709"/>
        <w:gridCol w:w="843"/>
        <w:gridCol w:w="5535"/>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86" w:type="dxa"/>
            <w:noWrap w:val="0"/>
            <w:vAlign w:val="center"/>
          </w:tcPr>
          <w:p>
            <w:pPr>
              <w:adjustRightInd w:val="0"/>
              <w:spacing w:after="100" w:afterAutospacing="1"/>
              <w:jc w:val="center"/>
              <w:rPr>
                <w:rFonts w:ascii="宋体" w:hAnsi="宋体"/>
                <w:b/>
                <w:color w:val="auto"/>
                <w:szCs w:val="21"/>
                <w:highlight w:val="none"/>
              </w:rPr>
            </w:pPr>
            <w:r>
              <w:rPr>
                <w:rFonts w:hint="eastAsia" w:ascii="宋体" w:hAnsi="宋体"/>
                <w:b/>
                <w:color w:val="auto"/>
                <w:szCs w:val="21"/>
                <w:highlight w:val="none"/>
              </w:rPr>
              <w:t>序号</w:t>
            </w:r>
          </w:p>
        </w:tc>
        <w:tc>
          <w:tcPr>
            <w:tcW w:w="709" w:type="dxa"/>
            <w:noWrap w:val="0"/>
            <w:vAlign w:val="center"/>
          </w:tcPr>
          <w:p>
            <w:pPr>
              <w:adjustRightInd w:val="0"/>
              <w:spacing w:after="100" w:afterAutospacing="1"/>
              <w:jc w:val="center"/>
              <w:rPr>
                <w:rFonts w:ascii="宋体" w:hAnsi="宋体"/>
                <w:b/>
                <w:color w:val="auto"/>
                <w:szCs w:val="21"/>
                <w:highlight w:val="none"/>
              </w:rPr>
            </w:pPr>
            <w:r>
              <w:rPr>
                <w:rFonts w:hint="eastAsia" w:ascii="宋体" w:hAnsi="宋体"/>
                <w:b/>
                <w:color w:val="auto"/>
                <w:szCs w:val="21"/>
                <w:highlight w:val="none"/>
              </w:rPr>
              <w:t>评分项目</w:t>
            </w:r>
          </w:p>
        </w:tc>
        <w:tc>
          <w:tcPr>
            <w:tcW w:w="6378" w:type="dxa"/>
            <w:gridSpan w:val="2"/>
            <w:noWrap w:val="0"/>
            <w:vAlign w:val="center"/>
          </w:tcPr>
          <w:p>
            <w:pPr>
              <w:adjustRightInd w:val="0"/>
              <w:spacing w:after="100" w:afterAutospacing="1"/>
              <w:jc w:val="center"/>
              <w:rPr>
                <w:rFonts w:ascii="宋体" w:hAnsi="宋体"/>
                <w:b/>
                <w:color w:val="auto"/>
                <w:szCs w:val="21"/>
                <w:highlight w:val="none"/>
              </w:rPr>
            </w:pPr>
            <w:r>
              <w:rPr>
                <w:rFonts w:hint="eastAsia" w:ascii="宋体" w:hAnsi="宋体"/>
                <w:b/>
                <w:color w:val="auto"/>
                <w:szCs w:val="21"/>
                <w:highlight w:val="none"/>
              </w:rPr>
              <w:t>评分细则</w:t>
            </w:r>
          </w:p>
        </w:tc>
        <w:tc>
          <w:tcPr>
            <w:tcW w:w="641" w:type="dxa"/>
            <w:noWrap w:val="0"/>
            <w:vAlign w:val="center"/>
          </w:tcPr>
          <w:p>
            <w:pPr>
              <w:adjustRightInd w:val="0"/>
              <w:spacing w:after="100" w:afterAutospacing="1"/>
              <w:jc w:val="center"/>
              <w:rPr>
                <w:rFonts w:ascii="宋体" w:hAnsi="宋体"/>
                <w:b/>
                <w:color w:val="auto"/>
                <w:szCs w:val="21"/>
                <w:highlight w:val="none"/>
              </w:rPr>
            </w:pPr>
            <w:r>
              <w:rPr>
                <w:rFonts w:hint="eastAsia" w:ascii="宋体" w:hAnsi="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86" w:type="dxa"/>
            <w:vMerge w:val="restart"/>
            <w:noWrap w:val="0"/>
            <w:textDirection w:val="tbRlV"/>
            <w:vAlign w:val="center"/>
          </w:tcPr>
          <w:p>
            <w:pPr>
              <w:spacing w:line="360" w:lineRule="auto"/>
              <w:ind w:left="113" w:right="113"/>
              <w:jc w:val="center"/>
              <w:rPr>
                <w:b/>
                <w:color w:val="auto"/>
                <w:kern w:val="0"/>
                <w:szCs w:val="21"/>
                <w:highlight w:val="none"/>
              </w:rPr>
            </w:pPr>
            <w:r>
              <w:rPr>
                <w:b/>
                <w:color w:val="auto"/>
                <w:kern w:val="0"/>
                <w:szCs w:val="21"/>
                <w:highlight w:val="none"/>
              </w:rPr>
              <w:t>技术、商务文件（7</w:t>
            </w:r>
            <w:r>
              <w:rPr>
                <w:rFonts w:hint="eastAsia"/>
                <w:b/>
                <w:color w:val="auto"/>
                <w:kern w:val="0"/>
                <w:szCs w:val="21"/>
                <w:highlight w:val="none"/>
              </w:rPr>
              <w:t>0</w:t>
            </w:r>
            <w:r>
              <w:rPr>
                <w:b/>
                <w:color w:val="auto"/>
                <w:kern w:val="0"/>
                <w:szCs w:val="21"/>
                <w:highlight w:val="none"/>
              </w:rPr>
              <w:t>分）</w:t>
            </w:r>
          </w:p>
        </w:tc>
        <w:tc>
          <w:tcPr>
            <w:tcW w:w="709" w:type="dxa"/>
            <w:vMerge w:val="restart"/>
            <w:noWrap w:val="0"/>
            <w:vAlign w:val="center"/>
          </w:tcPr>
          <w:p>
            <w:pPr>
              <w:spacing w:line="360" w:lineRule="auto"/>
              <w:jc w:val="center"/>
              <w:rPr>
                <w:b/>
                <w:color w:val="auto"/>
                <w:kern w:val="0"/>
                <w:szCs w:val="21"/>
                <w:highlight w:val="none"/>
              </w:rPr>
            </w:pPr>
            <w:r>
              <w:rPr>
                <w:rFonts w:hint="eastAsia"/>
                <w:b/>
                <w:color w:val="auto"/>
                <w:kern w:val="0"/>
                <w:szCs w:val="21"/>
                <w:highlight w:val="none"/>
              </w:rPr>
              <w:t>产品</w:t>
            </w:r>
            <w:r>
              <w:rPr>
                <w:b/>
                <w:color w:val="auto"/>
                <w:kern w:val="0"/>
                <w:szCs w:val="21"/>
                <w:highlight w:val="none"/>
              </w:rPr>
              <w:t>技术性能</w:t>
            </w:r>
            <w:r>
              <w:rPr>
                <w:b/>
                <w:color w:val="auto"/>
                <w:kern w:val="0"/>
                <w:szCs w:val="21"/>
                <w:highlight w:val="none"/>
              </w:rPr>
              <w:br w:type="textWrapping"/>
            </w:r>
            <w:r>
              <w:rPr>
                <w:b/>
                <w:color w:val="auto"/>
                <w:kern w:val="0"/>
                <w:szCs w:val="21"/>
                <w:highlight w:val="none"/>
              </w:rPr>
              <w:t>（</w:t>
            </w:r>
            <w:r>
              <w:rPr>
                <w:rFonts w:hint="eastAsia"/>
                <w:b/>
                <w:color w:val="auto"/>
                <w:kern w:val="0"/>
                <w:szCs w:val="21"/>
                <w:highlight w:val="none"/>
                <w:lang w:val="en-US" w:eastAsia="zh-CN"/>
              </w:rPr>
              <w:t>54</w:t>
            </w:r>
            <w:r>
              <w:rPr>
                <w:b/>
                <w:color w:val="auto"/>
                <w:kern w:val="0"/>
                <w:szCs w:val="21"/>
                <w:highlight w:val="none"/>
              </w:rPr>
              <w:t>分）</w:t>
            </w:r>
          </w:p>
        </w:tc>
        <w:tc>
          <w:tcPr>
            <w:tcW w:w="843" w:type="dxa"/>
            <w:noWrap w:val="0"/>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性能指标</w:t>
            </w:r>
          </w:p>
        </w:tc>
        <w:tc>
          <w:tcPr>
            <w:tcW w:w="5535" w:type="dxa"/>
            <w:noWrap w:val="0"/>
            <w:vAlign w:val="center"/>
          </w:tcPr>
          <w:p>
            <w:pPr>
              <w:rPr>
                <w:rFonts w:hint="eastAsia" w:ascii="宋体" w:hAnsi="宋体" w:eastAsia="宋体" w:cs="Times New Roman"/>
                <w:color w:val="auto"/>
                <w:kern w:val="0"/>
                <w:szCs w:val="21"/>
                <w:highlight w:val="none"/>
              </w:rPr>
            </w:pPr>
            <w:r>
              <w:rPr>
                <w:rFonts w:hint="eastAsia" w:ascii="宋体" w:hAnsi="宋体"/>
                <w:color w:val="auto"/>
                <w:kern w:val="0"/>
                <w:szCs w:val="21"/>
                <w:highlight w:val="none"/>
              </w:rPr>
              <w:t>根据软、硬件产品配置选型、技术参数性能符合招标文件的响应程度评定。具体为：技术参数性能完全符合或优于采购文件要求得23分；带★项每项负偏离扣</w:t>
            </w:r>
            <w:r>
              <w:rPr>
                <w:rFonts w:ascii="宋体" w:hAnsi="宋体"/>
                <w:color w:val="auto"/>
                <w:kern w:val="0"/>
                <w:szCs w:val="21"/>
                <w:highlight w:val="none"/>
              </w:rPr>
              <w:t>1</w:t>
            </w:r>
            <w:r>
              <w:rPr>
                <w:rFonts w:hint="eastAsia" w:ascii="宋体" w:hAnsi="宋体"/>
                <w:color w:val="auto"/>
                <w:kern w:val="0"/>
                <w:szCs w:val="21"/>
                <w:highlight w:val="none"/>
              </w:rPr>
              <w:t>分，其他负偏离每有一项扣0.5分。</w:t>
            </w:r>
          </w:p>
        </w:tc>
        <w:tc>
          <w:tcPr>
            <w:tcW w:w="641" w:type="dxa"/>
            <w:noWrap w:val="0"/>
            <w:vAlign w:val="center"/>
          </w:tcPr>
          <w:p>
            <w:pPr>
              <w:widowControl/>
              <w:jc w:val="center"/>
              <w:rPr>
                <w:rFonts w:hint="eastAsia" w:ascii="宋体" w:hAnsi="宋体" w:cs="宋体"/>
                <w:color w:val="auto"/>
                <w:szCs w:val="21"/>
                <w:highlight w:val="none"/>
              </w:rPr>
            </w:pPr>
            <w:r>
              <w:rPr>
                <w:rFonts w:hint="eastAsia" w:ascii="宋体" w:hAnsi="宋体" w:cs="宋体"/>
                <w:bCs/>
                <w:color w:val="auto"/>
                <w:sz w:val="22"/>
                <w:highlight w:val="none"/>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86" w:type="dxa"/>
            <w:vMerge w:val="continue"/>
            <w:noWrap w:val="0"/>
            <w:textDirection w:val="tbRlV"/>
            <w:vAlign w:val="center"/>
          </w:tcPr>
          <w:p>
            <w:pPr>
              <w:spacing w:line="360" w:lineRule="auto"/>
              <w:ind w:left="113" w:right="113"/>
              <w:jc w:val="center"/>
              <w:rPr>
                <w:b/>
                <w:color w:val="auto"/>
                <w:kern w:val="0"/>
                <w:szCs w:val="21"/>
                <w:highlight w:val="none"/>
              </w:rPr>
            </w:pPr>
          </w:p>
        </w:tc>
        <w:tc>
          <w:tcPr>
            <w:tcW w:w="709" w:type="dxa"/>
            <w:vMerge w:val="continue"/>
            <w:noWrap w:val="0"/>
            <w:vAlign w:val="center"/>
          </w:tcPr>
          <w:p>
            <w:pPr>
              <w:spacing w:line="360" w:lineRule="auto"/>
              <w:jc w:val="center"/>
              <w:rPr>
                <w:b/>
                <w:color w:val="auto"/>
                <w:kern w:val="0"/>
                <w:szCs w:val="21"/>
                <w:highlight w:val="none"/>
              </w:rPr>
            </w:pPr>
          </w:p>
        </w:tc>
        <w:tc>
          <w:tcPr>
            <w:tcW w:w="843" w:type="dxa"/>
            <w:noWrap w:val="0"/>
            <w:vAlign w:val="center"/>
          </w:tcPr>
          <w:p>
            <w:pPr>
              <w:adjustRightInd w:val="0"/>
              <w:snapToGrid w:val="0"/>
              <w:jc w:val="center"/>
              <w:rPr>
                <w:rFonts w:hint="eastAsia" w:ascii="宋体" w:hAnsi="宋体"/>
                <w:color w:val="auto"/>
                <w:szCs w:val="21"/>
                <w:highlight w:val="none"/>
              </w:rPr>
            </w:pPr>
            <w:r>
              <w:rPr>
                <w:rFonts w:hint="eastAsia"/>
                <w:color w:val="auto"/>
                <w:highlight w:val="none"/>
              </w:rPr>
              <w:t>整体方案</w:t>
            </w:r>
          </w:p>
        </w:tc>
        <w:tc>
          <w:tcPr>
            <w:tcW w:w="5535" w:type="dxa"/>
            <w:noWrap w:val="0"/>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根据投标人对采购招标方案需求的理解提供的项目总体思路，系统构架，设计方案，</w:t>
            </w:r>
            <w:r>
              <w:rPr>
                <w:rFonts w:hint="eastAsia" w:ascii="宋体" w:hAnsi="宋体"/>
                <w:color w:val="auto"/>
                <w:kern w:val="0"/>
                <w:szCs w:val="21"/>
                <w:highlight w:val="none"/>
                <w:lang w:val="en-US" w:eastAsia="zh-CN"/>
              </w:rPr>
              <w:t>根据方案的成熟度、科学性和可靠性进行综合评分</w:t>
            </w:r>
            <w:r>
              <w:rPr>
                <w:rFonts w:hint="eastAsia" w:ascii="宋体" w:hAnsi="宋体"/>
                <w:color w:val="auto"/>
                <w:kern w:val="0"/>
                <w:szCs w:val="21"/>
                <w:highlight w:val="none"/>
              </w:rPr>
              <w:t>：</w:t>
            </w:r>
          </w:p>
          <w:p>
            <w:pPr>
              <w:rPr>
                <w:rFonts w:hint="eastAsia" w:ascii="宋体" w:hAnsi="宋体"/>
                <w:color w:val="auto"/>
                <w:kern w:val="0"/>
                <w:szCs w:val="21"/>
                <w:highlight w:val="none"/>
                <w:lang w:eastAsia="zh-CN"/>
              </w:rPr>
            </w:pPr>
            <w:r>
              <w:rPr>
                <w:rFonts w:hint="eastAsia" w:ascii="宋体" w:hAnsi="宋体"/>
                <w:color w:val="auto"/>
                <w:kern w:val="0"/>
                <w:szCs w:val="21"/>
                <w:highlight w:val="none"/>
                <w:lang w:val="en-US" w:eastAsia="zh-CN"/>
              </w:rPr>
              <w:t>①对</w:t>
            </w:r>
            <w:r>
              <w:rPr>
                <w:rFonts w:hint="eastAsia" w:ascii="宋体" w:hAnsi="宋体"/>
                <w:color w:val="auto"/>
                <w:kern w:val="0"/>
                <w:szCs w:val="21"/>
                <w:highlight w:val="none"/>
              </w:rPr>
              <w:t>招标方案需求了解深入，项目总体思路清晰，设计方案合理得10-</w:t>
            </w:r>
            <w:r>
              <w:rPr>
                <w:rFonts w:hint="eastAsia" w:ascii="宋体" w:hAnsi="宋体"/>
                <w:color w:val="auto"/>
                <w:kern w:val="0"/>
                <w:szCs w:val="21"/>
                <w:highlight w:val="none"/>
                <w:lang w:val="en-US" w:eastAsia="zh-CN"/>
              </w:rPr>
              <w:t>7.1</w:t>
            </w:r>
            <w:r>
              <w:rPr>
                <w:rFonts w:hint="eastAsia" w:ascii="宋体" w:hAnsi="宋体"/>
                <w:color w:val="auto"/>
                <w:kern w:val="0"/>
                <w:szCs w:val="21"/>
                <w:highlight w:val="none"/>
              </w:rPr>
              <w:t>分</w:t>
            </w:r>
            <w:r>
              <w:rPr>
                <w:rFonts w:hint="eastAsia" w:ascii="宋体" w:hAnsi="宋体"/>
                <w:color w:val="auto"/>
                <w:kern w:val="0"/>
                <w:szCs w:val="21"/>
                <w:highlight w:val="none"/>
                <w:lang w:eastAsia="zh-CN"/>
              </w:rPr>
              <w:t>；</w:t>
            </w:r>
          </w:p>
          <w:p>
            <w:pPr>
              <w:rPr>
                <w:rFonts w:hint="eastAsia" w:ascii="宋体" w:hAnsi="宋体"/>
                <w:color w:val="auto"/>
                <w:kern w:val="0"/>
                <w:szCs w:val="21"/>
                <w:highlight w:val="none"/>
                <w:lang w:eastAsia="zh-CN"/>
              </w:rPr>
            </w:pPr>
            <w:r>
              <w:rPr>
                <w:rFonts w:hint="eastAsia" w:ascii="宋体" w:hAnsi="宋体"/>
                <w:color w:val="auto"/>
                <w:kern w:val="0"/>
                <w:szCs w:val="21"/>
                <w:highlight w:val="none"/>
                <w:lang w:val="en-US" w:eastAsia="zh-CN"/>
              </w:rPr>
              <w:t>②对</w:t>
            </w:r>
            <w:r>
              <w:rPr>
                <w:rFonts w:hint="eastAsia" w:ascii="宋体" w:hAnsi="宋体"/>
                <w:color w:val="auto"/>
                <w:kern w:val="0"/>
                <w:szCs w:val="21"/>
                <w:highlight w:val="none"/>
              </w:rPr>
              <w:t>招标方案需求了解较深入，项目总体思路较清晰，设计方案较合理得</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分</w:t>
            </w:r>
            <w:r>
              <w:rPr>
                <w:rFonts w:hint="eastAsia" w:ascii="宋体" w:hAnsi="宋体"/>
                <w:color w:val="auto"/>
                <w:kern w:val="0"/>
                <w:szCs w:val="21"/>
                <w:highlight w:val="none"/>
                <w:lang w:eastAsia="zh-CN"/>
              </w:rPr>
              <w:t>；</w:t>
            </w:r>
          </w:p>
          <w:p>
            <w:pPr>
              <w:rPr>
                <w:rFonts w:hint="eastAsia" w:ascii="宋体" w:hAnsi="宋体"/>
                <w:color w:val="auto"/>
                <w:szCs w:val="21"/>
                <w:highlight w:val="none"/>
              </w:rPr>
            </w:pPr>
            <w:r>
              <w:rPr>
                <w:rFonts w:hint="eastAsia" w:ascii="宋体" w:hAnsi="宋体"/>
                <w:color w:val="auto"/>
                <w:kern w:val="0"/>
                <w:szCs w:val="21"/>
                <w:highlight w:val="none"/>
                <w:lang w:val="en-US" w:eastAsia="zh-CN"/>
              </w:rPr>
              <w:t>③对</w:t>
            </w:r>
            <w:r>
              <w:rPr>
                <w:rFonts w:hint="eastAsia" w:ascii="宋体" w:hAnsi="宋体"/>
                <w:color w:val="auto"/>
                <w:kern w:val="0"/>
                <w:szCs w:val="21"/>
                <w:highlight w:val="none"/>
              </w:rPr>
              <w:t>招标方案需求了解一般，项目总体思路一般，设计方案一般3-0分。</w:t>
            </w:r>
          </w:p>
        </w:tc>
        <w:tc>
          <w:tcPr>
            <w:tcW w:w="641" w:type="dxa"/>
            <w:noWrap w:val="0"/>
            <w:vAlign w:val="center"/>
          </w:tcPr>
          <w:p>
            <w:pPr>
              <w:widowControl/>
              <w:jc w:val="center"/>
              <w:rPr>
                <w:rFonts w:ascii="宋体" w:hAnsi="宋体" w:cs="宋体"/>
                <w:color w:val="auto"/>
                <w:szCs w:val="21"/>
                <w:highlight w:val="none"/>
              </w:rPr>
            </w:pPr>
            <w:r>
              <w:rPr>
                <w:rFonts w:ascii="宋体" w:hAnsi="宋体"/>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86" w:type="dxa"/>
            <w:vMerge w:val="continue"/>
            <w:noWrap w:val="0"/>
            <w:textDirection w:val="tbRlV"/>
            <w:vAlign w:val="center"/>
          </w:tcPr>
          <w:p>
            <w:pPr>
              <w:spacing w:line="360" w:lineRule="auto"/>
              <w:ind w:left="113" w:right="113"/>
              <w:jc w:val="center"/>
              <w:rPr>
                <w:b/>
                <w:color w:val="auto"/>
                <w:kern w:val="0"/>
                <w:szCs w:val="21"/>
                <w:highlight w:val="none"/>
              </w:rPr>
            </w:pPr>
          </w:p>
        </w:tc>
        <w:tc>
          <w:tcPr>
            <w:tcW w:w="709" w:type="dxa"/>
            <w:vMerge w:val="continue"/>
            <w:noWrap w:val="0"/>
            <w:vAlign w:val="center"/>
          </w:tcPr>
          <w:p>
            <w:pPr>
              <w:spacing w:line="360" w:lineRule="auto"/>
              <w:jc w:val="center"/>
              <w:rPr>
                <w:b/>
                <w:color w:val="auto"/>
                <w:kern w:val="0"/>
                <w:szCs w:val="21"/>
                <w:highlight w:val="none"/>
              </w:rPr>
            </w:pPr>
          </w:p>
        </w:tc>
        <w:tc>
          <w:tcPr>
            <w:tcW w:w="843" w:type="dxa"/>
            <w:vMerge w:val="restart"/>
            <w:noWrap w:val="0"/>
            <w:vAlign w:val="center"/>
          </w:tcPr>
          <w:p>
            <w:pPr>
              <w:adjustRightInd w:val="0"/>
              <w:snapToGrid w:val="0"/>
              <w:jc w:val="center"/>
              <w:rPr>
                <w:rFonts w:hint="eastAsia"/>
                <w:color w:val="auto"/>
                <w:highlight w:val="none"/>
              </w:rPr>
            </w:pPr>
            <w:r>
              <w:rPr>
                <w:rFonts w:hint="eastAsia"/>
                <w:color w:val="auto"/>
                <w:highlight w:val="none"/>
              </w:rPr>
              <w:t>功能演示</w:t>
            </w:r>
          </w:p>
        </w:tc>
        <w:tc>
          <w:tcPr>
            <w:tcW w:w="5535" w:type="dxa"/>
            <w:noWrap w:val="0"/>
            <w:vAlign w:val="center"/>
          </w:tcPr>
          <w:p>
            <w:pPr>
              <w:adjustRightInd w:val="0"/>
              <w:snapToGrid w:val="0"/>
              <w:rPr>
                <w:rFonts w:hint="eastAsia" w:ascii="宋体" w:hAnsi="宋体" w:cs="宋体"/>
                <w:color w:val="auto"/>
                <w:szCs w:val="21"/>
                <w:highlight w:val="none"/>
                <w:lang w:eastAsia="zh-CN"/>
              </w:rPr>
            </w:pPr>
            <w:r>
              <w:rPr>
                <w:rFonts w:hint="eastAsia" w:ascii="宋体" w:hAnsi="宋体" w:cs="宋体"/>
                <w:color w:val="auto"/>
                <w:szCs w:val="21"/>
                <w:highlight w:val="none"/>
              </w:rPr>
              <w:t>投标人对于</w:t>
            </w:r>
            <w:r>
              <w:rPr>
                <w:rFonts w:hint="eastAsia" w:ascii="宋体" w:hAnsi="宋体" w:cs="宋体"/>
                <w:color w:val="auto"/>
                <w:szCs w:val="21"/>
                <w:highlight w:val="none"/>
                <w:lang w:eastAsia="zh-CN"/>
              </w:rPr>
              <w:t>全景</w:t>
            </w:r>
            <w:r>
              <w:rPr>
                <w:rFonts w:hint="eastAsia" w:ascii="宋体" w:hAnsi="宋体" w:cs="宋体"/>
                <w:color w:val="auto"/>
                <w:szCs w:val="21"/>
                <w:highlight w:val="none"/>
              </w:rPr>
              <w:t>环幕显示屏项目场地实景中，采用在线演示</w:t>
            </w:r>
            <w:r>
              <w:rPr>
                <w:rFonts w:hint="eastAsia" w:ascii="宋体" w:hAnsi="宋体" w:cs="宋体"/>
                <w:color w:val="auto"/>
                <w:szCs w:val="21"/>
                <w:highlight w:val="none"/>
                <w:lang w:eastAsia="zh-CN"/>
              </w:rPr>
              <w:t>讲解</w:t>
            </w:r>
            <w:r>
              <w:rPr>
                <w:rFonts w:hint="eastAsia" w:ascii="宋体" w:hAnsi="宋体" w:cs="宋体"/>
                <w:color w:val="auto"/>
                <w:szCs w:val="21"/>
                <w:highlight w:val="none"/>
              </w:rPr>
              <w:t>，相关演示内容能在LED环幕显示系统进行展示，演示时长不超过</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分钟</w:t>
            </w:r>
            <w:r>
              <w:rPr>
                <w:rFonts w:hint="eastAsia" w:ascii="宋体" w:hAnsi="宋体" w:cs="宋体"/>
                <w:color w:val="auto"/>
                <w:szCs w:val="21"/>
                <w:highlight w:val="none"/>
                <w:lang w:eastAsia="zh-CN"/>
              </w:rPr>
              <w:t>。（采用播放录制视频或</w:t>
            </w:r>
            <w:r>
              <w:rPr>
                <w:rFonts w:hint="eastAsia" w:ascii="宋体" w:hAnsi="宋体" w:cs="宋体"/>
                <w:color w:val="auto"/>
                <w:szCs w:val="21"/>
                <w:highlight w:val="none"/>
                <w:lang w:val="en-US" w:eastAsia="zh-CN"/>
              </w:rPr>
              <w:t>ppt</w:t>
            </w:r>
            <w:r>
              <w:rPr>
                <w:rFonts w:hint="eastAsia" w:ascii="宋体" w:hAnsi="宋体" w:cs="宋体"/>
                <w:color w:val="auto"/>
                <w:szCs w:val="21"/>
                <w:highlight w:val="none"/>
                <w:lang w:eastAsia="zh-CN"/>
              </w:rPr>
              <w:t>方式演示的不得分）</w:t>
            </w:r>
          </w:p>
          <w:p>
            <w:pPr>
              <w:adjustRightInd w:val="0"/>
              <w:snapToGrid w:val="0"/>
              <w:rPr>
                <w:rFonts w:hint="eastAsia" w:ascii="宋体" w:hAnsi="宋体" w:cs="宋体"/>
                <w:szCs w:val="21"/>
                <w:highlight w:val="green"/>
              </w:rPr>
            </w:pPr>
            <w:r>
              <w:rPr>
                <w:rFonts w:hint="eastAsia" w:ascii="宋体" w:hAnsi="宋体" w:cs="宋体"/>
                <w:szCs w:val="21"/>
                <w:lang w:eastAsia="zh-CN"/>
              </w:rPr>
              <w:t>【</w:t>
            </w:r>
            <w:r>
              <w:rPr>
                <w:rFonts w:hint="eastAsia" w:ascii="宋体" w:hAnsi="宋体" w:cs="宋体"/>
                <w:szCs w:val="21"/>
              </w:rPr>
              <w:t>演示内容：根据招标需求硬件物理尺寸，图片、视频资源均可满屏展示，并可实现相应资源自由切换，满足本地化展示使用；根据不同的教学场景模式，针对教学PPT资源，实现展示样式多样化</w:t>
            </w:r>
            <w:r>
              <w:rPr>
                <w:rFonts w:hint="eastAsia" w:ascii="宋体" w:hAnsi="宋体" w:cs="宋体"/>
                <w:szCs w:val="21"/>
                <w:lang w:eastAsia="zh-CN"/>
              </w:rPr>
              <w:t>。】</w:t>
            </w:r>
          </w:p>
        </w:tc>
        <w:tc>
          <w:tcPr>
            <w:tcW w:w="641" w:type="dxa"/>
            <w:noWrap w:val="0"/>
            <w:vAlign w:val="center"/>
          </w:tcPr>
          <w:p>
            <w:pPr>
              <w:jc w:val="center"/>
              <w:rPr>
                <w:rFonts w:hint="eastAsia" w:ascii="宋体" w:hAnsi="宋体" w:eastAsia="宋体"/>
                <w:color w:val="auto"/>
                <w:kern w:val="0"/>
                <w:szCs w:val="21"/>
                <w:highlight w:val="green"/>
                <w:lang w:val="en-US" w:eastAsia="zh-CN"/>
              </w:rPr>
            </w:pPr>
            <w:r>
              <w:rPr>
                <w:rFonts w:hint="eastAsia" w:ascii="宋体" w:hAnsi="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586" w:type="dxa"/>
            <w:vMerge w:val="continue"/>
            <w:noWrap w:val="0"/>
            <w:textDirection w:val="tbRlV"/>
            <w:vAlign w:val="center"/>
          </w:tcPr>
          <w:p>
            <w:pPr>
              <w:spacing w:line="360" w:lineRule="auto"/>
              <w:ind w:left="113" w:right="113"/>
              <w:jc w:val="center"/>
              <w:rPr>
                <w:b/>
                <w:color w:val="auto"/>
                <w:kern w:val="0"/>
                <w:szCs w:val="21"/>
                <w:highlight w:val="none"/>
              </w:rPr>
            </w:pPr>
          </w:p>
        </w:tc>
        <w:tc>
          <w:tcPr>
            <w:tcW w:w="709" w:type="dxa"/>
            <w:vMerge w:val="continue"/>
            <w:noWrap w:val="0"/>
            <w:vAlign w:val="center"/>
          </w:tcPr>
          <w:p>
            <w:pPr>
              <w:spacing w:line="360" w:lineRule="auto"/>
              <w:jc w:val="center"/>
              <w:rPr>
                <w:b/>
                <w:color w:val="auto"/>
                <w:kern w:val="0"/>
                <w:szCs w:val="21"/>
                <w:highlight w:val="none"/>
              </w:rPr>
            </w:pPr>
          </w:p>
        </w:tc>
        <w:tc>
          <w:tcPr>
            <w:tcW w:w="843" w:type="dxa"/>
            <w:vMerge w:val="continue"/>
            <w:noWrap w:val="0"/>
            <w:vAlign w:val="center"/>
          </w:tcPr>
          <w:p>
            <w:pPr>
              <w:adjustRightInd w:val="0"/>
              <w:snapToGrid w:val="0"/>
              <w:jc w:val="center"/>
              <w:rPr>
                <w:rFonts w:hint="eastAsia"/>
                <w:color w:val="auto"/>
                <w:highlight w:val="none"/>
              </w:rPr>
            </w:pPr>
          </w:p>
        </w:tc>
        <w:tc>
          <w:tcPr>
            <w:tcW w:w="5535" w:type="dxa"/>
            <w:noWrap w:val="0"/>
            <w:vAlign w:val="center"/>
          </w:tcPr>
          <w:p>
            <w:pPr>
              <w:adjustRightInd w:val="0"/>
              <w:snapToGrid w:val="0"/>
              <w:rPr>
                <w:rFonts w:hint="eastAsia" w:ascii="宋体" w:hAnsi="宋体" w:cs="宋体"/>
                <w:szCs w:val="21"/>
              </w:rPr>
            </w:pPr>
            <w:r>
              <w:rPr>
                <w:rFonts w:hint="eastAsia" w:ascii="宋体" w:hAnsi="宋体" w:cs="宋体"/>
                <w:szCs w:val="21"/>
              </w:rPr>
              <w:t>详细演示评分如下：</w:t>
            </w:r>
          </w:p>
          <w:p>
            <w:pPr>
              <w:adjustRightInd w:val="0"/>
              <w:snapToGrid w:val="0"/>
              <w:rPr>
                <w:rFonts w:hint="eastAsia" w:ascii="宋体" w:hAnsi="宋体" w:cs="宋体"/>
                <w:szCs w:val="21"/>
              </w:rPr>
            </w:pPr>
            <w:r>
              <w:rPr>
                <w:rFonts w:hint="eastAsia" w:ascii="宋体" w:hAnsi="宋体" w:cs="宋体"/>
                <w:szCs w:val="21"/>
              </w:rPr>
              <w:t>1</w:t>
            </w:r>
            <w:r>
              <w:rPr>
                <w:rFonts w:hint="eastAsia" w:ascii="宋体" w:hAnsi="宋体" w:cs="宋体"/>
                <w:szCs w:val="21"/>
                <w:lang w:eastAsia="zh-CN"/>
              </w:rPr>
              <w:t>.</w:t>
            </w:r>
            <w:r>
              <w:rPr>
                <w:rFonts w:hint="eastAsia" w:ascii="宋体" w:hAnsi="宋体" w:cs="宋体"/>
                <w:szCs w:val="21"/>
              </w:rPr>
              <w:t>在LED环幕大屏上展示全屏图片资源（完全充满大屏）自由的切换。满足的得2分，不满足得0分；</w:t>
            </w:r>
          </w:p>
          <w:p>
            <w:pPr>
              <w:adjustRightInd w:val="0"/>
              <w:snapToGrid w:val="0"/>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在LED环幕大屏上展示环幕全屏视频资源（完全充满大屏）自由的切换。满足的得2分，不满足得0分</w:t>
            </w:r>
          </w:p>
          <w:p>
            <w:pPr>
              <w:adjustRightInd w:val="0"/>
              <w:snapToGrid w:val="0"/>
              <w:rPr>
                <w:rFonts w:hint="eastAsia"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在LED环幕大屏上展示PPT五页式布局，中间为当前画面，同时会显示前两页和后两页画面。满足的得3分，不满足得0分</w:t>
            </w:r>
          </w:p>
          <w:p>
            <w:pPr>
              <w:adjustRightInd w:val="0"/>
              <w:snapToGrid w:val="0"/>
              <w:rPr>
                <w:rFonts w:ascii="宋体" w:hAnsi="宋体" w:cs="宋体"/>
                <w:szCs w:val="21"/>
                <w:highlight w:val="none"/>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highlight w:val="none"/>
              </w:rPr>
              <w:t>在LED环幕大屏上展示PPT五页式布局中，可将后两页画面隐藏。满足的得3分，不满足得0分</w:t>
            </w:r>
          </w:p>
          <w:p>
            <w:pPr>
              <w:adjustRightInd w:val="0"/>
              <w:snapToGrid w:val="0"/>
              <w:rPr>
                <w:rFonts w:hint="eastAsia" w:ascii="宋体" w:hAnsi="宋体" w:eastAsia="宋体" w:cs="宋体"/>
                <w:szCs w:val="21"/>
                <w:highlight w:val="none"/>
                <w:lang w:eastAsia="zh-CN"/>
              </w:rPr>
            </w:pPr>
            <w:r>
              <w:rPr>
                <w:rFonts w:hint="eastAsia" w:ascii="宋体" w:hAnsi="宋体" w:cs="宋体"/>
                <w:szCs w:val="21"/>
                <w:highlight w:val="none"/>
              </w:rPr>
              <w:t>5</w:t>
            </w:r>
            <w:r>
              <w:rPr>
                <w:rFonts w:hint="eastAsia" w:ascii="宋体" w:hAnsi="宋体" w:cs="宋体"/>
                <w:szCs w:val="21"/>
                <w:highlight w:val="none"/>
                <w:lang w:eastAsia="zh-CN"/>
              </w:rPr>
              <w:t>.</w:t>
            </w:r>
            <w:r>
              <w:rPr>
                <w:rFonts w:hint="eastAsia" w:ascii="宋体" w:hAnsi="宋体" w:cs="宋体"/>
                <w:szCs w:val="21"/>
                <w:highlight w:val="none"/>
              </w:rPr>
              <w:t>LED环幕大屏支持通过中控平板实现全景图片类资源的360°水平旋转和一定角度的上下拖动功能，满足的得</w:t>
            </w:r>
            <w:r>
              <w:rPr>
                <w:rFonts w:ascii="宋体" w:hAnsi="宋体" w:cs="宋体"/>
                <w:szCs w:val="21"/>
                <w:highlight w:val="none"/>
              </w:rPr>
              <w:t>3</w:t>
            </w:r>
            <w:r>
              <w:rPr>
                <w:rFonts w:hint="eastAsia" w:ascii="宋体" w:hAnsi="宋体" w:cs="宋体"/>
                <w:szCs w:val="21"/>
                <w:highlight w:val="none"/>
              </w:rPr>
              <w:t>分，不满足得0分</w:t>
            </w:r>
            <w:r>
              <w:rPr>
                <w:rFonts w:hint="eastAsia" w:ascii="宋体" w:hAnsi="宋体" w:cs="宋体"/>
                <w:szCs w:val="21"/>
                <w:highlight w:val="none"/>
                <w:lang w:eastAsia="zh-CN"/>
              </w:rPr>
              <w:t>；</w:t>
            </w:r>
          </w:p>
          <w:p>
            <w:pPr>
              <w:adjustRightInd w:val="0"/>
              <w:snapToGrid w:val="0"/>
              <w:rPr>
                <w:rFonts w:hint="eastAsia" w:ascii="宋体" w:hAnsi="宋体" w:eastAsia="宋体" w:cs="宋体"/>
                <w:color w:val="auto"/>
                <w:szCs w:val="21"/>
                <w:highlight w:val="none"/>
                <w:lang w:eastAsia="zh-CN"/>
              </w:rPr>
            </w:pPr>
            <w:r>
              <w:rPr>
                <w:rFonts w:hint="eastAsia" w:ascii="宋体" w:hAnsi="宋体" w:cs="宋体"/>
                <w:szCs w:val="21"/>
                <w:highlight w:val="none"/>
              </w:rPr>
              <w:t>6</w:t>
            </w:r>
            <w:r>
              <w:rPr>
                <w:rFonts w:hint="eastAsia" w:ascii="宋体" w:hAnsi="宋体" w:cs="宋体"/>
                <w:szCs w:val="21"/>
                <w:highlight w:val="none"/>
                <w:lang w:eastAsia="zh-CN"/>
              </w:rPr>
              <w:t>.</w:t>
            </w:r>
            <w:r>
              <w:rPr>
                <w:rFonts w:hint="eastAsia" w:ascii="宋体" w:hAnsi="宋体" w:cs="宋体"/>
                <w:szCs w:val="21"/>
                <w:highlight w:val="none"/>
              </w:rPr>
              <w:t xml:space="preserve">在线互动：在线互动模式需至少容纳 60 </w:t>
            </w:r>
            <w:r>
              <w:rPr>
                <w:rFonts w:hint="eastAsia" w:ascii="宋体" w:hAnsi="宋体" w:cs="宋体"/>
                <w:szCs w:val="21"/>
                <w:highlight w:val="none"/>
                <w:lang w:val="en-US" w:eastAsia="zh-CN"/>
              </w:rPr>
              <w:t>人</w:t>
            </w:r>
            <w:r>
              <w:rPr>
                <w:rFonts w:hint="eastAsia" w:ascii="宋体" w:hAnsi="宋体" w:cs="宋体"/>
                <w:szCs w:val="21"/>
                <w:highlight w:val="none"/>
              </w:rPr>
              <w:t>位学生同时在线，LED环幕大屏上呈现该</w:t>
            </w:r>
            <w:r>
              <w:rPr>
                <w:rFonts w:hint="eastAsia" w:ascii="宋体" w:hAnsi="宋体" w:cs="宋体"/>
                <w:szCs w:val="21"/>
                <w:highlight w:val="none"/>
                <w:lang w:val="en-US" w:eastAsia="zh-CN"/>
              </w:rPr>
              <w:t>至少</w:t>
            </w:r>
            <w:r>
              <w:rPr>
                <w:rFonts w:hint="eastAsia" w:ascii="宋体" w:hAnsi="宋体" w:cs="宋体"/>
                <w:szCs w:val="21"/>
                <w:highlight w:val="none"/>
              </w:rPr>
              <w:t xml:space="preserve"> </w:t>
            </w:r>
            <w:r>
              <w:rPr>
                <w:rFonts w:hint="eastAsia" w:ascii="宋体" w:hAnsi="宋体" w:cs="宋体"/>
                <w:szCs w:val="21"/>
                <w:highlight w:val="none"/>
                <w:lang w:val="en-US" w:eastAsia="zh-CN"/>
              </w:rPr>
              <w:t>1</w:t>
            </w:r>
            <w:r>
              <w:rPr>
                <w:rFonts w:hint="eastAsia" w:ascii="宋体" w:hAnsi="宋体" w:cs="宋体"/>
                <w:szCs w:val="21"/>
                <w:highlight w:val="none"/>
              </w:rPr>
              <w:t xml:space="preserve">0位学生的真实实时画面，互动过程中该 </w:t>
            </w:r>
            <w:r>
              <w:rPr>
                <w:rFonts w:hint="eastAsia" w:ascii="宋体" w:hAnsi="宋体" w:cs="宋体"/>
                <w:szCs w:val="21"/>
                <w:highlight w:val="none"/>
                <w:lang w:val="en-US" w:eastAsia="zh-CN"/>
              </w:rPr>
              <w:t>10</w:t>
            </w:r>
            <w:r>
              <w:rPr>
                <w:rFonts w:hint="eastAsia" w:ascii="宋体" w:hAnsi="宋体" w:cs="宋体"/>
                <w:szCs w:val="21"/>
                <w:highlight w:val="none"/>
              </w:rPr>
              <w:t xml:space="preserve"> 位学生可以申请发言，学生申请发言时环幕上对应该学生实时画面的周围应出现明显提示，演示视频准确清晰展示此功能得</w:t>
            </w:r>
            <w:r>
              <w:rPr>
                <w:rFonts w:ascii="宋体" w:hAnsi="宋体" w:cs="宋体"/>
                <w:szCs w:val="21"/>
                <w:highlight w:val="none"/>
              </w:rPr>
              <w:t>2</w:t>
            </w:r>
            <w:r>
              <w:rPr>
                <w:rFonts w:hint="eastAsia" w:ascii="宋体" w:hAnsi="宋体" w:cs="宋体"/>
                <w:szCs w:val="21"/>
                <w:highlight w:val="none"/>
              </w:rPr>
              <w:t xml:space="preserve"> 分，否则不得分</w:t>
            </w:r>
            <w:r>
              <w:rPr>
                <w:rFonts w:hint="eastAsia" w:ascii="宋体" w:hAnsi="宋体" w:cs="宋体"/>
                <w:szCs w:val="21"/>
                <w:highlight w:val="none"/>
                <w:lang w:eastAsia="zh-CN"/>
              </w:rPr>
              <w:t>。</w:t>
            </w:r>
          </w:p>
        </w:tc>
        <w:tc>
          <w:tcPr>
            <w:tcW w:w="641" w:type="dxa"/>
            <w:noWrap w:val="0"/>
            <w:vAlign w:val="center"/>
          </w:tcPr>
          <w:p>
            <w:pPr>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86" w:type="dxa"/>
            <w:vMerge w:val="continue"/>
            <w:noWrap w:val="0"/>
            <w:textDirection w:val="tbRlV"/>
            <w:vAlign w:val="center"/>
          </w:tcPr>
          <w:p>
            <w:pPr>
              <w:spacing w:line="360" w:lineRule="auto"/>
              <w:ind w:left="113" w:right="113"/>
              <w:jc w:val="center"/>
              <w:rPr>
                <w:b/>
                <w:color w:val="auto"/>
                <w:kern w:val="0"/>
                <w:szCs w:val="21"/>
                <w:highlight w:val="none"/>
              </w:rPr>
            </w:pPr>
          </w:p>
        </w:tc>
        <w:tc>
          <w:tcPr>
            <w:tcW w:w="709" w:type="dxa"/>
            <w:vMerge w:val="continue"/>
            <w:noWrap w:val="0"/>
            <w:vAlign w:val="center"/>
          </w:tcPr>
          <w:p>
            <w:pPr>
              <w:spacing w:line="360" w:lineRule="auto"/>
              <w:jc w:val="center"/>
              <w:rPr>
                <w:b/>
                <w:color w:val="auto"/>
                <w:kern w:val="0"/>
                <w:szCs w:val="21"/>
                <w:highlight w:val="none"/>
              </w:rPr>
            </w:pPr>
          </w:p>
        </w:tc>
        <w:tc>
          <w:tcPr>
            <w:tcW w:w="843" w:type="dxa"/>
            <w:noWrap w:val="0"/>
            <w:vAlign w:val="center"/>
          </w:tcPr>
          <w:p>
            <w:pPr>
              <w:adjustRightInd w:val="0"/>
              <w:snapToGrid w:val="0"/>
              <w:jc w:val="center"/>
              <w:rPr>
                <w:rFonts w:hint="eastAsia"/>
                <w:color w:val="auto"/>
                <w:highlight w:val="none"/>
              </w:rPr>
            </w:pPr>
            <w:r>
              <w:rPr>
                <w:rFonts w:hint="eastAsia"/>
                <w:color w:val="auto"/>
                <w:highlight w:val="none"/>
              </w:rPr>
              <w:t>项目实施</w:t>
            </w:r>
          </w:p>
        </w:tc>
        <w:tc>
          <w:tcPr>
            <w:tcW w:w="5535" w:type="dxa"/>
            <w:noWrap w:val="0"/>
            <w:vAlign w:val="center"/>
          </w:tcPr>
          <w:p>
            <w:pPr>
              <w:pStyle w:val="8"/>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根据本项目特点制定的实施组织</w:t>
            </w:r>
            <w:r>
              <w:rPr>
                <w:rFonts w:hint="eastAsia" w:ascii="宋体" w:hAnsi="宋体" w:eastAsia="宋体" w:cs="宋体"/>
                <w:highlight w:val="none"/>
                <w:lang w:val="en-US" w:eastAsia="zh-CN"/>
              </w:rPr>
              <w:t>方案</w:t>
            </w:r>
            <w:r>
              <w:rPr>
                <w:rFonts w:hint="eastAsia"/>
                <w:highlight w:val="none"/>
              </w:rPr>
              <w:t>（包括安质量保证措施、进度</w:t>
            </w:r>
            <w:r>
              <w:rPr>
                <w:rFonts w:hint="eastAsia"/>
                <w:highlight w:val="none"/>
                <w:lang w:val="en-US" w:eastAsia="zh-CN"/>
              </w:rPr>
              <w:t>计划</w:t>
            </w:r>
            <w:r>
              <w:rPr>
                <w:rFonts w:hint="eastAsia"/>
                <w:highlight w:val="none"/>
              </w:rPr>
              <w:t>保证措施、全文明施工保证措施、环境保证措施等</w:t>
            </w:r>
            <w:r>
              <w:rPr>
                <w:rFonts w:hint="eastAsia"/>
                <w:highlight w:val="none"/>
                <w:lang w:eastAsia="zh-CN"/>
              </w:rPr>
              <w:t>）</w:t>
            </w:r>
            <w:r>
              <w:rPr>
                <w:rFonts w:hint="eastAsia"/>
                <w:highlight w:val="none"/>
                <w:lang w:val="en-US" w:eastAsia="zh-CN"/>
              </w:rPr>
              <w:t>的科学性、合理性</w:t>
            </w:r>
            <w:r>
              <w:rPr>
                <w:rFonts w:hint="eastAsia" w:ascii="宋体" w:hAnsi="宋体" w:eastAsia="宋体" w:cs="宋体"/>
                <w:highlight w:val="none"/>
                <w:lang w:val="en-US" w:eastAsia="zh-CN"/>
              </w:rPr>
              <w:t>进行综合打分：</w:t>
            </w:r>
          </w:p>
          <w:p>
            <w:pPr>
              <w:spacing w:line="240" w:lineRule="auto"/>
              <w:jc w:val="left"/>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①方案详实、</w:t>
            </w:r>
            <w:r>
              <w:rPr>
                <w:rFonts w:hint="eastAsia" w:ascii="宋体" w:hAnsi="宋体" w:eastAsia="宋体" w:cs="宋体"/>
                <w:color w:val="000000" w:themeColor="text1"/>
                <w:kern w:val="0"/>
                <w:szCs w:val="21"/>
                <w:highlight w:val="none"/>
                <w:lang w:eastAsia="zh-CN"/>
                <w14:textFill>
                  <w14:solidFill>
                    <w14:schemeClr w14:val="tx1"/>
                  </w14:solidFill>
                </w14:textFill>
              </w:rPr>
              <w:t>内容完整、操作性强</w:t>
            </w:r>
            <w:r>
              <w:rPr>
                <w:rFonts w:hint="eastAsia" w:ascii="宋体" w:hAnsi="宋体" w:eastAsia="宋体" w:cs="宋体"/>
                <w:szCs w:val="21"/>
                <w:lang w:val="en-US" w:eastAsia="zh-CN"/>
              </w:rPr>
              <w:t>的得6-4.1分；</w:t>
            </w:r>
          </w:p>
          <w:p>
            <w:pPr>
              <w:spacing w:line="24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②方案合理、</w:t>
            </w:r>
            <w:r>
              <w:rPr>
                <w:rFonts w:hint="eastAsia" w:ascii="宋体" w:hAnsi="宋体" w:eastAsia="宋体" w:cs="宋体"/>
                <w:color w:val="000000" w:themeColor="text1"/>
                <w:kern w:val="0"/>
                <w:szCs w:val="21"/>
                <w:lang w:eastAsia="zh-CN"/>
                <w14:textFill>
                  <w14:solidFill>
                    <w14:schemeClr w14:val="tx1"/>
                  </w14:solidFill>
                </w14:textFill>
              </w:rPr>
              <w:t>内容常规、操作性一般</w:t>
            </w:r>
            <w:r>
              <w:rPr>
                <w:rFonts w:hint="eastAsia" w:ascii="宋体" w:hAnsi="宋体" w:eastAsia="宋体" w:cs="宋体"/>
                <w:szCs w:val="21"/>
                <w:lang w:val="en-US" w:eastAsia="zh-CN"/>
              </w:rPr>
              <w:t>的得4-2.1分；</w:t>
            </w:r>
          </w:p>
          <w:p>
            <w:pPr>
              <w:rPr>
                <w:rFonts w:ascii="宋体" w:hAnsi="宋体"/>
                <w:color w:val="auto"/>
                <w:szCs w:val="21"/>
                <w:highlight w:val="none"/>
              </w:rPr>
            </w:pPr>
            <w:r>
              <w:rPr>
                <w:rFonts w:hint="eastAsia" w:ascii="宋体" w:hAnsi="宋体" w:eastAsia="宋体" w:cs="宋体"/>
                <w:szCs w:val="21"/>
                <w:lang w:val="en-US" w:eastAsia="zh-CN"/>
              </w:rPr>
              <w:t>③方案粗糙、</w:t>
            </w:r>
            <w:r>
              <w:rPr>
                <w:rFonts w:hint="eastAsia" w:ascii="宋体" w:hAnsi="宋体" w:eastAsia="宋体" w:cs="宋体"/>
                <w:color w:val="000000" w:themeColor="text1"/>
                <w:kern w:val="0"/>
                <w:szCs w:val="21"/>
                <w:lang w:eastAsia="zh-CN"/>
                <w14:textFill>
                  <w14:solidFill>
                    <w14:schemeClr w14:val="tx1"/>
                  </w14:solidFill>
                </w14:textFill>
              </w:rPr>
              <w:t>内容缺漏、操作性差</w:t>
            </w:r>
            <w:r>
              <w:rPr>
                <w:rFonts w:hint="eastAsia" w:ascii="宋体" w:hAnsi="宋体" w:eastAsia="宋体" w:cs="宋体"/>
                <w:szCs w:val="21"/>
                <w:lang w:val="en-US" w:eastAsia="zh-CN"/>
              </w:rPr>
              <w:t>的得2-0分。</w:t>
            </w:r>
          </w:p>
        </w:tc>
        <w:tc>
          <w:tcPr>
            <w:tcW w:w="641" w:type="dxa"/>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586" w:type="dxa"/>
            <w:vMerge w:val="continue"/>
            <w:noWrap w:val="0"/>
            <w:vAlign w:val="center"/>
          </w:tcPr>
          <w:p>
            <w:pPr>
              <w:spacing w:line="360" w:lineRule="auto"/>
              <w:jc w:val="center"/>
              <w:rPr>
                <w:b/>
                <w:color w:val="auto"/>
                <w:kern w:val="0"/>
                <w:szCs w:val="21"/>
                <w:highlight w:val="none"/>
              </w:rPr>
            </w:pPr>
          </w:p>
        </w:tc>
        <w:tc>
          <w:tcPr>
            <w:tcW w:w="709" w:type="dxa"/>
            <w:vMerge w:val="restart"/>
            <w:noWrap w:val="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企业信誉及实力</w:t>
            </w:r>
          </w:p>
          <w:p>
            <w:pPr>
              <w:jc w:val="center"/>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分</w:t>
            </w:r>
            <w:r>
              <w:rPr>
                <w:rFonts w:ascii="宋体" w:hAnsi="宋体" w:cs="宋体"/>
                <w:b/>
                <w:bCs/>
                <w:color w:val="auto"/>
                <w:szCs w:val="21"/>
                <w:highlight w:val="none"/>
              </w:rPr>
              <w:t>）</w:t>
            </w:r>
          </w:p>
        </w:tc>
        <w:tc>
          <w:tcPr>
            <w:tcW w:w="843" w:type="dxa"/>
            <w:noWrap w:val="0"/>
            <w:vAlign w:val="center"/>
          </w:tcPr>
          <w:p>
            <w:pPr>
              <w:jc w:val="center"/>
              <w:rPr>
                <w:color w:val="auto"/>
                <w:highlight w:val="none"/>
              </w:rPr>
            </w:pPr>
            <w:r>
              <w:rPr>
                <w:rFonts w:hint="eastAsia" w:ascii="宋体" w:hAnsi="宋体" w:cs="宋体"/>
                <w:color w:val="auto"/>
                <w:szCs w:val="21"/>
                <w:highlight w:val="none"/>
              </w:rPr>
              <w:t>企业资质</w:t>
            </w:r>
          </w:p>
        </w:tc>
        <w:tc>
          <w:tcPr>
            <w:tcW w:w="5535" w:type="dxa"/>
            <w:noWrap w:val="0"/>
            <w:vAlign w:val="center"/>
          </w:tcPr>
          <w:p>
            <w:pPr>
              <w:rPr>
                <w:rFonts w:hint="eastAsia"/>
                <w:color w:val="auto"/>
                <w:highlight w:val="none"/>
              </w:rPr>
            </w:pPr>
            <w:r>
              <w:rPr>
                <w:rFonts w:hint="eastAsia" w:ascii="宋体" w:hAnsi="宋体"/>
                <w:color w:val="auto"/>
                <w:szCs w:val="21"/>
                <w:highlight w:val="none"/>
              </w:rPr>
              <w:t>具有</w:t>
            </w:r>
            <w:r>
              <w:rPr>
                <w:rFonts w:hint="eastAsia" w:ascii="宋体" w:hAnsi="宋体"/>
                <w:color w:val="auto"/>
                <w:szCs w:val="21"/>
                <w:highlight w:val="none"/>
                <w:lang w:val="en-US" w:eastAsia="zh-CN"/>
              </w:rPr>
              <w:t>①</w:t>
            </w:r>
            <w:r>
              <w:rPr>
                <w:rFonts w:hint="eastAsia" w:ascii="宋体" w:hAnsi="宋体"/>
                <w:bCs/>
                <w:color w:val="auto"/>
                <w:szCs w:val="21"/>
                <w:highlight w:val="none"/>
              </w:rPr>
              <w:t>知识产权管理体系认证证书并附体系审核报告证明</w:t>
            </w:r>
            <w:r>
              <w:rPr>
                <w:rFonts w:hint="eastAsia" w:ascii="宋体" w:hAnsi="宋体"/>
                <w:bCs/>
                <w:color w:val="auto"/>
                <w:szCs w:val="21"/>
                <w:highlight w:val="none"/>
                <w:lang w:val="en-US" w:eastAsia="zh-CN"/>
              </w:rPr>
              <w:t>②</w:t>
            </w:r>
            <w:r>
              <w:rPr>
                <w:rFonts w:hint="eastAsia" w:ascii="宋体" w:hAnsi="宋体"/>
                <w:color w:val="auto"/>
                <w:kern w:val="0"/>
                <w:szCs w:val="21"/>
                <w:highlight w:val="none"/>
              </w:rPr>
              <w:t>质量管理体系认证证书</w:t>
            </w:r>
            <w:r>
              <w:rPr>
                <w:rFonts w:hint="eastAsia" w:ascii="宋体" w:hAnsi="宋体"/>
                <w:color w:val="auto"/>
                <w:kern w:val="0"/>
                <w:szCs w:val="21"/>
                <w:highlight w:val="none"/>
                <w:lang w:val="en-US" w:eastAsia="zh-CN"/>
              </w:rPr>
              <w:t>③</w:t>
            </w:r>
            <w:r>
              <w:rPr>
                <w:rFonts w:hint="eastAsia" w:ascii="宋体" w:hAnsi="宋体"/>
                <w:kern w:val="0"/>
                <w:szCs w:val="21"/>
                <w:highlight w:val="none"/>
              </w:rPr>
              <w:t>信息技术服务管理体系认证证书</w:t>
            </w:r>
            <w:r>
              <w:rPr>
                <w:rFonts w:hint="eastAsia" w:ascii="宋体" w:hAnsi="宋体"/>
                <w:kern w:val="0"/>
                <w:szCs w:val="21"/>
                <w:highlight w:val="none"/>
                <w:lang w:val="en-US" w:eastAsia="zh-CN"/>
              </w:rPr>
              <w:t>④</w:t>
            </w:r>
            <w:r>
              <w:rPr>
                <w:rFonts w:hint="eastAsia" w:ascii="宋体" w:hAnsi="宋体"/>
                <w:kern w:val="0"/>
                <w:szCs w:val="21"/>
                <w:highlight w:val="none"/>
              </w:rPr>
              <w:t>信息安全管理体系认证证书</w:t>
            </w:r>
            <w:r>
              <w:rPr>
                <w:rFonts w:hint="eastAsia" w:ascii="宋体" w:hAnsi="宋体"/>
                <w:color w:val="auto"/>
                <w:kern w:val="0"/>
                <w:szCs w:val="21"/>
                <w:highlight w:val="none"/>
              </w:rPr>
              <w:t>，</w:t>
            </w:r>
            <w:r>
              <w:rPr>
                <w:rFonts w:hint="eastAsia" w:ascii="宋体" w:hAnsi="宋体"/>
                <w:color w:val="auto"/>
                <w:szCs w:val="21"/>
                <w:highlight w:val="none"/>
              </w:rPr>
              <w:t>每具备一种得0.5分，没有不得分，最高得2分。</w:t>
            </w:r>
            <w:r>
              <w:rPr>
                <w:rFonts w:hint="eastAsia"/>
                <w:color w:val="auto"/>
                <w:highlight w:val="none"/>
              </w:rPr>
              <w:t>（以上证书需提供证书扫描件并加盖投标人公章，不提供则不得分）</w:t>
            </w:r>
          </w:p>
        </w:tc>
        <w:tc>
          <w:tcPr>
            <w:tcW w:w="641" w:type="dxa"/>
            <w:noWrap w:val="0"/>
            <w:vAlign w:val="center"/>
          </w:tcPr>
          <w:p>
            <w:pPr>
              <w:widowControl/>
              <w:jc w:val="center"/>
              <w:rPr>
                <w:rFonts w:hint="eastAsia" w:ascii="宋体" w:hAnsi="宋体" w:cs="宋体"/>
                <w:color w:val="auto"/>
                <w:kern w:val="0"/>
                <w:szCs w:val="21"/>
                <w:highlight w:val="none"/>
              </w:rPr>
            </w:pPr>
            <w:r>
              <w:rPr>
                <w:rFonts w:ascii="宋体" w:hAnsi="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vMerge w:val="continue"/>
            <w:noWrap w:val="0"/>
            <w:vAlign w:val="center"/>
          </w:tcPr>
          <w:p>
            <w:pPr>
              <w:spacing w:line="360" w:lineRule="auto"/>
              <w:jc w:val="center"/>
              <w:rPr>
                <w:b/>
                <w:color w:val="auto"/>
                <w:kern w:val="0"/>
                <w:szCs w:val="21"/>
                <w:highlight w:val="none"/>
              </w:rPr>
            </w:pPr>
          </w:p>
        </w:tc>
        <w:tc>
          <w:tcPr>
            <w:tcW w:w="709" w:type="dxa"/>
            <w:vMerge w:val="continue"/>
            <w:noWrap w:val="0"/>
            <w:vAlign w:val="center"/>
          </w:tcPr>
          <w:p>
            <w:pPr>
              <w:jc w:val="center"/>
              <w:rPr>
                <w:color w:val="auto"/>
                <w:highlight w:val="none"/>
              </w:rPr>
            </w:pPr>
          </w:p>
        </w:tc>
        <w:tc>
          <w:tcPr>
            <w:tcW w:w="843" w:type="dxa"/>
            <w:noWrap w:val="0"/>
            <w:vAlign w:val="center"/>
          </w:tcPr>
          <w:p>
            <w:pPr>
              <w:jc w:val="center"/>
              <w:rPr>
                <w:rFonts w:hint="eastAsia" w:ascii="宋体" w:hAnsi="宋体"/>
                <w:color w:val="auto"/>
                <w:szCs w:val="21"/>
                <w:highlight w:val="none"/>
              </w:rPr>
            </w:pPr>
            <w:r>
              <w:rPr>
                <w:rFonts w:hint="eastAsia" w:ascii="宋体" w:hAnsi="宋体" w:cs="宋体"/>
                <w:color w:val="auto"/>
                <w:szCs w:val="21"/>
                <w:highlight w:val="none"/>
              </w:rPr>
              <w:t>人员资质</w:t>
            </w:r>
          </w:p>
        </w:tc>
        <w:tc>
          <w:tcPr>
            <w:tcW w:w="5535"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综合考虑投标人针对本项目组建的项目团队情况打分：</w:t>
            </w:r>
          </w:p>
          <w:p>
            <w:pPr>
              <w:numPr>
                <w:ilvl w:val="0"/>
                <w:numId w:val="9"/>
              </w:numPr>
              <w:rPr>
                <w:rFonts w:hint="eastAsia"/>
                <w:color w:val="auto"/>
                <w:highlight w:val="none"/>
                <w:lang w:eastAsia="zh-CN"/>
              </w:rPr>
            </w:pPr>
            <w:r>
              <w:rPr>
                <w:rFonts w:hint="eastAsia"/>
                <w:color w:val="auto"/>
                <w:highlight w:val="none"/>
              </w:rPr>
              <w:t>拟派项目经理具备信息系统</w:t>
            </w:r>
            <w:r>
              <w:rPr>
                <w:rFonts w:hint="eastAsia"/>
                <w:color w:val="auto"/>
                <w:highlight w:val="none"/>
                <w:lang w:val="en-US" w:eastAsia="zh-CN"/>
              </w:rPr>
              <w:t>项目</w:t>
            </w:r>
            <w:r>
              <w:rPr>
                <w:rFonts w:hint="eastAsia"/>
                <w:color w:val="auto"/>
                <w:highlight w:val="none"/>
              </w:rPr>
              <w:t>管理师得1分</w:t>
            </w:r>
            <w:r>
              <w:rPr>
                <w:rFonts w:hint="eastAsia"/>
                <w:color w:val="auto"/>
                <w:highlight w:val="none"/>
                <w:lang w:eastAsia="zh-CN"/>
              </w:rPr>
              <w:t>；</w:t>
            </w:r>
          </w:p>
          <w:p>
            <w:pPr>
              <w:numPr>
                <w:ilvl w:val="0"/>
                <w:numId w:val="9"/>
              </w:numPr>
              <w:rPr>
                <w:rFonts w:hint="eastAsia" w:ascii="宋体" w:hAnsi="宋体"/>
                <w:color w:val="auto"/>
                <w:szCs w:val="21"/>
                <w:highlight w:val="none"/>
              </w:rPr>
            </w:pPr>
            <w:r>
              <w:rPr>
                <w:rFonts w:hint="eastAsia"/>
                <w:color w:val="auto"/>
                <w:highlight w:val="none"/>
                <w:lang w:val="en-US" w:eastAsia="zh-CN"/>
              </w:rPr>
              <w:t>团队成员</w:t>
            </w:r>
            <w:r>
              <w:rPr>
                <w:rFonts w:hint="eastAsia"/>
                <w:color w:val="auto"/>
                <w:highlight w:val="none"/>
              </w:rPr>
              <w:t>具备系统集成项目管理工程师证书的得1分。</w:t>
            </w:r>
            <w:r>
              <w:rPr>
                <w:rFonts w:hint="eastAsia" w:ascii="宋体" w:hAnsi="宋体" w:eastAsia="宋体" w:cs="宋体"/>
                <w:color w:val="000000" w:themeColor="text1"/>
                <w:kern w:val="0"/>
                <w:szCs w:val="21"/>
                <w:highlight w:val="none"/>
                <w:lang w:eastAsia="zh-CN"/>
                <w14:textFill>
                  <w14:solidFill>
                    <w14:schemeClr w14:val="tx1"/>
                  </w14:solidFill>
                </w14:textFill>
              </w:rPr>
              <w:t>（注：需提供投标截止日期前近6个月在投标单位</w:t>
            </w:r>
            <w:r>
              <w:rPr>
                <w:rFonts w:hint="eastAsia"/>
                <w:color w:val="auto"/>
                <w:highlight w:val="none"/>
              </w:rPr>
              <w:t>的社保缴纳证明</w:t>
            </w:r>
            <w:r>
              <w:rPr>
                <w:rFonts w:hint="eastAsia" w:ascii="宋体" w:hAnsi="宋体" w:eastAsia="宋体" w:cs="宋体"/>
                <w:color w:val="000000" w:themeColor="text1"/>
                <w:kern w:val="0"/>
                <w:szCs w:val="21"/>
                <w:highlight w:val="none"/>
                <w:lang w:eastAsia="zh-CN"/>
                <w14:textFill>
                  <w14:solidFill>
                    <w14:schemeClr w14:val="tx1"/>
                  </w14:solidFill>
                </w14:textFill>
              </w:rPr>
              <w:t>的扫描件</w:t>
            </w:r>
            <w:r>
              <w:rPr>
                <w:rFonts w:hint="eastAsia"/>
                <w:color w:val="auto"/>
                <w:highlight w:val="none"/>
              </w:rPr>
              <w:t>，不提供不得分</w:t>
            </w:r>
            <w:r>
              <w:rPr>
                <w:rFonts w:hint="eastAsia" w:ascii="宋体" w:hAnsi="宋体" w:eastAsia="宋体" w:cs="宋体"/>
                <w:color w:val="000000" w:themeColor="text1"/>
                <w:kern w:val="0"/>
                <w:szCs w:val="21"/>
                <w:highlight w:val="none"/>
                <w:lang w:eastAsia="zh-CN"/>
                <w14:textFill>
                  <w14:solidFill>
                    <w14:schemeClr w14:val="tx1"/>
                  </w14:solidFill>
                </w14:textFill>
              </w:rPr>
              <w:t>。）</w:t>
            </w:r>
          </w:p>
        </w:tc>
        <w:tc>
          <w:tcPr>
            <w:tcW w:w="641" w:type="dxa"/>
            <w:noWrap w:val="0"/>
            <w:vAlign w:val="center"/>
          </w:tcPr>
          <w:p>
            <w:pPr>
              <w:widowControl/>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586" w:type="dxa"/>
            <w:vMerge w:val="continue"/>
            <w:noWrap w:val="0"/>
            <w:vAlign w:val="center"/>
          </w:tcPr>
          <w:p>
            <w:pPr>
              <w:spacing w:line="360" w:lineRule="auto"/>
              <w:jc w:val="center"/>
              <w:rPr>
                <w:b/>
                <w:color w:val="auto"/>
                <w:kern w:val="0"/>
                <w:szCs w:val="21"/>
                <w:highlight w:val="none"/>
              </w:rPr>
            </w:pPr>
          </w:p>
        </w:tc>
        <w:tc>
          <w:tcPr>
            <w:tcW w:w="709" w:type="dxa"/>
            <w:vMerge w:val="continue"/>
            <w:noWrap w:val="0"/>
            <w:vAlign w:val="center"/>
          </w:tcPr>
          <w:p>
            <w:pPr>
              <w:jc w:val="center"/>
              <w:rPr>
                <w:color w:val="auto"/>
                <w:highlight w:val="none"/>
              </w:rPr>
            </w:pPr>
          </w:p>
        </w:tc>
        <w:tc>
          <w:tcPr>
            <w:tcW w:w="843" w:type="dxa"/>
            <w:noWrap w:val="0"/>
            <w:vAlign w:val="center"/>
          </w:tcPr>
          <w:p>
            <w:pPr>
              <w:jc w:val="center"/>
              <w:rPr>
                <w:rFonts w:hint="eastAsia" w:ascii="宋体" w:hAnsi="宋体"/>
                <w:color w:val="auto"/>
                <w:szCs w:val="21"/>
                <w:highlight w:val="none"/>
              </w:rPr>
            </w:pPr>
            <w:r>
              <w:rPr>
                <w:rFonts w:hint="eastAsia" w:ascii="宋体" w:hAnsi="宋体" w:cs="宋体"/>
                <w:color w:val="auto"/>
                <w:szCs w:val="21"/>
                <w:highlight w:val="none"/>
              </w:rPr>
              <w:t>业绩案例</w:t>
            </w:r>
          </w:p>
        </w:tc>
        <w:tc>
          <w:tcPr>
            <w:tcW w:w="5535" w:type="dxa"/>
            <w:noWrap w:val="0"/>
            <w:vAlign w:val="center"/>
          </w:tcPr>
          <w:p>
            <w:pPr>
              <w:rPr>
                <w:rFonts w:hint="eastAsia" w:ascii="宋体" w:hAnsi="宋体"/>
                <w:color w:val="auto"/>
                <w:szCs w:val="21"/>
                <w:highlight w:val="none"/>
              </w:rPr>
            </w:pPr>
            <w:r>
              <w:rPr>
                <w:rFonts w:hint="eastAsia" w:ascii="宋体" w:hAnsi="宋体" w:eastAsia="宋体" w:cs="宋体"/>
                <w:b w:val="0"/>
                <w:bCs w:val="0"/>
                <w:color w:val="000000" w:themeColor="text1"/>
                <w:szCs w:val="21"/>
                <w:highlight w:val="none"/>
                <w14:textFill>
                  <w14:solidFill>
                    <w14:schemeClr w14:val="tx1"/>
                  </w14:solidFill>
                </w14:textFill>
              </w:rPr>
              <w:t>自</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2019</w:t>
            </w:r>
            <w:r>
              <w:rPr>
                <w:rFonts w:hint="eastAsia" w:ascii="宋体" w:hAnsi="宋体" w:eastAsia="宋体" w:cs="宋体"/>
                <w:b w:val="0"/>
                <w:bCs w:val="0"/>
                <w:color w:val="000000" w:themeColor="text1"/>
                <w:szCs w:val="21"/>
                <w:highlight w:val="none"/>
                <w14:textFill>
                  <w14:solidFill>
                    <w14:schemeClr w14:val="tx1"/>
                  </w14:solidFill>
                </w14:textFill>
              </w:rPr>
              <w:t>年</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9</w:t>
            </w:r>
            <w:r>
              <w:rPr>
                <w:rFonts w:hint="eastAsia" w:ascii="宋体" w:hAnsi="宋体" w:eastAsia="宋体" w:cs="宋体"/>
                <w:b w:val="0"/>
                <w:bCs w:val="0"/>
                <w:color w:val="000000" w:themeColor="text1"/>
                <w:szCs w:val="21"/>
                <w:highlight w:val="none"/>
                <w14:textFill>
                  <w14:solidFill>
                    <w14:schemeClr w14:val="tx1"/>
                  </w14:solidFill>
                </w14:textFill>
              </w:rPr>
              <w:t>月至投标截止前一天（以合同签订时间为准）</w:t>
            </w:r>
            <w:r>
              <w:rPr>
                <w:rFonts w:hint="eastAsia" w:ascii="宋体" w:hAnsi="宋体" w:eastAsia="宋体" w:cs="宋体"/>
                <w:b w:val="0"/>
                <w:bCs w:val="0"/>
                <w:color w:val="000000" w:themeColor="text1"/>
                <w:szCs w:val="21"/>
                <w:highlight w:val="none"/>
                <w:lang w:eastAsia="zh-CN"/>
                <w14:textFill>
                  <w14:solidFill>
                    <w14:schemeClr w14:val="tx1"/>
                  </w14:solidFill>
                </w14:textFill>
              </w:rPr>
              <w:t>，</w:t>
            </w:r>
            <w:r>
              <w:rPr>
                <w:rFonts w:hint="eastAsia"/>
                <w:color w:val="auto"/>
                <w:szCs w:val="21"/>
                <w:highlight w:val="none"/>
              </w:rPr>
              <w:t>具备</w:t>
            </w:r>
            <w:r>
              <w:rPr>
                <w:rFonts w:hint="eastAsia"/>
                <w:color w:val="auto"/>
                <w:szCs w:val="21"/>
                <w:highlight w:val="none"/>
                <w:lang w:eastAsia="zh-CN"/>
              </w:rPr>
              <w:t>类似</w:t>
            </w:r>
            <w:r>
              <w:rPr>
                <w:rFonts w:hint="eastAsia"/>
                <w:color w:val="auto"/>
                <w:szCs w:val="21"/>
                <w:highlight w:val="none"/>
              </w:rPr>
              <w:t>的业绩</w:t>
            </w:r>
            <w:r>
              <w:rPr>
                <w:rFonts w:hint="eastAsia" w:ascii="宋体" w:hAnsi="宋体" w:eastAsia="宋体" w:cs="宋体"/>
                <w:b w:val="0"/>
                <w:bCs w:val="0"/>
                <w:color w:val="000000" w:themeColor="text1"/>
                <w:szCs w:val="21"/>
                <w:highlight w:val="none"/>
                <w14:textFill>
                  <w14:solidFill>
                    <w14:schemeClr w14:val="tx1"/>
                  </w14:solidFill>
                </w14:textFill>
              </w:rPr>
              <w:t>案例，每份得1分，最多3分。（</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需</w:t>
            </w:r>
            <w:r>
              <w:rPr>
                <w:rFonts w:hint="eastAsia" w:ascii="宋体" w:hAnsi="宋体" w:eastAsia="宋体" w:cs="宋体"/>
                <w:b w:val="0"/>
                <w:bCs w:val="0"/>
                <w:color w:val="000000" w:themeColor="text1"/>
                <w:szCs w:val="21"/>
                <w:highlight w:val="none"/>
                <w14:textFill>
                  <w14:solidFill>
                    <w14:schemeClr w14:val="tx1"/>
                  </w14:solidFill>
                </w14:textFill>
              </w:rPr>
              <w:t>提供</w:t>
            </w:r>
            <w:r>
              <w:rPr>
                <w:rFonts w:hint="eastAsia"/>
                <w:color w:val="auto"/>
                <w:szCs w:val="21"/>
                <w:highlight w:val="none"/>
              </w:rPr>
              <w:t>合同</w:t>
            </w:r>
            <w:r>
              <w:rPr>
                <w:rFonts w:hint="eastAsia"/>
                <w:color w:val="auto"/>
                <w:szCs w:val="21"/>
                <w:highlight w:val="none"/>
                <w:lang w:val="en-US" w:eastAsia="zh-CN"/>
              </w:rPr>
              <w:t>扫描</w:t>
            </w:r>
            <w:r>
              <w:rPr>
                <w:rFonts w:hint="eastAsia"/>
                <w:color w:val="auto"/>
                <w:szCs w:val="21"/>
                <w:highlight w:val="none"/>
              </w:rPr>
              <w:t>件</w:t>
            </w:r>
            <w:r>
              <w:rPr>
                <w:rFonts w:hint="eastAsia"/>
                <w:color w:val="auto"/>
                <w:szCs w:val="21"/>
                <w:highlight w:val="none"/>
                <w:lang w:eastAsia="zh-CN"/>
              </w:rPr>
              <w:t>，</w:t>
            </w:r>
            <w:r>
              <w:rPr>
                <w:rFonts w:hint="eastAsia"/>
                <w:color w:val="auto"/>
                <w:szCs w:val="21"/>
                <w:highlight w:val="none"/>
              </w:rPr>
              <w:t>否则</w:t>
            </w:r>
            <w:r>
              <w:rPr>
                <w:rFonts w:hint="eastAsia"/>
                <w:color w:val="auto"/>
                <w:szCs w:val="21"/>
                <w:highlight w:val="none"/>
                <w:lang w:val="en-US" w:eastAsia="zh-CN"/>
              </w:rPr>
              <w:t>不得分</w:t>
            </w:r>
            <w:r>
              <w:rPr>
                <w:rFonts w:hint="eastAsia"/>
                <w:color w:val="auto"/>
                <w:szCs w:val="21"/>
                <w:highlight w:val="none"/>
              </w:rPr>
              <w:t>）</w:t>
            </w:r>
          </w:p>
        </w:tc>
        <w:tc>
          <w:tcPr>
            <w:tcW w:w="641" w:type="dxa"/>
            <w:noWrap w:val="0"/>
            <w:vAlign w:val="center"/>
          </w:tcPr>
          <w:p>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86" w:type="dxa"/>
            <w:vMerge w:val="continue"/>
            <w:noWrap w:val="0"/>
            <w:vAlign w:val="center"/>
          </w:tcPr>
          <w:p>
            <w:pPr>
              <w:spacing w:line="360" w:lineRule="auto"/>
              <w:jc w:val="center"/>
              <w:rPr>
                <w:b/>
                <w:color w:val="auto"/>
                <w:kern w:val="0"/>
                <w:szCs w:val="21"/>
                <w:highlight w:val="none"/>
              </w:rPr>
            </w:pPr>
          </w:p>
        </w:tc>
        <w:tc>
          <w:tcPr>
            <w:tcW w:w="709" w:type="dxa"/>
            <w:vMerge w:val="restart"/>
            <w:noWrap w:val="0"/>
            <w:vAlign w:val="center"/>
          </w:tcPr>
          <w:p>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售后服</w:t>
            </w:r>
            <w:r>
              <w:rPr>
                <w:rFonts w:hint="eastAsia" w:ascii="宋体" w:hAnsi="宋体" w:cs="宋体"/>
                <w:b/>
                <w:bCs/>
                <w:color w:val="auto"/>
                <w:szCs w:val="21"/>
                <w:highlight w:val="none"/>
              </w:rPr>
              <w:t>务(</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分)</w:t>
            </w:r>
          </w:p>
        </w:tc>
        <w:tc>
          <w:tcPr>
            <w:tcW w:w="843" w:type="dxa"/>
            <w:noWrap w:val="0"/>
            <w:vAlign w:val="center"/>
          </w:tcPr>
          <w:p>
            <w:pPr>
              <w:pStyle w:val="2"/>
              <w:ind w:left="0" w:leftChars="0" w:firstLine="0" w:firstLineChars="0"/>
              <w:jc w:val="center"/>
              <w:rPr>
                <w:rFonts w:hint="default"/>
                <w:lang w:val="en-US" w:eastAsia="zh-CN"/>
              </w:rPr>
            </w:pPr>
            <w:r>
              <w:rPr>
                <w:rFonts w:hint="eastAsia"/>
                <w:lang w:val="en-US" w:eastAsia="zh-CN"/>
              </w:rPr>
              <w:t>培训方案</w:t>
            </w:r>
          </w:p>
        </w:tc>
        <w:tc>
          <w:tcPr>
            <w:tcW w:w="5535" w:type="dxa"/>
            <w:noWrap w:val="0"/>
            <w:vAlign w:val="center"/>
          </w:tcPr>
          <w:p>
            <w:pPr>
              <w:pStyle w:val="2"/>
              <w:ind w:left="0" w:leftChars="0" w:firstLine="0" w:firstLineChars="0"/>
              <w:rPr>
                <w:rFonts w:hint="eastAsia" w:ascii="宋体" w:hAnsi="宋体"/>
                <w:color w:val="000000"/>
                <w:szCs w:val="21"/>
              </w:rPr>
            </w:pPr>
            <w:r>
              <w:rPr>
                <w:rFonts w:hint="eastAsia" w:ascii="宋体" w:hAnsi="宋体"/>
                <w:color w:val="000000"/>
                <w:szCs w:val="21"/>
              </w:rPr>
              <w:t>根据投标人提供</w:t>
            </w:r>
            <w:r>
              <w:rPr>
                <w:rFonts w:hint="eastAsia" w:ascii="宋体" w:hAnsi="宋体"/>
                <w:color w:val="000000"/>
                <w:szCs w:val="21"/>
                <w:highlight w:val="none"/>
              </w:rPr>
              <w:t>的培训计划分档打分：</w:t>
            </w:r>
            <w:r>
              <w:rPr>
                <w:rFonts w:hint="eastAsia" w:ascii="宋体" w:hAnsi="宋体"/>
                <w:color w:val="000000"/>
                <w:szCs w:val="21"/>
                <w:highlight w:val="none"/>
                <w:lang w:val="en-US" w:eastAsia="zh-CN"/>
              </w:rPr>
              <w:t>①</w:t>
            </w:r>
            <w:r>
              <w:rPr>
                <w:rFonts w:hint="eastAsia" w:ascii="宋体" w:hAnsi="宋体"/>
                <w:color w:val="000000"/>
                <w:szCs w:val="21"/>
                <w:highlight w:val="none"/>
              </w:rPr>
              <w:t>培训计划科学全面，培训流程完善得</w:t>
            </w:r>
            <w:r>
              <w:rPr>
                <w:rFonts w:hint="eastAsia" w:ascii="宋体" w:hAnsi="宋体"/>
                <w:color w:val="000000"/>
                <w:szCs w:val="21"/>
                <w:highlight w:val="none"/>
                <w:lang w:val="en-US" w:eastAsia="zh-CN"/>
              </w:rPr>
              <w:t>4-2.1</w:t>
            </w:r>
            <w:r>
              <w:rPr>
                <w:rFonts w:hint="eastAsia" w:ascii="宋体" w:hAnsi="宋体"/>
                <w:color w:val="000000"/>
                <w:szCs w:val="21"/>
                <w:highlight w:val="none"/>
              </w:rPr>
              <w:t>分</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②</w:t>
            </w:r>
            <w:r>
              <w:rPr>
                <w:rFonts w:hint="eastAsia" w:ascii="宋体" w:hAnsi="宋体"/>
                <w:color w:val="000000"/>
                <w:szCs w:val="21"/>
                <w:highlight w:val="none"/>
              </w:rPr>
              <w:t>培训计划</w:t>
            </w:r>
            <w:r>
              <w:rPr>
                <w:rFonts w:hint="eastAsia" w:ascii="宋体" w:hAnsi="宋体"/>
                <w:color w:val="000000"/>
                <w:szCs w:val="21"/>
                <w:highlight w:val="none"/>
                <w:lang w:val="en-US" w:eastAsia="zh-CN"/>
              </w:rPr>
              <w:t>一般</w:t>
            </w:r>
            <w:r>
              <w:rPr>
                <w:rFonts w:hint="eastAsia" w:ascii="宋体" w:hAnsi="宋体"/>
                <w:color w:val="000000"/>
                <w:szCs w:val="21"/>
                <w:highlight w:val="none"/>
              </w:rPr>
              <w:t>，培训流程</w:t>
            </w:r>
            <w:r>
              <w:rPr>
                <w:rFonts w:hint="eastAsia" w:ascii="宋体" w:hAnsi="宋体"/>
                <w:color w:val="000000"/>
                <w:szCs w:val="21"/>
                <w:highlight w:val="none"/>
                <w:lang w:val="en-US" w:eastAsia="zh-CN"/>
              </w:rPr>
              <w:t>相对</w:t>
            </w:r>
            <w:r>
              <w:rPr>
                <w:rFonts w:hint="eastAsia" w:ascii="宋体" w:hAnsi="宋体"/>
                <w:color w:val="000000"/>
                <w:szCs w:val="21"/>
                <w:highlight w:val="none"/>
              </w:rPr>
              <w:t>完善得</w:t>
            </w:r>
            <w:r>
              <w:rPr>
                <w:rFonts w:hint="eastAsia" w:ascii="宋体" w:hAnsi="宋体"/>
                <w:color w:val="000000"/>
                <w:szCs w:val="21"/>
                <w:highlight w:val="none"/>
                <w:lang w:val="en-US" w:eastAsia="zh-CN"/>
              </w:rPr>
              <w:t>2-</w:t>
            </w:r>
            <w:r>
              <w:rPr>
                <w:rFonts w:hint="eastAsia" w:ascii="宋体" w:hAnsi="宋体"/>
                <w:color w:val="000000"/>
                <w:szCs w:val="21"/>
                <w:highlight w:val="none"/>
              </w:rPr>
              <w:t>0分</w:t>
            </w:r>
            <w:r>
              <w:rPr>
                <w:rFonts w:hint="eastAsia" w:ascii="宋体" w:hAnsi="宋体"/>
                <w:color w:val="000000"/>
                <w:szCs w:val="21"/>
                <w:highlight w:val="none"/>
                <w:lang w:eastAsia="zh-CN"/>
              </w:rPr>
              <w:t>。</w:t>
            </w:r>
          </w:p>
        </w:tc>
        <w:tc>
          <w:tcPr>
            <w:tcW w:w="641" w:type="dxa"/>
            <w:noWrap w:val="0"/>
            <w:vAlign w:val="center"/>
          </w:tcPr>
          <w:p>
            <w:pPr>
              <w:jc w:val="center"/>
              <w:rPr>
                <w:rFonts w:ascii="宋体" w:hAnsi="宋体" w:cs="宋体"/>
                <w:color w:val="auto"/>
                <w:kern w:val="0"/>
                <w:szCs w:val="21"/>
                <w:highlight w:val="none"/>
              </w:rPr>
            </w:pPr>
            <w:r>
              <w:rPr>
                <w:rFonts w:ascii="宋体" w:hAnsi="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86" w:type="dxa"/>
            <w:vMerge w:val="continue"/>
            <w:noWrap w:val="0"/>
            <w:vAlign w:val="center"/>
          </w:tcPr>
          <w:p>
            <w:pPr>
              <w:spacing w:line="360" w:lineRule="auto"/>
              <w:jc w:val="center"/>
              <w:rPr>
                <w:b/>
                <w:color w:val="auto"/>
                <w:kern w:val="0"/>
                <w:szCs w:val="21"/>
                <w:highlight w:val="none"/>
              </w:rPr>
            </w:pPr>
          </w:p>
        </w:tc>
        <w:tc>
          <w:tcPr>
            <w:tcW w:w="709" w:type="dxa"/>
            <w:vMerge w:val="continue"/>
            <w:noWrap w:val="0"/>
            <w:vAlign w:val="center"/>
          </w:tcPr>
          <w:p>
            <w:pPr>
              <w:spacing w:line="360" w:lineRule="auto"/>
              <w:jc w:val="center"/>
              <w:rPr>
                <w:rFonts w:hint="eastAsia" w:ascii="宋体" w:hAnsi="宋体" w:cs="宋体"/>
                <w:b/>
                <w:color w:val="auto"/>
                <w:kern w:val="0"/>
                <w:szCs w:val="21"/>
                <w:highlight w:val="none"/>
              </w:rPr>
            </w:pPr>
          </w:p>
        </w:tc>
        <w:tc>
          <w:tcPr>
            <w:tcW w:w="843" w:type="dxa"/>
            <w:noWrap w:val="0"/>
            <w:vAlign w:val="center"/>
          </w:tcPr>
          <w:p>
            <w:pPr>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售后服务</w:t>
            </w:r>
          </w:p>
        </w:tc>
        <w:tc>
          <w:tcPr>
            <w:tcW w:w="5535" w:type="dxa"/>
            <w:noWrap w:val="0"/>
            <w:vAlign w:val="center"/>
          </w:tcPr>
          <w:p>
            <w:pPr>
              <w:rPr>
                <w:rFonts w:hint="eastAsia" w:eastAsia="宋体"/>
                <w:highlight w:val="green"/>
                <w:lang w:val="en-US" w:eastAsia="zh-CN"/>
              </w:rPr>
            </w:pPr>
            <w:r>
              <w:rPr>
                <w:rFonts w:hint="eastAsia" w:eastAsia="宋体"/>
                <w:highlight w:val="none"/>
                <w:lang w:val="en-US" w:eastAsia="zh-CN"/>
              </w:rPr>
              <w:t>售后</w:t>
            </w:r>
            <w:r>
              <w:rPr>
                <w:rFonts w:hint="eastAsia" w:ascii="宋体" w:hAnsi="宋体" w:eastAsia="宋体" w:cs="Times New Roman"/>
                <w:color w:val="000000"/>
                <w:kern w:val="2"/>
                <w:sz w:val="21"/>
                <w:szCs w:val="21"/>
                <w:lang w:val="en-US" w:eastAsia="zh-CN" w:bidi="ar-SA"/>
              </w:rPr>
              <w:t>响应服务方案： ①能提供7×24小时的电话响应售后服务； ②提供每年365天的专业技术支持服务，随时解答解决采购人问题； ③出现一般性故障，接到维修通知后，在半小时内电话响应，在12小时内到达现场，在6小时内修复。 方案合理且能符合采购文件要求的视为满足，满足以上三项得1分，其余不得分。</w:t>
            </w:r>
          </w:p>
        </w:tc>
        <w:tc>
          <w:tcPr>
            <w:tcW w:w="641" w:type="dxa"/>
            <w:noWrap w:val="0"/>
            <w:vAlign w:val="center"/>
          </w:tcPr>
          <w:p>
            <w:pPr>
              <w:jc w:val="center"/>
              <w:rPr>
                <w:rFonts w:ascii="宋体" w:hAnsi="宋体"/>
                <w:color w:val="auto"/>
                <w:kern w:val="0"/>
                <w:szCs w:val="21"/>
                <w:highlight w:val="none"/>
              </w:rPr>
            </w:pPr>
            <w:r>
              <w:rPr>
                <w:rFonts w:ascii="宋体" w:hAnsi="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86" w:type="dxa"/>
            <w:vMerge w:val="continue"/>
            <w:noWrap w:val="0"/>
            <w:vAlign w:val="center"/>
          </w:tcPr>
          <w:p>
            <w:pPr>
              <w:spacing w:line="360" w:lineRule="auto"/>
              <w:jc w:val="center"/>
              <w:rPr>
                <w:b/>
                <w:color w:val="auto"/>
                <w:kern w:val="0"/>
                <w:szCs w:val="21"/>
                <w:highlight w:val="none"/>
              </w:rPr>
            </w:pPr>
          </w:p>
        </w:tc>
        <w:tc>
          <w:tcPr>
            <w:tcW w:w="709" w:type="dxa"/>
            <w:vMerge w:val="continue"/>
            <w:noWrap w:val="0"/>
            <w:vAlign w:val="center"/>
          </w:tcPr>
          <w:p>
            <w:pPr>
              <w:spacing w:line="360" w:lineRule="auto"/>
              <w:jc w:val="center"/>
              <w:rPr>
                <w:rFonts w:hint="eastAsia" w:ascii="宋体" w:hAnsi="宋体" w:cs="宋体"/>
                <w:b/>
                <w:color w:val="auto"/>
                <w:kern w:val="0"/>
                <w:szCs w:val="21"/>
                <w:highlight w:val="none"/>
              </w:rPr>
            </w:pPr>
          </w:p>
        </w:tc>
        <w:tc>
          <w:tcPr>
            <w:tcW w:w="843" w:type="dxa"/>
            <w:noWrap w:val="0"/>
            <w:vAlign w:val="center"/>
          </w:tcPr>
          <w:p>
            <w:pPr>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优惠方案</w:t>
            </w:r>
          </w:p>
        </w:tc>
        <w:tc>
          <w:tcPr>
            <w:tcW w:w="5535" w:type="dxa"/>
            <w:noWrap w:val="0"/>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整体质保期三年，</w:t>
            </w:r>
            <w:r>
              <w:rPr>
                <w:rFonts w:hint="eastAsia" w:ascii="宋体" w:hAnsi="宋体"/>
                <w:color w:val="auto"/>
                <w:kern w:val="0"/>
                <w:szCs w:val="21"/>
                <w:highlight w:val="none"/>
                <w:lang w:val="en-US" w:eastAsia="zh-CN"/>
              </w:rPr>
              <w:t>每增加一年</w:t>
            </w:r>
            <w:r>
              <w:rPr>
                <w:rFonts w:hint="eastAsia" w:ascii="宋体" w:hAnsi="宋体"/>
                <w:color w:val="auto"/>
                <w:kern w:val="0"/>
                <w:szCs w:val="21"/>
                <w:highlight w:val="none"/>
              </w:rPr>
              <w:t>得1分，最高得2分。延长时间不足一年的不计入得分。</w:t>
            </w:r>
          </w:p>
        </w:tc>
        <w:tc>
          <w:tcPr>
            <w:tcW w:w="641" w:type="dxa"/>
            <w:noWrap w:val="0"/>
            <w:vAlign w:val="center"/>
          </w:tcPr>
          <w:p>
            <w:pPr>
              <w:jc w:val="center"/>
              <w:rPr>
                <w:rFonts w:ascii="宋体" w:hAnsi="宋体"/>
                <w:color w:val="auto"/>
                <w:kern w:val="0"/>
                <w:szCs w:val="21"/>
                <w:highlight w:val="none"/>
              </w:rPr>
            </w:pPr>
            <w:r>
              <w:rPr>
                <w:rFonts w:ascii="宋体" w:hAnsi="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vMerge w:val="continue"/>
            <w:noWrap w:val="0"/>
            <w:vAlign w:val="center"/>
          </w:tcPr>
          <w:p>
            <w:pPr>
              <w:spacing w:line="360" w:lineRule="auto"/>
              <w:jc w:val="center"/>
              <w:rPr>
                <w:b/>
                <w:color w:val="auto"/>
                <w:kern w:val="0"/>
                <w:szCs w:val="21"/>
                <w:highlight w:val="none"/>
              </w:rPr>
            </w:pPr>
          </w:p>
        </w:tc>
        <w:tc>
          <w:tcPr>
            <w:tcW w:w="709" w:type="dxa"/>
            <w:vMerge w:val="continue"/>
            <w:noWrap w:val="0"/>
            <w:vAlign w:val="center"/>
          </w:tcPr>
          <w:p>
            <w:pPr>
              <w:spacing w:line="360" w:lineRule="auto"/>
              <w:jc w:val="center"/>
              <w:rPr>
                <w:rFonts w:hint="eastAsia" w:ascii="宋体" w:hAnsi="宋体" w:cs="宋体"/>
                <w:b/>
                <w:color w:val="auto"/>
                <w:kern w:val="0"/>
                <w:szCs w:val="21"/>
                <w:highlight w:val="none"/>
              </w:rPr>
            </w:pPr>
          </w:p>
        </w:tc>
        <w:tc>
          <w:tcPr>
            <w:tcW w:w="843" w:type="dxa"/>
            <w:noWrap w:val="0"/>
            <w:vAlign w:val="center"/>
          </w:tcPr>
          <w:p>
            <w:pPr>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特色方案</w:t>
            </w:r>
          </w:p>
        </w:tc>
        <w:tc>
          <w:tcPr>
            <w:tcW w:w="5535" w:type="dxa"/>
            <w:noWrap w:val="0"/>
            <w:vAlign w:val="center"/>
          </w:tcPr>
          <w:p>
            <w:pPr>
              <w:rPr>
                <w:rFonts w:hint="eastAsia" w:ascii="宋体" w:hAnsi="宋体"/>
                <w:color w:val="auto"/>
                <w:kern w:val="0"/>
                <w:szCs w:val="21"/>
                <w:highlight w:val="none"/>
              </w:rPr>
            </w:pPr>
            <w:r>
              <w:rPr>
                <w:rFonts w:hint="eastAsia"/>
                <w:highlight w:val="none"/>
              </w:rPr>
              <w:t>根据</w:t>
            </w:r>
            <w:r>
              <w:rPr>
                <w:rFonts w:hint="eastAsia"/>
                <w:highlight w:val="none"/>
                <w:lang w:eastAsia="zh-CN"/>
              </w:rPr>
              <w:t>针对本项目</w:t>
            </w:r>
            <w:r>
              <w:rPr>
                <w:rFonts w:hint="eastAsia"/>
                <w:highlight w:val="none"/>
              </w:rPr>
              <w:t>提供的特色</w:t>
            </w:r>
            <w:r>
              <w:rPr>
                <w:rFonts w:hint="eastAsia" w:ascii="宋体" w:hAnsi="宋体"/>
                <w:color w:val="auto"/>
                <w:kern w:val="0"/>
                <w:szCs w:val="21"/>
                <w:highlight w:val="none"/>
              </w:rPr>
              <w:t>服务</w:t>
            </w:r>
            <w:r>
              <w:rPr>
                <w:rFonts w:hint="eastAsia" w:ascii="宋体" w:hAnsi="宋体"/>
                <w:color w:val="auto"/>
                <w:kern w:val="0"/>
                <w:szCs w:val="21"/>
                <w:highlight w:val="none"/>
                <w:lang w:eastAsia="zh-CN"/>
              </w:rPr>
              <w:t>方案</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进行</w:t>
            </w:r>
            <w:r>
              <w:rPr>
                <w:rFonts w:hint="eastAsia" w:ascii="宋体" w:hAnsi="宋体"/>
                <w:color w:val="auto"/>
                <w:kern w:val="0"/>
                <w:szCs w:val="21"/>
                <w:highlight w:val="none"/>
              </w:rPr>
              <w:t>综合打分：</w:t>
            </w:r>
          </w:p>
          <w:p>
            <w:pPr>
              <w:rPr>
                <w:rFonts w:hint="eastAsia" w:ascii="宋体" w:hAnsi="宋体"/>
                <w:color w:val="auto"/>
                <w:kern w:val="0"/>
                <w:szCs w:val="21"/>
                <w:highlight w:val="none"/>
              </w:rPr>
            </w:pPr>
            <w:r>
              <w:rPr>
                <w:rFonts w:hint="eastAsia" w:ascii="宋体" w:hAnsi="宋体"/>
                <w:color w:val="auto"/>
                <w:kern w:val="0"/>
                <w:szCs w:val="21"/>
                <w:highlight w:val="none"/>
                <w:lang w:val="en-US" w:eastAsia="zh-CN"/>
              </w:rPr>
              <w:t>特色</w:t>
            </w:r>
            <w:r>
              <w:rPr>
                <w:rFonts w:hint="eastAsia" w:ascii="宋体" w:hAnsi="宋体"/>
                <w:color w:val="auto"/>
                <w:kern w:val="0"/>
                <w:szCs w:val="21"/>
                <w:highlight w:val="none"/>
                <w:lang w:eastAsia="zh-CN"/>
              </w:rPr>
              <w:t>服务</w:t>
            </w:r>
            <w:r>
              <w:rPr>
                <w:rFonts w:hint="eastAsia" w:ascii="宋体" w:hAnsi="宋体"/>
                <w:color w:val="auto"/>
                <w:kern w:val="0"/>
                <w:szCs w:val="21"/>
                <w:highlight w:val="none"/>
              </w:rPr>
              <w:t>方案科学合理</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操作性强</w:t>
            </w:r>
            <w:r>
              <w:rPr>
                <w:rFonts w:hint="eastAsia" w:ascii="宋体" w:hAnsi="宋体"/>
                <w:color w:val="auto"/>
                <w:kern w:val="0"/>
                <w:szCs w:val="21"/>
                <w:highlight w:val="none"/>
              </w:rPr>
              <w:t>的得2</w:t>
            </w:r>
            <w:r>
              <w:rPr>
                <w:rFonts w:hint="eastAsia" w:ascii="宋体" w:hAnsi="宋体"/>
                <w:color w:val="auto"/>
                <w:kern w:val="0"/>
                <w:szCs w:val="21"/>
                <w:highlight w:val="none"/>
                <w:lang w:val="en-US" w:eastAsia="zh-CN"/>
              </w:rPr>
              <w:t>-1.1</w:t>
            </w:r>
            <w:r>
              <w:rPr>
                <w:rFonts w:hint="eastAsia" w:ascii="宋体" w:hAnsi="宋体"/>
                <w:color w:val="auto"/>
                <w:kern w:val="0"/>
                <w:szCs w:val="21"/>
                <w:highlight w:val="none"/>
              </w:rPr>
              <w:t>分；</w:t>
            </w:r>
          </w:p>
          <w:p>
            <w:pPr>
              <w:rPr>
                <w:rFonts w:hint="eastAsia"/>
                <w:b/>
                <w:bCs/>
                <w:highlight w:val="none"/>
                <w:lang w:eastAsia="zh-CN"/>
              </w:rPr>
            </w:pPr>
            <w:r>
              <w:rPr>
                <w:rFonts w:hint="eastAsia" w:ascii="宋体" w:hAnsi="宋体"/>
                <w:color w:val="auto"/>
                <w:kern w:val="0"/>
                <w:szCs w:val="21"/>
                <w:highlight w:val="none"/>
                <w:lang w:val="en-US" w:eastAsia="zh-CN"/>
              </w:rPr>
              <w:t>特色</w:t>
            </w:r>
            <w:r>
              <w:rPr>
                <w:rFonts w:hint="eastAsia" w:ascii="宋体" w:hAnsi="宋体"/>
                <w:color w:val="auto"/>
                <w:kern w:val="0"/>
                <w:szCs w:val="21"/>
                <w:highlight w:val="none"/>
                <w:lang w:eastAsia="zh-CN"/>
              </w:rPr>
              <w:t>服务</w:t>
            </w:r>
            <w:r>
              <w:rPr>
                <w:rFonts w:hint="eastAsia" w:ascii="宋体" w:hAnsi="宋体"/>
                <w:color w:val="auto"/>
                <w:kern w:val="0"/>
                <w:szCs w:val="21"/>
                <w:highlight w:val="none"/>
              </w:rPr>
              <w:t>方案</w:t>
            </w:r>
            <w:r>
              <w:rPr>
                <w:rFonts w:hint="eastAsia" w:ascii="宋体" w:hAnsi="宋体"/>
                <w:color w:val="auto"/>
                <w:kern w:val="0"/>
                <w:szCs w:val="21"/>
                <w:highlight w:val="none"/>
                <w:lang w:eastAsia="zh-CN"/>
              </w:rPr>
              <w:t>、操作性一般</w:t>
            </w:r>
            <w:r>
              <w:rPr>
                <w:rFonts w:hint="eastAsia" w:ascii="宋体" w:hAnsi="宋体"/>
                <w:color w:val="auto"/>
                <w:kern w:val="0"/>
                <w:szCs w:val="21"/>
                <w:highlight w:val="none"/>
                <w:lang w:val="en-US" w:eastAsia="zh-CN"/>
              </w:rPr>
              <w:t>的得1-0分。</w:t>
            </w:r>
          </w:p>
        </w:tc>
        <w:tc>
          <w:tcPr>
            <w:tcW w:w="641" w:type="dxa"/>
            <w:noWrap w:val="0"/>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295" w:type="dxa"/>
            <w:gridSpan w:val="2"/>
            <w:noWrap w:val="0"/>
            <w:vAlign w:val="center"/>
          </w:tcPr>
          <w:p>
            <w:pPr>
              <w:autoSpaceDE w:val="0"/>
              <w:autoSpaceDN w:val="0"/>
              <w:spacing w:line="360" w:lineRule="auto"/>
              <w:jc w:val="center"/>
              <w:rPr>
                <w:b/>
                <w:color w:val="auto"/>
                <w:kern w:val="0"/>
                <w:szCs w:val="21"/>
                <w:highlight w:val="none"/>
              </w:rPr>
            </w:pPr>
            <w:r>
              <w:rPr>
                <w:b/>
                <w:color w:val="auto"/>
                <w:kern w:val="0"/>
                <w:szCs w:val="21"/>
                <w:highlight w:val="none"/>
              </w:rPr>
              <w:t>价格</w:t>
            </w:r>
          </w:p>
          <w:p>
            <w:pPr>
              <w:autoSpaceDE w:val="0"/>
              <w:autoSpaceDN w:val="0"/>
              <w:spacing w:line="360" w:lineRule="auto"/>
              <w:jc w:val="center"/>
              <w:rPr>
                <w:b/>
                <w:color w:val="auto"/>
                <w:kern w:val="0"/>
                <w:szCs w:val="21"/>
                <w:highlight w:val="none"/>
              </w:rPr>
            </w:pPr>
            <w:r>
              <w:rPr>
                <w:rFonts w:hint="eastAsia"/>
                <w:b/>
                <w:color w:val="auto"/>
                <w:kern w:val="0"/>
                <w:szCs w:val="21"/>
                <w:highlight w:val="none"/>
              </w:rPr>
              <w:t>（30</w:t>
            </w:r>
            <w:r>
              <w:rPr>
                <w:b/>
                <w:color w:val="auto"/>
                <w:kern w:val="0"/>
                <w:szCs w:val="21"/>
                <w:highlight w:val="none"/>
              </w:rPr>
              <w:t>分</w:t>
            </w:r>
            <w:r>
              <w:rPr>
                <w:rFonts w:hint="eastAsia"/>
                <w:b/>
                <w:color w:val="auto"/>
                <w:kern w:val="0"/>
                <w:szCs w:val="21"/>
                <w:highlight w:val="none"/>
              </w:rPr>
              <w:t>）</w:t>
            </w:r>
          </w:p>
        </w:tc>
        <w:tc>
          <w:tcPr>
            <w:tcW w:w="6378" w:type="dxa"/>
            <w:gridSpan w:val="2"/>
            <w:noWrap w:val="0"/>
            <w:vAlign w:val="center"/>
          </w:tcPr>
          <w:p>
            <w:r>
              <w:rPr>
                <w:rFonts w:hint="eastAsia" w:ascii="宋体" w:hAnsi="宋体" w:cs="宋体"/>
                <w:color w:val="auto"/>
                <w:kern w:val="0"/>
                <w:sz w:val="21"/>
                <w:szCs w:val="21"/>
              </w:rPr>
              <w:t>以投标合格供应商有效投标总报价中的最低价为基准价，基准价为</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0分。投标报价得分＝（评标基准价/最终投标报价）×</w:t>
            </w:r>
            <w:r>
              <w:rPr>
                <w:rFonts w:hint="eastAsia" w:ascii="宋体" w:hAnsi="宋体" w:cs="宋体"/>
                <w:color w:val="auto"/>
                <w:kern w:val="0"/>
                <w:sz w:val="21"/>
                <w:szCs w:val="21"/>
                <w:u w:val="single"/>
                <w:lang w:val="en-US" w:eastAsia="zh-CN"/>
              </w:rPr>
              <w:t>3</w:t>
            </w:r>
            <w:r>
              <w:rPr>
                <w:rFonts w:hint="eastAsia" w:ascii="宋体" w:hAnsi="宋体" w:cs="宋体"/>
                <w:color w:val="auto"/>
                <w:kern w:val="0"/>
                <w:sz w:val="21"/>
                <w:szCs w:val="21"/>
                <w:u w:val="single"/>
              </w:rPr>
              <w:t>0%</w:t>
            </w:r>
            <w:r>
              <w:rPr>
                <w:rFonts w:hint="eastAsia" w:ascii="宋体" w:hAnsi="宋体" w:cs="宋体"/>
                <w:color w:val="auto"/>
                <w:kern w:val="0"/>
                <w:sz w:val="21"/>
                <w:szCs w:val="21"/>
              </w:rPr>
              <w:t>×100（小数点后保留2位小数）。（</w:t>
            </w:r>
            <w:r>
              <w:rPr>
                <w:rFonts w:hint="eastAsia" w:asciiTheme="minorEastAsia" w:hAnsiTheme="minorEastAsia" w:eastAsiaTheme="minorEastAsia" w:cstheme="minorEastAsia"/>
                <w:color w:val="000000" w:themeColor="text1"/>
                <w:sz w:val="21"/>
                <w:szCs w:val="21"/>
                <w14:textFill>
                  <w14:solidFill>
                    <w14:schemeClr w14:val="tx1"/>
                  </w14:solidFill>
                </w14:textFill>
              </w:rPr>
              <w:t>注：</w:t>
            </w:r>
            <w:r>
              <w:rPr>
                <w:rFonts w:hint="eastAsia" w:asciiTheme="minorEastAsia" w:hAnsiTheme="minorEastAsia" w:eastAsiaTheme="minorEastAsia" w:cstheme="minorEastAsia"/>
                <w:sz w:val="21"/>
                <w:szCs w:val="21"/>
              </w:rPr>
              <w:t>符</w:t>
            </w:r>
            <w:r>
              <w:rPr>
                <w:rFonts w:hint="eastAsia" w:asciiTheme="minorEastAsia" w:hAnsiTheme="minorEastAsia" w:eastAsiaTheme="minorEastAsia" w:cstheme="minorEastAsia"/>
                <w:sz w:val="21"/>
                <w:szCs w:val="21"/>
                <w:highlight w:val="none"/>
              </w:rPr>
              <w:t>合本章第</w:t>
            </w:r>
            <w:r>
              <w:rPr>
                <w:rFonts w:hint="eastAsia" w:asciiTheme="minorEastAsia" w:hAnsiTheme="minorEastAsia" w:eastAsiaTheme="minorEastAsia" w:cstheme="minorEastAsia"/>
                <w:sz w:val="21"/>
                <w:szCs w:val="21"/>
                <w:highlight w:val="none"/>
                <w:lang w:val="en-US" w:eastAsia="zh-CN"/>
              </w:rPr>
              <w:t>七</w:t>
            </w:r>
            <w:r>
              <w:rPr>
                <w:rFonts w:hint="eastAsia" w:asciiTheme="minorEastAsia" w:hAnsiTheme="minorEastAsia" w:eastAsiaTheme="minorEastAsia" w:cstheme="minorEastAsia"/>
                <w:sz w:val="21"/>
                <w:szCs w:val="21"/>
                <w:highlight w:val="none"/>
              </w:rPr>
              <w:t>点政府采购政策的，</w:t>
            </w:r>
            <w:r>
              <w:rPr>
                <w:rFonts w:hint="eastAsia" w:asciiTheme="minorEastAsia" w:hAnsiTheme="minorEastAsia" w:eastAsiaTheme="minorEastAsia" w:cstheme="minorEastAsia"/>
                <w:sz w:val="21"/>
                <w:szCs w:val="21"/>
                <w:highlight w:val="none"/>
                <w:lang w:val="en-US" w:eastAsia="zh-CN"/>
              </w:rPr>
              <w:t>根据对应情形，</w:t>
            </w:r>
            <w:r>
              <w:rPr>
                <w:rFonts w:hint="eastAsia" w:asciiTheme="minorEastAsia" w:hAnsiTheme="minorEastAsia" w:eastAsiaTheme="minorEastAsia" w:cstheme="minorEastAsia"/>
                <w:sz w:val="21"/>
                <w:szCs w:val="21"/>
                <w:highlight w:val="none"/>
              </w:rPr>
              <w:t>对报价给予</w:t>
            </w:r>
            <w:r>
              <w:rPr>
                <w:rFonts w:hint="eastAsia" w:asciiTheme="minorEastAsia" w:hAnsiTheme="minorEastAsia" w:eastAsiaTheme="minorEastAsia" w:cstheme="minorEastAsia"/>
                <w:sz w:val="21"/>
                <w:szCs w:val="21"/>
                <w:highlight w:val="none"/>
                <w:u w:val="single"/>
                <w:lang w:val="en-US" w:eastAsia="zh-CN"/>
              </w:rPr>
              <w:t xml:space="preserve"> 20%</w:t>
            </w:r>
            <w:r>
              <w:rPr>
                <w:rFonts w:hint="eastAsia" w:asciiTheme="minorEastAsia" w:hAnsiTheme="minorEastAsia" w:eastAsiaTheme="minorEastAsia" w:cstheme="minorEastAsia"/>
                <w:sz w:val="21"/>
                <w:szCs w:val="21"/>
                <w:highlight w:val="none"/>
                <w:u w:val="none"/>
              </w:rPr>
              <w:t xml:space="preserve"> </w:t>
            </w:r>
            <w:r>
              <w:rPr>
                <w:rFonts w:hint="eastAsia" w:asciiTheme="minorEastAsia" w:hAnsiTheme="minorEastAsia" w:eastAsiaTheme="minorEastAsia" w:cstheme="minorEastAsia"/>
                <w:sz w:val="21"/>
                <w:szCs w:val="21"/>
                <w:highlight w:val="none"/>
                <w:u w:val="none"/>
                <w:lang w:val="en-US" w:eastAsia="zh-CN"/>
              </w:rPr>
              <w:t>或</w:t>
            </w:r>
            <w:r>
              <w:rPr>
                <w:rFonts w:hint="eastAsia" w:asciiTheme="minorEastAsia" w:hAnsiTheme="minorEastAsia" w:eastAsiaTheme="minorEastAsia" w:cstheme="minorEastAsia"/>
                <w:sz w:val="21"/>
                <w:szCs w:val="21"/>
                <w:highlight w:val="none"/>
                <w:u w:val="single"/>
                <w:lang w:val="en-US" w:eastAsia="zh-CN"/>
              </w:rPr>
              <w:t xml:space="preserve"> 6%</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rPr>
              <w:t>价格扣除，用扣除后的价格参与评审。</w:t>
            </w:r>
            <w:r>
              <w:rPr>
                <w:rFonts w:hint="eastAsia" w:ascii="宋体" w:hAnsi="宋体" w:cs="宋体"/>
                <w:color w:val="auto"/>
                <w:kern w:val="0"/>
                <w:sz w:val="21"/>
                <w:szCs w:val="21"/>
              </w:rPr>
              <w:t>)</w:t>
            </w:r>
          </w:p>
        </w:tc>
        <w:tc>
          <w:tcPr>
            <w:tcW w:w="641" w:type="dxa"/>
            <w:noWrap w:val="0"/>
            <w:vAlign w:val="center"/>
          </w:tcPr>
          <w:p>
            <w:pP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30</w:t>
            </w:r>
          </w:p>
        </w:tc>
      </w:tr>
    </w:tbl>
    <w:p>
      <w:pPr>
        <w:pStyle w:val="4"/>
        <w:numPr>
          <w:ilvl w:val="0"/>
          <w:numId w:val="0"/>
        </w:numPr>
        <w:tabs>
          <w:tab w:val="clear" w:pos="8280"/>
        </w:tabs>
        <w:rPr>
          <w:rFonts w:hint="eastAsia" w:ascii="宋体" w:hAnsi="宋体" w:eastAsia="宋体"/>
          <w:bCs w:val="0"/>
          <w:color w:val="auto"/>
          <w:kern w:val="2"/>
          <w:sz w:val="24"/>
          <w:szCs w:val="24"/>
          <w:highlight w:val="none"/>
        </w:rPr>
      </w:pPr>
    </w:p>
    <w:p>
      <w:pPr>
        <w:pStyle w:val="4"/>
        <w:numPr>
          <w:ilvl w:val="0"/>
          <w:numId w:val="0"/>
        </w:numPr>
        <w:tabs>
          <w:tab w:val="clear" w:pos="8280"/>
        </w:tabs>
        <w:jc w:val="center"/>
        <w:rPr>
          <w:rFonts w:hint="eastAsia"/>
          <w:color w:val="auto"/>
          <w:sz w:val="28"/>
          <w:szCs w:val="28"/>
          <w:highlight w:val="none"/>
        </w:rPr>
      </w:pPr>
      <w:r>
        <w:rPr>
          <w:rFonts w:hint="eastAsia" w:ascii="宋体" w:hAnsi="宋体" w:eastAsia="宋体"/>
          <w:bCs w:val="0"/>
          <w:color w:val="auto"/>
          <w:kern w:val="2"/>
          <w:sz w:val="24"/>
          <w:szCs w:val="24"/>
          <w:highlight w:val="none"/>
        </w:rPr>
        <w:t>标</w:t>
      </w:r>
      <w:r>
        <w:rPr>
          <w:rFonts w:hint="eastAsia"/>
          <w:bCs w:val="0"/>
          <w:color w:val="auto"/>
          <w:kern w:val="2"/>
          <w:sz w:val="24"/>
          <w:szCs w:val="24"/>
          <w:highlight w:val="none"/>
          <w:lang w:val="en-US" w:eastAsia="zh-CN"/>
        </w:rPr>
        <w:t>项</w:t>
      </w:r>
      <w:r>
        <w:rPr>
          <w:rFonts w:hint="eastAsia" w:ascii="宋体" w:hAnsi="宋体" w:eastAsia="宋体"/>
          <w:bCs w:val="0"/>
          <w:color w:val="auto"/>
          <w:kern w:val="2"/>
          <w:sz w:val="24"/>
          <w:szCs w:val="24"/>
          <w:highlight w:val="none"/>
        </w:rPr>
        <w:t>二  直播教室LED三分屏系统建设</w:t>
      </w:r>
    </w:p>
    <w:tbl>
      <w:tblPr>
        <w:tblStyle w:val="20"/>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675"/>
        <w:gridCol w:w="845"/>
        <w:gridCol w:w="551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0" w:type="dxa"/>
            <w:noWrap w:val="0"/>
            <w:vAlign w:val="center"/>
          </w:tcPr>
          <w:p>
            <w:pPr>
              <w:adjustRightInd w:val="0"/>
              <w:spacing w:after="100" w:afterAutospacing="1"/>
              <w:jc w:val="center"/>
              <w:rPr>
                <w:rFonts w:ascii="宋体" w:hAnsi="宋体"/>
                <w:b/>
                <w:color w:val="auto"/>
                <w:szCs w:val="21"/>
                <w:highlight w:val="none"/>
              </w:rPr>
            </w:pPr>
            <w:r>
              <w:rPr>
                <w:rFonts w:hint="eastAsia" w:ascii="宋体" w:hAnsi="宋体"/>
                <w:b/>
                <w:color w:val="auto"/>
                <w:szCs w:val="21"/>
                <w:highlight w:val="none"/>
              </w:rPr>
              <w:t>序号</w:t>
            </w:r>
          </w:p>
        </w:tc>
        <w:tc>
          <w:tcPr>
            <w:tcW w:w="675" w:type="dxa"/>
            <w:noWrap w:val="0"/>
            <w:vAlign w:val="center"/>
          </w:tcPr>
          <w:p>
            <w:pPr>
              <w:adjustRightInd w:val="0"/>
              <w:spacing w:after="100" w:afterAutospacing="1"/>
              <w:jc w:val="center"/>
              <w:rPr>
                <w:rFonts w:ascii="宋体" w:hAnsi="宋体"/>
                <w:b/>
                <w:color w:val="auto"/>
                <w:szCs w:val="21"/>
                <w:highlight w:val="none"/>
              </w:rPr>
            </w:pPr>
            <w:r>
              <w:rPr>
                <w:rFonts w:hint="eastAsia" w:ascii="宋体" w:hAnsi="宋体"/>
                <w:b/>
                <w:color w:val="auto"/>
                <w:szCs w:val="21"/>
                <w:highlight w:val="none"/>
              </w:rPr>
              <w:t>评分项目</w:t>
            </w:r>
          </w:p>
        </w:tc>
        <w:tc>
          <w:tcPr>
            <w:tcW w:w="6364" w:type="dxa"/>
            <w:gridSpan w:val="2"/>
            <w:noWrap w:val="0"/>
            <w:vAlign w:val="center"/>
          </w:tcPr>
          <w:p>
            <w:pPr>
              <w:adjustRightInd w:val="0"/>
              <w:spacing w:after="100" w:afterAutospacing="1"/>
              <w:jc w:val="center"/>
              <w:rPr>
                <w:rFonts w:ascii="宋体" w:hAnsi="宋体"/>
                <w:b/>
                <w:color w:val="auto"/>
                <w:szCs w:val="21"/>
                <w:highlight w:val="none"/>
              </w:rPr>
            </w:pPr>
            <w:r>
              <w:rPr>
                <w:rFonts w:hint="eastAsia" w:ascii="宋体" w:hAnsi="宋体"/>
                <w:b/>
                <w:color w:val="auto"/>
                <w:szCs w:val="21"/>
                <w:highlight w:val="none"/>
              </w:rPr>
              <w:t>评分细则</w:t>
            </w:r>
          </w:p>
        </w:tc>
        <w:tc>
          <w:tcPr>
            <w:tcW w:w="709" w:type="dxa"/>
            <w:noWrap w:val="0"/>
            <w:vAlign w:val="center"/>
          </w:tcPr>
          <w:p>
            <w:pPr>
              <w:adjustRightInd w:val="0"/>
              <w:spacing w:after="100" w:afterAutospacing="1"/>
              <w:jc w:val="center"/>
              <w:rPr>
                <w:rFonts w:ascii="宋体" w:hAnsi="宋体"/>
                <w:b/>
                <w:color w:val="auto"/>
                <w:szCs w:val="21"/>
                <w:highlight w:val="none"/>
              </w:rPr>
            </w:pPr>
            <w:r>
              <w:rPr>
                <w:rFonts w:hint="eastAsia" w:ascii="宋体" w:hAnsi="宋体"/>
                <w:b/>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70" w:type="dxa"/>
            <w:vMerge w:val="restart"/>
            <w:noWrap w:val="0"/>
            <w:textDirection w:val="tbRlV"/>
            <w:vAlign w:val="center"/>
          </w:tcPr>
          <w:p>
            <w:pPr>
              <w:spacing w:line="360" w:lineRule="auto"/>
              <w:ind w:left="113" w:right="113"/>
              <w:jc w:val="center"/>
              <w:rPr>
                <w:b/>
                <w:color w:val="auto"/>
                <w:kern w:val="0"/>
                <w:szCs w:val="21"/>
                <w:highlight w:val="none"/>
              </w:rPr>
            </w:pPr>
            <w:r>
              <w:rPr>
                <w:b/>
                <w:color w:val="auto"/>
                <w:kern w:val="0"/>
                <w:szCs w:val="21"/>
                <w:highlight w:val="none"/>
              </w:rPr>
              <w:t>技术、商务文件（7</w:t>
            </w:r>
            <w:r>
              <w:rPr>
                <w:rFonts w:hint="eastAsia"/>
                <w:b/>
                <w:color w:val="auto"/>
                <w:kern w:val="0"/>
                <w:szCs w:val="21"/>
                <w:highlight w:val="none"/>
              </w:rPr>
              <w:t>0</w:t>
            </w:r>
            <w:r>
              <w:rPr>
                <w:b/>
                <w:color w:val="auto"/>
                <w:kern w:val="0"/>
                <w:szCs w:val="21"/>
                <w:highlight w:val="none"/>
              </w:rPr>
              <w:t>分）</w:t>
            </w:r>
          </w:p>
        </w:tc>
        <w:tc>
          <w:tcPr>
            <w:tcW w:w="675" w:type="dxa"/>
            <w:vMerge w:val="restart"/>
            <w:noWrap w:val="0"/>
            <w:vAlign w:val="center"/>
          </w:tcPr>
          <w:p>
            <w:pPr>
              <w:spacing w:line="360" w:lineRule="auto"/>
              <w:jc w:val="center"/>
              <w:rPr>
                <w:b/>
                <w:color w:val="auto"/>
                <w:kern w:val="0"/>
                <w:szCs w:val="21"/>
                <w:highlight w:val="none"/>
              </w:rPr>
            </w:pPr>
            <w:r>
              <w:rPr>
                <w:rFonts w:hint="eastAsia"/>
                <w:b/>
                <w:color w:val="auto"/>
                <w:kern w:val="0"/>
                <w:szCs w:val="21"/>
                <w:highlight w:val="none"/>
              </w:rPr>
              <w:t>产品</w:t>
            </w:r>
            <w:r>
              <w:rPr>
                <w:b/>
                <w:color w:val="auto"/>
                <w:kern w:val="0"/>
                <w:szCs w:val="21"/>
                <w:highlight w:val="none"/>
              </w:rPr>
              <w:t>技术性能</w:t>
            </w:r>
            <w:r>
              <w:rPr>
                <w:b/>
                <w:color w:val="auto"/>
                <w:kern w:val="0"/>
                <w:szCs w:val="21"/>
                <w:highlight w:val="none"/>
              </w:rPr>
              <w:br w:type="textWrapping"/>
            </w:r>
            <w:r>
              <w:rPr>
                <w:b/>
                <w:color w:val="auto"/>
                <w:kern w:val="0"/>
                <w:szCs w:val="21"/>
                <w:highlight w:val="none"/>
              </w:rPr>
              <w:t>（</w:t>
            </w:r>
            <w:r>
              <w:rPr>
                <w:rFonts w:hint="eastAsia"/>
                <w:b/>
                <w:color w:val="auto"/>
                <w:kern w:val="0"/>
                <w:szCs w:val="21"/>
                <w:highlight w:val="none"/>
                <w:lang w:val="en-US" w:eastAsia="zh-CN"/>
              </w:rPr>
              <w:t>53</w:t>
            </w:r>
            <w:r>
              <w:rPr>
                <w:b/>
                <w:color w:val="auto"/>
                <w:kern w:val="0"/>
                <w:szCs w:val="21"/>
                <w:highlight w:val="none"/>
              </w:rPr>
              <w:t>分）</w:t>
            </w:r>
          </w:p>
        </w:tc>
        <w:tc>
          <w:tcPr>
            <w:tcW w:w="845"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lang w:val="en-US" w:eastAsia="zh-CN"/>
              </w:rPr>
              <w:t>性能指标</w:t>
            </w:r>
          </w:p>
        </w:tc>
        <w:tc>
          <w:tcPr>
            <w:tcW w:w="5519" w:type="dxa"/>
            <w:noWrap w:val="0"/>
            <w:vAlign w:val="center"/>
          </w:tcPr>
          <w:p>
            <w:pPr>
              <w:rPr>
                <w:rFonts w:hint="eastAsia" w:ascii="宋体" w:hAnsi="宋体"/>
                <w:color w:val="auto"/>
                <w:kern w:val="0"/>
                <w:szCs w:val="21"/>
                <w:highlight w:val="none"/>
              </w:rPr>
            </w:pPr>
            <w:r>
              <w:rPr>
                <w:rFonts w:hint="eastAsia" w:ascii="宋体" w:hAnsi="宋体"/>
                <w:color w:val="auto"/>
                <w:kern w:val="0"/>
                <w:szCs w:val="21"/>
                <w:highlight w:val="none"/>
              </w:rPr>
              <w:t>根据软、硬件产品配置选型、技术参数性能符合招标文件的响应程度评定。具体为：技术参数性能完全符合或优于采购文件要求得20分；带★项</w:t>
            </w:r>
            <w:r>
              <w:rPr>
                <w:rFonts w:hint="eastAsia" w:ascii="宋体" w:hAnsi="宋体"/>
                <w:color w:val="auto"/>
                <w:kern w:val="0"/>
                <w:szCs w:val="21"/>
                <w:highlight w:val="none"/>
                <w:lang w:eastAsia="zh-Hans"/>
              </w:rPr>
              <w:t>每有一</w:t>
            </w:r>
            <w:r>
              <w:rPr>
                <w:rFonts w:hint="eastAsia" w:ascii="宋体" w:hAnsi="宋体"/>
                <w:color w:val="auto"/>
                <w:kern w:val="0"/>
                <w:szCs w:val="21"/>
                <w:highlight w:val="none"/>
              </w:rPr>
              <w:t>项负偏离扣1分，其他负偏离每有一项扣0.5分。</w:t>
            </w:r>
          </w:p>
        </w:tc>
        <w:tc>
          <w:tcPr>
            <w:tcW w:w="709" w:type="dxa"/>
            <w:noWrap w:val="0"/>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70" w:type="dxa"/>
            <w:vMerge w:val="continue"/>
            <w:noWrap w:val="0"/>
            <w:textDirection w:val="tbRlV"/>
            <w:vAlign w:val="center"/>
          </w:tcPr>
          <w:p>
            <w:pPr>
              <w:spacing w:line="360" w:lineRule="auto"/>
              <w:ind w:left="113" w:right="113"/>
              <w:jc w:val="center"/>
              <w:rPr>
                <w:b/>
                <w:color w:val="auto"/>
                <w:kern w:val="0"/>
                <w:szCs w:val="21"/>
                <w:highlight w:val="none"/>
              </w:rPr>
            </w:pPr>
          </w:p>
        </w:tc>
        <w:tc>
          <w:tcPr>
            <w:tcW w:w="675" w:type="dxa"/>
            <w:vMerge w:val="continue"/>
            <w:noWrap w:val="0"/>
            <w:vAlign w:val="center"/>
          </w:tcPr>
          <w:p>
            <w:pPr>
              <w:spacing w:line="360" w:lineRule="auto"/>
              <w:jc w:val="center"/>
              <w:rPr>
                <w:b/>
                <w:color w:val="auto"/>
                <w:kern w:val="0"/>
                <w:szCs w:val="21"/>
                <w:highlight w:val="none"/>
              </w:rPr>
            </w:pPr>
          </w:p>
        </w:tc>
        <w:tc>
          <w:tcPr>
            <w:tcW w:w="845" w:type="dxa"/>
            <w:noWrap w:val="0"/>
            <w:vAlign w:val="center"/>
          </w:tcPr>
          <w:p>
            <w:pPr>
              <w:adjustRightInd w:val="0"/>
              <w:snapToGrid w:val="0"/>
              <w:jc w:val="center"/>
              <w:rPr>
                <w:rFonts w:hint="eastAsia" w:ascii="宋体" w:hAnsi="宋体"/>
                <w:color w:val="auto"/>
                <w:szCs w:val="21"/>
                <w:highlight w:val="none"/>
              </w:rPr>
            </w:pPr>
            <w:r>
              <w:rPr>
                <w:rFonts w:hint="eastAsia"/>
                <w:color w:val="auto"/>
                <w:highlight w:val="none"/>
              </w:rPr>
              <w:t>整体方案</w:t>
            </w:r>
          </w:p>
        </w:tc>
        <w:tc>
          <w:tcPr>
            <w:tcW w:w="5519" w:type="dxa"/>
            <w:noWrap w:val="0"/>
            <w:vAlign w:val="center"/>
          </w:tcPr>
          <w:p>
            <w:pPr>
              <w:spacing w:line="240" w:lineRule="auto"/>
              <w:jc w:val="left"/>
              <w:rPr>
                <w:rFonts w:ascii="宋体" w:hAnsi="宋体" w:eastAsia="宋体"/>
                <w:color w:val="000000"/>
                <w:szCs w:val="21"/>
                <w:highlight w:val="none"/>
              </w:rPr>
            </w:pPr>
            <w:r>
              <w:rPr>
                <w:rFonts w:hint="eastAsia" w:ascii="宋体" w:hAnsi="宋体" w:eastAsia="宋体"/>
                <w:color w:val="000000"/>
                <w:szCs w:val="21"/>
                <w:highlight w:val="none"/>
              </w:rPr>
              <w:t>根据投标人对采购招标方案需求的理解提供的项目总体思路，系统构架，设计方案，</w:t>
            </w:r>
            <w:r>
              <w:rPr>
                <w:rFonts w:hint="eastAsia" w:ascii="宋体" w:hAnsi="宋体"/>
                <w:color w:val="000000"/>
                <w:szCs w:val="21"/>
                <w:highlight w:val="none"/>
                <w:lang w:val="en-US" w:eastAsia="zh-CN"/>
              </w:rPr>
              <w:t>根据方案的成熟度、科学性和可靠性进行综合评分</w:t>
            </w:r>
            <w:r>
              <w:rPr>
                <w:rFonts w:hint="eastAsia" w:ascii="宋体" w:hAnsi="宋体" w:eastAsia="宋体"/>
                <w:color w:val="000000"/>
                <w:szCs w:val="21"/>
                <w:highlight w:val="none"/>
              </w:rPr>
              <w:t>：</w:t>
            </w:r>
          </w:p>
          <w:p>
            <w:pPr>
              <w:spacing w:line="240" w:lineRule="auto"/>
              <w:jc w:val="left"/>
              <w:rPr>
                <w:rFonts w:hint="eastAsia" w:ascii="宋体" w:hAnsi="宋体" w:eastAsia="宋体"/>
                <w:szCs w:val="21"/>
                <w:highlight w:val="none"/>
                <w:lang w:eastAsia="zh-CN"/>
              </w:rPr>
            </w:pPr>
            <w:r>
              <w:rPr>
                <w:rFonts w:hint="eastAsia" w:ascii="宋体" w:hAnsi="宋体"/>
                <w:color w:val="000000"/>
                <w:szCs w:val="21"/>
                <w:highlight w:val="none"/>
                <w:lang w:val="en-US" w:eastAsia="zh-CN"/>
              </w:rPr>
              <w:t>①对</w:t>
            </w:r>
            <w:r>
              <w:rPr>
                <w:rFonts w:hint="eastAsia" w:ascii="宋体" w:hAnsi="宋体" w:eastAsia="宋体"/>
                <w:color w:val="000000"/>
                <w:szCs w:val="21"/>
                <w:highlight w:val="none"/>
              </w:rPr>
              <w:t>招标方案需求了解深入，项目总体思路清晰，设计方案合理</w:t>
            </w:r>
            <w:r>
              <w:rPr>
                <w:rFonts w:hint="eastAsia" w:ascii="宋体" w:hAnsi="宋体" w:eastAsia="宋体"/>
                <w:szCs w:val="21"/>
                <w:highlight w:val="none"/>
              </w:rPr>
              <w:t>得</w:t>
            </w:r>
            <w:r>
              <w:rPr>
                <w:rFonts w:hint="eastAsia" w:ascii="宋体" w:hAnsi="宋体" w:eastAsia="宋体"/>
                <w:szCs w:val="21"/>
                <w:highlight w:val="none"/>
                <w:lang w:val="en-US" w:eastAsia="zh-CN"/>
              </w:rPr>
              <w:t>8</w:t>
            </w:r>
            <w:r>
              <w:rPr>
                <w:rFonts w:hint="eastAsia" w:ascii="宋体" w:hAnsi="宋体" w:eastAsia="宋体"/>
                <w:szCs w:val="21"/>
                <w:highlight w:val="none"/>
              </w:rPr>
              <w:t>-</w:t>
            </w:r>
            <w:r>
              <w:rPr>
                <w:rFonts w:hint="eastAsia" w:ascii="宋体" w:hAnsi="宋体" w:eastAsia="宋体"/>
                <w:szCs w:val="21"/>
                <w:highlight w:val="none"/>
                <w:lang w:val="en-US" w:eastAsia="zh-CN"/>
              </w:rPr>
              <w:t>6.1</w:t>
            </w:r>
            <w:r>
              <w:rPr>
                <w:rFonts w:hint="eastAsia" w:ascii="宋体" w:hAnsi="宋体" w:eastAsia="宋体"/>
                <w:szCs w:val="21"/>
                <w:highlight w:val="none"/>
              </w:rPr>
              <w:t>分</w:t>
            </w:r>
            <w:r>
              <w:rPr>
                <w:rFonts w:hint="eastAsia" w:ascii="宋体" w:hAnsi="宋体"/>
                <w:szCs w:val="21"/>
                <w:highlight w:val="none"/>
                <w:lang w:eastAsia="zh-CN"/>
              </w:rPr>
              <w:t>；</w:t>
            </w:r>
          </w:p>
          <w:p>
            <w:pPr>
              <w:spacing w:line="240" w:lineRule="auto"/>
              <w:jc w:val="left"/>
              <w:rPr>
                <w:rFonts w:hint="eastAsia" w:ascii="宋体" w:hAnsi="宋体" w:eastAsia="宋体"/>
                <w:szCs w:val="21"/>
                <w:highlight w:val="none"/>
                <w:lang w:eastAsia="zh-CN"/>
              </w:rPr>
            </w:pPr>
            <w:r>
              <w:rPr>
                <w:rFonts w:hint="eastAsia" w:ascii="宋体" w:hAnsi="宋体"/>
                <w:color w:val="000000"/>
                <w:szCs w:val="21"/>
                <w:highlight w:val="none"/>
                <w:lang w:val="en-US" w:eastAsia="zh-CN"/>
              </w:rPr>
              <w:t>②</w:t>
            </w:r>
            <w:r>
              <w:rPr>
                <w:rFonts w:hint="eastAsia" w:ascii="宋体" w:hAnsi="宋体" w:eastAsia="宋体"/>
                <w:color w:val="000000"/>
                <w:szCs w:val="21"/>
                <w:highlight w:val="none"/>
                <w:lang w:val="en-US" w:eastAsia="zh-CN"/>
              </w:rPr>
              <w:t>对</w:t>
            </w:r>
            <w:r>
              <w:rPr>
                <w:rFonts w:hint="eastAsia" w:ascii="宋体" w:hAnsi="宋体" w:eastAsia="宋体"/>
                <w:color w:val="000000"/>
                <w:szCs w:val="21"/>
                <w:highlight w:val="none"/>
              </w:rPr>
              <w:t>招标方案需求了解较深入，项目总体思路较清晰，设计方案较合理得</w:t>
            </w:r>
            <w:r>
              <w:rPr>
                <w:rFonts w:hint="eastAsia" w:ascii="宋体" w:hAnsi="宋体" w:eastAsia="宋体"/>
                <w:szCs w:val="21"/>
                <w:highlight w:val="none"/>
                <w:lang w:val="en-US" w:eastAsia="zh-CN"/>
              </w:rPr>
              <w:t>6</w:t>
            </w:r>
            <w:r>
              <w:rPr>
                <w:rFonts w:hint="eastAsia" w:ascii="宋体" w:hAnsi="宋体" w:eastAsia="宋体"/>
                <w:szCs w:val="21"/>
                <w:highlight w:val="none"/>
              </w:rPr>
              <w:t>-3</w:t>
            </w:r>
            <w:r>
              <w:rPr>
                <w:rFonts w:hint="eastAsia" w:ascii="宋体" w:hAnsi="宋体" w:eastAsia="宋体"/>
                <w:szCs w:val="21"/>
                <w:highlight w:val="none"/>
                <w:lang w:val="en-US" w:eastAsia="zh-CN"/>
              </w:rPr>
              <w:t>.1</w:t>
            </w:r>
            <w:r>
              <w:rPr>
                <w:rFonts w:hint="eastAsia" w:ascii="宋体" w:hAnsi="宋体" w:eastAsia="宋体"/>
                <w:szCs w:val="21"/>
                <w:highlight w:val="none"/>
              </w:rPr>
              <w:t>分</w:t>
            </w:r>
            <w:r>
              <w:rPr>
                <w:rFonts w:hint="eastAsia" w:ascii="宋体" w:hAnsi="宋体"/>
                <w:szCs w:val="21"/>
                <w:highlight w:val="none"/>
                <w:lang w:eastAsia="zh-CN"/>
              </w:rPr>
              <w:t>；</w:t>
            </w:r>
          </w:p>
          <w:p>
            <w:pPr>
              <w:adjustRightInd w:val="0"/>
              <w:snapToGrid w:val="0"/>
              <w:rPr>
                <w:rFonts w:hint="eastAsia" w:ascii="宋体" w:hAnsi="宋体"/>
                <w:color w:val="auto"/>
                <w:szCs w:val="21"/>
                <w:highlight w:val="none"/>
              </w:rPr>
            </w:pPr>
            <w:r>
              <w:rPr>
                <w:rFonts w:hint="eastAsia" w:ascii="宋体" w:hAnsi="宋体"/>
                <w:color w:val="000000"/>
                <w:szCs w:val="21"/>
                <w:highlight w:val="none"/>
                <w:lang w:val="en-US" w:eastAsia="zh-CN"/>
              </w:rPr>
              <w:t>③</w:t>
            </w:r>
            <w:r>
              <w:rPr>
                <w:rFonts w:hint="eastAsia" w:ascii="宋体" w:hAnsi="宋体" w:eastAsia="宋体"/>
                <w:color w:val="000000"/>
                <w:szCs w:val="21"/>
                <w:highlight w:val="none"/>
                <w:lang w:val="en-US" w:eastAsia="zh-CN"/>
              </w:rPr>
              <w:t>对</w:t>
            </w:r>
            <w:r>
              <w:rPr>
                <w:rFonts w:hint="eastAsia" w:ascii="宋体" w:hAnsi="宋体" w:eastAsia="宋体"/>
                <w:color w:val="000000"/>
                <w:szCs w:val="21"/>
                <w:highlight w:val="none"/>
              </w:rPr>
              <w:t>招标方案需求了解一般，项目总体思路一般，设计方案一般</w:t>
            </w:r>
            <w:r>
              <w:rPr>
                <w:rFonts w:hint="eastAsia" w:ascii="宋体" w:hAnsi="宋体" w:eastAsia="宋体"/>
                <w:szCs w:val="21"/>
                <w:highlight w:val="none"/>
              </w:rPr>
              <w:t>3-</w:t>
            </w:r>
            <w:r>
              <w:rPr>
                <w:rFonts w:ascii="宋体" w:hAnsi="宋体" w:eastAsia="宋体"/>
                <w:szCs w:val="21"/>
                <w:highlight w:val="none"/>
              </w:rPr>
              <w:t>0</w:t>
            </w:r>
            <w:r>
              <w:rPr>
                <w:rFonts w:hint="eastAsia" w:ascii="宋体" w:hAnsi="宋体" w:eastAsia="宋体"/>
                <w:szCs w:val="21"/>
                <w:highlight w:val="none"/>
              </w:rPr>
              <w:t>分。</w:t>
            </w:r>
          </w:p>
        </w:tc>
        <w:tc>
          <w:tcPr>
            <w:tcW w:w="709" w:type="dxa"/>
            <w:noWrap w:val="0"/>
            <w:vAlign w:val="center"/>
          </w:tcPr>
          <w:p>
            <w:pPr>
              <w:widowControl/>
              <w:jc w:val="center"/>
              <w:rPr>
                <w:rFonts w:hint="eastAsia" w:ascii="宋体" w:hAnsi="宋体" w:cs="宋体"/>
                <w:color w:val="auto"/>
                <w:szCs w:val="21"/>
                <w:highlight w:val="none"/>
              </w:rPr>
            </w:pPr>
            <w:r>
              <w:rPr>
                <w:rFonts w:hint="eastAsia" w:ascii="宋体" w:hAnsi="宋体" w:cs="宋体"/>
                <w:color w:val="auto"/>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70" w:type="dxa"/>
            <w:vMerge w:val="continue"/>
            <w:noWrap w:val="0"/>
            <w:textDirection w:val="tbRlV"/>
            <w:vAlign w:val="center"/>
          </w:tcPr>
          <w:p>
            <w:pPr>
              <w:spacing w:line="360" w:lineRule="auto"/>
              <w:ind w:left="113" w:right="113"/>
              <w:jc w:val="center"/>
              <w:rPr>
                <w:b/>
                <w:color w:val="auto"/>
                <w:kern w:val="0"/>
                <w:szCs w:val="21"/>
                <w:highlight w:val="none"/>
              </w:rPr>
            </w:pPr>
          </w:p>
        </w:tc>
        <w:tc>
          <w:tcPr>
            <w:tcW w:w="675" w:type="dxa"/>
            <w:vMerge w:val="continue"/>
            <w:noWrap w:val="0"/>
            <w:vAlign w:val="center"/>
          </w:tcPr>
          <w:p>
            <w:pPr>
              <w:spacing w:line="360" w:lineRule="auto"/>
              <w:jc w:val="center"/>
              <w:rPr>
                <w:b/>
                <w:color w:val="auto"/>
                <w:kern w:val="0"/>
                <w:szCs w:val="21"/>
                <w:highlight w:val="none"/>
              </w:rPr>
            </w:pPr>
          </w:p>
        </w:tc>
        <w:tc>
          <w:tcPr>
            <w:tcW w:w="845" w:type="dxa"/>
            <w:noWrap w:val="0"/>
            <w:vAlign w:val="center"/>
          </w:tcPr>
          <w:p>
            <w:pPr>
              <w:adjustRightInd w:val="0"/>
              <w:snapToGrid w:val="0"/>
              <w:jc w:val="center"/>
              <w:rPr>
                <w:rFonts w:hint="eastAsia"/>
                <w:color w:val="auto"/>
                <w:highlight w:val="none"/>
              </w:rPr>
            </w:pPr>
            <w:r>
              <w:rPr>
                <w:rFonts w:hint="eastAsia"/>
                <w:color w:val="auto"/>
                <w:highlight w:val="none"/>
              </w:rPr>
              <w:t>项目实施</w:t>
            </w:r>
          </w:p>
        </w:tc>
        <w:tc>
          <w:tcPr>
            <w:tcW w:w="5519" w:type="dxa"/>
            <w:noWrap w:val="0"/>
            <w:vAlign w:val="center"/>
          </w:tcPr>
          <w:p>
            <w:pPr>
              <w:pStyle w:val="8"/>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根据本项目特点制定的实施组织方案</w:t>
            </w:r>
            <w:r>
              <w:rPr>
                <w:rFonts w:hint="eastAsia"/>
                <w:highlight w:val="none"/>
              </w:rPr>
              <w:t>（包括质量保证措施、进度</w:t>
            </w:r>
            <w:r>
              <w:rPr>
                <w:rFonts w:hint="eastAsia"/>
                <w:highlight w:val="none"/>
                <w:lang w:val="en-US" w:eastAsia="zh-CN"/>
              </w:rPr>
              <w:t>计划</w:t>
            </w:r>
            <w:r>
              <w:rPr>
                <w:rFonts w:hint="eastAsia"/>
                <w:highlight w:val="none"/>
              </w:rPr>
              <w:t>保证措施、安全文明施工保证措施、环境保证措施等</w:t>
            </w:r>
            <w:r>
              <w:rPr>
                <w:rFonts w:hint="eastAsia"/>
                <w:highlight w:val="none"/>
                <w:lang w:eastAsia="zh-CN"/>
              </w:rPr>
              <w:t>）</w:t>
            </w:r>
            <w:r>
              <w:rPr>
                <w:rFonts w:hint="eastAsia"/>
                <w:highlight w:val="none"/>
                <w:lang w:val="en-US" w:eastAsia="zh-CN"/>
              </w:rPr>
              <w:t>的科学性、合理性</w:t>
            </w:r>
            <w:r>
              <w:rPr>
                <w:rFonts w:hint="eastAsia" w:ascii="宋体" w:hAnsi="宋体" w:eastAsia="宋体" w:cs="宋体"/>
                <w:highlight w:val="none"/>
                <w:lang w:val="en-US" w:eastAsia="zh-CN"/>
              </w:rPr>
              <w:t>进行综合打分：</w:t>
            </w:r>
          </w:p>
          <w:p>
            <w:pPr>
              <w:spacing w:line="240" w:lineRule="auto"/>
              <w:jc w:val="left"/>
              <w:rPr>
                <w:rFonts w:hint="eastAsia" w:ascii="宋体" w:hAnsi="宋体" w:eastAsia="宋体" w:cs="宋体"/>
                <w:szCs w:val="21"/>
                <w:lang w:val="en-US" w:eastAsia="zh-CN"/>
              </w:rPr>
            </w:pPr>
            <w:r>
              <w:rPr>
                <w:rFonts w:hint="eastAsia" w:ascii="宋体" w:hAnsi="宋体" w:eastAsia="宋体" w:cs="宋体"/>
                <w:szCs w:val="21"/>
                <w:highlight w:val="none"/>
                <w:lang w:val="en-US" w:eastAsia="zh-CN"/>
              </w:rPr>
              <w:t>①方案详实</w:t>
            </w:r>
            <w:r>
              <w:rPr>
                <w:rFonts w:hint="eastAsia" w:ascii="宋体" w:hAnsi="宋体" w:eastAsia="宋体" w:cs="宋体"/>
                <w:szCs w:val="21"/>
                <w:lang w:val="en-US" w:eastAsia="zh-CN"/>
              </w:rPr>
              <w:t>、</w:t>
            </w:r>
            <w:r>
              <w:rPr>
                <w:rFonts w:hint="eastAsia" w:ascii="宋体" w:hAnsi="宋体" w:eastAsia="宋体" w:cs="宋体"/>
                <w:color w:val="000000" w:themeColor="text1"/>
                <w:kern w:val="0"/>
                <w:szCs w:val="21"/>
                <w:lang w:eastAsia="zh-CN"/>
                <w14:textFill>
                  <w14:solidFill>
                    <w14:schemeClr w14:val="tx1"/>
                  </w14:solidFill>
                </w14:textFill>
              </w:rPr>
              <w:t>内容完整、操作性强</w:t>
            </w:r>
            <w:r>
              <w:rPr>
                <w:rFonts w:hint="eastAsia" w:ascii="宋体" w:hAnsi="宋体" w:eastAsia="宋体" w:cs="宋体"/>
                <w:szCs w:val="21"/>
                <w:lang w:val="en-US" w:eastAsia="zh-CN"/>
              </w:rPr>
              <w:t>的得5-3.1分；</w:t>
            </w:r>
          </w:p>
          <w:p>
            <w:pPr>
              <w:spacing w:line="24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②方案合理、</w:t>
            </w:r>
            <w:r>
              <w:rPr>
                <w:rFonts w:hint="eastAsia" w:ascii="宋体" w:hAnsi="宋体" w:eastAsia="宋体" w:cs="宋体"/>
                <w:color w:val="000000" w:themeColor="text1"/>
                <w:kern w:val="0"/>
                <w:szCs w:val="21"/>
                <w:lang w:eastAsia="zh-CN"/>
                <w14:textFill>
                  <w14:solidFill>
                    <w14:schemeClr w14:val="tx1"/>
                  </w14:solidFill>
                </w14:textFill>
              </w:rPr>
              <w:t>内容常规、操作性一般</w:t>
            </w:r>
            <w:r>
              <w:rPr>
                <w:rFonts w:hint="eastAsia" w:ascii="宋体" w:hAnsi="宋体" w:eastAsia="宋体" w:cs="宋体"/>
                <w:szCs w:val="21"/>
                <w:lang w:val="en-US" w:eastAsia="zh-CN"/>
              </w:rPr>
              <w:t>的得3-1.1分；</w:t>
            </w:r>
          </w:p>
          <w:p>
            <w:pPr>
              <w:rPr>
                <w:rFonts w:hint="eastAsia"/>
                <w:color w:val="auto"/>
                <w:highlight w:val="none"/>
              </w:rPr>
            </w:pPr>
            <w:r>
              <w:rPr>
                <w:rFonts w:hint="eastAsia" w:ascii="宋体" w:hAnsi="宋体" w:eastAsia="宋体" w:cs="宋体"/>
                <w:szCs w:val="21"/>
                <w:lang w:val="en-US" w:eastAsia="zh-CN"/>
              </w:rPr>
              <w:t>③方案粗糙、</w:t>
            </w:r>
            <w:r>
              <w:rPr>
                <w:rFonts w:hint="eastAsia" w:ascii="宋体" w:hAnsi="宋体" w:eastAsia="宋体" w:cs="宋体"/>
                <w:color w:val="000000" w:themeColor="text1"/>
                <w:kern w:val="0"/>
                <w:szCs w:val="21"/>
                <w:lang w:eastAsia="zh-CN"/>
                <w14:textFill>
                  <w14:solidFill>
                    <w14:schemeClr w14:val="tx1"/>
                  </w14:solidFill>
                </w14:textFill>
              </w:rPr>
              <w:t>内容缺漏、操作性差</w:t>
            </w:r>
            <w:r>
              <w:rPr>
                <w:rFonts w:hint="eastAsia" w:ascii="宋体" w:hAnsi="宋体" w:eastAsia="宋体" w:cs="宋体"/>
                <w:szCs w:val="21"/>
                <w:lang w:val="en-US" w:eastAsia="zh-CN"/>
              </w:rPr>
              <w:t>的得1-0分。</w:t>
            </w:r>
          </w:p>
        </w:tc>
        <w:tc>
          <w:tcPr>
            <w:tcW w:w="709" w:type="dxa"/>
            <w:noWrap w:val="0"/>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670" w:type="dxa"/>
            <w:vMerge w:val="continue"/>
            <w:noWrap w:val="0"/>
            <w:textDirection w:val="tbRlV"/>
            <w:vAlign w:val="center"/>
          </w:tcPr>
          <w:p>
            <w:pPr>
              <w:spacing w:line="360" w:lineRule="auto"/>
              <w:ind w:left="113" w:right="113"/>
              <w:jc w:val="center"/>
              <w:rPr>
                <w:b/>
                <w:color w:val="auto"/>
                <w:kern w:val="0"/>
                <w:szCs w:val="21"/>
                <w:highlight w:val="none"/>
              </w:rPr>
            </w:pPr>
          </w:p>
        </w:tc>
        <w:tc>
          <w:tcPr>
            <w:tcW w:w="675" w:type="dxa"/>
            <w:vMerge w:val="continue"/>
            <w:noWrap w:val="0"/>
            <w:vAlign w:val="center"/>
          </w:tcPr>
          <w:p>
            <w:pPr>
              <w:spacing w:line="360" w:lineRule="auto"/>
              <w:jc w:val="center"/>
              <w:rPr>
                <w:b/>
                <w:color w:val="auto"/>
                <w:kern w:val="0"/>
                <w:szCs w:val="21"/>
                <w:highlight w:val="none"/>
              </w:rPr>
            </w:pPr>
          </w:p>
        </w:tc>
        <w:tc>
          <w:tcPr>
            <w:tcW w:w="845" w:type="dxa"/>
            <w:vMerge w:val="restart"/>
            <w:noWrap w:val="0"/>
            <w:vAlign w:val="center"/>
          </w:tcPr>
          <w:p>
            <w:pPr>
              <w:adjustRightInd w:val="0"/>
              <w:snapToGrid w:val="0"/>
              <w:jc w:val="center"/>
              <w:rPr>
                <w:rFonts w:hint="eastAsia"/>
                <w:color w:val="auto"/>
                <w:highlight w:val="none"/>
              </w:rPr>
            </w:pPr>
            <w:r>
              <w:rPr>
                <w:rFonts w:hint="eastAsia"/>
                <w:color w:val="auto"/>
                <w:highlight w:val="none"/>
              </w:rPr>
              <w:t>功能演示</w:t>
            </w:r>
          </w:p>
        </w:tc>
        <w:tc>
          <w:tcPr>
            <w:tcW w:w="5519" w:type="dxa"/>
            <w:noWrap w:val="0"/>
            <w:vAlign w:val="center"/>
          </w:tcPr>
          <w:p>
            <w:pPr>
              <w:rPr>
                <w:rFonts w:hint="eastAsia" w:eastAsia="宋体"/>
                <w:color w:val="auto"/>
                <w:highlight w:val="none"/>
                <w:lang w:eastAsia="zh-CN"/>
              </w:rPr>
            </w:pPr>
            <w:r>
              <w:rPr>
                <w:rFonts w:hint="eastAsia" w:ascii="宋体" w:hAnsi="宋体" w:cs="宋体"/>
                <w:color w:val="auto"/>
                <w:szCs w:val="21"/>
                <w:highlight w:val="none"/>
              </w:rPr>
              <w:t>投标人应于同类LED三分屏系统项目中，采用</w:t>
            </w:r>
            <w:r>
              <w:rPr>
                <w:rFonts w:hint="eastAsia" w:ascii="宋体" w:hAnsi="宋体" w:cs="宋体"/>
                <w:color w:val="auto"/>
                <w:szCs w:val="21"/>
                <w:highlight w:val="none"/>
                <w:lang w:val="en-US" w:eastAsia="zh-CN"/>
              </w:rPr>
              <w:t>在线演示讲解</w:t>
            </w:r>
            <w:r>
              <w:rPr>
                <w:color w:val="auto"/>
                <w:highlight w:val="none"/>
                <w:lang w:eastAsia="zh-Hans"/>
              </w:rPr>
              <w:t>，</w:t>
            </w:r>
            <w:r>
              <w:rPr>
                <w:rFonts w:hint="eastAsia"/>
                <w:color w:val="auto"/>
                <w:highlight w:val="none"/>
                <w:lang w:eastAsia="zh-Hans"/>
              </w:rPr>
              <w:t>相关演示内容能完整在</w:t>
            </w:r>
            <w:r>
              <w:rPr>
                <w:rFonts w:hint="eastAsia"/>
                <w:color w:val="auto"/>
                <w:highlight w:val="none"/>
              </w:rPr>
              <w:t>LED三分屏系统</w:t>
            </w:r>
            <w:r>
              <w:rPr>
                <w:rFonts w:hint="eastAsia"/>
                <w:color w:val="auto"/>
                <w:highlight w:val="none"/>
                <w:lang w:eastAsia="zh-Hans"/>
              </w:rPr>
              <w:t>进行展示</w:t>
            </w:r>
            <w:r>
              <w:rPr>
                <w:color w:val="auto"/>
                <w:highlight w:val="none"/>
                <w:lang w:eastAsia="zh-Hans"/>
              </w:rPr>
              <w:t>，</w:t>
            </w:r>
            <w:r>
              <w:rPr>
                <w:rFonts w:hint="eastAsia"/>
                <w:color w:val="auto"/>
                <w:highlight w:val="none"/>
                <w:lang w:val="en-US" w:eastAsia="zh-CN"/>
              </w:rPr>
              <w:t>演示</w:t>
            </w:r>
            <w:r>
              <w:rPr>
                <w:rFonts w:hint="eastAsia"/>
                <w:color w:val="auto"/>
                <w:highlight w:val="none"/>
                <w:lang w:eastAsia="zh-Hans"/>
              </w:rPr>
              <w:t>时长不超过</w:t>
            </w:r>
            <w:r>
              <w:rPr>
                <w:rFonts w:hint="eastAsia"/>
                <w:color w:val="auto"/>
                <w:highlight w:val="none"/>
                <w:lang w:val="en-US" w:eastAsia="zh-CN"/>
              </w:rPr>
              <w:t>20</w:t>
            </w:r>
            <w:r>
              <w:rPr>
                <w:rFonts w:hint="eastAsia"/>
                <w:color w:val="auto"/>
                <w:highlight w:val="none"/>
                <w:lang w:eastAsia="zh-Hans"/>
              </w:rPr>
              <w:t>分钟</w:t>
            </w:r>
            <w:r>
              <w:rPr>
                <w:rFonts w:hint="eastAsia"/>
                <w:color w:val="auto"/>
                <w:highlight w:val="none"/>
                <w:lang w:eastAsia="zh-CN"/>
              </w:rPr>
              <w:t>。（</w:t>
            </w:r>
            <w:r>
              <w:rPr>
                <w:rFonts w:hint="eastAsia"/>
                <w:color w:val="auto"/>
                <w:highlight w:val="none"/>
                <w:lang w:eastAsia="zh-Hans"/>
              </w:rPr>
              <w:t>根据投标人功能演示的完整程度进行打分</w:t>
            </w:r>
            <w:r>
              <w:rPr>
                <w:color w:val="auto"/>
                <w:highlight w:val="none"/>
                <w:lang w:eastAsia="zh-Hans"/>
              </w:rPr>
              <w:t>，</w:t>
            </w:r>
            <w:r>
              <w:rPr>
                <w:rFonts w:hint="eastAsia"/>
                <w:color w:val="auto"/>
                <w:highlight w:val="none"/>
                <w:lang w:eastAsia="zh-Hans"/>
              </w:rPr>
              <w:t>未提供演示不得分</w:t>
            </w:r>
            <w:r>
              <w:rPr>
                <w:rFonts w:hint="eastAsia"/>
                <w:color w:val="auto"/>
                <w:highlight w:val="none"/>
                <w:lang w:eastAsia="zh-CN"/>
              </w:rPr>
              <w:t>；采用播放录制视频或</w:t>
            </w:r>
            <w:r>
              <w:rPr>
                <w:rFonts w:hint="eastAsia"/>
                <w:color w:val="auto"/>
                <w:highlight w:val="none"/>
                <w:lang w:val="en-US" w:eastAsia="zh-CN"/>
              </w:rPr>
              <w:t>PPT方式演示的不得分。</w:t>
            </w:r>
            <w:r>
              <w:rPr>
                <w:rFonts w:hint="eastAsia"/>
                <w:color w:val="auto"/>
                <w:highlight w:val="none"/>
                <w:lang w:eastAsia="zh-CN"/>
              </w:rPr>
              <w:t>）</w:t>
            </w:r>
          </w:p>
          <w:p>
            <w:pPr>
              <w:rPr>
                <w:rFonts w:hint="eastAsia"/>
                <w:color w:val="auto"/>
                <w:highlight w:val="none"/>
              </w:rPr>
            </w:pPr>
            <w:r>
              <w:rPr>
                <w:rFonts w:hint="eastAsia"/>
                <w:color w:val="auto"/>
                <w:highlight w:val="none"/>
                <w:lang w:eastAsia="zh-CN"/>
              </w:rPr>
              <w:t>【</w:t>
            </w:r>
            <w:r>
              <w:rPr>
                <w:rFonts w:hint="eastAsia"/>
                <w:color w:val="auto"/>
                <w:highlight w:val="none"/>
                <w:lang w:eastAsia="zh-Hans"/>
              </w:rPr>
              <w:t>演示内容包括</w:t>
            </w:r>
            <w:r>
              <w:rPr>
                <w:color w:val="auto"/>
                <w:highlight w:val="none"/>
                <w:lang w:eastAsia="zh-Hans"/>
              </w:rPr>
              <w:t>：</w:t>
            </w:r>
            <w:r>
              <w:rPr>
                <w:rFonts w:hint="eastAsia"/>
                <w:color w:val="auto"/>
                <w:highlight w:val="none"/>
                <w:lang w:eastAsia="zh-Hans"/>
              </w:rPr>
              <w:t>LED画面集成演示</w:t>
            </w:r>
            <w:r>
              <w:rPr>
                <w:rFonts w:hint="eastAsia"/>
                <w:color w:val="auto"/>
                <w:highlight w:val="none"/>
              </w:rPr>
              <w:t>、</w:t>
            </w:r>
            <w:r>
              <w:rPr>
                <w:rFonts w:hint="eastAsia"/>
                <w:color w:val="auto"/>
                <w:highlight w:val="none"/>
                <w:lang w:eastAsia="zh-Hans"/>
              </w:rPr>
              <w:t>大数据展示屏幕配套管理端</w:t>
            </w:r>
            <w:r>
              <w:rPr>
                <w:color w:val="auto"/>
                <w:highlight w:val="none"/>
                <w:lang w:eastAsia="zh-Hans"/>
              </w:rPr>
              <w:t>、</w:t>
            </w:r>
            <w:r>
              <w:rPr>
                <w:rFonts w:hint="eastAsia"/>
                <w:color w:val="auto"/>
                <w:highlight w:val="none"/>
                <w:lang w:eastAsia="zh-Hans"/>
              </w:rPr>
              <w:t>媒体服务器内置可视化分析系统相关功能</w:t>
            </w:r>
            <w:r>
              <w:rPr>
                <w:color w:val="auto"/>
                <w:highlight w:val="none"/>
                <w:lang w:eastAsia="zh-Hans"/>
              </w:rPr>
              <w:t>。</w:t>
            </w:r>
            <w:r>
              <w:rPr>
                <w:rFonts w:hint="eastAsia"/>
                <w:color w:val="auto"/>
                <w:highlight w:val="none"/>
                <w:lang w:eastAsia="zh-CN"/>
              </w:rPr>
              <w:t>】</w:t>
            </w:r>
          </w:p>
        </w:tc>
        <w:tc>
          <w:tcPr>
            <w:tcW w:w="709" w:type="dxa"/>
            <w:noWrap w:val="0"/>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0" w:type="dxa"/>
            <w:vMerge w:val="continue"/>
            <w:noWrap w:val="0"/>
            <w:textDirection w:val="tbRlV"/>
            <w:vAlign w:val="center"/>
          </w:tcPr>
          <w:p>
            <w:pPr>
              <w:spacing w:line="360" w:lineRule="auto"/>
              <w:ind w:left="113" w:right="113"/>
              <w:jc w:val="center"/>
              <w:rPr>
                <w:b/>
                <w:color w:val="auto"/>
                <w:kern w:val="0"/>
                <w:szCs w:val="21"/>
                <w:highlight w:val="none"/>
              </w:rPr>
            </w:pPr>
          </w:p>
        </w:tc>
        <w:tc>
          <w:tcPr>
            <w:tcW w:w="675" w:type="dxa"/>
            <w:vMerge w:val="continue"/>
            <w:noWrap w:val="0"/>
            <w:vAlign w:val="center"/>
          </w:tcPr>
          <w:p>
            <w:pPr>
              <w:spacing w:line="360" w:lineRule="auto"/>
              <w:jc w:val="center"/>
              <w:rPr>
                <w:b/>
                <w:color w:val="auto"/>
                <w:kern w:val="0"/>
                <w:szCs w:val="21"/>
                <w:highlight w:val="none"/>
              </w:rPr>
            </w:pPr>
          </w:p>
        </w:tc>
        <w:tc>
          <w:tcPr>
            <w:tcW w:w="845" w:type="dxa"/>
            <w:vMerge w:val="continue"/>
            <w:noWrap w:val="0"/>
            <w:vAlign w:val="center"/>
          </w:tcPr>
          <w:p>
            <w:pPr>
              <w:adjustRightInd w:val="0"/>
              <w:snapToGrid w:val="0"/>
              <w:jc w:val="center"/>
              <w:rPr>
                <w:rFonts w:hint="eastAsia"/>
                <w:color w:val="auto"/>
                <w:highlight w:val="none"/>
              </w:rPr>
            </w:pPr>
          </w:p>
        </w:tc>
        <w:tc>
          <w:tcPr>
            <w:tcW w:w="5519" w:type="dxa"/>
            <w:noWrap w:val="0"/>
            <w:vAlign w:val="center"/>
          </w:tcPr>
          <w:p>
            <w:pPr>
              <w:numPr>
                <w:ilvl w:val="0"/>
                <w:numId w:val="10"/>
              </w:numPr>
              <w:spacing w:after="120"/>
              <w:rPr>
                <w:b/>
                <w:bCs/>
                <w:color w:val="auto"/>
                <w:highlight w:val="none"/>
                <w:lang w:eastAsia="zh-Hans"/>
              </w:rPr>
            </w:pPr>
            <w:r>
              <w:rPr>
                <w:rFonts w:hint="eastAsia"/>
                <w:b/>
                <w:bCs/>
                <w:color w:val="auto"/>
                <w:highlight w:val="none"/>
              </w:rPr>
              <w:t>LED画面集成演示（</w:t>
            </w:r>
            <w:r>
              <w:rPr>
                <w:rFonts w:hint="eastAsia"/>
                <w:b/>
                <w:bCs/>
                <w:color w:val="auto"/>
                <w:highlight w:val="none"/>
                <w:lang w:val="en-US" w:eastAsia="zh-CN"/>
              </w:rPr>
              <w:t>共</w:t>
            </w:r>
            <w:r>
              <w:rPr>
                <w:rFonts w:hint="eastAsia"/>
                <w:b/>
                <w:bCs/>
                <w:color w:val="auto"/>
                <w:highlight w:val="none"/>
              </w:rPr>
              <w:t>6项</w:t>
            </w:r>
            <w:r>
              <w:rPr>
                <w:b/>
                <w:bCs/>
                <w:color w:val="auto"/>
                <w:highlight w:val="none"/>
              </w:rPr>
              <w:t>，</w:t>
            </w:r>
            <w:r>
              <w:rPr>
                <w:rFonts w:hint="eastAsia"/>
                <w:b/>
                <w:bCs/>
                <w:color w:val="auto"/>
                <w:highlight w:val="none"/>
                <w:lang w:eastAsia="zh-Hans"/>
              </w:rPr>
              <w:t>每项</w:t>
            </w:r>
            <w:r>
              <w:rPr>
                <w:b/>
                <w:bCs/>
                <w:color w:val="auto"/>
                <w:highlight w:val="none"/>
                <w:lang w:eastAsia="zh-Hans"/>
              </w:rPr>
              <w:t>1</w:t>
            </w:r>
            <w:r>
              <w:rPr>
                <w:rFonts w:hint="eastAsia"/>
                <w:b/>
                <w:bCs/>
                <w:color w:val="auto"/>
                <w:highlight w:val="none"/>
                <w:lang w:eastAsia="zh-Hans"/>
              </w:rPr>
              <w:t>分</w:t>
            </w:r>
            <w:r>
              <w:rPr>
                <w:b/>
                <w:bCs/>
                <w:color w:val="auto"/>
                <w:highlight w:val="none"/>
                <w:lang w:eastAsia="zh-Hans"/>
              </w:rPr>
              <w:t>，</w:t>
            </w:r>
            <w:r>
              <w:rPr>
                <w:rFonts w:hint="eastAsia"/>
                <w:b/>
                <w:bCs/>
                <w:color w:val="auto"/>
                <w:highlight w:val="none"/>
                <w:lang w:eastAsia="zh-Hans"/>
              </w:rPr>
              <w:t>最高得</w:t>
            </w:r>
            <w:r>
              <w:rPr>
                <w:b/>
                <w:bCs/>
                <w:color w:val="auto"/>
                <w:highlight w:val="none"/>
                <w:lang w:eastAsia="zh-Hans"/>
              </w:rPr>
              <w:t>6</w:t>
            </w:r>
            <w:r>
              <w:rPr>
                <w:rFonts w:hint="eastAsia"/>
                <w:b/>
                <w:bCs/>
                <w:color w:val="auto"/>
                <w:highlight w:val="none"/>
                <w:lang w:eastAsia="zh-Hans"/>
              </w:rPr>
              <w:t>分</w:t>
            </w:r>
            <w:r>
              <w:rPr>
                <w:rFonts w:hint="eastAsia"/>
                <w:b/>
                <w:bCs/>
                <w:color w:val="auto"/>
                <w:highlight w:val="none"/>
              </w:rPr>
              <w:t>）</w:t>
            </w:r>
          </w:p>
          <w:p>
            <w:pPr>
              <w:numPr>
                <w:ilvl w:val="0"/>
                <w:numId w:val="11"/>
              </w:numPr>
              <w:rPr>
                <w:color w:val="auto"/>
                <w:highlight w:val="none"/>
              </w:rPr>
            </w:pPr>
            <w:r>
              <w:rPr>
                <w:color w:val="auto"/>
                <w:highlight w:val="none"/>
              </w:rPr>
              <w:t>整屏显示：在多个显示屏上拼接显示任意一个输入源图像，输入源可随意切换。通过整屏拼接显示，用户可实现对局部重点区域监控的目的。</w:t>
            </w:r>
          </w:p>
          <w:p>
            <w:pPr>
              <w:numPr>
                <w:ilvl w:val="0"/>
                <w:numId w:val="11"/>
              </w:numPr>
              <w:rPr>
                <w:color w:val="auto"/>
                <w:highlight w:val="none"/>
              </w:rPr>
            </w:pPr>
            <w:r>
              <w:rPr>
                <w:color w:val="auto"/>
                <w:highlight w:val="none"/>
              </w:rPr>
              <w:t>画面叠加：在任意显示画面上叠加其它画面，画面间的图层顺序可自定义设置。</w:t>
            </w:r>
          </w:p>
          <w:p>
            <w:pPr>
              <w:numPr>
                <w:ilvl w:val="0"/>
                <w:numId w:val="11"/>
              </w:numPr>
              <w:rPr>
                <w:color w:val="auto"/>
                <w:highlight w:val="none"/>
              </w:rPr>
            </w:pPr>
            <w:r>
              <w:rPr>
                <w:color w:val="auto"/>
                <w:highlight w:val="none"/>
              </w:rPr>
              <w:t>画中画：在拼接屏上显示多个信号源图像，上一层级图像整个叠加在下一层级图像上，形成画中画的显示效果。</w:t>
            </w:r>
          </w:p>
          <w:p>
            <w:pPr>
              <w:numPr>
                <w:ilvl w:val="0"/>
                <w:numId w:val="11"/>
              </w:numPr>
              <w:rPr>
                <w:color w:val="auto"/>
                <w:highlight w:val="none"/>
              </w:rPr>
            </w:pPr>
            <w:r>
              <w:rPr>
                <w:color w:val="auto"/>
                <w:highlight w:val="none"/>
              </w:rPr>
              <w:t>通过接入端信号裁剪功能，实现应用任意局部显示，去除应用边框和菜单功能</w:t>
            </w:r>
            <w:r>
              <w:rPr>
                <w:rFonts w:hint="eastAsia"/>
                <w:color w:val="auto"/>
                <w:highlight w:val="none"/>
              </w:rPr>
              <w:t>。</w:t>
            </w:r>
          </w:p>
          <w:p>
            <w:pPr>
              <w:numPr>
                <w:ilvl w:val="0"/>
                <w:numId w:val="11"/>
              </w:numPr>
              <w:rPr>
                <w:color w:val="auto"/>
                <w:highlight w:val="none"/>
              </w:rPr>
            </w:pPr>
            <w:r>
              <w:rPr>
                <w:color w:val="auto"/>
                <w:highlight w:val="none"/>
              </w:rPr>
              <w:t>直播互动场景应用：在开启远程直播互动时，支持分屏展示不用画面，如：多视窗直播画面、演示文稿单独画面、网页或应用单独画面等。</w:t>
            </w:r>
          </w:p>
          <w:p>
            <w:pPr>
              <w:numPr>
                <w:ilvl w:val="0"/>
                <w:numId w:val="11"/>
              </w:numPr>
              <w:rPr>
                <w:rFonts w:hint="eastAsia" w:ascii="宋体" w:hAnsi="宋体"/>
                <w:color w:val="auto"/>
                <w:szCs w:val="21"/>
                <w:highlight w:val="none"/>
              </w:rPr>
            </w:pPr>
            <w:r>
              <w:rPr>
                <w:color w:val="auto"/>
                <w:highlight w:val="none"/>
              </w:rPr>
              <w:t>大数据看板场景应用：在开启内置内置可视化分析系统时，支持分屏展示不同数据驾驶舱相关画面，并支持对画面轮播时间进行自定义设置。</w:t>
            </w:r>
          </w:p>
        </w:tc>
        <w:tc>
          <w:tcPr>
            <w:tcW w:w="709" w:type="dxa"/>
            <w:vMerge w:val="restart"/>
            <w:noWrap w:val="0"/>
            <w:vAlign w:val="center"/>
          </w:tcPr>
          <w:p>
            <w:pPr>
              <w:widowControl/>
              <w:jc w:val="center"/>
              <w:rPr>
                <w:rFonts w:ascii="宋体" w:hAnsi="宋体" w:cs="宋体"/>
                <w:color w:val="auto"/>
                <w:szCs w:val="21"/>
                <w:highlight w:val="none"/>
              </w:rPr>
            </w:pPr>
            <w:r>
              <w:rPr>
                <w:rFonts w:ascii="宋体" w:hAnsi="宋体" w:cs="宋体"/>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670" w:type="dxa"/>
            <w:vMerge w:val="continue"/>
            <w:noWrap w:val="0"/>
            <w:textDirection w:val="tbRlV"/>
            <w:vAlign w:val="center"/>
          </w:tcPr>
          <w:p/>
        </w:tc>
        <w:tc>
          <w:tcPr>
            <w:tcW w:w="675" w:type="dxa"/>
            <w:vMerge w:val="continue"/>
            <w:noWrap w:val="0"/>
            <w:vAlign w:val="center"/>
          </w:tcPr>
          <w:p/>
        </w:tc>
        <w:tc>
          <w:tcPr>
            <w:tcW w:w="845" w:type="dxa"/>
            <w:vMerge w:val="continue"/>
            <w:noWrap w:val="0"/>
            <w:vAlign w:val="center"/>
          </w:tcPr>
          <w:p/>
        </w:tc>
        <w:tc>
          <w:tcPr>
            <w:tcW w:w="5519" w:type="dxa"/>
            <w:noWrap w:val="0"/>
            <w:vAlign w:val="center"/>
          </w:tcPr>
          <w:p>
            <w:pPr>
              <w:rPr>
                <w:color w:val="auto"/>
                <w:highlight w:val="none"/>
              </w:rPr>
            </w:pPr>
          </w:p>
          <w:p>
            <w:pPr>
              <w:numPr>
                <w:ilvl w:val="0"/>
                <w:numId w:val="10"/>
              </w:numPr>
              <w:spacing w:after="120"/>
              <w:rPr>
                <w:b/>
                <w:bCs/>
                <w:color w:val="auto"/>
                <w:highlight w:val="none"/>
                <w:lang w:eastAsia="zh-Hans"/>
              </w:rPr>
            </w:pPr>
            <w:r>
              <w:rPr>
                <w:rFonts w:hint="eastAsia"/>
                <w:b/>
                <w:bCs/>
                <w:color w:val="auto"/>
                <w:highlight w:val="none"/>
                <w:lang w:eastAsia="zh-Hans"/>
              </w:rPr>
              <w:t>大数据展示屏幕配套管理端演示</w:t>
            </w:r>
            <w:r>
              <w:rPr>
                <w:b/>
                <w:bCs/>
                <w:color w:val="auto"/>
                <w:highlight w:val="none"/>
                <w:lang w:eastAsia="zh-Hans"/>
              </w:rPr>
              <w:t>（</w:t>
            </w:r>
            <w:r>
              <w:rPr>
                <w:rFonts w:hint="eastAsia"/>
                <w:b/>
                <w:bCs/>
                <w:color w:val="auto"/>
                <w:highlight w:val="none"/>
                <w:lang w:val="en-US" w:eastAsia="zh-CN"/>
              </w:rPr>
              <w:t>共</w:t>
            </w:r>
            <w:r>
              <w:rPr>
                <w:b/>
                <w:bCs/>
                <w:color w:val="auto"/>
                <w:highlight w:val="none"/>
              </w:rPr>
              <w:t>3</w:t>
            </w:r>
            <w:r>
              <w:rPr>
                <w:rFonts w:hint="eastAsia"/>
                <w:b/>
                <w:bCs/>
                <w:color w:val="auto"/>
                <w:highlight w:val="none"/>
                <w:lang w:eastAsia="zh-Hans"/>
              </w:rPr>
              <w:t>项</w:t>
            </w:r>
            <w:r>
              <w:rPr>
                <w:b/>
                <w:bCs/>
                <w:color w:val="auto"/>
                <w:highlight w:val="none"/>
                <w:lang w:eastAsia="zh-Hans"/>
              </w:rPr>
              <w:t>，</w:t>
            </w:r>
            <w:r>
              <w:rPr>
                <w:rFonts w:hint="eastAsia"/>
                <w:b/>
                <w:bCs/>
                <w:color w:val="auto"/>
                <w:highlight w:val="none"/>
                <w:lang w:eastAsia="zh-Hans"/>
              </w:rPr>
              <w:t>每项</w:t>
            </w:r>
            <w:r>
              <w:rPr>
                <w:b/>
                <w:bCs/>
                <w:color w:val="auto"/>
                <w:highlight w:val="none"/>
                <w:lang w:eastAsia="zh-Hans"/>
              </w:rPr>
              <w:t>2</w:t>
            </w:r>
            <w:r>
              <w:rPr>
                <w:rFonts w:hint="eastAsia"/>
                <w:b/>
                <w:bCs/>
                <w:color w:val="auto"/>
                <w:highlight w:val="none"/>
                <w:lang w:eastAsia="zh-Hans"/>
              </w:rPr>
              <w:t>分</w:t>
            </w:r>
            <w:r>
              <w:rPr>
                <w:b/>
                <w:bCs/>
                <w:color w:val="auto"/>
                <w:highlight w:val="none"/>
                <w:lang w:eastAsia="zh-Hans"/>
              </w:rPr>
              <w:t>，</w:t>
            </w:r>
            <w:r>
              <w:rPr>
                <w:rFonts w:hint="eastAsia"/>
                <w:b/>
                <w:bCs/>
                <w:color w:val="auto"/>
                <w:highlight w:val="none"/>
                <w:lang w:eastAsia="zh-Hans"/>
              </w:rPr>
              <w:t>最高得</w:t>
            </w:r>
            <w:r>
              <w:rPr>
                <w:b/>
                <w:bCs/>
                <w:color w:val="auto"/>
                <w:highlight w:val="none"/>
                <w:lang w:eastAsia="zh-Hans"/>
              </w:rPr>
              <w:t>6</w:t>
            </w:r>
            <w:r>
              <w:rPr>
                <w:rFonts w:hint="eastAsia"/>
                <w:b/>
                <w:bCs/>
                <w:color w:val="auto"/>
                <w:highlight w:val="none"/>
                <w:lang w:eastAsia="zh-Hans"/>
              </w:rPr>
              <w:t>分</w:t>
            </w:r>
            <w:r>
              <w:rPr>
                <w:b/>
                <w:bCs/>
                <w:color w:val="auto"/>
                <w:highlight w:val="none"/>
                <w:lang w:eastAsia="zh-Hans"/>
              </w:rPr>
              <w:t>）</w:t>
            </w:r>
          </w:p>
          <w:p>
            <w:pPr>
              <w:numPr>
                <w:ilvl w:val="0"/>
                <w:numId w:val="12"/>
              </w:numPr>
              <w:ind w:firstLine="0"/>
              <w:rPr>
                <w:color w:val="auto"/>
                <w:highlight w:val="none"/>
                <w:lang w:eastAsia="zh-Hans"/>
              </w:rPr>
            </w:pPr>
            <w:r>
              <w:rPr>
                <w:rFonts w:hint="eastAsia"/>
                <w:color w:val="auto"/>
                <w:highlight w:val="none"/>
              </w:rPr>
              <w:t>三分屏系统</w:t>
            </w:r>
            <w:r>
              <w:rPr>
                <w:color w:val="auto"/>
                <w:highlight w:val="none"/>
                <w:lang w:eastAsia="zh-Hans"/>
              </w:rPr>
              <w:t>设置：支持按需添加学校大数据展示屏轮播图，自定义设置屏幕切换时间，数据统计范围、以及可对</w:t>
            </w:r>
            <w:r>
              <w:rPr>
                <w:rFonts w:hint="eastAsia"/>
                <w:color w:val="auto"/>
                <w:highlight w:val="none"/>
              </w:rPr>
              <w:t>三分屏系统</w:t>
            </w:r>
            <w:r>
              <w:rPr>
                <w:color w:val="auto"/>
                <w:highlight w:val="none"/>
                <w:lang w:eastAsia="zh-Hans"/>
              </w:rPr>
              <w:t>数据进行人工数据校正。</w:t>
            </w:r>
          </w:p>
          <w:p>
            <w:pPr>
              <w:numPr>
                <w:ilvl w:val="0"/>
                <w:numId w:val="12"/>
              </w:numPr>
              <w:ind w:firstLine="0"/>
              <w:rPr>
                <w:color w:val="auto"/>
                <w:highlight w:val="none"/>
                <w:lang w:eastAsia="zh-Hans"/>
              </w:rPr>
            </w:pPr>
            <w:r>
              <w:rPr>
                <w:color w:val="auto"/>
                <w:highlight w:val="none"/>
                <w:lang w:eastAsia="zh-Hans"/>
              </w:rPr>
              <w:t>可视化页面支持展示自定义栏目，支持自由布局、轮播展示、插入富媒体插件（文本、图片、视频、动画装饰、表格等）、常规栏目组件（天气、日期、内嵌网页）等功能。</w:t>
            </w:r>
          </w:p>
          <w:p>
            <w:pPr>
              <w:numPr>
                <w:ilvl w:val="0"/>
                <w:numId w:val="12"/>
              </w:numPr>
              <w:ind w:firstLine="0"/>
              <w:rPr>
                <w:color w:val="auto"/>
                <w:highlight w:val="none"/>
                <w:lang w:eastAsia="zh-Hans"/>
              </w:rPr>
            </w:pPr>
            <w:r>
              <w:rPr>
                <w:color w:val="auto"/>
                <w:highlight w:val="none"/>
                <w:lang w:eastAsia="zh-Hans"/>
              </w:rPr>
              <w:t>可视化图表类型应至少包括：柱状图、折线图、饼图、雷达图、地图、3D地球、词云等。</w:t>
            </w:r>
          </w:p>
          <w:p>
            <w:pPr>
              <w:rPr>
                <w:rFonts w:hint="eastAsia"/>
                <w:color w:val="auto"/>
                <w:highlight w:val="none"/>
                <w:lang w:val="en-US" w:eastAsia="zh-CN"/>
              </w:rPr>
            </w:pPr>
          </w:p>
        </w:tc>
        <w:tc>
          <w:tcPr>
            <w:tcW w:w="709" w:type="dxa"/>
            <w:vMerge w:val="continue"/>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670" w:type="dxa"/>
            <w:vMerge w:val="continue"/>
            <w:noWrap w:val="0"/>
            <w:textDirection w:val="tbRlV"/>
            <w:vAlign w:val="center"/>
          </w:tcPr>
          <w:p/>
        </w:tc>
        <w:tc>
          <w:tcPr>
            <w:tcW w:w="675" w:type="dxa"/>
            <w:vMerge w:val="continue"/>
            <w:noWrap w:val="0"/>
            <w:vAlign w:val="center"/>
          </w:tcPr>
          <w:p/>
        </w:tc>
        <w:tc>
          <w:tcPr>
            <w:tcW w:w="845" w:type="dxa"/>
            <w:vMerge w:val="continue"/>
            <w:noWrap w:val="0"/>
            <w:vAlign w:val="center"/>
          </w:tcPr>
          <w:p/>
        </w:tc>
        <w:tc>
          <w:tcPr>
            <w:tcW w:w="5519" w:type="dxa"/>
            <w:noWrap w:val="0"/>
            <w:vAlign w:val="center"/>
          </w:tcPr>
          <w:p>
            <w:pPr>
              <w:spacing w:after="120"/>
              <w:rPr>
                <w:b/>
                <w:bCs/>
                <w:color w:val="auto"/>
                <w:highlight w:val="none"/>
                <w:lang w:eastAsia="zh-Hans"/>
              </w:rPr>
            </w:pPr>
          </w:p>
          <w:p>
            <w:pPr>
              <w:numPr>
                <w:ilvl w:val="0"/>
                <w:numId w:val="10"/>
              </w:numPr>
              <w:spacing w:after="120"/>
              <w:rPr>
                <w:rFonts w:hint="eastAsia"/>
                <w:color w:val="auto"/>
                <w:highlight w:val="none"/>
              </w:rPr>
            </w:pPr>
            <w:r>
              <w:rPr>
                <w:b/>
                <w:bCs/>
                <w:color w:val="auto"/>
                <w:highlight w:val="none"/>
                <w:lang w:eastAsia="zh-Hans"/>
              </w:rPr>
              <w:t>媒体服务器内置可视化分析系统</w:t>
            </w:r>
            <w:r>
              <w:rPr>
                <w:rFonts w:hint="eastAsia"/>
                <w:b/>
                <w:bCs/>
                <w:color w:val="auto"/>
                <w:highlight w:val="none"/>
                <w:lang w:eastAsia="zh-Hans"/>
              </w:rPr>
              <w:t>演示</w:t>
            </w:r>
            <w:r>
              <w:rPr>
                <w:b/>
                <w:bCs/>
                <w:color w:val="auto"/>
                <w:highlight w:val="none"/>
                <w:lang w:eastAsia="zh-Hans"/>
              </w:rPr>
              <w:t>（</w:t>
            </w:r>
            <w:r>
              <w:rPr>
                <w:rFonts w:hint="eastAsia"/>
                <w:b/>
                <w:bCs/>
                <w:color w:val="auto"/>
                <w:highlight w:val="none"/>
                <w:lang w:val="en-US" w:eastAsia="zh-CN"/>
              </w:rPr>
              <w:t>共</w:t>
            </w:r>
            <w:r>
              <w:rPr>
                <w:b/>
                <w:bCs/>
                <w:color w:val="auto"/>
                <w:highlight w:val="none"/>
                <w:lang w:eastAsia="zh-Hans"/>
              </w:rPr>
              <w:t>4</w:t>
            </w:r>
            <w:r>
              <w:rPr>
                <w:rFonts w:hint="eastAsia"/>
                <w:b/>
                <w:bCs/>
                <w:color w:val="auto"/>
                <w:highlight w:val="none"/>
                <w:lang w:eastAsia="zh-Hans"/>
              </w:rPr>
              <w:t>项</w:t>
            </w:r>
            <w:r>
              <w:rPr>
                <w:b/>
                <w:bCs/>
                <w:color w:val="auto"/>
                <w:highlight w:val="none"/>
                <w:lang w:eastAsia="zh-Hans"/>
              </w:rPr>
              <w:t>，</w:t>
            </w:r>
            <w:r>
              <w:rPr>
                <w:rFonts w:hint="eastAsia"/>
                <w:b/>
                <w:bCs/>
                <w:color w:val="auto"/>
                <w:highlight w:val="none"/>
                <w:lang w:eastAsia="zh-Hans"/>
              </w:rPr>
              <w:t>每项</w:t>
            </w:r>
            <w:r>
              <w:rPr>
                <w:b/>
                <w:bCs/>
                <w:color w:val="auto"/>
                <w:highlight w:val="none"/>
                <w:lang w:eastAsia="zh-Hans"/>
              </w:rPr>
              <w:t>2</w:t>
            </w:r>
            <w:r>
              <w:rPr>
                <w:rFonts w:hint="eastAsia"/>
                <w:b/>
                <w:bCs/>
                <w:color w:val="auto"/>
                <w:highlight w:val="none"/>
                <w:lang w:eastAsia="zh-Hans"/>
              </w:rPr>
              <w:t>分</w:t>
            </w:r>
            <w:r>
              <w:rPr>
                <w:b/>
                <w:bCs/>
                <w:color w:val="auto"/>
                <w:highlight w:val="none"/>
                <w:lang w:eastAsia="zh-Hans"/>
              </w:rPr>
              <w:t>，</w:t>
            </w:r>
            <w:r>
              <w:rPr>
                <w:rFonts w:hint="eastAsia"/>
                <w:b/>
                <w:bCs/>
                <w:color w:val="auto"/>
                <w:highlight w:val="none"/>
                <w:lang w:eastAsia="zh-Hans"/>
              </w:rPr>
              <w:t>最高得</w:t>
            </w:r>
            <w:r>
              <w:rPr>
                <w:b/>
                <w:bCs/>
                <w:color w:val="auto"/>
                <w:highlight w:val="none"/>
                <w:lang w:eastAsia="zh-Hans"/>
              </w:rPr>
              <w:t>8</w:t>
            </w:r>
            <w:r>
              <w:rPr>
                <w:rFonts w:hint="eastAsia"/>
                <w:b/>
                <w:bCs/>
                <w:color w:val="auto"/>
                <w:highlight w:val="none"/>
                <w:lang w:eastAsia="zh-Hans"/>
              </w:rPr>
              <w:t>分</w:t>
            </w:r>
            <w:r>
              <w:rPr>
                <w:b/>
                <w:bCs/>
                <w:color w:val="auto"/>
                <w:highlight w:val="none"/>
                <w:lang w:eastAsia="zh-Hans"/>
              </w:rPr>
              <w:t>）</w:t>
            </w:r>
          </w:p>
          <w:p>
            <w:pPr>
              <w:numPr>
                <w:ilvl w:val="0"/>
                <w:numId w:val="13"/>
              </w:numPr>
              <w:ind w:firstLine="0"/>
              <w:rPr>
                <w:rFonts w:hint="eastAsia"/>
                <w:color w:val="auto"/>
                <w:highlight w:val="none"/>
              </w:rPr>
            </w:pPr>
            <w:r>
              <w:rPr>
                <w:rFonts w:hint="eastAsia"/>
                <w:color w:val="auto"/>
                <w:highlight w:val="none"/>
              </w:rPr>
              <w:t>整体数据概况</w:t>
            </w:r>
            <w:r>
              <w:rPr>
                <w:color w:val="auto"/>
                <w:highlight w:val="none"/>
              </w:rPr>
              <w:t>：</w:t>
            </w:r>
            <w:r>
              <w:rPr>
                <w:rFonts w:hint="eastAsia"/>
                <w:color w:val="auto"/>
                <w:highlight w:val="none"/>
              </w:rPr>
              <w:t>统计本校基础数据信息，以教师、学生、课程、考勤、资源、行为</w:t>
            </w:r>
            <w:r>
              <w:rPr>
                <w:rFonts w:hint="eastAsia"/>
                <w:color w:val="auto"/>
                <w:highlight w:val="none"/>
                <w:lang w:eastAsia="zh-Hans"/>
              </w:rPr>
              <w:t>等</w:t>
            </w:r>
            <w:r>
              <w:rPr>
                <w:rFonts w:hint="eastAsia"/>
                <w:color w:val="auto"/>
                <w:highlight w:val="none"/>
              </w:rPr>
              <w:t>六个维度进行数据概览展示；并支持根据访问量情况，统计教师、学生、课程排行榜。</w:t>
            </w:r>
          </w:p>
          <w:p>
            <w:pPr>
              <w:numPr>
                <w:ilvl w:val="0"/>
                <w:numId w:val="13"/>
              </w:numPr>
              <w:ind w:firstLine="0"/>
              <w:rPr>
                <w:rFonts w:hint="eastAsia"/>
                <w:color w:val="auto"/>
                <w:highlight w:val="none"/>
              </w:rPr>
            </w:pPr>
            <w:r>
              <w:rPr>
                <w:rFonts w:hint="eastAsia"/>
                <w:color w:val="auto"/>
                <w:highlight w:val="none"/>
              </w:rPr>
              <w:t>课程画像：支持展示学校整体课程建设和运行情况，支</w:t>
            </w:r>
            <w:bookmarkStart w:id="128" w:name="_GoBack"/>
            <w:r>
              <w:rPr>
                <w:rFonts w:hint="eastAsia"/>
                <w:color w:val="auto"/>
                <w:highlight w:val="none"/>
              </w:rPr>
              <w:t>持课程综合成绩权重设置；课程画像展示课程关键词、排</w:t>
            </w:r>
            <w:bookmarkEnd w:id="128"/>
            <w:r>
              <w:rPr>
                <w:rFonts w:hint="eastAsia"/>
                <w:color w:val="auto"/>
                <w:highlight w:val="none"/>
              </w:rPr>
              <w:t>名、课程雷达图，支持基础数据、课堂报告、学情分析、学生成绩、课程日志等数据展示与分析</w:t>
            </w:r>
            <w:r>
              <w:rPr>
                <w:color w:val="auto"/>
                <w:highlight w:val="none"/>
              </w:rPr>
              <w:t>。</w:t>
            </w:r>
          </w:p>
          <w:p>
            <w:pPr>
              <w:numPr>
                <w:ilvl w:val="0"/>
                <w:numId w:val="13"/>
              </w:numPr>
              <w:ind w:firstLine="0"/>
              <w:rPr>
                <w:rFonts w:ascii="宋体" w:hAnsi="宋体"/>
                <w:color w:val="auto"/>
                <w:szCs w:val="21"/>
                <w:highlight w:val="none"/>
              </w:rPr>
            </w:pPr>
            <w:r>
              <w:rPr>
                <w:rFonts w:hint="eastAsia" w:ascii="宋体" w:hAnsi="宋体"/>
                <w:color w:val="auto"/>
                <w:szCs w:val="21"/>
                <w:highlight w:val="none"/>
              </w:rPr>
              <w:t>全校画像:以教师、学生、课程三个维度，展示全校整体数据，把标准抽象画用图表和标签展示，把数据具体化，把各个数据量清晰的展示出来，进而反映出全校的整体情况。</w:t>
            </w:r>
          </w:p>
          <w:p>
            <w:pPr>
              <w:rPr>
                <w:rFonts w:hint="eastAsia"/>
                <w:color w:val="auto"/>
                <w:highlight w:val="none"/>
                <w:lang w:val="en-US" w:eastAsia="zh-CN"/>
              </w:rPr>
            </w:pPr>
            <w:r>
              <w:rPr>
                <w:rFonts w:hint="eastAsia"/>
                <w:color w:val="auto"/>
                <w:highlight w:val="none"/>
                <w:lang w:val="en-US" w:eastAsia="zh-CN"/>
              </w:rPr>
              <w:t>4.</w:t>
            </w:r>
            <w:r>
              <w:rPr>
                <w:rFonts w:hint="eastAsia"/>
                <w:color w:val="auto"/>
                <w:highlight w:val="none"/>
              </w:rPr>
              <w:t>日常报告：支持日报、周报、月报、自定义时间时间维度，统计筛选时间区间内课程数据、教师数据、学生数据，并支持导出。</w:t>
            </w:r>
          </w:p>
        </w:tc>
        <w:tc>
          <w:tcPr>
            <w:tcW w:w="709" w:type="dxa"/>
            <w:vMerge w:val="continue"/>
            <w:noWrap w:val="0"/>
            <w:vAlign w:val="center"/>
          </w:tcPr>
          <w:p>
            <w:pPr>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0" w:type="dxa"/>
            <w:vMerge w:val="continue"/>
            <w:noWrap w:val="0"/>
            <w:vAlign w:val="center"/>
          </w:tcPr>
          <w:p>
            <w:pPr>
              <w:spacing w:line="360" w:lineRule="auto"/>
              <w:jc w:val="center"/>
              <w:rPr>
                <w:b/>
                <w:color w:val="auto"/>
                <w:kern w:val="0"/>
                <w:szCs w:val="21"/>
                <w:highlight w:val="none"/>
              </w:rPr>
            </w:pPr>
          </w:p>
        </w:tc>
        <w:tc>
          <w:tcPr>
            <w:tcW w:w="675" w:type="dxa"/>
            <w:vMerge w:val="restart"/>
            <w:noWrap w:val="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企业信誉及实力</w:t>
            </w:r>
          </w:p>
          <w:p>
            <w:pPr>
              <w:jc w:val="center"/>
              <w:rPr>
                <w:color w:val="auto"/>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分</w:t>
            </w:r>
            <w:r>
              <w:rPr>
                <w:rFonts w:ascii="宋体" w:hAnsi="宋体" w:cs="宋体"/>
                <w:b/>
                <w:bCs/>
                <w:color w:val="auto"/>
                <w:szCs w:val="21"/>
                <w:highlight w:val="none"/>
              </w:rPr>
              <w:t>）</w:t>
            </w:r>
          </w:p>
        </w:tc>
        <w:tc>
          <w:tcPr>
            <w:tcW w:w="845" w:type="dxa"/>
            <w:noWrap w:val="0"/>
            <w:vAlign w:val="center"/>
          </w:tcPr>
          <w:p>
            <w:pPr>
              <w:adjustRightInd w:val="0"/>
              <w:snapToGrid w:val="0"/>
              <w:jc w:val="center"/>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相关资质</w:t>
            </w:r>
          </w:p>
        </w:tc>
        <w:tc>
          <w:tcPr>
            <w:tcW w:w="5519" w:type="dxa"/>
            <w:noWrap w:val="0"/>
            <w:vAlign w:val="center"/>
          </w:tcPr>
          <w:p>
            <w:pPr>
              <w:spacing w:after="120"/>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rPr>
              <w:t>投标人需具有本项目的相关软件著作权证书，</w:t>
            </w:r>
            <w:r>
              <w:rPr>
                <w:rFonts w:hint="eastAsia" w:ascii="宋体" w:hAnsi="宋体"/>
                <w:color w:val="auto"/>
                <w:szCs w:val="21"/>
                <w:highlight w:val="none"/>
              </w:rPr>
              <w:t>每提供一个得</w:t>
            </w:r>
            <w:r>
              <w:rPr>
                <w:rFonts w:hint="eastAsia" w:ascii="宋体" w:hAnsi="宋体"/>
                <w:color w:val="auto"/>
                <w:szCs w:val="21"/>
                <w:highlight w:val="none"/>
                <w:lang w:val="en-US" w:eastAsia="zh-CN"/>
              </w:rPr>
              <w:t>1.5</w:t>
            </w:r>
            <w:r>
              <w:rPr>
                <w:rFonts w:hint="eastAsia" w:ascii="宋体" w:hAnsi="宋体"/>
                <w:color w:val="auto"/>
                <w:szCs w:val="21"/>
                <w:highlight w:val="none"/>
              </w:rPr>
              <w:t>分，最多得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tc>
        <w:tc>
          <w:tcPr>
            <w:tcW w:w="709" w:type="dxa"/>
            <w:noWrap w:val="0"/>
            <w:vAlign w:val="center"/>
          </w:tcPr>
          <w:p>
            <w:pPr>
              <w:widowControl/>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0" w:type="dxa"/>
            <w:vMerge w:val="continue"/>
            <w:noWrap w:val="0"/>
            <w:vAlign w:val="center"/>
          </w:tcPr>
          <w:p>
            <w:pPr>
              <w:spacing w:line="360" w:lineRule="auto"/>
              <w:jc w:val="center"/>
              <w:rPr>
                <w:b/>
                <w:color w:val="auto"/>
                <w:kern w:val="0"/>
                <w:szCs w:val="21"/>
                <w:highlight w:val="none"/>
              </w:rPr>
            </w:pPr>
          </w:p>
        </w:tc>
        <w:tc>
          <w:tcPr>
            <w:tcW w:w="675" w:type="dxa"/>
            <w:vMerge w:val="continue"/>
            <w:noWrap w:val="0"/>
            <w:vAlign w:val="center"/>
          </w:tcPr>
          <w:p>
            <w:pPr>
              <w:jc w:val="center"/>
              <w:rPr>
                <w:rFonts w:hint="eastAsia" w:ascii="宋体" w:hAnsi="宋体" w:cs="宋体"/>
                <w:b/>
                <w:bCs/>
                <w:color w:val="auto"/>
                <w:szCs w:val="21"/>
                <w:highlight w:val="none"/>
              </w:rPr>
            </w:pPr>
          </w:p>
        </w:tc>
        <w:tc>
          <w:tcPr>
            <w:tcW w:w="845" w:type="dxa"/>
            <w:noWrap w:val="0"/>
            <w:vAlign w:val="center"/>
          </w:tcPr>
          <w:p>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企业资质</w:t>
            </w:r>
          </w:p>
        </w:tc>
        <w:tc>
          <w:tcPr>
            <w:tcW w:w="5519" w:type="dxa"/>
            <w:noWrap w:val="0"/>
            <w:vAlign w:val="center"/>
          </w:tcPr>
          <w:p>
            <w:pPr>
              <w:spacing w:after="120"/>
              <w:rPr>
                <w:rFonts w:hint="default" w:ascii="宋体" w:hAnsi="宋体" w:eastAsia="微软雅黑" w:cs="宋体"/>
                <w:color w:val="auto"/>
                <w:szCs w:val="21"/>
                <w:highlight w:val="none"/>
                <w:lang w:val="en-US" w:eastAsia="zh-CN"/>
              </w:rPr>
            </w:pPr>
            <w:r>
              <w:rPr>
                <w:rFonts w:hint="eastAsia" w:ascii="宋体" w:hAnsi="宋体" w:eastAsia="宋体" w:cs="宋体"/>
                <w:i w:val="0"/>
                <w:caps w:val="0"/>
                <w:color w:val="171A1D"/>
                <w:spacing w:val="0"/>
                <w:sz w:val="21"/>
                <w:szCs w:val="21"/>
                <w:highlight w:val="none"/>
                <w:shd w:val="clear" w:fill="FFFFFF"/>
                <w:lang w:eastAsia="zh-CN"/>
              </w:rPr>
              <w:t>具有</w:t>
            </w:r>
            <w:r>
              <w:rPr>
                <w:rFonts w:hint="eastAsia" w:ascii="宋体" w:hAnsi="宋体" w:eastAsia="宋体" w:cs="宋体"/>
                <w:i w:val="0"/>
                <w:caps w:val="0"/>
                <w:color w:val="171A1D"/>
                <w:spacing w:val="0"/>
                <w:sz w:val="21"/>
                <w:szCs w:val="21"/>
                <w:highlight w:val="none"/>
                <w:shd w:val="clear" w:fill="FFFFFF"/>
              </w:rPr>
              <w:t>ISO9001质量管理体系证书</w:t>
            </w:r>
            <w:r>
              <w:rPr>
                <w:rFonts w:hint="eastAsia" w:ascii="宋体" w:hAnsi="宋体" w:eastAsia="宋体" w:cs="宋体"/>
                <w:i w:val="0"/>
                <w:caps w:val="0"/>
                <w:color w:val="171A1D"/>
                <w:spacing w:val="0"/>
                <w:sz w:val="21"/>
                <w:szCs w:val="21"/>
                <w:highlight w:val="none"/>
                <w:shd w:val="clear" w:fill="FFFFFF"/>
                <w:lang w:eastAsia="zh-CN"/>
              </w:rPr>
              <w:t>的得</w:t>
            </w:r>
            <w:r>
              <w:rPr>
                <w:rFonts w:hint="eastAsia" w:ascii="宋体" w:hAnsi="宋体" w:eastAsia="宋体" w:cs="宋体"/>
                <w:i w:val="0"/>
                <w:caps w:val="0"/>
                <w:color w:val="171A1D"/>
                <w:spacing w:val="0"/>
                <w:sz w:val="21"/>
                <w:szCs w:val="21"/>
                <w:highlight w:val="none"/>
                <w:shd w:val="clear" w:fill="FFFFFF"/>
                <w:lang w:val="en-US" w:eastAsia="zh-CN"/>
              </w:rPr>
              <w:t>2分。</w:t>
            </w:r>
          </w:p>
        </w:tc>
        <w:tc>
          <w:tcPr>
            <w:tcW w:w="709" w:type="dxa"/>
            <w:noWrap w:val="0"/>
            <w:vAlign w:val="center"/>
          </w:tcPr>
          <w:p>
            <w:pPr>
              <w:widowControl/>
              <w:jc w:val="center"/>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70" w:type="dxa"/>
            <w:vMerge w:val="continue"/>
            <w:noWrap w:val="0"/>
            <w:vAlign w:val="center"/>
          </w:tcPr>
          <w:p>
            <w:pPr>
              <w:spacing w:line="360" w:lineRule="auto"/>
              <w:jc w:val="center"/>
              <w:rPr>
                <w:b/>
                <w:color w:val="auto"/>
                <w:kern w:val="0"/>
                <w:szCs w:val="21"/>
                <w:highlight w:val="none"/>
              </w:rPr>
            </w:pPr>
          </w:p>
        </w:tc>
        <w:tc>
          <w:tcPr>
            <w:tcW w:w="675" w:type="dxa"/>
            <w:vMerge w:val="continue"/>
            <w:noWrap w:val="0"/>
            <w:vAlign w:val="center"/>
          </w:tcPr>
          <w:p>
            <w:pPr>
              <w:jc w:val="center"/>
              <w:rPr>
                <w:color w:val="auto"/>
                <w:highlight w:val="none"/>
              </w:rPr>
            </w:pPr>
          </w:p>
        </w:tc>
        <w:tc>
          <w:tcPr>
            <w:tcW w:w="845" w:type="dxa"/>
            <w:noWrap w:val="0"/>
            <w:vAlign w:val="center"/>
          </w:tcPr>
          <w:p>
            <w:pPr>
              <w:jc w:val="center"/>
              <w:rPr>
                <w:rFonts w:hint="eastAsia" w:ascii="宋体" w:hAnsi="宋体"/>
                <w:color w:val="auto"/>
                <w:szCs w:val="21"/>
                <w:highlight w:val="none"/>
              </w:rPr>
            </w:pPr>
            <w:r>
              <w:rPr>
                <w:rFonts w:hint="eastAsia" w:ascii="宋体" w:hAnsi="宋体" w:cs="宋体"/>
                <w:color w:val="auto"/>
                <w:szCs w:val="21"/>
                <w:highlight w:val="none"/>
              </w:rPr>
              <w:t>业绩案例</w:t>
            </w:r>
          </w:p>
        </w:tc>
        <w:tc>
          <w:tcPr>
            <w:tcW w:w="5519" w:type="dxa"/>
            <w:noWrap w:val="0"/>
            <w:vAlign w:val="center"/>
          </w:tcPr>
          <w:p>
            <w:pPr>
              <w:pStyle w:val="2"/>
              <w:ind w:left="0" w:leftChars="0" w:firstLine="0" w:firstLineChars="0"/>
              <w:rPr>
                <w:rFonts w:hint="eastAsia"/>
                <w:highlight w:val="none"/>
              </w:rPr>
            </w:pPr>
            <w:r>
              <w:rPr>
                <w:rFonts w:hint="eastAsia" w:ascii="宋体" w:hAnsi="宋体" w:eastAsia="宋体" w:cs="宋体"/>
                <w:b w:val="0"/>
                <w:bCs w:val="0"/>
                <w:color w:val="000000" w:themeColor="text1"/>
                <w:szCs w:val="21"/>
                <w:highlight w:val="none"/>
                <w14:textFill>
                  <w14:solidFill>
                    <w14:schemeClr w14:val="tx1"/>
                  </w14:solidFill>
                </w14:textFill>
              </w:rPr>
              <w:t>自</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2019</w:t>
            </w:r>
            <w:r>
              <w:rPr>
                <w:rFonts w:hint="eastAsia" w:ascii="宋体" w:hAnsi="宋体" w:eastAsia="宋体" w:cs="宋体"/>
                <w:b w:val="0"/>
                <w:bCs w:val="0"/>
                <w:color w:val="000000" w:themeColor="text1"/>
                <w:szCs w:val="21"/>
                <w:highlight w:val="none"/>
                <w14:textFill>
                  <w14:solidFill>
                    <w14:schemeClr w14:val="tx1"/>
                  </w14:solidFill>
                </w14:textFill>
              </w:rPr>
              <w:t>年</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9</w:t>
            </w:r>
            <w:r>
              <w:rPr>
                <w:rFonts w:hint="eastAsia" w:ascii="宋体" w:hAnsi="宋体" w:eastAsia="宋体" w:cs="宋体"/>
                <w:b w:val="0"/>
                <w:bCs w:val="0"/>
                <w:color w:val="000000" w:themeColor="text1"/>
                <w:szCs w:val="21"/>
                <w:highlight w:val="none"/>
                <w14:textFill>
                  <w14:solidFill>
                    <w14:schemeClr w14:val="tx1"/>
                  </w14:solidFill>
                </w14:textFill>
              </w:rPr>
              <w:t>月至投标截止前一天（以合同签订时间为准）</w:t>
            </w:r>
            <w:r>
              <w:rPr>
                <w:rFonts w:hint="eastAsia" w:ascii="宋体" w:hAnsi="宋体" w:eastAsia="宋体" w:cs="宋体"/>
                <w:b w:val="0"/>
                <w:bCs w:val="0"/>
                <w:color w:val="000000" w:themeColor="text1"/>
                <w:szCs w:val="21"/>
                <w:highlight w:val="none"/>
                <w:lang w:eastAsia="zh-CN"/>
                <w14:textFill>
                  <w14:solidFill>
                    <w14:schemeClr w14:val="tx1"/>
                  </w14:solidFill>
                </w14:textFill>
              </w:rPr>
              <w:t>，</w:t>
            </w:r>
            <w:r>
              <w:rPr>
                <w:rFonts w:hint="eastAsia"/>
                <w:color w:val="auto"/>
                <w:szCs w:val="21"/>
                <w:highlight w:val="none"/>
              </w:rPr>
              <w:t>具备</w:t>
            </w:r>
            <w:r>
              <w:rPr>
                <w:rFonts w:hint="eastAsia"/>
                <w:color w:val="auto"/>
                <w:szCs w:val="21"/>
                <w:highlight w:val="none"/>
                <w:lang w:eastAsia="zh-CN"/>
              </w:rPr>
              <w:t>类似</w:t>
            </w:r>
            <w:r>
              <w:rPr>
                <w:rFonts w:hint="eastAsia"/>
                <w:color w:val="auto"/>
                <w:szCs w:val="21"/>
                <w:highlight w:val="none"/>
              </w:rPr>
              <w:t>的业绩案例，每份得1分，最多</w:t>
            </w:r>
            <w:r>
              <w:rPr>
                <w:rFonts w:hint="eastAsia"/>
                <w:color w:val="auto"/>
                <w:szCs w:val="21"/>
                <w:highlight w:val="none"/>
                <w:lang w:val="en-US" w:eastAsia="zh-CN"/>
              </w:rPr>
              <w:t>3</w:t>
            </w:r>
            <w:r>
              <w:rPr>
                <w:rFonts w:hint="eastAsia"/>
                <w:color w:val="auto"/>
                <w:szCs w:val="21"/>
                <w:highlight w:val="none"/>
              </w:rPr>
              <w:t>分。（</w:t>
            </w:r>
            <w:r>
              <w:rPr>
                <w:rFonts w:hint="eastAsia"/>
                <w:color w:val="auto"/>
                <w:szCs w:val="21"/>
                <w:highlight w:val="none"/>
                <w:lang w:val="en-US" w:eastAsia="zh-CN"/>
              </w:rPr>
              <w:t>需</w:t>
            </w:r>
            <w:r>
              <w:rPr>
                <w:rFonts w:hint="eastAsia"/>
                <w:color w:val="auto"/>
                <w:szCs w:val="21"/>
                <w:highlight w:val="none"/>
              </w:rPr>
              <w:t>提供合同</w:t>
            </w:r>
            <w:r>
              <w:rPr>
                <w:rFonts w:hint="eastAsia"/>
                <w:color w:val="auto"/>
                <w:szCs w:val="21"/>
                <w:highlight w:val="none"/>
                <w:lang w:val="en-US" w:eastAsia="zh-CN"/>
              </w:rPr>
              <w:t>扫描</w:t>
            </w:r>
            <w:r>
              <w:rPr>
                <w:rFonts w:hint="eastAsia"/>
                <w:color w:val="auto"/>
                <w:szCs w:val="21"/>
                <w:highlight w:val="none"/>
              </w:rPr>
              <w:t>件，否则</w:t>
            </w:r>
            <w:r>
              <w:rPr>
                <w:rFonts w:hint="eastAsia"/>
                <w:color w:val="auto"/>
                <w:szCs w:val="21"/>
                <w:highlight w:val="none"/>
                <w:lang w:val="en-US" w:eastAsia="zh-CN"/>
              </w:rPr>
              <w:t>不得分</w:t>
            </w:r>
            <w:r>
              <w:rPr>
                <w:rFonts w:hint="eastAsia"/>
                <w:color w:val="auto"/>
                <w:szCs w:val="21"/>
                <w:highlight w:val="none"/>
              </w:rPr>
              <w:t>）</w:t>
            </w:r>
          </w:p>
        </w:tc>
        <w:tc>
          <w:tcPr>
            <w:tcW w:w="709" w:type="dxa"/>
            <w:noWrap w:val="0"/>
            <w:vAlign w:val="center"/>
          </w:tcPr>
          <w:p>
            <w:pPr>
              <w:widowControl/>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70" w:type="dxa"/>
            <w:vMerge w:val="continue"/>
            <w:noWrap w:val="0"/>
            <w:vAlign w:val="center"/>
          </w:tcPr>
          <w:p>
            <w:pPr>
              <w:spacing w:line="360" w:lineRule="auto"/>
              <w:jc w:val="center"/>
              <w:rPr>
                <w:b/>
                <w:color w:val="auto"/>
                <w:kern w:val="0"/>
                <w:szCs w:val="21"/>
                <w:highlight w:val="none"/>
              </w:rPr>
            </w:pPr>
          </w:p>
        </w:tc>
        <w:tc>
          <w:tcPr>
            <w:tcW w:w="675" w:type="dxa"/>
            <w:vMerge w:val="restart"/>
            <w:noWrap w:val="0"/>
            <w:vAlign w:val="center"/>
          </w:tcPr>
          <w:p>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售后服务(</w:t>
            </w:r>
            <w:r>
              <w:rPr>
                <w:rFonts w:hint="eastAsia" w:ascii="宋体" w:hAnsi="宋体" w:cs="宋体"/>
                <w:b/>
                <w:color w:val="auto"/>
                <w:kern w:val="0"/>
                <w:szCs w:val="21"/>
                <w:highlight w:val="none"/>
                <w:lang w:val="en-US" w:eastAsia="zh-CN"/>
              </w:rPr>
              <w:t>9</w:t>
            </w:r>
            <w:r>
              <w:rPr>
                <w:rFonts w:hint="eastAsia" w:ascii="宋体" w:hAnsi="宋体" w:cs="宋体"/>
                <w:b/>
                <w:color w:val="auto"/>
                <w:kern w:val="0"/>
                <w:szCs w:val="21"/>
                <w:highlight w:val="none"/>
              </w:rPr>
              <w:t>分)</w:t>
            </w:r>
          </w:p>
        </w:tc>
        <w:tc>
          <w:tcPr>
            <w:tcW w:w="845" w:type="dxa"/>
            <w:noWrap w:val="0"/>
            <w:vAlign w:val="center"/>
          </w:tcPr>
          <w:p>
            <w:pPr>
              <w:pStyle w:val="2"/>
              <w:ind w:left="0" w:leftChars="0" w:firstLine="0" w:firstLineChars="0"/>
              <w:jc w:val="center"/>
              <w:rPr>
                <w:rFonts w:ascii="宋体" w:hAnsi="宋体"/>
                <w:color w:val="auto"/>
                <w:szCs w:val="21"/>
                <w:highlight w:val="none"/>
              </w:rPr>
            </w:pPr>
            <w:r>
              <w:rPr>
                <w:rFonts w:hint="eastAsia"/>
                <w:lang w:val="en-US" w:eastAsia="zh-CN"/>
              </w:rPr>
              <w:t>培训方案</w:t>
            </w:r>
          </w:p>
        </w:tc>
        <w:tc>
          <w:tcPr>
            <w:tcW w:w="5519" w:type="dxa"/>
            <w:noWrap w:val="0"/>
            <w:vAlign w:val="center"/>
          </w:tcPr>
          <w:p>
            <w:pPr>
              <w:pStyle w:val="2"/>
              <w:ind w:left="0" w:leftChars="0" w:firstLine="0" w:firstLineChars="0"/>
              <w:rPr>
                <w:rFonts w:hint="eastAsia" w:ascii="仿宋" w:hAnsi="仿宋" w:eastAsia="仿宋"/>
                <w:sz w:val="24"/>
                <w:highlight w:val="none"/>
                <w:lang w:eastAsia="zh-CN"/>
              </w:rPr>
            </w:pPr>
            <w:r>
              <w:rPr>
                <w:rFonts w:hint="eastAsia" w:ascii="宋体" w:hAnsi="宋体"/>
                <w:color w:val="000000"/>
                <w:szCs w:val="21"/>
                <w:highlight w:val="none"/>
              </w:rPr>
              <w:t>根据投标人提供的培训计划分档打分：</w:t>
            </w:r>
            <w:r>
              <w:rPr>
                <w:rFonts w:hint="eastAsia" w:ascii="宋体" w:hAnsi="宋体"/>
                <w:color w:val="000000"/>
                <w:szCs w:val="21"/>
                <w:highlight w:val="none"/>
                <w:lang w:val="en-US" w:eastAsia="zh-CN"/>
              </w:rPr>
              <w:t>①</w:t>
            </w:r>
            <w:r>
              <w:rPr>
                <w:rFonts w:hint="eastAsia" w:ascii="宋体" w:hAnsi="宋体"/>
                <w:color w:val="000000"/>
                <w:szCs w:val="21"/>
                <w:highlight w:val="none"/>
              </w:rPr>
              <w:t>培训计划科学全面，培训流程完善得</w:t>
            </w:r>
            <w:r>
              <w:rPr>
                <w:rFonts w:hint="eastAsia" w:ascii="宋体" w:hAnsi="宋体"/>
                <w:color w:val="000000"/>
                <w:szCs w:val="21"/>
                <w:highlight w:val="none"/>
                <w:lang w:val="en-US" w:eastAsia="zh-CN"/>
              </w:rPr>
              <w:t>3-1.6</w:t>
            </w:r>
            <w:r>
              <w:rPr>
                <w:rFonts w:hint="eastAsia" w:ascii="宋体" w:hAnsi="宋体"/>
                <w:color w:val="000000"/>
                <w:szCs w:val="21"/>
                <w:highlight w:val="none"/>
              </w:rPr>
              <w:t>分</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②</w:t>
            </w:r>
            <w:r>
              <w:rPr>
                <w:rFonts w:hint="eastAsia" w:ascii="宋体" w:hAnsi="宋体"/>
                <w:color w:val="000000"/>
                <w:szCs w:val="21"/>
                <w:highlight w:val="none"/>
              </w:rPr>
              <w:t>培训计划</w:t>
            </w:r>
            <w:r>
              <w:rPr>
                <w:rFonts w:hint="eastAsia" w:ascii="宋体" w:hAnsi="宋体"/>
                <w:color w:val="000000"/>
                <w:szCs w:val="21"/>
                <w:highlight w:val="none"/>
                <w:lang w:val="en-US" w:eastAsia="zh-CN"/>
              </w:rPr>
              <w:t>一般</w:t>
            </w:r>
            <w:r>
              <w:rPr>
                <w:rFonts w:hint="eastAsia" w:ascii="宋体" w:hAnsi="宋体"/>
                <w:color w:val="000000"/>
                <w:szCs w:val="21"/>
                <w:highlight w:val="none"/>
              </w:rPr>
              <w:t>，培训流程</w:t>
            </w:r>
            <w:r>
              <w:rPr>
                <w:rFonts w:hint="eastAsia" w:ascii="宋体" w:hAnsi="宋体"/>
                <w:color w:val="000000"/>
                <w:szCs w:val="21"/>
                <w:highlight w:val="none"/>
                <w:lang w:val="en-US" w:eastAsia="zh-CN"/>
              </w:rPr>
              <w:t>相对</w:t>
            </w:r>
            <w:r>
              <w:rPr>
                <w:rFonts w:hint="eastAsia" w:ascii="宋体" w:hAnsi="宋体"/>
                <w:color w:val="000000"/>
                <w:szCs w:val="21"/>
                <w:highlight w:val="none"/>
              </w:rPr>
              <w:t>完善得</w:t>
            </w:r>
            <w:r>
              <w:rPr>
                <w:rFonts w:hint="eastAsia" w:ascii="宋体" w:hAnsi="宋体"/>
                <w:color w:val="000000"/>
                <w:szCs w:val="21"/>
                <w:highlight w:val="none"/>
                <w:lang w:val="en-US" w:eastAsia="zh-CN"/>
              </w:rPr>
              <w:t>1.5-</w:t>
            </w:r>
            <w:r>
              <w:rPr>
                <w:rFonts w:hint="eastAsia" w:ascii="宋体" w:hAnsi="宋体"/>
                <w:color w:val="000000"/>
                <w:szCs w:val="21"/>
                <w:highlight w:val="none"/>
              </w:rPr>
              <w:t>0分</w:t>
            </w:r>
            <w:r>
              <w:rPr>
                <w:rFonts w:hint="eastAsia" w:ascii="宋体" w:hAnsi="宋体"/>
                <w:color w:val="000000"/>
                <w:szCs w:val="21"/>
                <w:highlight w:val="none"/>
                <w:lang w:eastAsia="zh-CN"/>
              </w:rPr>
              <w:t>。</w:t>
            </w:r>
          </w:p>
        </w:tc>
        <w:tc>
          <w:tcPr>
            <w:tcW w:w="709" w:type="dxa"/>
            <w:noWrap w:val="0"/>
            <w:vAlign w:val="center"/>
          </w:tcPr>
          <w:p>
            <w:pPr>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0" w:type="dxa"/>
            <w:vMerge w:val="continue"/>
            <w:noWrap w:val="0"/>
            <w:vAlign w:val="center"/>
          </w:tcPr>
          <w:p>
            <w:pPr>
              <w:spacing w:line="360" w:lineRule="auto"/>
              <w:jc w:val="center"/>
              <w:rPr>
                <w:b/>
                <w:color w:val="auto"/>
                <w:kern w:val="0"/>
                <w:szCs w:val="21"/>
                <w:highlight w:val="none"/>
              </w:rPr>
            </w:pPr>
          </w:p>
        </w:tc>
        <w:tc>
          <w:tcPr>
            <w:tcW w:w="675" w:type="dxa"/>
            <w:vMerge w:val="continue"/>
            <w:noWrap w:val="0"/>
            <w:vAlign w:val="center"/>
          </w:tcPr>
          <w:p>
            <w:pPr>
              <w:spacing w:line="360" w:lineRule="auto"/>
              <w:jc w:val="center"/>
              <w:rPr>
                <w:rFonts w:hint="eastAsia" w:ascii="宋体" w:hAnsi="宋体" w:cs="宋体"/>
                <w:b/>
                <w:color w:val="auto"/>
                <w:kern w:val="0"/>
                <w:szCs w:val="21"/>
                <w:highlight w:val="none"/>
              </w:rPr>
            </w:pPr>
          </w:p>
        </w:tc>
        <w:tc>
          <w:tcPr>
            <w:tcW w:w="845" w:type="dxa"/>
            <w:noWrap w:val="0"/>
            <w:vAlign w:val="center"/>
          </w:tcPr>
          <w:p>
            <w:pPr>
              <w:jc w:val="center"/>
              <w:rPr>
                <w:rFonts w:hint="eastAsia" w:ascii="宋体" w:hAnsi="宋体"/>
                <w:color w:val="auto"/>
                <w:kern w:val="0"/>
                <w:szCs w:val="21"/>
                <w:highlight w:val="none"/>
              </w:rPr>
            </w:pPr>
            <w:r>
              <w:rPr>
                <w:rFonts w:hint="eastAsia" w:ascii="宋体" w:hAnsi="宋体"/>
                <w:color w:val="auto"/>
                <w:kern w:val="0"/>
                <w:szCs w:val="21"/>
                <w:highlight w:val="none"/>
                <w:lang w:val="en-US" w:eastAsia="zh-CN"/>
              </w:rPr>
              <w:t>售后服务</w:t>
            </w:r>
          </w:p>
        </w:tc>
        <w:tc>
          <w:tcPr>
            <w:tcW w:w="5519" w:type="dxa"/>
            <w:noWrap w:val="0"/>
            <w:vAlign w:val="center"/>
          </w:tcPr>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售后响应服务方案： ①能提供7×24小时的电话响应售后服务； ②提供每年365天的专业技术支持服务，随时解答解决采购人问题； ③出现一般性故障，接到维修通知后，在半小时内电话响应，在12小时内到达现场，在6小时内修复。 方案合理且能符合采购文件要求的视为满足，满足以上三项得1分，其余不得分。</w:t>
            </w:r>
          </w:p>
        </w:tc>
        <w:tc>
          <w:tcPr>
            <w:tcW w:w="709" w:type="dxa"/>
            <w:noWrap w:val="0"/>
            <w:vAlign w:val="center"/>
          </w:tcPr>
          <w:p>
            <w:pPr>
              <w:jc w:val="center"/>
              <w:rPr>
                <w:rFonts w:ascii="宋体" w:hAnsi="宋体"/>
                <w:color w:val="auto"/>
                <w:kern w:val="0"/>
                <w:szCs w:val="21"/>
                <w:highlight w:val="none"/>
              </w:rPr>
            </w:pPr>
            <w:r>
              <w:rPr>
                <w:rFonts w:ascii="宋体" w:hAnsi="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0" w:type="dxa"/>
            <w:vMerge w:val="continue"/>
            <w:noWrap w:val="0"/>
            <w:vAlign w:val="center"/>
          </w:tcPr>
          <w:p>
            <w:pPr>
              <w:spacing w:line="360" w:lineRule="auto"/>
              <w:jc w:val="center"/>
              <w:rPr>
                <w:b/>
                <w:color w:val="auto"/>
                <w:kern w:val="0"/>
                <w:szCs w:val="21"/>
                <w:highlight w:val="none"/>
              </w:rPr>
            </w:pPr>
          </w:p>
        </w:tc>
        <w:tc>
          <w:tcPr>
            <w:tcW w:w="675" w:type="dxa"/>
            <w:vMerge w:val="continue"/>
            <w:noWrap w:val="0"/>
            <w:vAlign w:val="center"/>
          </w:tcPr>
          <w:p>
            <w:pPr>
              <w:spacing w:line="360" w:lineRule="auto"/>
              <w:jc w:val="center"/>
              <w:rPr>
                <w:rFonts w:hint="eastAsia" w:ascii="宋体" w:hAnsi="宋体" w:cs="宋体"/>
                <w:b/>
                <w:color w:val="auto"/>
                <w:kern w:val="0"/>
                <w:szCs w:val="21"/>
                <w:highlight w:val="none"/>
              </w:rPr>
            </w:pPr>
          </w:p>
        </w:tc>
        <w:tc>
          <w:tcPr>
            <w:tcW w:w="845" w:type="dxa"/>
            <w:noWrap w:val="0"/>
            <w:vAlign w:val="center"/>
          </w:tcPr>
          <w:p>
            <w:pPr>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lang w:val="en-US" w:eastAsia="zh-CN"/>
              </w:rPr>
              <w:t>优惠方案</w:t>
            </w:r>
          </w:p>
        </w:tc>
        <w:tc>
          <w:tcPr>
            <w:tcW w:w="5519" w:type="dxa"/>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整体质保期在三年的基础上，</w:t>
            </w:r>
            <w:r>
              <w:rPr>
                <w:rFonts w:hint="eastAsia" w:ascii="宋体" w:hAnsi="宋体"/>
                <w:color w:val="auto"/>
                <w:kern w:val="0"/>
                <w:szCs w:val="21"/>
                <w:highlight w:val="none"/>
                <w:lang w:val="en-US" w:eastAsia="zh-CN"/>
              </w:rPr>
              <w:t>每增加一年</w:t>
            </w:r>
            <w:r>
              <w:rPr>
                <w:rFonts w:hint="eastAsia" w:ascii="宋体" w:hAnsi="宋体" w:eastAsia="宋体" w:cs="宋体"/>
                <w:color w:val="auto"/>
                <w:kern w:val="0"/>
                <w:szCs w:val="21"/>
                <w:highlight w:val="none"/>
              </w:rPr>
              <w:t>得1分，最多得2分，延长时间不足一年的不计入得分。</w:t>
            </w:r>
          </w:p>
        </w:tc>
        <w:tc>
          <w:tcPr>
            <w:tcW w:w="709" w:type="dxa"/>
            <w:noWrap w:val="0"/>
            <w:vAlign w:val="center"/>
          </w:tcPr>
          <w:p>
            <w:pPr>
              <w:jc w:val="center"/>
              <w:rPr>
                <w:rFonts w:ascii="宋体" w:hAnsi="宋体"/>
                <w:color w:val="auto"/>
                <w:kern w:val="0"/>
                <w:szCs w:val="21"/>
                <w:highlight w:val="none"/>
              </w:rPr>
            </w:pPr>
            <w:r>
              <w:rPr>
                <w:rFonts w:ascii="宋体" w:hAnsi="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0" w:type="dxa"/>
            <w:vMerge w:val="continue"/>
            <w:noWrap w:val="0"/>
            <w:vAlign w:val="center"/>
          </w:tcPr>
          <w:p>
            <w:pPr>
              <w:spacing w:line="360" w:lineRule="auto"/>
              <w:jc w:val="center"/>
              <w:rPr>
                <w:b/>
                <w:color w:val="auto"/>
                <w:kern w:val="0"/>
                <w:szCs w:val="21"/>
                <w:highlight w:val="none"/>
              </w:rPr>
            </w:pPr>
          </w:p>
        </w:tc>
        <w:tc>
          <w:tcPr>
            <w:tcW w:w="675" w:type="dxa"/>
            <w:vMerge w:val="continue"/>
            <w:noWrap w:val="0"/>
            <w:vAlign w:val="center"/>
          </w:tcPr>
          <w:p>
            <w:pPr>
              <w:spacing w:line="360" w:lineRule="auto"/>
              <w:jc w:val="center"/>
              <w:rPr>
                <w:rFonts w:hint="eastAsia" w:ascii="宋体" w:hAnsi="宋体" w:cs="宋体"/>
                <w:b/>
                <w:color w:val="auto"/>
                <w:kern w:val="0"/>
                <w:szCs w:val="21"/>
                <w:highlight w:val="none"/>
              </w:rPr>
            </w:pPr>
          </w:p>
        </w:tc>
        <w:tc>
          <w:tcPr>
            <w:tcW w:w="845" w:type="dxa"/>
            <w:noWrap w:val="0"/>
            <w:vAlign w:val="center"/>
          </w:tcPr>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特色方案</w:t>
            </w:r>
          </w:p>
        </w:tc>
        <w:tc>
          <w:tcPr>
            <w:tcW w:w="5519" w:type="dxa"/>
            <w:noWrap w:val="0"/>
            <w:vAlign w:val="center"/>
          </w:tcPr>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根据针对本项目提供的特色服务方案，进行综合打分：</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特色服务方案科学合理、操作性强的得3-1.6分；</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特色服务方案、操作性一般的得1.5-0分。</w:t>
            </w:r>
          </w:p>
        </w:tc>
        <w:tc>
          <w:tcPr>
            <w:tcW w:w="709" w:type="dxa"/>
            <w:noWrap w:val="0"/>
            <w:vAlign w:val="center"/>
          </w:tcPr>
          <w:p>
            <w:pPr>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345" w:type="dxa"/>
            <w:gridSpan w:val="2"/>
            <w:noWrap w:val="0"/>
            <w:vAlign w:val="center"/>
          </w:tcPr>
          <w:p>
            <w:pPr>
              <w:autoSpaceDE w:val="0"/>
              <w:autoSpaceDN w:val="0"/>
              <w:spacing w:line="360" w:lineRule="auto"/>
              <w:jc w:val="center"/>
              <w:rPr>
                <w:b/>
                <w:color w:val="auto"/>
                <w:kern w:val="0"/>
                <w:szCs w:val="21"/>
                <w:highlight w:val="none"/>
              </w:rPr>
            </w:pPr>
            <w:r>
              <w:rPr>
                <w:b/>
                <w:color w:val="auto"/>
                <w:kern w:val="0"/>
                <w:szCs w:val="21"/>
                <w:highlight w:val="none"/>
              </w:rPr>
              <w:t>价格</w:t>
            </w:r>
          </w:p>
          <w:p>
            <w:pPr>
              <w:autoSpaceDE w:val="0"/>
              <w:autoSpaceDN w:val="0"/>
              <w:spacing w:line="360" w:lineRule="auto"/>
              <w:jc w:val="center"/>
              <w:rPr>
                <w:b/>
                <w:color w:val="auto"/>
                <w:kern w:val="0"/>
                <w:szCs w:val="21"/>
                <w:highlight w:val="none"/>
              </w:rPr>
            </w:pPr>
            <w:r>
              <w:rPr>
                <w:rFonts w:hint="eastAsia"/>
                <w:b/>
                <w:color w:val="auto"/>
                <w:kern w:val="0"/>
                <w:szCs w:val="21"/>
                <w:highlight w:val="none"/>
              </w:rPr>
              <w:t>（30</w:t>
            </w:r>
            <w:r>
              <w:rPr>
                <w:b/>
                <w:color w:val="auto"/>
                <w:kern w:val="0"/>
                <w:szCs w:val="21"/>
                <w:highlight w:val="none"/>
              </w:rPr>
              <w:t>分</w:t>
            </w:r>
            <w:r>
              <w:rPr>
                <w:rFonts w:hint="eastAsia"/>
                <w:b/>
                <w:color w:val="auto"/>
                <w:kern w:val="0"/>
                <w:szCs w:val="21"/>
                <w:highlight w:val="none"/>
              </w:rPr>
              <w:t>）</w:t>
            </w:r>
          </w:p>
        </w:tc>
        <w:tc>
          <w:tcPr>
            <w:tcW w:w="6364" w:type="dxa"/>
            <w:gridSpan w:val="2"/>
            <w:noWrap w:val="0"/>
            <w:vAlign w:val="center"/>
          </w:tcPr>
          <w:p>
            <w:pPr>
              <w:jc w:val="left"/>
              <w:rPr>
                <w:rFonts w:ascii="宋体" w:hAnsi="宋体"/>
                <w:color w:val="auto"/>
                <w:kern w:val="0"/>
                <w:szCs w:val="21"/>
                <w:highlight w:val="none"/>
              </w:rPr>
            </w:pPr>
            <w:r>
              <w:rPr>
                <w:rFonts w:hint="eastAsia" w:ascii="宋体" w:hAnsi="宋体" w:cs="宋体"/>
                <w:color w:val="auto"/>
                <w:kern w:val="0"/>
                <w:sz w:val="21"/>
                <w:szCs w:val="21"/>
              </w:rPr>
              <w:t>以投标合格供应商有效投标总报价中的最低价为基准价，基准价为</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0分。投标报价得分＝（评标基准价/最终投标报价）×</w:t>
            </w:r>
            <w:r>
              <w:rPr>
                <w:rFonts w:hint="eastAsia" w:ascii="宋体" w:hAnsi="宋体" w:cs="宋体"/>
                <w:color w:val="auto"/>
                <w:kern w:val="0"/>
                <w:sz w:val="21"/>
                <w:szCs w:val="21"/>
                <w:u w:val="single"/>
                <w:lang w:val="en-US" w:eastAsia="zh-CN"/>
              </w:rPr>
              <w:t>3</w:t>
            </w:r>
            <w:r>
              <w:rPr>
                <w:rFonts w:hint="eastAsia" w:ascii="宋体" w:hAnsi="宋体" w:cs="宋体"/>
                <w:color w:val="auto"/>
                <w:kern w:val="0"/>
                <w:sz w:val="21"/>
                <w:szCs w:val="21"/>
                <w:u w:val="single"/>
              </w:rPr>
              <w:t>0%</w:t>
            </w:r>
            <w:r>
              <w:rPr>
                <w:rFonts w:hint="eastAsia" w:ascii="宋体" w:hAnsi="宋体" w:cs="宋体"/>
                <w:color w:val="auto"/>
                <w:kern w:val="0"/>
                <w:sz w:val="21"/>
                <w:szCs w:val="21"/>
              </w:rPr>
              <w:t>×100（小数点后保留2位小数）。（</w:t>
            </w:r>
            <w:r>
              <w:rPr>
                <w:rFonts w:hint="eastAsia" w:asciiTheme="minorEastAsia" w:hAnsiTheme="minorEastAsia" w:eastAsiaTheme="minorEastAsia" w:cstheme="minorEastAsia"/>
                <w:color w:val="000000" w:themeColor="text1"/>
                <w:sz w:val="21"/>
                <w:szCs w:val="21"/>
                <w14:textFill>
                  <w14:solidFill>
                    <w14:schemeClr w14:val="tx1"/>
                  </w14:solidFill>
                </w14:textFill>
              </w:rPr>
              <w:t>注：</w:t>
            </w:r>
            <w:r>
              <w:rPr>
                <w:rFonts w:hint="eastAsia" w:asciiTheme="minorEastAsia" w:hAnsiTheme="minorEastAsia" w:eastAsiaTheme="minorEastAsia" w:cstheme="minorEastAsia"/>
                <w:sz w:val="21"/>
                <w:szCs w:val="21"/>
              </w:rPr>
              <w:t>符</w:t>
            </w:r>
            <w:r>
              <w:rPr>
                <w:rFonts w:hint="eastAsia" w:asciiTheme="minorEastAsia" w:hAnsiTheme="minorEastAsia" w:eastAsiaTheme="minorEastAsia" w:cstheme="minorEastAsia"/>
                <w:sz w:val="21"/>
                <w:szCs w:val="21"/>
                <w:highlight w:val="none"/>
              </w:rPr>
              <w:t>合本章第</w:t>
            </w:r>
            <w:r>
              <w:rPr>
                <w:rFonts w:hint="eastAsia" w:asciiTheme="minorEastAsia" w:hAnsiTheme="minorEastAsia" w:eastAsiaTheme="minorEastAsia" w:cstheme="minorEastAsia"/>
                <w:sz w:val="21"/>
                <w:szCs w:val="21"/>
                <w:highlight w:val="none"/>
                <w:lang w:val="en-US" w:eastAsia="zh-CN"/>
              </w:rPr>
              <w:t>七</w:t>
            </w:r>
            <w:r>
              <w:rPr>
                <w:rFonts w:hint="eastAsia" w:asciiTheme="minorEastAsia" w:hAnsiTheme="minorEastAsia" w:eastAsiaTheme="minorEastAsia" w:cstheme="minorEastAsia"/>
                <w:sz w:val="21"/>
                <w:szCs w:val="21"/>
                <w:highlight w:val="none"/>
              </w:rPr>
              <w:t>点政府采购政策的，</w:t>
            </w:r>
            <w:r>
              <w:rPr>
                <w:rFonts w:hint="eastAsia" w:asciiTheme="minorEastAsia" w:hAnsiTheme="minorEastAsia" w:eastAsiaTheme="minorEastAsia" w:cstheme="minorEastAsia"/>
                <w:sz w:val="21"/>
                <w:szCs w:val="21"/>
                <w:highlight w:val="none"/>
                <w:lang w:val="en-US" w:eastAsia="zh-CN"/>
              </w:rPr>
              <w:t>根据对应情形，</w:t>
            </w:r>
            <w:r>
              <w:rPr>
                <w:rFonts w:hint="eastAsia" w:asciiTheme="minorEastAsia" w:hAnsiTheme="minorEastAsia" w:eastAsiaTheme="minorEastAsia" w:cstheme="minorEastAsia"/>
                <w:sz w:val="21"/>
                <w:szCs w:val="21"/>
                <w:highlight w:val="none"/>
              </w:rPr>
              <w:t>对报价给予</w:t>
            </w:r>
            <w:r>
              <w:rPr>
                <w:rFonts w:hint="eastAsia" w:asciiTheme="minorEastAsia" w:hAnsiTheme="minorEastAsia" w:eastAsiaTheme="minorEastAsia" w:cstheme="minorEastAsia"/>
                <w:sz w:val="21"/>
                <w:szCs w:val="21"/>
                <w:highlight w:val="none"/>
                <w:u w:val="single"/>
                <w:lang w:val="en-US" w:eastAsia="zh-CN"/>
              </w:rPr>
              <w:t xml:space="preserve"> 20%</w:t>
            </w:r>
            <w:r>
              <w:rPr>
                <w:rFonts w:hint="eastAsia" w:asciiTheme="minorEastAsia" w:hAnsiTheme="minorEastAsia" w:eastAsiaTheme="minorEastAsia" w:cstheme="minorEastAsia"/>
                <w:sz w:val="21"/>
                <w:szCs w:val="21"/>
                <w:highlight w:val="none"/>
                <w:u w:val="none"/>
              </w:rPr>
              <w:t xml:space="preserve"> </w:t>
            </w:r>
            <w:r>
              <w:rPr>
                <w:rFonts w:hint="eastAsia" w:asciiTheme="minorEastAsia" w:hAnsiTheme="minorEastAsia" w:eastAsiaTheme="minorEastAsia" w:cstheme="minorEastAsia"/>
                <w:sz w:val="21"/>
                <w:szCs w:val="21"/>
                <w:highlight w:val="none"/>
                <w:u w:val="none"/>
                <w:lang w:val="en-US" w:eastAsia="zh-CN"/>
              </w:rPr>
              <w:t>或</w:t>
            </w:r>
            <w:r>
              <w:rPr>
                <w:rFonts w:hint="eastAsia" w:asciiTheme="minorEastAsia" w:hAnsiTheme="minorEastAsia" w:eastAsiaTheme="minorEastAsia" w:cstheme="minorEastAsia"/>
                <w:sz w:val="21"/>
                <w:szCs w:val="21"/>
                <w:highlight w:val="none"/>
                <w:u w:val="single"/>
                <w:lang w:val="en-US" w:eastAsia="zh-CN"/>
              </w:rPr>
              <w:t xml:space="preserve"> 6%</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rPr>
              <w:t>价格扣除，用扣除后的价格参与评审。</w:t>
            </w:r>
            <w:r>
              <w:rPr>
                <w:rFonts w:hint="eastAsia" w:ascii="宋体" w:hAnsi="宋体" w:cs="宋体"/>
                <w:color w:val="auto"/>
                <w:kern w:val="0"/>
                <w:sz w:val="21"/>
                <w:szCs w:val="21"/>
              </w:rPr>
              <w:t>)</w:t>
            </w:r>
          </w:p>
        </w:tc>
        <w:tc>
          <w:tcPr>
            <w:tcW w:w="709" w:type="dxa"/>
            <w:noWrap w:val="0"/>
            <w:vAlign w:val="center"/>
          </w:tcPr>
          <w:p>
            <w:pPr>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30</w:t>
            </w:r>
          </w:p>
        </w:tc>
      </w:tr>
    </w:tbl>
    <w:p>
      <w:pPr>
        <w:rPr>
          <w:color w:val="auto"/>
          <w:highlight w:val="none"/>
        </w:rPr>
      </w:pPr>
    </w:p>
    <w:p>
      <w:pPr>
        <w:spacing w:line="360" w:lineRule="auto"/>
        <w:rPr>
          <w:rFonts w:hint="eastAsia"/>
          <w:highlight w:val="none"/>
        </w:rPr>
      </w:pPr>
      <w:r>
        <w:rPr>
          <w:rFonts w:hint="eastAsia"/>
          <w:highlight w:val="none"/>
        </w:rPr>
        <w:t>注：①请扫描上传合同、证书、报告及其他相关证明材料的原件</w:t>
      </w:r>
      <w:r>
        <w:rPr>
          <w:rFonts w:hint="eastAsia"/>
          <w:highlight w:val="none"/>
          <w:lang w:val="en-US" w:eastAsia="zh-CN"/>
        </w:rPr>
        <w:t>扫描件</w:t>
      </w:r>
      <w:r>
        <w:rPr>
          <w:rFonts w:hint="eastAsia"/>
          <w:highlight w:val="none"/>
        </w:rPr>
        <w:t>至投标文件，并加盖公章。</w:t>
      </w:r>
    </w:p>
    <w:p>
      <w:pPr>
        <w:spacing w:line="360" w:lineRule="auto"/>
        <w:rPr>
          <w:rFonts w:hint="eastAsia"/>
          <w:color w:val="auto"/>
        </w:rPr>
      </w:pPr>
      <w:r>
        <w:rPr>
          <w:rFonts w:hint="eastAsia"/>
          <w:color w:val="auto"/>
          <w:highlight w:val="none"/>
          <w:lang w:val="en-US" w:eastAsia="zh-CN"/>
        </w:rPr>
        <w:t>②对省级以上主管部门认定的首台套产品，自纳入《</w:t>
      </w:r>
      <w:r>
        <w:rPr>
          <w:rFonts w:hint="eastAsia"/>
          <w:color w:val="auto"/>
          <w:lang w:val="en-US" w:eastAsia="zh-CN"/>
        </w:rPr>
        <w:t>省推广应用指导目录》起三年内参加政府采购活动时,视同已具备相应销售业绩，业绩分为满分。</w:t>
      </w:r>
    </w:p>
    <w:p>
      <w:pPr>
        <w:pStyle w:val="19"/>
        <w:rPr>
          <w:rFonts w:hint="eastAsia" w:eastAsia="宋体"/>
          <w:lang w:val="en-US" w:eastAsia="zh-CN"/>
        </w:rPr>
      </w:pP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eastAsia="zh-CN"/>
        </w:rPr>
        <w:t>“</w:t>
      </w:r>
      <w:r>
        <w:rPr>
          <w:rFonts w:hint="eastAsia" w:ascii="宋体" w:hAnsi="宋体" w:cs="宋体"/>
          <w:sz w:val="24"/>
        </w:rPr>
        <w:t>政采云平台</w:t>
      </w:r>
      <w:r>
        <w:rPr>
          <w:rFonts w:hint="eastAsia" w:ascii="宋体" w:hAnsi="宋体" w:cs="宋体"/>
          <w:sz w:val="24"/>
          <w:lang w:eastAsia="zh-CN"/>
        </w:rPr>
        <w:t>”</w:t>
      </w:r>
      <w:r>
        <w:rPr>
          <w:rFonts w:hint="eastAsia" w:ascii="宋体" w:hAnsi="宋体" w:cs="宋体"/>
          <w:sz w:val="24"/>
        </w:rPr>
        <w:t>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17"/>
        <w:spacing w:before="0" w:beforeAutospacing="0" w:after="0" w:afterAutospacing="0" w:line="360" w:lineRule="auto"/>
        <w:ind w:firstLine="482" w:firstLineChars="200"/>
        <w:jc w:val="both"/>
        <w:rPr>
          <w:rFonts w:hint="default" w:asciiTheme="minorEastAsia" w:hAnsiTheme="minorEastAsia" w:eastAsiaTheme="minorEastAsia"/>
          <w:b/>
          <w:bCs/>
        </w:rPr>
      </w:pPr>
    </w:p>
    <w:p>
      <w:pPr>
        <w:rPr>
          <w:rFonts w:hint="default" w:asciiTheme="minorEastAsia" w:hAnsiTheme="minorEastAsia" w:eastAsiaTheme="minorEastAsia"/>
          <w:b/>
          <w:bCs/>
        </w:rPr>
      </w:pPr>
      <w:r>
        <w:rPr>
          <w:rFonts w:hint="default" w:asciiTheme="minorEastAsia" w:hAnsiTheme="minorEastAsia" w:eastAsiaTheme="minorEastAsia"/>
          <w:b/>
          <w:bCs/>
        </w:rPr>
        <w:br w:type="page"/>
      </w:r>
    </w:p>
    <w:p>
      <w:pPr>
        <w:spacing w:line="360" w:lineRule="auto"/>
        <w:jc w:val="center"/>
        <w:rPr>
          <w:rFonts w:asciiTheme="minorEastAsia" w:hAnsiTheme="minorEastAsia" w:eastAsiaTheme="minorEastAsia"/>
          <w:b/>
          <w:sz w:val="36"/>
          <w:szCs w:val="36"/>
        </w:rPr>
      </w:pPr>
      <w:bookmarkStart w:id="45" w:name="_Toc27944_WPSOffice_Level1"/>
      <w:r>
        <w:rPr>
          <w:rFonts w:hint="eastAsia" w:asciiTheme="minorEastAsia" w:hAnsiTheme="minorEastAsia" w:eastAsiaTheme="minorEastAsia"/>
          <w:b/>
          <w:sz w:val="36"/>
          <w:szCs w:val="36"/>
        </w:rPr>
        <w:t xml:space="preserve">第五章 </w:t>
      </w:r>
      <w:bookmarkEnd w:id="45"/>
      <w:r>
        <w:rPr>
          <w:rFonts w:hint="eastAsia" w:asciiTheme="minorEastAsia" w:hAnsiTheme="minorEastAsia" w:eastAsiaTheme="minorEastAsia"/>
          <w:b/>
          <w:sz w:val="36"/>
          <w:szCs w:val="36"/>
        </w:rPr>
        <w:t>拟签订的合同文本</w:t>
      </w:r>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11"/>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1"/>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11"/>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11"/>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一、合同文件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11"/>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由乙方赔偿甲方因此遭受的损失（包括但不限于应对及追偿过程中所支付的律师费、差旅费、诉讼费、保全费、鉴定费、评估费等）。</w:t>
      </w:r>
    </w:p>
    <w:p>
      <w:pPr>
        <w:pStyle w:val="11"/>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1"/>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eastAsia="zh-CN"/>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1"/>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11"/>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11"/>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11"/>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11"/>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1"/>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11"/>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w:t>
      </w:r>
      <w:r>
        <w:rPr>
          <w:rFonts w:hint="eastAsia" w:asciiTheme="minorEastAsia" w:hAnsiTheme="minorEastAsia" w:eastAsiaTheme="minorEastAsia"/>
          <w:sz w:val="24"/>
          <w:lang w:eastAsia="zh-CN"/>
        </w:rPr>
        <w:t>，</w:t>
      </w:r>
      <w:r>
        <w:rPr>
          <w:rFonts w:asciiTheme="minorEastAsia" w:hAnsiTheme="minorEastAsia" w:eastAsiaTheme="minorEastAsia"/>
          <w:sz w:val="24"/>
        </w:rPr>
        <w:t>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11"/>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11"/>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11"/>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w:t>
      </w:r>
      <w:r>
        <w:rPr>
          <w:rFonts w:hint="eastAsia" w:asciiTheme="minorEastAsia" w:hAnsiTheme="minorEastAsia" w:eastAsiaTheme="minorEastAsia"/>
          <w:sz w:val="24"/>
          <w:lang w:val="en-US" w:eastAsia="zh-CN"/>
        </w:rPr>
        <w:t>监管处</w:t>
      </w:r>
      <w:r>
        <w:rPr>
          <w:rFonts w:asciiTheme="minorEastAsia" w:hAnsiTheme="minorEastAsia" w:eastAsiaTheme="minorEastAsia"/>
          <w:sz w:val="24"/>
        </w:rPr>
        <w:t>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11"/>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10"/>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10"/>
        <w:widowControl/>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rPr>
        <w:t>（二</w:t>
      </w:r>
      <w:r>
        <w:rPr>
          <w:rFonts w:hint="eastAsia" w:asciiTheme="minorEastAsia" w:hAnsiTheme="minorEastAsia" w:eastAsiaTheme="minorEastAsia"/>
          <w:highlight w:val="none"/>
        </w:rPr>
        <w:t>）</w:t>
      </w:r>
      <w:r>
        <w:rPr>
          <w:rFonts w:asciiTheme="minorEastAsia" w:hAnsiTheme="minorEastAsia" w:eastAsiaTheme="minorEastAsia"/>
          <w:highlight w:val="none"/>
        </w:rPr>
        <w:t>本合同未尽事宜，遵照</w:t>
      </w:r>
      <w:r>
        <w:rPr>
          <w:rFonts w:hint="eastAsia" w:ascii="宋体" w:hAnsi="宋体" w:eastAsia="宋体" w:cs="宋体"/>
          <w:highlight w:val="none"/>
        </w:rPr>
        <w:t>《</w:t>
      </w:r>
      <w:r>
        <w:rPr>
          <w:rFonts w:hint="eastAsia" w:ascii="宋体" w:hAnsi="宋体" w:eastAsia="宋体" w:cs="宋体"/>
          <w:color w:val="111F2C"/>
          <w:szCs w:val="21"/>
          <w:highlight w:val="none"/>
          <w:shd w:val="clear" w:color="auto" w:fill="FFFFFF"/>
        </w:rPr>
        <w:t>中华人民共和国民法典</w:t>
      </w:r>
      <w:r>
        <w:rPr>
          <w:rFonts w:hint="eastAsia" w:ascii="宋体" w:hAnsi="宋体" w:eastAsia="宋体" w:cs="宋体"/>
          <w:highlight w:val="none"/>
        </w:rPr>
        <w:t>》有关</w:t>
      </w:r>
      <w:r>
        <w:rPr>
          <w:rFonts w:asciiTheme="minorEastAsia" w:hAnsiTheme="minorEastAsia" w:eastAsiaTheme="minorEastAsia"/>
          <w:highlight w:val="none"/>
        </w:rPr>
        <w:t>条文执行。</w:t>
      </w:r>
    </w:p>
    <w:p>
      <w:pPr>
        <w:pStyle w:val="10"/>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highlight w:val="none"/>
        </w:rPr>
        <w:t>（三）本合同一式</w:t>
      </w:r>
      <w:r>
        <w:rPr>
          <w:rFonts w:hint="eastAsia" w:asciiTheme="minorEastAsia" w:hAnsiTheme="minorEastAsia" w:eastAsiaTheme="minorEastAsia"/>
          <w:highlight w:val="none"/>
          <w:lang w:eastAsia="zh-CN"/>
        </w:rPr>
        <w:t>柒</w:t>
      </w:r>
      <w:r>
        <w:rPr>
          <w:rFonts w:hint="eastAsia" w:asciiTheme="minorEastAsia" w:hAnsiTheme="minorEastAsia" w:eastAsiaTheme="minorEastAsia"/>
          <w:highlight w:val="none"/>
        </w:rPr>
        <w:t>份，甲</w:t>
      </w:r>
      <w:r>
        <w:rPr>
          <w:rFonts w:hint="eastAsia" w:asciiTheme="minorEastAsia" w:hAnsiTheme="minorEastAsia" w:eastAsiaTheme="minorEastAsia"/>
          <w:highlight w:val="none"/>
          <w:lang w:eastAsia="zh-CN"/>
        </w:rPr>
        <w:t>方执伍份，</w:t>
      </w:r>
      <w:r>
        <w:rPr>
          <w:rFonts w:hint="eastAsia" w:asciiTheme="minorEastAsia" w:hAnsiTheme="minorEastAsia" w:eastAsiaTheme="minorEastAsia"/>
          <w:highlight w:val="none"/>
        </w:rPr>
        <w:t>乙双方执</w:t>
      </w:r>
      <w:r>
        <w:rPr>
          <w:rFonts w:hint="eastAsia" w:asciiTheme="minorEastAsia" w:hAnsiTheme="minorEastAsia" w:eastAsiaTheme="minorEastAsia"/>
          <w:highlight w:val="none"/>
          <w:lang w:eastAsia="zh-CN"/>
        </w:rPr>
        <w:t>贰</w:t>
      </w:r>
      <w:r>
        <w:rPr>
          <w:rFonts w:hint="eastAsia" w:asciiTheme="minorEastAsia" w:hAnsiTheme="minorEastAsia" w:eastAsiaTheme="minorEastAsia"/>
          <w:highlight w:val="none"/>
        </w:rPr>
        <w:t>份。本</w:t>
      </w:r>
      <w:r>
        <w:rPr>
          <w:rFonts w:hint="eastAsia" w:asciiTheme="minorEastAsia" w:hAnsiTheme="minorEastAsia" w:eastAsiaTheme="minorEastAsia"/>
        </w:rPr>
        <w:t>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hint="eastAsia" w:asciiTheme="minorEastAsia" w:hAnsiTheme="minorEastAsia" w:eastAsiaTheme="minorEastAsia"/>
          <w:b/>
          <w:sz w:val="36"/>
          <w:szCs w:val="36"/>
        </w:rPr>
      </w:pPr>
      <w:bookmarkStart w:id="46" w:name="_Toc5481_WPSOffice_Level1"/>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第六章 投标文件格式</w:t>
      </w:r>
      <w:bookmarkEnd w:id="46"/>
    </w:p>
    <w:p>
      <w:pPr>
        <w:rPr>
          <w:rFonts w:hint="eastAsia" w:ascii="宋体" w:hAnsi="宋体"/>
          <w:b/>
          <w:kern w:val="0"/>
          <w:sz w:val="28"/>
          <w:szCs w:val="28"/>
          <w:lang w:val="en-US" w:eastAsia="zh-CN"/>
        </w:rPr>
      </w:pPr>
      <w:r>
        <w:rPr>
          <w:rFonts w:hint="eastAsia" w:ascii="宋体" w:hAnsi="宋体"/>
          <w:b/>
          <w:kern w:val="0"/>
          <w:sz w:val="28"/>
          <w:szCs w:val="28"/>
          <w:lang w:val="en-US" w:eastAsia="zh-CN"/>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7" w:name="_Toc32372_WPSOffice_Level1"/>
      <w:bookmarkStart w:id="48" w:name="_Toc4956_WPSOffice_Level1"/>
      <w:bookmarkStart w:id="49" w:name="_Toc19093_WPSOffice_Level1"/>
      <w:r>
        <w:rPr>
          <w:rFonts w:hint="eastAsia"/>
          <w:sz w:val="52"/>
          <w:szCs w:val="52"/>
        </w:rPr>
        <w:t>项目名称</w:t>
      </w:r>
      <w:bookmarkEnd w:id="47"/>
      <w:bookmarkEnd w:id="48"/>
      <w:bookmarkEnd w:id="49"/>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19"/>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19"/>
      </w:pPr>
    </w:p>
    <w:p>
      <w:pPr>
        <w:spacing w:line="360" w:lineRule="auto"/>
        <w:jc w:val="center"/>
        <w:rPr>
          <w:rFonts w:hint="eastAsia"/>
          <w:b/>
          <w:bCs/>
          <w:sz w:val="36"/>
          <w:szCs w:val="36"/>
        </w:rPr>
      </w:pPr>
      <w:r>
        <w:rPr>
          <w:rFonts w:hint="eastAsia"/>
          <w:b/>
          <w:bCs/>
          <w:sz w:val="36"/>
          <w:szCs w:val="36"/>
        </w:rPr>
        <w:t>资格证明文件目录</w:t>
      </w:r>
    </w:p>
    <w:p>
      <w:pPr>
        <w:pStyle w:val="8"/>
      </w:pPr>
    </w:p>
    <w:p/>
    <w:p>
      <w:pPr>
        <w:numPr>
          <w:ilvl w:val="0"/>
          <w:numId w:val="14"/>
        </w:numPr>
        <w:spacing w:line="360" w:lineRule="auto"/>
        <w:ind w:hanging="5"/>
        <w:rPr>
          <w:rFonts w:hint="eastAsia"/>
          <w:sz w:val="28"/>
          <w:szCs w:val="36"/>
        </w:rPr>
      </w:pPr>
      <w:bookmarkStart w:id="50" w:name="_Toc27049_WPSOffice_Level1"/>
      <w:bookmarkStart w:id="51" w:name="_Toc12587_WPSOffice_Level1"/>
      <w:r>
        <w:rPr>
          <w:rFonts w:hint="eastAsia"/>
          <w:sz w:val="28"/>
          <w:szCs w:val="36"/>
        </w:rPr>
        <w:t>投标声明书（附件</w:t>
      </w:r>
      <w:r>
        <w:rPr>
          <w:rFonts w:hint="eastAsia"/>
          <w:sz w:val="28"/>
          <w:szCs w:val="36"/>
          <w:lang w:val="en-US" w:eastAsia="zh-CN"/>
        </w:rPr>
        <w:t>1</w:t>
      </w:r>
      <w:r>
        <w:rPr>
          <w:rFonts w:hint="eastAsia"/>
          <w:sz w:val="28"/>
          <w:szCs w:val="36"/>
        </w:rPr>
        <w:t>）</w:t>
      </w:r>
      <w:bookmarkEnd w:id="50"/>
      <w:bookmarkEnd w:id="51"/>
    </w:p>
    <w:p>
      <w:pPr>
        <w:numPr>
          <w:ilvl w:val="0"/>
          <w:numId w:val="14"/>
        </w:numPr>
        <w:spacing w:line="360" w:lineRule="auto"/>
        <w:ind w:hanging="5"/>
        <w:rPr>
          <w:sz w:val="28"/>
          <w:szCs w:val="36"/>
          <w:highlight w:val="none"/>
        </w:rPr>
      </w:pPr>
      <w:bookmarkStart w:id="52" w:name="_Toc25574_WPSOffice_Level1"/>
      <w:bookmarkStart w:id="53" w:name="_Toc28306_WPSOffice_Level1"/>
      <w:bookmarkStart w:id="54" w:name="_Toc32100_WPSOffice_Level1"/>
      <w:bookmarkStart w:id="55" w:name="_Toc29616_WPSOffice_Level1"/>
      <w:r>
        <w:rPr>
          <w:rFonts w:hint="eastAsia"/>
          <w:sz w:val="28"/>
          <w:szCs w:val="36"/>
          <w:highlight w:val="none"/>
        </w:rPr>
        <w:t>授权委托书</w:t>
      </w:r>
      <w:r>
        <w:rPr>
          <w:rFonts w:hint="eastAsia"/>
          <w:sz w:val="28"/>
          <w:szCs w:val="36"/>
          <w:highlight w:val="none"/>
          <w:lang w:val="en-US" w:eastAsia="zh-CN"/>
        </w:rPr>
        <w:t>或联合体授权委托书</w:t>
      </w:r>
      <w:r>
        <w:rPr>
          <w:rFonts w:hint="eastAsia"/>
          <w:sz w:val="28"/>
          <w:szCs w:val="36"/>
          <w:highlight w:val="none"/>
        </w:rPr>
        <w:t>（法定代表人办理投标事宜的，则无需提交授权委托书</w:t>
      </w:r>
      <w:r>
        <w:rPr>
          <w:rFonts w:hint="eastAsia"/>
          <w:sz w:val="28"/>
          <w:szCs w:val="36"/>
          <w:highlight w:val="none"/>
          <w:lang w:eastAsia="zh-CN"/>
        </w:rPr>
        <w:t>；</w:t>
      </w:r>
      <w:r>
        <w:rPr>
          <w:rFonts w:hint="eastAsia"/>
          <w:sz w:val="28"/>
          <w:szCs w:val="36"/>
          <w:highlight w:val="none"/>
          <w:lang w:val="en-US" w:eastAsia="zh-CN"/>
        </w:rPr>
        <w:t>以联合体形式投标时需提供联合体授权委托书</w:t>
      </w:r>
      <w:r>
        <w:rPr>
          <w:rFonts w:hint="eastAsia"/>
          <w:sz w:val="28"/>
          <w:szCs w:val="36"/>
          <w:highlight w:val="none"/>
        </w:rPr>
        <w:t>)（附件</w:t>
      </w:r>
      <w:r>
        <w:rPr>
          <w:rFonts w:hint="eastAsia"/>
          <w:sz w:val="28"/>
          <w:szCs w:val="36"/>
          <w:highlight w:val="none"/>
          <w:lang w:val="en-US" w:eastAsia="zh-CN"/>
        </w:rPr>
        <w:t>2-1、附件2-2</w:t>
      </w:r>
      <w:r>
        <w:rPr>
          <w:rFonts w:hint="eastAsia"/>
          <w:sz w:val="28"/>
          <w:szCs w:val="36"/>
          <w:highlight w:val="none"/>
        </w:rPr>
        <w:t>）</w:t>
      </w:r>
      <w:bookmarkEnd w:id="52"/>
      <w:bookmarkEnd w:id="53"/>
    </w:p>
    <w:p>
      <w:pPr>
        <w:numPr>
          <w:ilvl w:val="0"/>
          <w:numId w:val="14"/>
        </w:numPr>
        <w:spacing w:line="360" w:lineRule="auto"/>
        <w:ind w:hanging="5"/>
        <w:rPr>
          <w:rFonts w:hint="eastAsia"/>
          <w:sz w:val="28"/>
          <w:szCs w:val="36"/>
          <w:highlight w:val="none"/>
        </w:rPr>
      </w:pPr>
      <w:r>
        <w:rPr>
          <w:rFonts w:hint="eastAsia" w:ascii="Times New Roman" w:hAnsi="Times New Roman" w:eastAsia="宋体" w:cs="Times New Roman"/>
          <w:sz w:val="28"/>
          <w:szCs w:val="36"/>
          <w:highlight w:val="none"/>
        </w:rPr>
        <w:t>联合体共同投标协议书</w:t>
      </w:r>
      <w:r>
        <w:rPr>
          <w:rFonts w:hint="eastAsia"/>
          <w:sz w:val="28"/>
          <w:szCs w:val="36"/>
          <w:highlight w:val="none"/>
        </w:rPr>
        <w:t>（</w:t>
      </w:r>
      <w:r>
        <w:rPr>
          <w:rFonts w:hint="eastAsia"/>
          <w:sz w:val="28"/>
          <w:szCs w:val="36"/>
          <w:highlight w:val="none"/>
          <w:lang w:val="en-US" w:eastAsia="zh-CN"/>
        </w:rPr>
        <w:t>以</w:t>
      </w:r>
      <w:r>
        <w:rPr>
          <w:rFonts w:hint="eastAsia"/>
          <w:sz w:val="28"/>
          <w:szCs w:val="36"/>
          <w:highlight w:val="none"/>
          <w:lang w:eastAsia="zh-CN"/>
        </w:rPr>
        <w:t>联合体</w:t>
      </w:r>
      <w:r>
        <w:rPr>
          <w:rFonts w:hint="eastAsia"/>
          <w:sz w:val="28"/>
          <w:szCs w:val="36"/>
          <w:highlight w:val="none"/>
          <w:lang w:val="en-US" w:eastAsia="zh-CN"/>
        </w:rPr>
        <w:t>形式</w:t>
      </w:r>
      <w:r>
        <w:rPr>
          <w:rFonts w:hint="eastAsia"/>
          <w:sz w:val="28"/>
          <w:szCs w:val="36"/>
          <w:highlight w:val="none"/>
          <w:lang w:eastAsia="zh-CN"/>
        </w:rPr>
        <w:t>投标时需提供）（</w:t>
      </w:r>
      <w:r>
        <w:rPr>
          <w:rFonts w:hint="eastAsia"/>
          <w:sz w:val="28"/>
          <w:szCs w:val="36"/>
          <w:highlight w:val="none"/>
          <w:lang w:val="en-US" w:eastAsia="zh-CN"/>
        </w:rPr>
        <w:t>附件3</w:t>
      </w:r>
      <w:r>
        <w:rPr>
          <w:rFonts w:hint="eastAsia"/>
          <w:sz w:val="28"/>
          <w:szCs w:val="36"/>
          <w:highlight w:val="none"/>
        </w:rPr>
        <w:t>）</w:t>
      </w:r>
    </w:p>
    <w:p>
      <w:pPr>
        <w:numPr>
          <w:ilvl w:val="0"/>
          <w:numId w:val="14"/>
        </w:numPr>
        <w:spacing w:line="360" w:lineRule="auto"/>
        <w:ind w:hanging="5"/>
        <w:rPr>
          <w:rFonts w:hint="eastAsia"/>
          <w:sz w:val="28"/>
          <w:szCs w:val="36"/>
        </w:rPr>
      </w:pPr>
      <w:r>
        <w:rPr>
          <w:rFonts w:hint="eastAsia"/>
          <w:sz w:val="28"/>
          <w:szCs w:val="36"/>
          <w:highlight w:val="none"/>
        </w:rPr>
        <w:t>法人或者其他组织的营业执照等证明文件、自</w:t>
      </w:r>
      <w:r>
        <w:rPr>
          <w:rFonts w:hint="eastAsia"/>
          <w:sz w:val="28"/>
          <w:szCs w:val="36"/>
        </w:rPr>
        <w:t>然人的身份证明</w:t>
      </w:r>
      <w:bookmarkEnd w:id="54"/>
      <w:bookmarkEnd w:id="55"/>
    </w:p>
    <w:p>
      <w:pPr>
        <w:numPr>
          <w:ilvl w:val="0"/>
          <w:numId w:val="14"/>
        </w:numPr>
        <w:spacing w:line="360" w:lineRule="auto"/>
        <w:ind w:hanging="5"/>
        <w:rPr>
          <w:rFonts w:hint="eastAsia"/>
          <w:sz w:val="28"/>
          <w:szCs w:val="36"/>
        </w:rPr>
      </w:pPr>
      <w:bookmarkStart w:id="56" w:name="_Toc2696_WPSOffice_Level1"/>
      <w:bookmarkStart w:id="57" w:name="_Toc30751_WPSOffice_Level1"/>
      <w:r>
        <w:rPr>
          <w:rFonts w:hint="eastAsia"/>
          <w:sz w:val="28"/>
          <w:szCs w:val="36"/>
        </w:rPr>
        <w:t>符合参与政府采购活动的资格条件并且没有税收缴纳、社会保障等方面的失信记录的承诺函</w:t>
      </w:r>
    </w:p>
    <w:p>
      <w:pPr>
        <w:numPr>
          <w:ilvl w:val="0"/>
          <w:numId w:val="14"/>
        </w:numPr>
        <w:spacing w:line="360" w:lineRule="auto"/>
        <w:ind w:hanging="5"/>
        <w:rPr>
          <w:rFonts w:hint="eastAsia"/>
          <w:sz w:val="28"/>
          <w:szCs w:val="36"/>
        </w:rPr>
      </w:pPr>
      <w:r>
        <w:rPr>
          <w:rFonts w:hint="eastAsia"/>
          <w:sz w:val="28"/>
          <w:szCs w:val="36"/>
        </w:rPr>
        <w:t>具备履行合同所必需的设备和专业技术能力的证明材料</w:t>
      </w:r>
      <w:bookmarkEnd w:id="56"/>
      <w:bookmarkEnd w:id="57"/>
    </w:p>
    <w:p>
      <w:pPr>
        <w:numPr>
          <w:ilvl w:val="0"/>
          <w:numId w:val="14"/>
        </w:numPr>
        <w:spacing w:line="360" w:lineRule="auto"/>
        <w:ind w:hanging="5"/>
        <w:rPr>
          <w:rFonts w:hint="eastAsia"/>
          <w:sz w:val="28"/>
          <w:szCs w:val="36"/>
        </w:rPr>
      </w:pPr>
      <w:bookmarkStart w:id="58" w:name="_Toc4587_WPSOffice_Level1"/>
      <w:bookmarkStart w:id="59" w:name="_Toc14150_WPSOffice_Level1"/>
      <w:r>
        <w:rPr>
          <w:rFonts w:hint="eastAsia"/>
          <w:sz w:val="28"/>
          <w:szCs w:val="36"/>
        </w:rPr>
        <w:t>本项目要求的特定资质证书</w:t>
      </w:r>
      <w:bookmarkEnd w:id="58"/>
      <w:bookmarkEnd w:id="59"/>
    </w:p>
    <w:p>
      <w:pPr>
        <w:spacing w:line="360" w:lineRule="auto"/>
        <w:ind w:firstLine="482" w:firstLineChars="200"/>
        <w:rPr>
          <w:rFonts w:ascii="宋体" w:hAnsi="宋体"/>
          <w:b/>
          <w:sz w:val="24"/>
        </w:rPr>
      </w:pPr>
    </w:p>
    <w:p>
      <w:pPr>
        <w:spacing w:line="360" w:lineRule="auto"/>
        <w:ind w:left="420"/>
        <w:rPr>
          <w:rFonts w:ascii="宋体" w:hAnsi="宋体"/>
          <w:b/>
          <w:sz w:val="28"/>
        </w:rPr>
      </w:pPr>
    </w:p>
    <w:p>
      <w:pPr>
        <w:pStyle w:val="26"/>
        <w:rPr>
          <w:rFonts w:ascii="宋体" w:hAnsi="宋体"/>
          <w:b/>
          <w:sz w:val="28"/>
        </w:rPr>
      </w:pPr>
    </w:p>
    <w:p>
      <w:pPr>
        <w:pStyle w:val="26"/>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rPr>
          <w:rFonts w:ascii="宋体" w:hAnsi="宋体"/>
          <w:b/>
          <w:sz w:val="28"/>
        </w:rPr>
      </w:pPr>
      <w:r>
        <w:rPr>
          <w:rFonts w:ascii="宋体" w:hAnsi="宋体"/>
          <w:b/>
          <w:sz w:val="28"/>
        </w:rPr>
        <w:br w:type="page"/>
      </w:r>
    </w:p>
    <w:p>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pPr>
        <w:adjustRightInd w:val="0"/>
        <w:snapToGrid w:val="0"/>
        <w:spacing w:line="312" w:lineRule="auto"/>
        <w:ind w:right="480"/>
        <w:jc w:val="center"/>
        <w:rPr>
          <w:rFonts w:ascii="宋体" w:hAnsi="宋体"/>
          <w:b/>
          <w:kern w:val="0"/>
          <w:sz w:val="32"/>
          <w:szCs w:val="32"/>
          <w:lang w:val="zh-CN"/>
        </w:rPr>
      </w:pPr>
      <w:bookmarkStart w:id="60" w:name="_Toc30723_WPSOffice_Level1"/>
      <w:bookmarkStart w:id="61" w:name="_Toc31708_WPSOffice_Level1"/>
      <w:r>
        <w:rPr>
          <w:rFonts w:hint="eastAsia" w:ascii="宋体" w:hAnsi="宋体"/>
          <w:b/>
          <w:kern w:val="0"/>
          <w:sz w:val="32"/>
          <w:szCs w:val="32"/>
          <w:lang w:val="zh-CN"/>
        </w:rPr>
        <w:t>投标声明书</w:t>
      </w:r>
      <w:bookmarkEnd w:id="60"/>
      <w:bookmarkEnd w:id="61"/>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5"/>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5"/>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15"/>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15"/>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15"/>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15"/>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adjustRightInd w:val="0"/>
        <w:snapToGrid w:val="0"/>
        <w:spacing w:line="360" w:lineRule="auto"/>
        <w:ind w:right="480"/>
        <w:rPr>
          <w:rFonts w:hint="default" w:ascii="宋体" w:eastAsia="宋体"/>
          <w:b/>
          <w:sz w:val="30"/>
          <w:szCs w:val="30"/>
          <w:lang w:val="en-US" w:eastAsia="zh-CN"/>
        </w:rPr>
      </w:pPr>
      <w:r>
        <w:rPr>
          <w:rFonts w:hint="eastAsia" w:ascii="宋体" w:hAnsi="宋体"/>
          <w:b/>
          <w:sz w:val="28"/>
        </w:rPr>
        <w:t>附件</w:t>
      </w:r>
      <w:r>
        <w:rPr>
          <w:rFonts w:hint="eastAsia" w:ascii="宋体" w:hAnsi="宋体"/>
          <w:b/>
          <w:sz w:val="28"/>
          <w:lang w:val="en-US" w:eastAsia="zh-CN"/>
        </w:rPr>
        <w:t>2-1</w:t>
      </w:r>
    </w:p>
    <w:p>
      <w:pPr>
        <w:spacing w:line="360" w:lineRule="auto"/>
        <w:ind w:firstLine="321" w:firstLineChars="100"/>
        <w:jc w:val="center"/>
        <w:rPr>
          <w:rFonts w:hAnsi="宋体"/>
          <w:b/>
          <w:sz w:val="32"/>
          <w:szCs w:val="32"/>
          <w:u w:val="single"/>
        </w:rPr>
      </w:pPr>
      <w:bookmarkStart w:id="62" w:name="_Toc24373_WPSOffice_Level1"/>
      <w:bookmarkStart w:id="63" w:name="_Toc6870_WPSOffice_Level1"/>
      <w:r>
        <w:rPr>
          <w:b/>
          <w:sz w:val="32"/>
          <w:szCs w:val="32"/>
        </w:rPr>
        <w:t>授权</w:t>
      </w:r>
      <w:r>
        <w:rPr>
          <w:rFonts w:hint="eastAsia"/>
          <w:b/>
          <w:sz w:val="32"/>
          <w:szCs w:val="32"/>
        </w:rPr>
        <w:t>委托</w:t>
      </w:r>
      <w:r>
        <w:rPr>
          <w:b/>
          <w:sz w:val="32"/>
          <w:szCs w:val="32"/>
        </w:rPr>
        <w:t>书</w:t>
      </w:r>
      <w:bookmarkEnd w:id="62"/>
      <w:bookmarkEnd w:id="63"/>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pPr>
        <w:pStyle w:val="11"/>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1"/>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hint="eastAsia" w:ascii="宋体"/>
          <w:sz w:val="24"/>
        </w:rPr>
      </w:pPr>
      <w:r>
        <w:rPr>
          <w:rFonts w:hint="eastAsia" w:ascii="宋体"/>
          <w:sz w:val="24"/>
        </w:rPr>
        <w:t>邮政编码：</w:t>
      </w:r>
    </w:p>
    <w:p>
      <w:pPr>
        <w:rPr>
          <w:rFonts w:hint="eastAsia" w:ascii="宋体"/>
          <w:sz w:val="24"/>
        </w:rPr>
      </w:pPr>
      <w:r>
        <w:rPr>
          <w:rFonts w:hint="eastAsia" w:ascii="宋体"/>
          <w:sz w:val="24"/>
        </w:rPr>
        <w:br w:type="page"/>
      </w:r>
    </w:p>
    <w:p>
      <w:pPr>
        <w:adjustRightInd w:val="0"/>
        <w:snapToGrid w:val="0"/>
        <w:spacing w:line="360" w:lineRule="auto"/>
        <w:ind w:right="480"/>
        <w:rPr>
          <w:rFonts w:hint="default" w:ascii="宋体" w:hAnsi="宋体" w:eastAsia="宋体" w:cs="宋体"/>
          <w:b/>
          <w:bCs/>
          <w:color w:val="auto"/>
          <w:sz w:val="32"/>
          <w:szCs w:val="32"/>
          <w:u w:val="none"/>
          <w:lang w:val="en-US" w:eastAsia="zh-CN"/>
        </w:rPr>
      </w:pPr>
      <w:r>
        <w:rPr>
          <w:rFonts w:hint="eastAsia" w:ascii="宋体" w:hAnsi="宋体"/>
          <w:b/>
          <w:sz w:val="28"/>
        </w:rPr>
        <w:t>附件</w:t>
      </w:r>
      <w:r>
        <w:rPr>
          <w:rFonts w:hint="eastAsia" w:ascii="宋体" w:hAnsi="宋体"/>
          <w:b/>
          <w:sz w:val="28"/>
          <w:lang w:val="en-US" w:eastAsia="zh-CN"/>
        </w:rPr>
        <w:t>2-2</w:t>
      </w:r>
    </w:p>
    <w:p>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pPr>
        <w:pStyle w:val="11"/>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val="en-US" w:eastAsia="zh-CN"/>
        </w:rPr>
        <w:t>、</w:t>
      </w:r>
      <w:r>
        <w:rPr>
          <w:rFonts w:hAnsi="宋体"/>
          <w:color w:val="auto"/>
          <w:sz w:val="24"/>
          <w:u w:val="single"/>
        </w:rPr>
        <w:t>（</w:t>
      </w:r>
      <w:r>
        <w:rPr>
          <w:rFonts w:hint="eastAsia" w:hAnsi="宋体"/>
          <w:color w:val="auto"/>
          <w:sz w:val="24"/>
          <w:u w:val="single"/>
          <w:lang w:eastAsia="zh-CN"/>
        </w:rPr>
        <w:t>联</w:t>
      </w:r>
      <w:r>
        <w:rPr>
          <w:rFonts w:hint="eastAsia" w:hAnsi="宋体"/>
          <w:color w:val="auto"/>
          <w:sz w:val="24"/>
          <w:szCs w:val="24"/>
          <w:u w:val="single"/>
          <w:lang w:eastAsia="zh-CN"/>
        </w:rPr>
        <w:t>合体</w:t>
      </w:r>
      <w:r>
        <w:rPr>
          <w:rFonts w:hint="eastAsia" w:hAnsi="宋体"/>
          <w:color w:val="auto"/>
          <w:sz w:val="24"/>
          <w:szCs w:val="24"/>
          <w:u w:val="single"/>
          <w:lang w:val="en-US" w:eastAsia="zh-CN"/>
        </w:rPr>
        <w:t>成员2</w:t>
      </w:r>
      <w:r>
        <w:rPr>
          <w:rFonts w:hint="eastAsia" w:hAnsi="宋体"/>
          <w:color w:val="auto"/>
          <w:sz w:val="24"/>
          <w:szCs w:val="24"/>
          <w:u w:val="single"/>
          <w:lang w:eastAsia="zh-CN"/>
        </w:rPr>
        <w:t>公司</w:t>
      </w:r>
      <w:r>
        <w:rPr>
          <w:rFonts w:hAnsi="宋体"/>
          <w:color w:val="auto"/>
          <w:sz w:val="24"/>
          <w:szCs w:val="24"/>
          <w:u w:val="single"/>
        </w:rPr>
        <w:t xml:space="preserve">全称）  </w:t>
      </w:r>
      <w:r>
        <w:rPr>
          <w:rFonts w:hAnsi="宋体"/>
          <w:color w:val="auto"/>
          <w:sz w:val="24"/>
          <w:szCs w:val="24"/>
        </w:rPr>
        <w:t>法定代表人</w:t>
      </w:r>
      <w:r>
        <w:rPr>
          <w:rFonts w:hint="eastAsia" w:ascii="Arial" w:hAnsi="Arial" w:cs="Arial"/>
          <w:color w:val="auto"/>
          <w:sz w:val="24"/>
          <w:szCs w:val="24"/>
        </w:rPr>
        <w:t>（或营业执照中单位负责人）</w:t>
      </w:r>
      <w:r>
        <w:rPr>
          <w:rFonts w:hAnsi="宋体"/>
          <w:color w:val="auto"/>
          <w:sz w:val="24"/>
          <w:szCs w:val="24"/>
          <w:u w:val="single"/>
        </w:rPr>
        <w:tab/>
      </w:r>
      <w:r>
        <w:rPr>
          <w:rFonts w:hint="eastAsia" w:hAnsi="宋体"/>
          <w:color w:val="auto"/>
          <w:sz w:val="24"/>
          <w:szCs w:val="24"/>
          <w:u w:val="single"/>
          <w:lang w:val="en-US" w:eastAsia="zh-CN"/>
        </w:rPr>
        <w:t xml:space="preserve">     </w:t>
      </w:r>
      <w:r>
        <w:rPr>
          <w:rFonts w:hAnsi="宋体"/>
          <w:color w:val="auto"/>
          <w:sz w:val="24"/>
          <w:szCs w:val="24"/>
          <w:u w:val="single"/>
        </w:rPr>
        <w:t xml:space="preserve"> </w:t>
      </w:r>
      <w:r>
        <w:rPr>
          <w:rFonts w:hint="eastAsia" w:hAnsi="宋体"/>
          <w:color w:val="auto"/>
          <w:sz w:val="24"/>
          <w:szCs w:val="24"/>
          <w:u w:val="single"/>
          <w:lang w:val="en-US" w:eastAsia="zh-CN"/>
        </w:rPr>
        <w:t xml:space="preserve">              </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、签约等具体事务和签署相关文件。</w:t>
      </w:r>
      <w:r>
        <w:rPr>
          <w:rFonts w:hint="eastAsia" w:hAnsi="宋体"/>
          <w:sz w:val="24"/>
          <w:szCs w:val="24"/>
        </w:rPr>
        <w:t>我方对全权代表的签字事项负全部责任。</w:t>
      </w:r>
    </w:p>
    <w:p>
      <w:pPr>
        <w:pStyle w:val="11"/>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pPr>
        <w:spacing w:line="360" w:lineRule="auto"/>
        <w:rPr>
          <w:color w:val="auto"/>
          <w:sz w:val="24"/>
        </w:rPr>
      </w:pP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p>
    <w:p>
      <w:pPr>
        <w:spacing w:line="360" w:lineRule="auto"/>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日期：</w:t>
      </w: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p>
      <w:pPr>
        <w:spacing w:line="360" w:lineRule="auto"/>
        <w:rPr>
          <w:rFonts w:hint="eastAsia" w:hAnsi="宋体"/>
          <w:color w:val="auto"/>
          <w:sz w:val="24"/>
          <w:u w:val="none"/>
          <w:lang w:eastAsia="zh-CN"/>
        </w:rPr>
      </w:pPr>
    </w:p>
    <w:tbl>
      <w:tblPr>
        <w:tblStyle w:val="20"/>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p>
      <w:pPr>
        <w:spacing w:line="360" w:lineRule="auto"/>
        <w:rPr>
          <w:rFonts w:hint="eastAsia" w:hAnsi="宋体"/>
          <w:color w:val="auto"/>
          <w:sz w:val="24"/>
          <w:u w:val="none"/>
          <w:lang w:eastAsia="zh-CN"/>
        </w:rPr>
      </w:pPr>
    </w:p>
    <w:p>
      <w:pPr>
        <w:spacing w:line="360" w:lineRule="auto"/>
        <w:rPr>
          <w:rFonts w:hint="eastAsia" w:ascii="宋体"/>
          <w:sz w:val="24"/>
        </w:rPr>
      </w:pPr>
    </w:p>
    <w:tbl>
      <w:tblPr>
        <w:tblStyle w:val="20"/>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hint="eastAsia"/>
        </w:rPr>
        <w:sectPr>
          <w:pgSz w:w="11906" w:h="16838"/>
          <w:pgMar w:top="1701" w:right="1418" w:bottom="1588" w:left="1418" w:header="851" w:footer="851" w:gutter="0"/>
          <w:cols w:space="720" w:num="1"/>
          <w:docGrid w:linePitch="312" w:charSpace="0"/>
        </w:sectPr>
      </w:pPr>
    </w:p>
    <w:p>
      <w:pPr>
        <w:rPr>
          <w:rFonts w:hint="default" w:ascii="宋体" w:hAnsi="宋体"/>
          <w:b/>
          <w:sz w:val="28"/>
          <w:lang w:val="en-US" w:eastAsia="zh-CN"/>
        </w:rPr>
      </w:pPr>
      <w:r>
        <w:rPr>
          <w:rFonts w:hint="eastAsia" w:ascii="宋体" w:hAnsi="宋体"/>
          <w:b/>
          <w:sz w:val="28"/>
          <w:lang w:val="en-US" w:eastAsia="zh-CN"/>
        </w:rPr>
        <w:t>附件3</w:t>
      </w:r>
    </w:p>
    <w:p>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pPr>
        <w:numPr>
          <w:ilvl w:val="0"/>
          <w:numId w:val="16"/>
        </w:numPr>
        <w:snapToGrid w:val="0"/>
        <w:spacing w:line="360" w:lineRule="auto"/>
        <w:ind w:firstLine="576"/>
        <w:rPr>
          <w:rFonts w:hint="eastAsia"/>
          <w:kern w:val="0"/>
          <w:sz w:val="24"/>
          <w:szCs w:val="24"/>
          <w:u w:val="single"/>
          <w:lang w:val="en-US" w:eastAsia="zh-CN"/>
        </w:rPr>
      </w:pPr>
      <w:r>
        <w:rPr>
          <w:kern w:val="0"/>
          <w:sz w:val="24"/>
          <w:szCs w:val="24"/>
          <w:u w:val="single"/>
        </w:rPr>
        <w:t>（某联合体成员名称）</w:t>
      </w:r>
      <w:r>
        <w:rPr>
          <w:rFonts w:hint="eastAsia"/>
          <w:kern w:val="0"/>
          <w:sz w:val="24"/>
          <w:szCs w:val="24"/>
          <w:u w:val="single"/>
          <w:lang w:val="en-US" w:eastAsia="zh-CN"/>
        </w:rPr>
        <w:t xml:space="preserve"> 为联合体的牵头人。</w:t>
      </w:r>
    </w:p>
    <w:p>
      <w:pPr>
        <w:numPr>
          <w:ilvl w:val="0"/>
          <w:numId w:val="16"/>
        </w:numPr>
        <w:snapToGrid w:val="0"/>
        <w:spacing w:line="360" w:lineRule="auto"/>
        <w:ind w:firstLine="576"/>
        <w:rPr>
          <w:rFonts w:hint="default"/>
          <w:lang w:val="en-US" w:eastAsia="zh-CN"/>
        </w:rPr>
      </w:pP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物，负责合同实施阶段的主办、组织和协调工作。</w:t>
      </w:r>
    </w:p>
    <w:p>
      <w:pPr>
        <w:numPr>
          <w:ilvl w:val="0"/>
          <w:numId w:val="16"/>
        </w:numPr>
        <w:snapToGrid w:val="0"/>
        <w:spacing w:line="360" w:lineRule="auto"/>
        <w:ind w:firstLine="576"/>
        <w:rPr>
          <w:lang w:val="zh-CN"/>
        </w:rPr>
      </w:pPr>
      <w:r>
        <w:rPr>
          <w:rFonts w:hint="eastAsia"/>
          <w:kern w:val="0"/>
          <w:sz w:val="24"/>
          <w:szCs w:val="24"/>
          <w:lang w:val="en-US" w:eastAsia="zh-CN"/>
        </w:rPr>
        <w:t>联合体将严格按照招标文件的各项要求，递交投标文件，履行合同，并对外承担连带责任。</w:t>
      </w:r>
    </w:p>
    <w:p>
      <w:pPr>
        <w:numPr>
          <w:ilvl w:val="0"/>
          <w:numId w:val="16"/>
        </w:numPr>
        <w:snapToGrid w:val="0"/>
        <w:spacing w:line="360" w:lineRule="auto"/>
        <w:ind w:firstLine="576"/>
        <w:rPr>
          <w:kern w:val="0"/>
          <w:sz w:val="24"/>
          <w:szCs w:val="24"/>
          <w:u w:val="none"/>
          <w:lang w:val="zh-CN"/>
        </w:rPr>
      </w:pP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pPr>
        <w:numPr>
          <w:ilvl w:val="0"/>
          <w:numId w:val="16"/>
        </w:numPr>
        <w:snapToGrid w:val="0"/>
        <w:spacing w:line="360" w:lineRule="auto"/>
        <w:ind w:firstLine="576"/>
        <w:rPr>
          <w:rFonts w:hint="default" w:ascii="Times New Roman" w:hAnsi="Times New Roman" w:cs="Times New Roman"/>
          <w:kern w:val="0"/>
          <w:sz w:val="24"/>
          <w:szCs w:val="24"/>
          <w:lang w:val="en-US" w:eastAsia="zh-CN"/>
        </w:rPr>
      </w:pP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pPr>
        <w:numPr>
          <w:ilvl w:val="0"/>
          <w:numId w:val="16"/>
        </w:numPr>
        <w:snapToGrid w:val="0"/>
        <w:spacing w:line="360" w:lineRule="auto"/>
        <w:ind w:firstLine="576"/>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各方具体的的责任、权利、义务，在中标后经各方协商后报采购人同意后在合同中明确。</w:t>
      </w:r>
    </w:p>
    <w:p>
      <w:pPr>
        <w:numPr>
          <w:ilvl w:val="0"/>
          <w:numId w:val="16"/>
        </w:numPr>
        <w:snapToGrid w:val="0"/>
        <w:spacing w:line="360" w:lineRule="auto"/>
        <w:ind w:firstLine="576"/>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pPr>
        <w:numPr>
          <w:ilvl w:val="0"/>
          <w:numId w:val="16"/>
        </w:numPr>
        <w:snapToGrid w:val="0"/>
        <w:spacing w:line="360" w:lineRule="auto"/>
        <w:ind w:firstLine="576"/>
        <w:rPr>
          <w:kern w:val="0"/>
          <w:sz w:val="24"/>
          <w:szCs w:val="24"/>
          <w:lang w:val="zh-CN"/>
        </w:rPr>
      </w:pPr>
      <w:r>
        <w:rPr>
          <w:rFonts w:hint="eastAsia" w:ascii="Times New Roman" w:hAnsi="Times New Roman" w:cs="Times New Roman"/>
          <w:kern w:val="0"/>
          <w:sz w:val="24"/>
          <w:szCs w:val="24"/>
          <w:lang w:val="en-US" w:eastAsia="zh-CN"/>
        </w:rPr>
        <w:t>未中标，本协议自动废止。</w:t>
      </w:r>
    </w:p>
    <w:p>
      <w:pPr>
        <w:pStyle w:val="8"/>
        <w:rPr>
          <w:lang w:val="zh-CN"/>
        </w:rPr>
      </w:pPr>
    </w:p>
    <w:p>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pPr>
        <w:snapToGrid w:val="0"/>
        <w:spacing w:line="360" w:lineRule="auto"/>
        <w:rPr>
          <w:rFonts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签订日期：   年   月   日</w:t>
      </w:r>
    </w:p>
    <w:p>
      <w:pPr>
        <w:snapToGrid w:val="0"/>
        <w:spacing w:line="360" w:lineRule="auto"/>
        <w:jc w:val="center"/>
        <w:sectPr>
          <w:pgSz w:w="11906" w:h="16838"/>
          <w:pgMar w:top="1701" w:right="1448" w:bottom="1531" w:left="1418" w:header="851" w:footer="851" w:gutter="0"/>
          <w:cols w:space="720" w:num="1"/>
          <w:docGrid w:linePitch="312" w:charSpace="0"/>
        </w:sectPr>
      </w:pPr>
      <w:r>
        <w:rPr>
          <w:rFonts w:hint="eastAsia" w:ascii="Times New Roman" w:hAnsi="Times New Roman" w:cs="Times New Roman"/>
          <w:kern w:val="0"/>
          <w:sz w:val="24"/>
          <w:szCs w:val="24"/>
          <w:lang w:val="en-US" w:eastAsia="zh-CN"/>
        </w:rPr>
        <w:t>（注：联合体各方成员应在本协议上共同盖章，不得分别签署协议书</w:t>
      </w:r>
      <w:r>
        <w:rPr>
          <w:rFonts w:hint="eastAsia" w:cs="Times New Roman"/>
          <w:kern w:val="0"/>
          <w:sz w:val="24"/>
          <w:szCs w:val="24"/>
          <w:lang w:val="en-US" w:eastAsia="zh-CN"/>
        </w:rPr>
        <w:t>）</w:t>
      </w:r>
    </w:p>
    <w:p>
      <w:pPr>
        <w:rPr>
          <w:rFonts w:ascii="宋体" w:hAnsi="宋体"/>
          <w:b/>
          <w:sz w:val="28"/>
        </w:rPr>
      </w:pPr>
    </w:p>
    <w:p>
      <w:pPr>
        <w:jc w:val="center"/>
        <w:rPr>
          <w:rFonts w:hint="eastAsia"/>
          <w:sz w:val="52"/>
          <w:szCs w:val="52"/>
        </w:rPr>
      </w:pPr>
      <w:bookmarkStart w:id="64" w:name="_Toc12331_WPSOffice_Level1"/>
      <w:bookmarkStart w:id="65" w:name="_Toc26389_WPSOffice_Level1"/>
      <w:bookmarkStart w:id="66" w:name="_Toc16825_WPSOffice_Level1"/>
    </w:p>
    <w:p>
      <w:pPr>
        <w:jc w:val="center"/>
        <w:rPr>
          <w:rFonts w:hint="eastAsia"/>
          <w:sz w:val="52"/>
          <w:szCs w:val="52"/>
        </w:rPr>
      </w:pPr>
    </w:p>
    <w:p>
      <w:pPr>
        <w:jc w:val="center"/>
        <w:rPr>
          <w:rFonts w:hint="eastAsia"/>
          <w:sz w:val="52"/>
          <w:szCs w:val="52"/>
        </w:rPr>
      </w:pPr>
    </w:p>
    <w:p>
      <w:pPr>
        <w:jc w:val="center"/>
        <w:rPr>
          <w:sz w:val="52"/>
          <w:szCs w:val="52"/>
        </w:rPr>
      </w:pPr>
      <w:r>
        <w:rPr>
          <w:rFonts w:hint="eastAsia"/>
          <w:sz w:val="52"/>
          <w:szCs w:val="52"/>
        </w:rPr>
        <w:t>项目名称</w:t>
      </w:r>
      <w:bookmarkEnd w:id="64"/>
      <w:bookmarkEnd w:id="65"/>
      <w:bookmarkEnd w:id="66"/>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19"/>
      </w:pPr>
    </w:p>
    <w:p>
      <w:pPr>
        <w:pStyle w:val="19"/>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19"/>
      </w:pPr>
    </w:p>
    <w:p>
      <w:pPr>
        <w:spacing w:line="360" w:lineRule="auto"/>
        <w:jc w:val="center"/>
        <w:rPr>
          <w:sz w:val="28"/>
          <w:szCs w:val="28"/>
        </w:rPr>
      </w:pPr>
      <w:bookmarkStart w:id="67" w:name="_Toc11308_WPSOffice_Level1"/>
      <w:bookmarkStart w:id="68" w:name="_Toc5889_WPSOffice_Level1"/>
      <w:r>
        <w:rPr>
          <w:rFonts w:hint="eastAsia"/>
          <w:b/>
          <w:bCs/>
          <w:sz w:val="36"/>
          <w:szCs w:val="36"/>
          <w:lang w:val="zh-CN"/>
        </w:rPr>
        <w:t>商务与技术文件目录</w:t>
      </w:r>
      <w:bookmarkEnd w:id="67"/>
      <w:bookmarkEnd w:id="68"/>
    </w:p>
    <w:p>
      <w:pPr>
        <w:spacing w:line="360" w:lineRule="auto"/>
        <w:ind w:firstLine="562" w:firstLineChars="200"/>
        <w:rPr>
          <w:rFonts w:hint="eastAsia"/>
          <w:b/>
          <w:bCs/>
          <w:sz w:val="28"/>
          <w:szCs w:val="28"/>
        </w:rPr>
      </w:pPr>
      <w:bookmarkStart w:id="69" w:name="_Toc20529_WPSOffice_Level1"/>
      <w:bookmarkStart w:id="70" w:name="_Toc21250_WPSOffice_Level1"/>
      <w:r>
        <w:rPr>
          <w:rFonts w:hint="eastAsia"/>
          <w:b/>
          <w:bCs/>
          <w:sz w:val="28"/>
          <w:szCs w:val="28"/>
        </w:rPr>
        <w:t>第一部分  技术方案描述部分</w:t>
      </w:r>
      <w:bookmarkEnd w:id="69"/>
      <w:bookmarkEnd w:id="70"/>
    </w:p>
    <w:p>
      <w:pPr>
        <w:numPr>
          <w:ilvl w:val="0"/>
          <w:numId w:val="17"/>
        </w:numPr>
        <w:spacing w:line="360" w:lineRule="auto"/>
        <w:ind w:left="405" w:leftChars="0" w:firstLine="15" w:firstLineChars="0"/>
        <w:rPr>
          <w:rFonts w:hint="eastAsia"/>
          <w:sz w:val="28"/>
          <w:szCs w:val="28"/>
        </w:rPr>
      </w:pPr>
      <w:r>
        <w:rPr>
          <w:rFonts w:hint="eastAsia"/>
          <w:sz w:val="28"/>
          <w:szCs w:val="28"/>
        </w:rPr>
        <w:t>投标人情况介绍（附件</w:t>
      </w:r>
      <w:r>
        <w:rPr>
          <w:rFonts w:hint="eastAsia"/>
          <w:sz w:val="28"/>
          <w:szCs w:val="28"/>
          <w:lang w:val="en-US" w:eastAsia="zh-CN"/>
        </w:rPr>
        <w:t>4</w:t>
      </w:r>
      <w:r>
        <w:rPr>
          <w:rFonts w:hint="eastAsia"/>
          <w:sz w:val="28"/>
          <w:szCs w:val="28"/>
        </w:rPr>
        <w:t>）</w:t>
      </w:r>
    </w:p>
    <w:p>
      <w:pPr>
        <w:numPr>
          <w:ilvl w:val="0"/>
          <w:numId w:val="17"/>
        </w:numPr>
        <w:spacing w:line="360" w:lineRule="auto"/>
        <w:ind w:left="405" w:leftChars="0" w:firstLine="15" w:firstLineChars="0"/>
        <w:rPr>
          <w:rFonts w:hint="eastAsia"/>
          <w:sz w:val="28"/>
          <w:szCs w:val="28"/>
        </w:rPr>
      </w:pPr>
      <w:r>
        <w:rPr>
          <w:rFonts w:hint="eastAsia"/>
          <w:sz w:val="28"/>
          <w:szCs w:val="28"/>
        </w:rPr>
        <w:t>项目需求的理解与分析</w:t>
      </w:r>
    </w:p>
    <w:p>
      <w:pPr>
        <w:numPr>
          <w:ilvl w:val="0"/>
          <w:numId w:val="17"/>
        </w:numPr>
        <w:spacing w:line="360" w:lineRule="auto"/>
        <w:ind w:left="405" w:leftChars="0" w:firstLine="15" w:firstLineChars="0"/>
        <w:rPr>
          <w:rFonts w:hint="eastAsia"/>
          <w:sz w:val="28"/>
          <w:szCs w:val="28"/>
        </w:rPr>
      </w:pPr>
      <w:r>
        <w:rPr>
          <w:rFonts w:hint="eastAsia"/>
          <w:sz w:val="28"/>
          <w:szCs w:val="28"/>
        </w:rPr>
        <w:t>项目组织实施方案（可视情选用附件</w:t>
      </w:r>
      <w:r>
        <w:rPr>
          <w:rFonts w:hint="eastAsia"/>
          <w:sz w:val="28"/>
          <w:szCs w:val="28"/>
          <w:lang w:val="en-US" w:eastAsia="zh-CN"/>
        </w:rPr>
        <w:t>5</w:t>
      </w:r>
      <w:r>
        <w:rPr>
          <w:rFonts w:hint="eastAsia"/>
          <w:sz w:val="28"/>
          <w:szCs w:val="28"/>
        </w:rPr>
        <w:t>、附件</w:t>
      </w:r>
      <w:r>
        <w:rPr>
          <w:rFonts w:hint="eastAsia"/>
          <w:sz w:val="28"/>
          <w:szCs w:val="28"/>
          <w:lang w:val="en-US" w:eastAsia="zh-CN"/>
        </w:rPr>
        <w:t>6</w:t>
      </w:r>
      <w:r>
        <w:rPr>
          <w:rFonts w:hint="eastAsia"/>
          <w:sz w:val="28"/>
          <w:szCs w:val="28"/>
        </w:rPr>
        <w:t>）</w:t>
      </w:r>
    </w:p>
    <w:p>
      <w:pPr>
        <w:numPr>
          <w:ilvl w:val="0"/>
          <w:numId w:val="17"/>
        </w:numPr>
        <w:spacing w:line="360" w:lineRule="auto"/>
        <w:ind w:left="405" w:leftChars="0" w:firstLine="15" w:firstLineChars="0"/>
        <w:rPr>
          <w:rFonts w:hint="eastAsia"/>
          <w:sz w:val="28"/>
          <w:szCs w:val="28"/>
        </w:rPr>
      </w:pPr>
      <w:r>
        <w:rPr>
          <w:rFonts w:hint="eastAsia"/>
          <w:sz w:val="28"/>
          <w:szCs w:val="28"/>
        </w:rPr>
        <w:t>安装、调试及验收方案</w:t>
      </w:r>
    </w:p>
    <w:p>
      <w:pPr>
        <w:spacing w:line="360" w:lineRule="auto"/>
        <w:ind w:firstLine="562" w:firstLineChars="200"/>
        <w:rPr>
          <w:rFonts w:hint="eastAsia"/>
          <w:b/>
          <w:bCs/>
          <w:sz w:val="28"/>
          <w:szCs w:val="28"/>
        </w:rPr>
      </w:pPr>
      <w:bookmarkStart w:id="71" w:name="_Toc12004_WPSOffice_Level1"/>
      <w:bookmarkStart w:id="72" w:name="_Toc6008_WPSOffice_Level1"/>
      <w:r>
        <w:rPr>
          <w:rFonts w:hint="eastAsia"/>
          <w:b/>
          <w:bCs/>
          <w:sz w:val="28"/>
          <w:szCs w:val="28"/>
        </w:rPr>
        <w:t>第二部分  投标产品描述部分</w:t>
      </w:r>
      <w:bookmarkEnd w:id="71"/>
      <w:bookmarkEnd w:id="72"/>
    </w:p>
    <w:p>
      <w:pPr>
        <w:numPr>
          <w:ilvl w:val="0"/>
          <w:numId w:val="18"/>
        </w:numPr>
        <w:spacing w:line="360" w:lineRule="auto"/>
        <w:ind w:left="425" w:leftChars="0" w:hanging="5" w:firstLineChars="0"/>
        <w:rPr>
          <w:rFonts w:hint="eastAsia"/>
          <w:sz w:val="28"/>
          <w:szCs w:val="28"/>
        </w:rPr>
      </w:pPr>
      <w:r>
        <w:rPr>
          <w:rFonts w:hint="eastAsia"/>
          <w:sz w:val="28"/>
          <w:szCs w:val="28"/>
        </w:rPr>
        <w:t>投标产品描述及相关资料（可视情选用附件</w:t>
      </w:r>
      <w:r>
        <w:rPr>
          <w:rFonts w:hint="eastAsia"/>
          <w:sz w:val="28"/>
          <w:szCs w:val="28"/>
          <w:lang w:val="en-US" w:eastAsia="zh-CN"/>
        </w:rPr>
        <w:t>7</w:t>
      </w:r>
      <w:r>
        <w:rPr>
          <w:rFonts w:hint="eastAsia"/>
          <w:sz w:val="28"/>
          <w:szCs w:val="28"/>
        </w:rPr>
        <w:t>）</w:t>
      </w:r>
    </w:p>
    <w:p>
      <w:pPr>
        <w:numPr>
          <w:ilvl w:val="0"/>
          <w:numId w:val="18"/>
        </w:numPr>
        <w:spacing w:line="360" w:lineRule="auto"/>
        <w:ind w:left="425" w:leftChars="0" w:hanging="5" w:firstLineChars="0"/>
        <w:rPr>
          <w:rFonts w:hint="eastAsia"/>
          <w:sz w:val="28"/>
          <w:szCs w:val="28"/>
        </w:rPr>
      </w:pPr>
      <w:r>
        <w:rPr>
          <w:rFonts w:hint="eastAsia"/>
          <w:sz w:val="28"/>
          <w:szCs w:val="28"/>
        </w:rPr>
        <w:t>技术需求响应表（附件</w:t>
      </w:r>
      <w:r>
        <w:rPr>
          <w:rFonts w:hint="eastAsia"/>
          <w:sz w:val="28"/>
          <w:szCs w:val="28"/>
          <w:lang w:val="en-US" w:eastAsia="zh-CN"/>
        </w:rPr>
        <w:t>8</w:t>
      </w:r>
      <w:r>
        <w:rPr>
          <w:rFonts w:hint="eastAsia"/>
          <w:sz w:val="28"/>
          <w:szCs w:val="28"/>
        </w:rPr>
        <w:t>）</w:t>
      </w:r>
    </w:p>
    <w:p>
      <w:pPr>
        <w:numPr>
          <w:ilvl w:val="0"/>
          <w:numId w:val="18"/>
        </w:numPr>
        <w:spacing w:line="360" w:lineRule="auto"/>
        <w:ind w:left="425" w:leftChars="0" w:hanging="5" w:firstLineChars="0"/>
        <w:rPr>
          <w:rFonts w:hint="eastAsia"/>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rFonts w:hint="eastAsia"/>
          <w:b/>
          <w:bCs/>
          <w:sz w:val="28"/>
          <w:szCs w:val="28"/>
        </w:rPr>
      </w:pPr>
      <w:bookmarkStart w:id="73" w:name="_Toc20986_WPSOffice_Level1"/>
      <w:bookmarkStart w:id="74" w:name="_Toc30029_WPSOffice_Level1"/>
      <w:r>
        <w:rPr>
          <w:rFonts w:hint="eastAsia"/>
          <w:b/>
          <w:bCs/>
          <w:sz w:val="28"/>
          <w:szCs w:val="28"/>
        </w:rPr>
        <w:t>第三部分  商务及其他部分</w:t>
      </w:r>
      <w:bookmarkEnd w:id="73"/>
      <w:bookmarkEnd w:id="74"/>
    </w:p>
    <w:p>
      <w:pPr>
        <w:numPr>
          <w:ilvl w:val="0"/>
          <w:numId w:val="19"/>
        </w:numPr>
        <w:spacing w:line="360" w:lineRule="auto"/>
        <w:ind w:left="425" w:leftChars="0" w:hanging="5" w:firstLineChars="0"/>
        <w:rPr>
          <w:rFonts w:hint="eastAsia"/>
          <w:sz w:val="28"/>
          <w:szCs w:val="28"/>
        </w:rPr>
      </w:pPr>
      <w:r>
        <w:rPr>
          <w:rFonts w:hint="eastAsia"/>
          <w:sz w:val="28"/>
          <w:szCs w:val="28"/>
        </w:rPr>
        <w:t>证书一览表（附件</w:t>
      </w:r>
      <w:r>
        <w:rPr>
          <w:rFonts w:hint="eastAsia"/>
          <w:sz w:val="28"/>
          <w:szCs w:val="28"/>
          <w:lang w:val="en-US" w:eastAsia="zh-CN"/>
        </w:rPr>
        <w:t>9</w:t>
      </w:r>
      <w:r>
        <w:rPr>
          <w:rFonts w:hint="eastAsia"/>
          <w:sz w:val="28"/>
          <w:szCs w:val="28"/>
        </w:rPr>
        <w:t>）</w:t>
      </w:r>
    </w:p>
    <w:p>
      <w:pPr>
        <w:numPr>
          <w:ilvl w:val="0"/>
          <w:numId w:val="19"/>
        </w:numPr>
        <w:spacing w:line="360" w:lineRule="auto"/>
        <w:ind w:left="425" w:leftChars="0" w:hanging="5" w:firstLineChars="0"/>
        <w:rPr>
          <w:rFonts w:hint="eastAsia"/>
          <w:sz w:val="28"/>
          <w:szCs w:val="28"/>
        </w:rPr>
      </w:pPr>
      <w:r>
        <w:rPr>
          <w:rFonts w:hint="eastAsia"/>
          <w:sz w:val="28"/>
          <w:szCs w:val="28"/>
        </w:rPr>
        <w:t>近三年来类似项目的成功案例（附件</w:t>
      </w:r>
      <w:r>
        <w:rPr>
          <w:rFonts w:hint="eastAsia"/>
          <w:sz w:val="28"/>
          <w:szCs w:val="28"/>
          <w:lang w:val="en-US" w:eastAsia="zh-CN"/>
        </w:rPr>
        <w:t>10</w:t>
      </w:r>
      <w:r>
        <w:rPr>
          <w:rFonts w:hint="eastAsia"/>
          <w:sz w:val="28"/>
          <w:szCs w:val="28"/>
        </w:rPr>
        <w:t>）</w:t>
      </w:r>
    </w:p>
    <w:p>
      <w:pPr>
        <w:numPr>
          <w:ilvl w:val="0"/>
          <w:numId w:val="19"/>
        </w:numPr>
        <w:spacing w:line="360" w:lineRule="auto"/>
        <w:ind w:left="425" w:leftChars="0" w:hanging="5" w:firstLineChars="0"/>
        <w:rPr>
          <w:rFonts w:hint="eastAsia"/>
          <w:sz w:val="28"/>
          <w:szCs w:val="28"/>
        </w:rPr>
      </w:pPr>
      <w:r>
        <w:rPr>
          <w:rFonts w:hint="eastAsia"/>
          <w:sz w:val="28"/>
          <w:szCs w:val="28"/>
        </w:rPr>
        <w:t>售后服务描述及承诺（可视情选用附件1</w:t>
      </w:r>
      <w:r>
        <w:rPr>
          <w:rFonts w:hint="eastAsia"/>
          <w:sz w:val="28"/>
          <w:szCs w:val="28"/>
          <w:lang w:val="en-US" w:eastAsia="zh-CN"/>
        </w:rPr>
        <w:t>1</w:t>
      </w:r>
      <w:r>
        <w:rPr>
          <w:rFonts w:hint="eastAsia"/>
          <w:sz w:val="28"/>
          <w:szCs w:val="28"/>
        </w:rPr>
        <w:t>，附件</w:t>
      </w:r>
      <w:r>
        <w:rPr>
          <w:rFonts w:hint="eastAsia"/>
          <w:sz w:val="28"/>
          <w:szCs w:val="28"/>
          <w:lang w:val="en-US" w:eastAsia="zh-CN"/>
        </w:rPr>
        <w:t>12</w:t>
      </w:r>
      <w:r>
        <w:rPr>
          <w:rFonts w:hint="eastAsia"/>
          <w:sz w:val="28"/>
          <w:szCs w:val="28"/>
        </w:rPr>
        <w:t>）</w:t>
      </w:r>
    </w:p>
    <w:p>
      <w:pPr>
        <w:numPr>
          <w:ilvl w:val="0"/>
          <w:numId w:val="19"/>
        </w:numPr>
        <w:spacing w:line="360" w:lineRule="auto"/>
        <w:ind w:left="425" w:leftChars="0" w:hanging="5" w:firstLineChars="0"/>
        <w:rPr>
          <w:rFonts w:hint="eastAsia"/>
          <w:sz w:val="28"/>
          <w:szCs w:val="28"/>
        </w:rPr>
      </w:pPr>
      <w:r>
        <w:rPr>
          <w:rFonts w:hint="eastAsia"/>
          <w:sz w:val="28"/>
          <w:szCs w:val="28"/>
        </w:rPr>
        <w:t>投标人需要说明的其他内容（包括可能影响投标人企业实力及信誉评分项以及售后服务评分项的各类证明材料）</w:t>
      </w:r>
    </w:p>
    <w:p>
      <w:pPr>
        <w:numPr>
          <w:ilvl w:val="0"/>
          <w:numId w:val="19"/>
        </w:numPr>
        <w:spacing w:line="360" w:lineRule="auto"/>
        <w:ind w:left="425" w:leftChars="0" w:hanging="5" w:firstLineChars="0"/>
        <w:rPr>
          <w:rFonts w:hint="eastAsia"/>
          <w:sz w:val="28"/>
          <w:szCs w:val="28"/>
        </w:rPr>
      </w:pPr>
      <w:r>
        <w:rPr>
          <w:rFonts w:hint="eastAsia"/>
          <w:sz w:val="28"/>
          <w:szCs w:val="28"/>
        </w:rPr>
        <w:t>主要货物用材响应表（类似家具类货物采用，附件1</w:t>
      </w:r>
      <w:r>
        <w:rPr>
          <w:rFonts w:hint="eastAsia"/>
          <w:sz w:val="28"/>
          <w:szCs w:val="28"/>
          <w:lang w:val="en-US" w:eastAsia="zh-CN"/>
        </w:rPr>
        <w:t>3</w:t>
      </w:r>
      <w:r>
        <w:rPr>
          <w:rFonts w:hint="eastAsia"/>
          <w:sz w:val="28"/>
          <w:szCs w:val="28"/>
        </w:rPr>
        <w:t>）</w:t>
      </w:r>
    </w:p>
    <w:p>
      <w:pPr>
        <w:pStyle w:val="30"/>
        <w:spacing w:before="0" w:beforeAutospacing="0" w:after="0" w:afterAutospacing="0" w:line="360" w:lineRule="auto"/>
        <w:ind w:firstLine="482" w:firstLineChars="200"/>
        <w:jc w:val="both"/>
        <w:rPr>
          <w:b/>
        </w:rPr>
      </w:pPr>
    </w:p>
    <w:p>
      <w:pPr>
        <w:pStyle w:val="30"/>
        <w:spacing w:before="0" w:beforeAutospacing="0" w:after="0" w:afterAutospacing="0" w:line="360" w:lineRule="auto"/>
        <w:rPr>
          <w:b/>
          <w:sz w:val="28"/>
        </w:rPr>
      </w:pPr>
    </w:p>
    <w:p>
      <w:pPr>
        <w:rPr>
          <w:b/>
          <w:sz w:val="28"/>
        </w:rPr>
      </w:pPr>
      <w:r>
        <w:rPr>
          <w:b/>
          <w:sz w:val="28"/>
        </w:rPr>
        <w:br w:type="page"/>
      </w:r>
    </w:p>
    <w:p>
      <w:pPr>
        <w:pStyle w:val="30"/>
        <w:spacing w:before="0" w:beforeAutospacing="0" w:after="0" w:afterAutospacing="0" w:line="360" w:lineRule="auto"/>
        <w:rPr>
          <w:rFonts w:hint="eastAsia" w:eastAsia="宋体"/>
          <w:b/>
          <w:sz w:val="28"/>
          <w:lang w:eastAsia="zh-CN"/>
        </w:rPr>
      </w:pPr>
      <w:r>
        <w:rPr>
          <w:rFonts w:hint="eastAsia"/>
          <w:b/>
          <w:sz w:val="28"/>
        </w:rPr>
        <w:t>附件</w:t>
      </w:r>
      <w:r>
        <w:rPr>
          <w:rFonts w:hint="eastAsia"/>
          <w:b/>
          <w:sz w:val="28"/>
          <w:lang w:val="en-US" w:eastAsia="zh-CN"/>
        </w:rPr>
        <w:t>4</w:t>
      </w:r>
    </w:p>
    <w:p>
      <w:pPr>
        <w:pStyle w:val="30"/>
        <w:spacing w:before="0" w:beforeAutospacing="0" w:after="0" w:afterAutospacing="0" w:line="360" w:lineRule="auto"/>
        <w:jc w:val="center"/>
        <w:rPr>
          <w:rFonts w:eastAsia="微软雅黑"/>
          <w:sz w:val="36"/>
          <w:szCs w:val="36"/>
        </w:rPr>
      </w:pPr>
      <w:r>
        <w:rPr>
          <w:rFonts w:hint="eastAsia"/>
          <w:b/>
          <w:sz w:val="32"/>
          <w:szCs w:val="32"/>
        </w:rPr>
        <w:t xml:space="preserve">  </w:t>
      </w:r>
      <w:bookmarkStart w:id="75" w:name="_Toc13307_WPSOffice_Level1"/>
      <w:bookmarkStart w:id="76" w:name="_Toc14261_WPSOffice_Level1"/>
      <w:r>
        <w:rPr>
          <w:rFonts w:hint="eastAsia"/>
          <w:b/>
          <w:sz w:val="32"/>
          <w:szCs w:val="32"/>
        </w:rPr>
        <w:t>投标</w:t>
      </w:r>
      <w:r>
        <w:rPr>
          <w:rFonts w:hint="eastAsia"/>
          <w:b/>
          <w:bCs/>
          <w:sz w:val="32"/>
          <w:szCs w:val="32"/>
        </w:rPr>
        <w:t>人基本情况表</w:t>
      </w:r>
      <w:bookmarkEnd w:id="75"/>
      <w:bookmarkEnd w:id="76"/>
    </w:p>
    <w:tbl>
      <w:tblPr>
        <w:tblStyle w:val="20"/>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30"/>
              <w:spacing w:before="0" w:beforeAutospacing="0" w:after="0" w:afterAutospacing="0"/>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hint="eastAsia" w:asciiTheme="minorEastAsia" w:hAnsiTheme="minorEastAsia" w:eastAsiaTheme="minorEastAsia" w:cstheme="minorEastAsia"/>
                <w:bCs/>
                <w:kern w:val="0"/>
                <w:sz w:val="21"/>
                <w:szCs w:val="21"/>
              </w:rPr>
            </w:pPr>
          </w:p>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30"/>
              <w:spacing w:before="0" w:beforeAutospacing="0" w:after="0" w:afterAutospacing="0"/>
              <w:jc w:val="center"/>
              <w:rPr>
                <w:rFonts w:hint="eastAsia" w:asciiTheme="minorEastAsia" w:hAnsiTheme="minorEastAsia" w:eastAsiaTheme="minorEastAsia" w:cstheme="minorEastAsia"/>
                <w:bCs/>
                <w:sz w:val="21"/>
                <w:szCs w:val="21"/>
              </w:rPr>
            </w:pPr>
          </w:p>
        </w:tc>
      </w:tr>
    </w:tbl>
    <w:p>
      <w:pPr>
        <w:pStyle w:val="30"/>
        <w:spacing w:before="0" w:beforeAutospacing="0" w:after="0" w:afterAutospacing="0"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30"/>
        <w:spacing w:before="0" w:beforeAutospacing="0" w:after="0" w:afterAutospacing="0" w:line="360" w:lineRule="auto"/>
        <w:ind w:firstLine="424" w:firstLineChars="2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60" w:lineRule="auto"/>
        <w:rPr>
          <w:rFonts w:hint="eastAsia" w:ascii="宋体" w:hAnsi="宋体" w:eastAsia="宋体"/>
          <w:sz w:val="24"/>
          <w:lang w:eastAsia="zh-CN"/>
        </w:rPr>
      </w:pPr>
      <w:r>
        <w:rPr>
          <w:rFonts w:hint="eastAsia" w:ascii="宋体" w:hAnsi="宋体"/>
          <w:b/>
          <w:sz w:val="28"/>
        </w:rPr>
        <w:t>附件</w:t>
      </w:r>
      <w:r>
        <w:rPr>
          <w:rFonts w:hint="eastAsia" w:ascii="宋体" w:hAnsi="宋体"/>
          <w:b/>
          <w:sz w:val="28"/>
          <w:lang w:val="en-US" w:eastAsia="zh-CN"/>
        </w:rPr>
        <w:t>5</w:t>
      </w:r>
    </w:p>
    <w:p>
      <w:pPr>
        <w:snapToGrid w:val="0"/>
        <w:spacing w:beforeLines="50" w:after="50" w:line="360" w:lineRule="auto"/>
        <w:jc w:val="center"/>
        <w:rPr>
          <w:rFonts w:ascii="宋体" w:hAnsi="宋体"/>
          <w:b/>
          <w:sz w:val="36"/>
          <w:szCs w:val="36"/>
        </w:rPr>
      </w:pPr>
      <w:bookmarkStart w:id="77" w:name="_Toc23671_WPSOffice_Level1"/>
      <w:bookmarkStart w:id="78" w:name="_Toc20569_WPSOffice_Level1"/>
      <w:r>
        <w:rPr>
          <w:rFonts w:hint="eastAsia" w:ascii="宋体" w:hAnsi="宋体"/>
          <w:b/>
          <w:sz w:val="32"/>
          <w:szCs w:val="32"/>
        </w:rPr>
        <w:t>项目实施人员一览表</w:t>
      </w:r>
      <w:bookmarkEnd w:id="77"/>
      <w:bookmarkEnd w:id="78"/>
    </w:p>
    <w:p>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20"/>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12"/>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Lines="50" w:after="50" w:line="360" w:lineRule="auto"/>
              <w:rPr>
                <w:rFonts w:hint="eastAsia" w:asciiTheme="minorEastAsia" w:hAnsiTheme="minorEastAsia" w:eastAsiaTheme="minorEastAsia" w:cstheme="minorEastAsia"/>
                <w:b/>
                <w:kern w:val="44"/>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eastAsia="宋体" w:cs="Times New Roman"/>
          <w:kern w:val="2"/>
          <w:sz w:val="21"/>
          <w:szCs w:val="21"/>
          <w:lang w:val="en-US" w:eastAsia="zh-CN" w:bidi="ar-SA"/>
        </w:rPr>
        <w:t>1.</w:t>
      </w:r>
      <w:r>
        <w:rPr>
          <w:rFonts w:hint="eastAsia" w:ascii="宋体" w:hAnsi="宋体"/>
          <w:szCs w:val="21"/>
        </w:rPr>
        <w:t>在填写时，如本表格不适合投标单位的实际情况，可根据本表格式自行划表填写。</w:t>
      </w:r>
    </w:p>
    <w:p>
      <w:pPr>
        <w:pStyle w:val="31"/>
        <w:spacing w:line="360" w:lineRule="auto"/>
        <w:ind w:left="424" w:leftChars="202"/>
        <w:rPr>
          <w:rFonts w:ascii="宋体" w:hAnsi="宋体"/>
          <w:szCs w:val="21"/>
        </w:rPr>
      </w:pPr>
      <w:r>
        <w:rPr>
          <w:rFonts w:hint="eastAsia" w:ascii="宋体" w:hAnsi="宋体"/>
          <w:szCs w:val="21"/>
        </w:rPr>
        <w:t>2.附人员证书。</w:t>
      </w:r>
    </w:p>
    <w:p>
      <w:pPr>
        <w:pStyle w:val="31"/>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Lines="50" w:line="360" w:lineRule="auto"/>
        <w:jc w:val="left"/>
        <w:rPr>
          <w:rFonts w:ascii="宋体" w:hAnsi="宋体"/>
          <w:sz w:val="24"/>
          <w:szCs w:val="20"/>
        </w:rPr>
      </w:pPr>
    </w:p>
    <w:p>
      <w:pPr>
        <w:snapToGrid w:val="0"/>
        <w:spacing w:before="5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60" w:lineRule="auto"/>
        <w:rPr>
          <w:rFonts w:hint="eastAsia" w:ascii="宋体" w:hAnsi="宋体" w:eastAsia="宋体"/>
          <w:lang w:val="en-US" w:eastAsia="zh-CN"/>
        </w:rPr>
      </w:pPr>
      <w:r>
        <w:rPr>
          <w:rFonts w:hint="eastAsia" w:ascii="宋体" w:hAnsi="宋体"/>
          <w:b/>
          <w:sz w:val="28"/>
        </w:rPr>
        <w:t>附件</w:t>
      </w:r>
      <w:r>
        <w:rPr>
          <w:rFonts w:hint="eastAsia" w:ascii="宋体" w:hAnsi="宋体"/>
          <w:b/>
          <w:sz w:val="28"/>
          <w:lang w:val="en-US" w:eastAsia="zh-CN"/>
        </w:rPr>
        <w:t>6</w:t>
      </w:r>
    </w:p>
    <w:p>
      <w:pPr>
        <w:spacing w:beforeLines="50" w:afterLines="50" w:line="360" w:lineRule="auto"/>
        <w:ind w:right="-10"/>
        <w:jc w:val="center"/>
        <w:rPr>
          <w:rFonts w:ascii="宋体" w:hAnsi="宋体"/>
          <w:b/>
          <w:bCs/>
          <w:sz w:val="32"/>
          <w:szCs w:val="32"/>
        </w:rPr>
      </w:pPr>
      <w:bookmarkStart w:id="79" w:name="_Toc23055_WPSOffice_Level1"/>
      <w:bookmarkStart w:id="80" w:name="_Toc12710_WPSOffice_Level1"/>
      <w:r>
        <w:rPr>
          <w:rFonts w:hint="eastAsia" w:ascii="宋体" w:hAnsi="宋体"/>
          <w:b/>
          <w:bCs/>
          <w:sz w:val="32"/>
          <w:szCs w:val="32"/>
        </w:rPr>
        <w:t>项目负责人资格情况表</w:t>
      </w:r>
      <w:bookmarkEnd w:id="79"/>
      <w:bookmarkEnd w:id="80"/>
    </w:p>
    <w:tbl>
      <w:tblPr>
        <w:tblStyle w:val="20"/>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7</w:t>
      </w:r>
    </w:p>
    <w:p>
      <w:pPr>
        <w:spacing w:line="360" w:lineRule="auto"/>
        <w:ind w:left="-2" w:leftChars="0" w:firstLine="0" w:firstLineChars="0"/>
        <w:jc w:val="center"/>
        <w:rPr>
          <w:rFonts w:ascii="宋体" w:hAnsi="宋体"/>
          <w:sz w:val="24"/>
        </w:rPr>
      </w:pPr>
      <w:bookmarkStart w:id="81" w:name="_Toc3591_WPSOffice_Level1"/>
      <w:bookmarkStart w:id="82" w:name="_Toc32718_WPSOffice_Level1"/>
      <w:r>
        <w:rPr>
          <w:rFonts w:hint="eastAsia" w:ascii="宋体" w:hAnsi="宋体"/>
          <w:b/>
          <w:sz w:val="32"/>
          <w:szCs w:val="32"/>
        </w:rPr>
        <w:t>供货</w:t>
      </w:r>
      <w:r>
        <w:rPr>
          <w:rFonts w:ascii="宋体" w:hAnsi="宋体"/>
          <w:b/>
          <w:sz w:val="32"/>
          <w:szCs w:val="32"/>
        </w:rPr>
        <w:t>清单</w:t>
      </w:r>
      <w:bookmarkEnd w:id="81"/>
      <w:bookmarkEnd w:id="82"/>
    </w:p>
    <w:tbl>
      <w:tblPr>
        <w:tblStyle w:val="20"/>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99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产地</w:t>
            </w:r>
          </w:p>
        </w:tc>
        <w:tc>
          <w:tcPr>
            <w:tcW w:w="155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38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134"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219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9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5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20"/>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20"/>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napToGrid w:val="0"/>
        <w:spacing w:before="50" w:after="50"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8</w:t>
      </w:r>
    </w:p>
    <w:p>
      <w:pPr>
        <w:spacing w:line="360" w:lineRule="auto"/>
        <w:ind w:left="480"/>
        <w:jc w:val="center"/>
        <w:rPr>
          <w:rFonts w:ascii="宋体" w:hAnsi="宋体"/>
          <w:b/>
          <w:sz w:val="32"/>
          <w:szCs w:val="32"/>
        </w:rPr>
      </w:pPr>
      <w:bookmarkStart w:id="83" w:name="_Toc26601_WPSOffice_Level1"/>
      <w:bookmarkStart w:id="84" w:name="_Toc12856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83"/>
      <w:bookmarkEnd w:id="84"/>
    </w:p>
    <w:tbl>
      <w:tblPr>
        <w:tblStyle w:val="20"/>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64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449"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1560"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03" w:type="dxa"/>
            <w:tcMar>
              <w:top w:w="57" w:type="dxa"/>
              <w:left w:w="108" w:type="dxa"/>
              <w:bottom w:w="0" w:type="dxa"/>
              <w:right w:w="108" w:type="dxa"/>
            </w:tcMar>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pPr>
              <w:spacing w:line="360" w:lineRule="auto"/>
              <w:rPr>
                <w:rFonts w:hint="eastAsia" w:asciiTheme="minorEastAsia" w:hAnsiTheme="minorEastAsia" w:eastAsiaTheme="minorEastAsia" w:cstheme="minorEastAsia"/>
                <w:sz w:val="21"/>
                <w:szCs w:val="21"/>
              </w:rPr>
            </w:pPr>
          </w:p>
        </w:tc>
      </w:tr>
    </w:tbl>
    <w:p>
      <w:pPr>
        <w:pStyle w:val="32"/>
        <w:tabs>
          <w:tab w:val="left" w:pos="360"/>
        </w:tabs>
        <w:spacing w:line="360" w:lineRule="auto"/>
        <w:jc w:val="both"/>
        <w:rPr>
          <w:rFonts w:ascii="宋体"/>
          <w:b/>
          <w:szCs w:val="21"/>
        </w:rPr>
      </w:pPr>
      <w:r>
        <w:rPr>
          <w:rFonts w:hint="eastAsia" w:ascii="宋体"/>
          <w:b/>
          <w:szCs w:val="21"/>
        </w:rPr>
        <w:t>要求：</w:t>
      </w:r>
    </w:p>
    <w:p>
      <w:pPr>
        <w:pStyle w:val="32"/>
        <w:tabs>
          <w:tab w:val="left" w:pos="360"/>
        </w:tabs>
        <w:spacing w:line="360" w:lineRule="auto"/>
        <w:ind w:firstLine="420" w:firstLineChars="200"/>
        <w:jc w:val="both"/>
        <w:rPr>
          <w:rFonts w:ascii="宋体"/>
          <w:szCs w:val="21"/>
        </w:rPr>
      </w:pPr>
      <w:r>
        <w:rPr>
          <w:rFonts w:hint="eastAsia" w:ascii="宋体"/>
          <w:szCs w:val="21"/>
        </w:rPr>
        <w:t>1.本表的名称须与《报价明细表》一致。</w:t>
      </w:r>
    </w:p>
    <w:p>
      <w:pPr>
        <w:pStyle w:val="32"/>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2"/>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pStyle w:val="33"/>
        <w:spacing w:line="360" w:lineRule="auto"/>
        <w:jc w:val="left"/>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pPr>
        <w:pStyle w:val="34"/>
        <w:spacing w:line="360" w:lineRule="auto"/>
        <w:jc w:val="center"/>
        <w:rPr>
          <w:rFonts w:ascii="宋体" w:hAnsi="宋体"/>
          <w:b/>
          <w:sz w:val="32"/>
          <w:szCs w:val="32"/>
        </w:rPr>
      </w:pPr>
      <w:bookmarkStart w:id="85" w:name="_Toc17604_WPSOffice_Level1"/>
      <w:bookmarkStart w:id="86" w:name="_Toc11030_WPSOffice_Level1"/>
      <w:r>
        <w:rPr>
          <w:rFonts w:hint="eastAsia" w:ascii="宋体" w:hAnsi="宋体"/>
          <w:b/>
          <w:sz w:val="32"/>
          <w:szCs w:val="32"/>
        </w:rPr>
        <w:t>证书一览表</w:t>
      </w:r>
      <w:bookmarkEnd w:id="85"/>
      <w:bookmarkEnd w:id="86"/>
    </w:p>
    <w:tbl>
      <w:tblPr>
        <w:tblStyle w:val="20"/>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34"/>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Borders>
              <w:top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Borders>
              <w:top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58" w:type="dxa"/>
            <w:tcBorders>
              <w:bottom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260" w:type="dxa"/>
            <w:tcBorders>
              <w:bottom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34"/>
              <w:spacing w:line="360" w:lineRule="auto"/>
              <w:jc w:val="center"/>
              <w:rPr>
                <w:rFonts w:hint="eastAsia" w:asciiTheme="minorEastAsia" w:hAnsiTheme="minorEastAsia" w:eastAsiaTheme="minorEastAsia" w:cstheme="minorEastAsia"/>
                <w:sz w:val="21"/>
                <w:szCs w:val="21"/>
              </w:rPr>
            </w:pPr>
          </w:p>
        </w:tc>
      </w:tr>
    </w:tbl>
    <w:p>
      <w:pPr>
        <w:pStyle w:val="34"/>
        <w:tabs>
          <w:tab w:val="left" w:pos="1050"/>
        </w:tabs>
        <w:spacing w:line="360" w:lineRule="auto"/>
        <w:rPr>
          <w:rFonts w:ascii="宋体" w:hAnsi="宋体"/>
          <w:szCs w:val="21"/>
        </w:rPr>
      </w:pPr>
      <w:r>
        <w:rPr>
          <w:rFonts w:hint="eastAsia" w:ascii="宋体" w:hAnsi="宋体"/>
          <w:b/>
          <w:szCs w:val="21"/>
        </w:rPr>
        <w:t>要求：</w:t>
      </w:r>
    </w:p>
    <w:p>
      <w:pPr>
        <w:pStyle w:val="34"/>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34"/>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34"/>
        <w:tabs>
          <w:tab w:val="left" w:pos="1050"/>
        </w:tabs>
        <w:spacing w:line="360" w:lineRule="auto"/>
        <w:rPr>
          <w:rFonts w:ascii="仿宋_GB2312" w:hAnsi="宋体" w:eastAsia="仿宋_GB2312"/>
          <w:sz w:val="24"/>
        </w:rPr>
      </w:pPr>
    </w:p>
    <w:p>
      <w:pPr>
        <w:pStyle w:val="34"/>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0"/>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10</w:t>
      </w:r>
    </w:p>
    <w:p>
      <w:pPr>
        <w:pStyle w:val="33"/>
        <w:spacing w:line="360" w:lineRule="auto"/>
        <w:jc w:val="center"/>
        <w:rPr>
          <w:rFonts w:ascii="仿宋_GB2312" w:eastAsia="仿宋_GB2312"/>
          <w:b/>
          <w:sz w:val="28"/>
          <w:szCs w:val="28"/>
        </w:rPr>
      </w:pPr>
      <w:bookmarkStart w:id="87" w:name="_Toc7134_WPSOffice_Level1"/>
      <w:bookmarkStart w:id="88" w:name="_Toc19231_WPSOffice_Level1"/>
      <w:r>
        <w:rPr>
          <w:rFonts w:hint="eastAsia" w:ascii="宋体" w:hAnsi="宋体"/>
          <w:b/>
          <w:sz w:val="32"/>
          <w:szCs w:val="32"/>
        </w:rPr>
        <w:t>投标人类似项目实施情况一览表</w:t>
      </w:r>
      <w:bookmarkEnd w:id="87"/>
      <w:bookmarkEnd w:id="88"/>
    </w:p>
    <w:tbl>
      <w:tblPr>
        <w:tblStyle w:val="20"/>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33"/>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33"/>
              <w:spacing w:line="360" w:lineRule="auto"/>
              <w:rPr>
                <w:rFonts w:hint="eastAsia" w:asciiTheme="minorEastAsia" w:hAnsiTheme="minorEastAsia" w:eastAsiaTheme="minorEastAsia" w:cstheme="minorEastAsia"/>
                <w:sz w:val="21"/>
                <w:szCs w:val="21"/>
              </w:rPr>
            </w:pPr>
          </w:p>
        </w:tc>
      </w:tr>
    </w:tbl>
    <w:p>
      <w:pPr>
        <w:autoSpaceDE w:val="0"/>
        <w:autoSpaceDN w:val="0"/>
        <w:adjustRightInd w:val="0"/>
        <w:spacing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可只提供首页、含金额页、盖章页并加盖公章</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pStyle w:val="34"/>
        <w:tabs>
          <w:tab w:val="left" w:pos="1050"/>
        </w:tabs>
        <w:spacing w:line="360" w:lineRule="auto"/>
        <w:rPr>
          <w:rFonts w:hint="eastAsia" w:ascii="仿宋_GB2312" w:hAnsi="宋体" w:eastAsia="宋体"/>
          <w:sz w:val="24"/>
          <w:lang w:val="en-US" w:eastAsia="zh-CN"/>
        </w:rPr>
      </w:pPr>
      <w:r>
        <w:rPr>
          <w:rFonts w:hint="eastAsia" w:ascii="宋体" w:hAnsi="宋体"/>
          <w:b/>
          <w:sz w:val="28"/>
        </w:rPr>
        <w:t>附件1</w:t>
      </w:r>
      <w:r>
        <w:rPr>
          <w:rFonts w:hint="eastAsia" w:ascii="宋体" w:hAnsi="宋体"/>
          <w:b/>
          <w:sz w:val="28"/>
          <w:lang w:val="en-US" w:eastAsia="zh-CN"/>
        </w:rPr>
        <w:t>1</w:t>
      </w:r>
    </w:p>
    <w:p>
      <w:pPr>
        <w:spacing w:line="360" w:lineRule="auto"/>
        <w:ind w:left="0" w:leftChars="0" w:hanging="9" w:firstLineChars="0"/>
        <w:jc w:val="center"/>
        <w:rPr>
          <w:rFonts w:ascii="宋体" w:hAnsi="宋体"/>
          <w:b/>
          <w:sz w:val="18"/>
          <w:szCs w:val="18"/>
        </w:rPr>
      </w:pPr>
      <w:bookmarkStart w:id="89" w:name="_Toc21582_WPSOffice_Level1"/>
      <w:bookmarkStart w:id="90" w:name="_Toc3068_WPSOffice_Level1"/>
      <w:r>
        <w:rPr>
          <w:rFonts w:hint="eastAsia" w:ascii="宋体" w:hAnsi="宋体"/>
          <w:b/>
          <w:sz w:val="32"/>
          <w:szCs w:val="32"/>
        </w:rPr>
        <w:t>商务需求响应表</w:t>
      </w:r>
      <w:bookmarkEnd w:id="89"/>
      <w:bookmarkEnd w:id="90"/>
    </w:p>
    <w:tbl>
      <w:tblPr>
        <w:tblStyle w:val="20"/>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交货和服务</w:t>
            </w:r>
          </w:p>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vAlign w:val="center"/>
          </w:tcPr>
          <w:p>
            <w:pPr>
              <w:snapToGrid w:val="0"/>
              <w:jc w:val="both"/>
              <w:rPr>
                <w:rFonts w:hint="eastAsia" w:ascii="宋体" w:hAnsi="宋体" w:eastAsia="宋体" w:cs="Arial"/>
                <w:bCs/>
                <w:kern w:val="2"/>
                <w:sz w:val="21"/>
                <w:szCs w:val="21"/>
                <w:lang w:val="en-US" w:eastAsia="zh-CN" w:bidi="ar-SA"/>
              </w:rPr>
            </w:pPr>
            <w:r>
              <w:rPr>
                <w:rFonts w:hint="eastAsia" w:ascii="宋体" w:hAnsi="宋体" w:eastAsia="宋体" w:cs="Arial"/>
                <w:bCs/>
                <w:kern w:val="2"/>
                <w:sz w:val="21"/>
                <w:szCs w:val="21"/>
                <w:lang w:val="en-US" w:eastAsia="zh-CN" w:bidi="ar-SA"/>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tabs>
          <w:tab w:val="left" w:pos="2460"/>
        </w:tabs>
        <w:spacing w:line="360" w:lineRule="auto"/>
        <w:rPr>
          <w:rFonts w:ascii="宋体" w:hAnsi="宋体"/>
          <w:b/>
          <w:sz w:val="28"/>
        </w:rPr>
      </w:pPr>
      <w:r>
        <w:rPr>
          <w:rFonts w:hint="eastAsia" w:ascii="宋体" w:hAnsi="宋体"/>
          <w:b/>
          <w:sz w:val="28"/>
        </w:rPr>
        <w:t>附件</w:t>
      </w:r>
      <w:r>
        <w:rPr>
          <w:rFonts w:hint="eastAsia" w:ascii="宋体" w:hAnsi="宋体"/>
          <w:b/>
          <w:sz w:val="28"/>
          <w:lang w:val="en-US" w:eastAsia="zh-CN"/>
        </w:rPr>
        <w:t>12</w:t>
      </w:r>
      <w:r>
        <w:rPr>
          <w:rFonts w:ascii="宋体" w:hAnsi="宋体"/>
          <w:b/>
          <w:sz w:val="28"/>
        </w:rPr>
        <w:tab/>
      </w:r>
    </w:p>
    <w:p>
      <w:pPr>
        <w:spacing w:line="360" w:lineRule="auto"/>
        <w:ind w:left="0" w:leftChars="0" w:firstLine="0" w:firstLineChars="0"/>
        <w:jc w:val="center"/>
        <w:rPr>
          <w:rFonts w:ascii="宋体" w:hAnsi="宋体"/>
          <w:b/>
          <w:sz w:val="24"/>
        </w:rPr>
      </w:pPr>
      <w:bookmarkStart w:id="91" w:name="_Toc29652_WPSOffice_Level1"/>
      <w:bookmarkStart w:id="92" w:name="_Toc3463_WPSOffice_Level1"/>
      <w:r>
        <w:rPr>
          <w:rFonts w:hint="eastAsia" w:ascii="宋体" w:hAnsi="宋体"/>
          <w:b/>
          <w:sz w:val="32"/>
          <w:szCs w:val="32"/>
        </w:rPr>
        <w:t>售后服务情况表</w:t>
      </w:r>
      <w:bookmarkEnd w:id="91"/>
      <w:bookmarkEnd w:id="92"/>
    </w:p>
    <w:tbl>
      <w:tblPr>
        <w:tblStyle w:val="20"/>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序号</w:t>
            </w:r>
          </w:p>
        </w:tc>
        <w:tc>
          <w:tcPr>
            <w:tcW w:w="2879"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项目</w:t>
            </w:r>
          </w:p>
        </w:tc>
        <w:tc>
          <w:tcPr>
            <w:tcW w:w="4061"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投标人情况</w:t>
            </w:r>
          </w:p>
        </w:tc>
        <w:tc>
          <w:tcPr>
            <w:tcW w:w="1301" w:type="dxa"/>
            <w:tcMar>
              <w:top w:w="57" w:type="dxa"/>
              <w:left w:w="108" w:type="dxa"/>
              <w:bottom w:w="0" w:type="dxa"/>
              <w:right w:w="108" w:type="dxa"/>
            </w:tcMar>
            <w:vAlign w:val="center"/>
          </w:tcPr>
          <w:p>
            <w:pPr>
              <w:pStyle w:val="35"/>
              <w:spacing w:line="360" w:lineRule="auto"/>
              <w:jc w:val="center"/>
              <w:rPr>
                <w:rFonts w:ascii="宋体" w:hAnsi="宋体" w:cs="Arial"/>
                <w:b/>
                <w:sz w:val="21"/>
                <w:szCs w:val="21"/>
              </w:rPr>
            </w:pPr>
            <w:r>
              <w:rPr>
                <w:rFonts w:hint="eastAsia" w:ascii="宋体" w:hAnsi="宋体" w:cs="Arial"/>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35"/>
              <w:spacing w:line="360" w:lineRule="auto"/>
              <w:jc w:val="center"/>
              <w:rPr>
                <w:rFonts w:ascii="宋体" w:hAnsi="宋体" w:cs="Arial"/>
                <w:bCs/>
                <w:sz w:val="21"/>
                <w:szCs w:val="21"/>
              </w:rPr>
            </w:pPr>
            <w:r>
              <w:rPr>
                <w:rFonts w:hint="eastAsia" w:ascii="宋体" w:hAnsi="宋体" w:cs="Arial"/>
                <w:bCs/>
                <w:sz w:val="21"/>
                <w:szCs w:val="21"/>
              </w:rPr>
              <w:t>1</w:t>
            </w:r>
          </w:p>
        </w:tc>
        <w:tc>
          <w:tcPr>
            <w:tcW w:w="2879" w:type="dxa"/>
            <w:vMerge w:val="restart"/>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保修期内售后服务情况(</w:t>
            </w:r>
            <w:r>
              <w:rPr>
                <w:rFonts w:ascii="宋体" w:hAnsi="宋体" w:cs="Arial"/>
                <w:bCs/>
                <w:sz w:val="21"/>
                <w:szCs w:val="21"/>
              </w:rPr>
              <w:t>服务</w:t>
            </w:r>
            <w:r>
              <w:rPr>
                <w:rFonts w:hint="eastAsia" w:ascii="宋体" w:hAnsi="宋体" w:cs="Arial"/>
                <w:bCs/>
                <w:sz w:val="21"/>
                <w:szCs w:val="21"/>
              </w:rPr>
              <w:t>方式、服务网点</w:t>
            </w:r>
            <w:r>
              <w:rPr>
                <w:rFonts w:ascii="宋体" w:hAnsi="宋体" w:cs="Arial"/>
                <w:bCs/>
                <w:sz w:val="21"/>
                <w:szCs w:val="21"/>
              </w:rPr>
              <w:t>、售后服务的内容和措施</w:t>
            </w:r>
            <w:r>
              <w:rPr>
                <w:rFonts w:hint="eastAsia" w:ascii="宋体" w:hAnsi="宋体" w:cs="Arial"/>
                <w:bCs/>
                <w:sz w:val="21"/>
                <w:szCs w:val="21"/>
              </w:rPr>
              <w:t>等等，可用附页和宣传材料)</w:t>
            </w:r>
          </w:p>
        </w:tc>
        <w:tc>
          <w:tcPr>
            <w:tcW w:w="4061" w:type="dxa"/>
            <w:tcMar>
              <w:top w:w="57" w:type="dxa"/>
              <w:left w:w="108" w:type="dxa"/>
              <w:bottom w:w="0" w:type="dxa"/>
              <w:right w:w="108" w:type="dxa"/>
            </w:tcMar>
          </w:tcPr>
          <w:p>
            <w:pPr>
              <w:pStyle w:val="35"/>
              <w:spacing w:line="360" w:lineRule="auto"/>
              <w:rPr>
                <w:rFonts w:ascii="宋体" w:hAnsi="宋体" w:cs="Arial"/>
                <w:bCs/>
                <w:sz w:val="21"/>
                <w:szCs w:val="21"/>
              </w:rPr>
            </w:pPr>
            <w:r>
              <w:rPr>
                <w:rFonts w:hint="eastAsia" w:ascii="宋体" w:hAnsi="宋体" w:cs="Arial"/>
                <w:bCs/>
                <w:sz w:val="21"/>
                <w:szCs w:val="21"/>
              </w:rPr>
              <w:t>生产厂商售后服务情况：</w:t>
            </w:r>
          </w:p>
        </w:tc>
        <w:tc>
          <w:tcPr>
            <w:tcW w:w="1301" w:type="dxa"/>
            <w:tcMar>
              <w:top w:w="57" w:type="dxa"/>
              <w:left w:w="108" w:type="dxa"/>
              <w:bottom w:w="0" w:type="dxa"/>
              <w:right w:w="108" w:type="dxa"/>
            </w:tcMar>
          </w:tcPr>
          <w:p>
            <w:pPr>
              <w:pStyle w:val="35"/>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p>
        </w:tc>
        <w:tc>
          <w:tcPr>
            <w:tcW w:w="2879" w:type="dxa"/>
            <w:vMerge w:val="continue"/>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p>
        </w:tc>
        <w:tc>
          <w:tcPr>
            <w:tcW w:w="4061" w:type="dxa"/>
            <w:tcMar>
              <w:top w:w="57" w:type="dxa"/>
              <w:left w:w="108" w:type="dxa"/>
              <w:bottom w:w="0" w:type="dxa"/>
              <w:right w:w="108" w:type="dxa"/>
            </w:tcMar>
          </w:tcPr>
          <w:p>
            <w:pPr>
              <w:pStyle w:val="35"/>
              <w:spacing w:line="360" w:lineRule="auto"/>
              <w:rPr>
                <w:rFonts w:ascii="宋体" w:hAnsi="宋体" w:cs="Arial"/>
                <w:bCs/>
                <w:sz w:val="21"/>
                <w:szCs w:val="21"/>
              </w:rPr>
            </w:pPr>
            <w:r>
              <w:rPr>
                <w:rFonts w:hint="eastAsia" w:ascii="宋体" w:hAnsi="宋体" w:cs="Arial"/>
                <w:bCs/>
                <w:sz w:val="21"/>
                <w:szCs w:val="21"/>
              </w:rPr>
              <w:t>投标人售后服务情况：</w:t>
            </w:r>
          </w:p>
        </w:tc>
        <w:tc>
          <w:tcPr>
            <w:tcW w:w="1301" w:type="dxa"/>
            <w:tcMar>
              <w:top w:w="57" w:type="dxa"/>
              <w:left w:w="108" w:type="dxa"/>
              <w:bottom w:w="0" w:type="dxa"/>
              <w:right w:w="108" w:type="dxa"/>
            </w:tcMar>
          </w:tcPr>
          <w:p>
            <w:pPr>
              <w:pStyle w:val="35"/>
              <w:spacing w:line="360" w:lineRule="auto"/>
              <w:jc w:val="left"/>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35"/>
              <w:spacing w:line="360" w:lineRule="auto"/>
              <w:jc w:val="center"/>
              <w:rPr>
                <w:rFonts w:ascii="宋体" w:hAnsi="宋体" w:cs="Arial"/>
                <w:bCs/>
                <w:sz w:val="21"/>
                <w:szCs w:val="21"/>
              </w:rPr>
            </w:pPr>
            <w:r>
              <w:rPr>
                <w:rFonts w:hint="eastAsia" w:ascii="宋体" w:hAnsi="宋体" w:cs="Arial"/>
                <w:bCs/>
                <w:sz w:val="21"/>
                <w:szCs w:val="21"/>
              </w:rPr>
              <w:t>2</w:t>
            </w:r>
          </w:p>
        </w:tc>
        <w:tc>
          <w:tcPr>
            <w:tcW w:w="2879" w:type="dxa"/>
            <w:tcMar>
              <w:top w:w="57" w:type="dxa"/>
              <w:left w:w="108" w:type="dxa"/>
              <w:bottom w:w="0" w:type="dxa"/>
              <w:right w:w="108" w:type="dxa"/>
            </w:tcMar>
            <w:vAlign w:val="center"/>
          </w:tcPr>
          <w:p>
            <w:pPr>
              <w:pStyle w:val="35"/>
              <w:spacing w:line="360" w:lineRule="auto"/>
              <w:rPr>
                <w:rFonts w:ascii="宋体" w:hAnsi="宋体" w:cs="Arial"/>
                <w:bCs/>
                <w:sz w:val="21"/>
                <w:szCs w:val="21"/>
              </w:rPr>
            </w:pPr>
            <w:r>
              <w:rPr>
                <w:rFonts w:hint="eastAsia" w:ascii="宋体" w:hAnsi="宋体" w:cs="Arial"/>
                <w:bCs/>
                <w:sz w:val="21"/>
                <w:szCs w:val="21"/>
              </w:rPr>
              <w:t>保修期后售后服务</w:t>
            </w:r>
          </w:p>
        </w:tc>
        <w:tc>
          <w:tcPr>
            <w:tcW w:w="406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p>
            <w:pPr>
              <w:pStyle w:val="35"/>
              <w:widowControl/>
              <w:spacing w:line="360" w:lineRule="auto"/>
              <w:jc w:val="left"/>
              <w:rPr>
                <w:rFonts w:ascii="宋体" w:hAnsi="宋体" w:cs="Arial"/>
                <w:bCs/>
                <w:sz w:val="21"/>
                <w:szCs w:val="21"/>
              </w:rPr>
            </w:pPr>
          </w:p>
          <w:p>
            <w:pPr>
              <w:pStyle w:val="35"/>
              <w:spacing w:line="360" w:lineRule="auto"/>
              <w:rPr>
                <w:rFonts w:ascii="宋体" w:hAnsi="宋体" w:cs="Arial"/>
                <w:bCs/>
                <w:sz w:val="21"/>
                <w:szCs w:val="21"/>
              </w:rPr>
            </w:pPr>
          </w:p>
        </w:tc>
        <w:tc>
          <w:tcPr>
            <w:tcW w:w="130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p>
            <w:pPr>
              <w:pStyle w:val="35"/>
              <w:widowControl/>
              <w:spacing w:line="360" w:lineRule="auto"/>
              <w:jc w:val="left"/>
              <w:rPr>
                <w:rFonts w:ascii="宋体" w:hAnsi="宋体" w:cs="Arial"/>
                <w:bCs/>
                <w:sz w:val="21"/>
                <w:szCs w:val="21"/>
              </w:rPr>
            </w:pPr>
          </w:p>
          <w:p>
            <w:pPr>
              <w:pStyle w:val="35"/>
              <w:spacing w:line="360" w:lineRule="auto"/>
              <w:rPr>
                <w:rFonts w:ascii="宋体" w:hAnsi="宋体"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 xml:space="preserve"> 3</w:t>
            </w:r>
          </w:p>
        </w:tc>
        <w:tc>
          <w:tcPr>
            <w:tcW w:w="287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hint="eastAsia" w:ascii="宋体" w:hAnsi="宋体" w:cs="Arial"/>
                <w:bCs/>
                <w:sz w:val="21"/>
                <w:szCs w:val="21"/>
              </w:rPr>
              <w:t>培训方案（可用附页）</w:t>
            </w:r>
          </w:p>
        </w:tc>
        <w:tc>
          <w:tcPr>
            <w:tcW w:w="4061" w:type="dxa"/>
            <w:tcMar>
              <w:top w:w="57" w:type="dxa"/>
              <w:left w:w="108" w:type="dxa"/>
              <w:bottom w:w="0" w:type="dxa"/>
              <w:right w:w="108" w:type="dxa"/>
            </w:tcMar>
          </w:tcPr>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tc>
        <w:tc>
          <w:tcPr>
            <w:tcW w:w="1301" w:type="dxa"/>
            <w:tcMar>
              <w:top w:w="57" w:type="dxa"/>
              <w:left w:w="108" w:type="dxa"/>
              <w:bottom w:w="0" w:type="dxa"/>
              <w:right w:w="108" w:type="dxa"/>
            </w:tcMar>
          </w:tcPr>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p>
            <w:pPr>
              <w:pStyle w:val="35"/>
              <w:widowControl/>
              <w:spacing w:line="360" w:lineRule="auto"/>
              <w:jc w:val="left"/>
              <w:rPr>
                <w:rFonts w:ascii="宋体" w:hAnsi="宋体" w:cs="Arial"/>
                <w:bCs/>
                <w:i/>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ascii="宋体" w:hAnsi="宋体" w:cs="Arial"/>
                <w:bCs/>
                <w:sz w:val="21"/>
                <w:szCs w:val="21"/>
              </w:rPr>
              <w:t>……</w:t>
            </w:r>
          </w:p>
        </w:tc>
        <w:tc>
          <w:tcPr>
            <w:tcW w:w="2879" w:type="dxa"/>
            <w:tcMar>
              <w:top w:w="57" w:type="dxa"/>
              <w:left w:w="108" w:type="dxa"/>
              <w:bottom w:w="0" w:type="dxa"/>
              <w:right w:w="108" w:type="dxa"/>
            </w:tcMar>
            <w:vAlign w:val="center"/>
          </w:tcPr>
          <w:p>
            <w:pPr>
              <w:pStyle w:val="35"/>
              <w:widowControl/>
              <w:spacing w:line="360" w:lineRule="auto"/>
              <w:jc w:val="left"/>
              <w:rPr>
                <w:rFonts w:ascii="宋体" w:hAnsi="宋体" w:cs="Arial"/>
                <w:bCs/>
                <w:sz w:val="21"/>
                <w:szCs w:val="21"/>
              </w:rPr>
            </w:pPr>
            <w:r>
              <w:rPr>
                <w:rFonts w:ascii="宋体" w:hAnsi="宋体" w:cs="Arial"/>
                <w:bCs/>
                <w:sz w:val="21"/>
                <w:szCs w:val="21"/>
              </w:rPr>
              <w:t>……</w:t>
            </w:r>
          </w:p>
        </w:tc>
        <w:tc>
          <w:tcPr>
            <w:tcW w:w="406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tc>
        <w:tc>
          <w:tcPr>
            <w:tcW w:w="1301" w:type="dxa"/>
            <w:tcMar>
              <w:top w:w="57" w:type="dxa"/>
              <w:left w:w="108" w:type="dxa"/>
              <w:bottom w:w="0" w:type="dxa"/>
              <w:right w:w="108" w:type="dxa"/>
            </w:tcMar>
          </w:tcPr>
          <w:p>
            <w:pPr>
              <w:pStyle w:val="35"/>
              <w:widowControl/>
              <w:spacing w:line="360" w:lineRule="auto"/>
              <w:jc w:val="left"/>
              <w:rPr>
                <w:rFonts w:ascii="宋体" w:hAnsi="宋体" w:cs="Arial"/>
                <w:bCs/>
                <w:sz w:val="21"/>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8"/>
        <w:rPr>
          <w:rFonts w:ascii="宋体" w:hAnsi="宋体"/>
          <w:sz w:val="24"/>
          <w:u w:val="single"/>
        </w:rPr>
      </w:pPr>
    </w:p>
    <w:p>
      <w:pPr>
        <w:pStyle w:val="8"/>
        <w:rPr>
          <w:rFonts w:ascii="宋体" w:hAnsi="宋体"/>
          <w:sz w:val="24"/>
          <w:u w:val="single"/>
        </w:rPr>
      </w:pPr>
    </w:p>
    <w:p>
      <w:pPr>
        <w:pStyle w:val="8"/>
        <w:rPr>
          <w:rFonts w:ascii="宋体" w:hAnsi="宋体"/>
          <w:sz w:val="24"/>
          <w:u w:val="single"/>
        </w:rPr>
      </w:pPr>
    </w:p>
    <w:p>
      <w:pPr>
        <w:pStyle w:val="8"/>
        <w:ind w:firstLine="0"/>
        <w:rPr>
          <w:rFonts w:ascii="宋体" w:hAnsi="宋体"/>
          <w:sz w:val="24"/>
          <w:u w:val="single"/>
        </w:rPr>
      </w:pPr>
    </w:p>
    <w:p>
      <w:pPr>
        <w:pStyle w:val="8"/>
        <w:ind w:firstLine="0"/>
        <w:rPr>
          <w:rFonts w:ascii="宋体" w:hAnsi="宋体"/>
          <w:sz w:val="24"/>
          <w:u w:val="single"/>
        </w:rPr>
      </w:pPr>
    </w:p>
    <w:p>
      <w:pPr>
        <w:pStyle w:val="8"/>
        <w:ind w:firstLine="0"/>
        <w:rPr>
          <w:rFonts w:ascii="宋体" w:hAnsi="宋体"/>
          <w:sz w:val="24"/>
          <w:u w:val="single"/>
        </w:rPr>
      </w:pPr>
    </w:p>
    <w:p>
      <w:pPr>
        <w:pStyle w:val="36"/>
        <w:spacing w:line="360" w:lineRule="auto"/>
        <w:rPr>
          <w:rFonts w:hint="default" w:hAnsi="宋体" w:eastAsiaTheme="minorEastAsia"/>
          <w:b/>
          <w:sz w:val="28"/>
          <w:szCs w:val="28"/>
          <w:lang w:val="en-US" w:eastAsia="zh-CN"/>
        </w:rPr>
      </w:pPr>
      <w:r>
        <w:rPr>
          <w:rFonts w:hint="eastAsia" w:hAnsi="宋体"/>
          <w:b/>
          <w:sz w:val="28"/>
          <w:szCs w:val="28"/>
        </w:rPr>
        <w:t>附件</w:t>
      </w:r>
      <w:r>
        <w:rPr>
          <w:rFonts w:hint="eastAsia" w:hAnsi="宋体"/>
          <w:b/>
          <w:sz w:val="28"/>
          <w:szCs w:val="28"/>
          <w:lang w:val="en-US" w:eastAsia="zh-CN"/>
        </w:rPr>
        <w:t>13</w:t>
      </w:r>
    </w:p>
    <w:p>
      <w:pPr>
        <w:pStyle w:val="36"/>
        <w:spacing w:line="360" w:lineRule="auto"/>
        <w:jc w:val="center"/>
        <w:rPr>
          <w:rFonts w:hAnsi="宋体"/>
          <w:b/>
          <w:sz w:val="32"/>
          <w:szCs w:val="32"/>
          <w:lang w:val="en-GB"/>
        </w:rPr>
      </w:pPr>
      <w:bookmarkStart w:id="93" w:name="_Toc15536_WPSOffice_Level1"/>
      <w:bookmarkStart w:id="94" w:name="_Toc16175_WPSOffice_Level1"/>
      <w:r>
        <w:rPr>
          <w:rFonts w:hint="eastAsia" w:hAnsi="宋体"/>
          <w:b/>
          <w:sz w:val="32"/>
          <w:szCs w:val="32"/>
        </w:rPr>
        <w:t>主要货物用材响应表(类似家具类货物采用)</w:t>
      </w:r>
      <w:bookmarkEnd w:id="93"/>
      <w:bookmarkEnd w:id="94"/>
    </w:p>
    <w:tbl>
      <w:tblPr>
        <w:tblStyle w:val="20"/>
        <w:tblpPr w:leftFromText="181" w:rightFromText="181" w:bottomFromText="170" w:vertAnchor="text" w:tblpXSpec="center" w:tblpY="1"/>
        <w:tblOverlap w:val="never"/>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58"/>
        <w:gridCol w:w="788"/>
        <w:gridCol w:w="1260"/>
        <w:gridCol w:w="900"/>
        <w:gridCol w:w="773"/>
        <w:gridCol w:w="1260"/>
        <w:gridCol w:w="8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货物名称</w:t>
            </w:r>
          </w:p>
        </w:tc>
        <w:tc>
          <w:tcPr>
            <w:tcW w:w="78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产品配置</w:t>
            </w:r>
          </w:p>
        </w:tc>
        <w:tc>
          <w:tcPr>
            <w:tcW w:w="5988" w:type="dxa"/>
            <w:gridSpan w:val="6"/>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78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材料规格及参数</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w:t>
            </w:r>
          </w:p>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商标</w:t>
            </w: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生产厂家</w:t>
            </w: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符合标准</w:t>
            </w: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性能说明</w:t>
            </w: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658" w:type="dxa"/>
            <w:vMerge w:val="restar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1658" w:type="dxa"/>
            <w:vMerge w:val="continue"/>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35"/>
              <w:spacing w:line="360" w:lineRule="auto"/>
              <w:rPr>
                <w:rFonts w:hint="eastAsia" w:asciiTheme="minorEastAsia" w:hAnsiTheme="minorEastAsia" w:eastAsiaTheme="minorEastAsia" w:cstheme="minorEastAsia"/>
                <w:sz w:val="21"/>
                <w:szCs w:val="21"/>
              </w:rPr>
            </w:pPr>
          </w:p>
        </w:tc>
        <w:tc>
          <w:tcPr>
            <w:tcW w:w="78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77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12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8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c>
          <w:tcPr>
            <w:tcW w:w="90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5"/>
              <w:autoSpaceDE w:val="0"/>
              <w:autoSpaceDN w:val="0"/>
              <w:adjustRightInd w:val="0"/>
              <w:spacing w:line="360" w:lineRule="auto"/>
              <w:ind w:right="84" w:rightChars="40"/>
              <w:jc w:val="center"/>
              <w:rPr>
                <w:rFonts w:hint="eastAsia" w:asciiTheme="minorEastAsia" w:hAnsiTheme="minorEastAsia" w:eastAsiaTheme="minorEastAsia" w:cstheme="minorEastAsia"/>
                <w:sz w:val="21"/>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firstLine="420" w:firstLineChars="200"/>
        <w:rPr>
          <w:rFonts w:ascii="宋体" w:hAnsi="宋体"/>
          <w:szCs w:val="21"/>
        </w:rPr>
      </w:pPr>
      <w:r>
        <w:rPr>
          <w:rFonts w:hint="eastAsia" w:ascii="宋体" w:hAnsi="宋体"/>
          <w:szCs w:val="21"/>
        </w:rPr>
        <w:t>1.请列出以上产品的各项主要用材、辅料、油漆、五金件等。</w:t>
      </w:r>
    </w:p>
    <w:p>
      <w:pPr>
        <w:pStyle w:val="35"/>
        <w:spacing w:line="360" w:lineRule="auto"/>
        <w:ind w:firstLine="420" w:firstLineChars="200"/>
        <w:rPr>
          <w:rFonts w:ascii="宋体" w:hAnsi="宋体"/>
          <w:szCs w:val="21"/>
        </w:rPr>
      </w:pPr>
      <w:r>
        <w:rPr>
          <w:rFonts w:hint="eastAsia" w:ascii="宋体" w:hAnsi="宋体"/>
          <w:szCs w:val="21"/>
        </w:rPr>
        <w:t>2.本表所列产品主要用材均为采购人抽样送检的范围。</w:t>
      </w:r>
    </w:p>
    <w:p>
      <w:pPr>
        <w:pStyle w:val="35"/>
        <w:spacing w:line="360" w:lineRule="auto"/>
        <w:ind w:firstLine="480" w:firstLineChars="200"/>
        <w:rPr>
          <w:rFonts w:ascii="仿宋_GB2312" w:eastAsia="仿宋_GB2312"/>
          <w:sz w:val="24"/>
        </w:rPr>
      </w:pPr>
    </w:p>
    <w:p>
      <w:pPr>
        <w:pStyle w:val="35"/>
        <w:spacing w:line="360" w:lineRule="auto"/>
        <w:ind w:firstLine="480" w:firstLineChars="200"/>
        <w:rPr>
          <w:rFonts w:ascii="仿宋_GB2312" w:eastAsia="仿宋_GB2312"/>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日        期：</w:t>
      </w:r>
    </w:p>
    <w:p>
      <w:pPr>
        <w:spacing w:line="360" w:lineRule="auto"/>
        <w:ind w:right="-110"/>
        <w:jc w:val="left"/>
        <w:rPr>
          <w:rFonts w:ascii="宋体" w:hAnsi="宋体"/>
          <w:b/>
          <w:sz w:val="28"/>
        </w:rPr>
      </w:pPr>
    </w:p>
    <w:p>
      <w:pPr>
        <w:rPr>
          <w:rFonts w:ascii="宋体" w:hAnsi="宋体"/>
          <w:b/>
          <w:sz w:val="28"/>
        </w:rPr>
      </w:pPr>
      <w:r>
        <w:rPr>
          <w:rFonts w:hint="eastAsia" w:ascii="宋体" w:hAnsi="宋体"/>
          <w:b/>
          <w:sz w:val="28"/>
        </w:rPr>
        <w:br w:type="page"/>
      </w:r>
    </w:p>
    <w:p>
      <w:pPr>
        <w:jc w:val="center"/>
        <w:rPr>
          <w:rFonts w:hint="eastAsia"/>
          <w:sz w:val="52"/>
          <w:szCs w:val="52"/>
        </w:rPr>
      </w:pPr>
      <w:bookmarkStart w:id="95" w:name="_Toc30468_WPSOffice_Level1"/>
      <w:bookmarkStart w:id="96" w:name="_Toc21322_WPSOffice_Level1"/>
      <w:bookmarkStart w:id="97" w:name="_Toc4615_WPSOffice_Level1"/>
    </w:p>
    <w:p>
      <w:pPr>
        <w:pStyle w:val="19"/>
        <w:rPr>
          <w:rFonts w:hint="eastAsia"/>
        </w:rPr>
      </w:pPr>
    </w:p>
    <w:p>
      <w:pPr>
        <w:jc w:val="center"/>
        <w:rPr>
          <w:rFonts w:hint="eastAsia"/>
          <w:sz w:val="52"/>
          <w:szCs w:val="52"/>
        </w:rPr>
      </w:pPr>
    </w:p>
    <w:p>
      <w:pPr>
        <w:jc w:val="center"/>
        <w:rPr>
          <w:sz w:val="52"/>
          <w:szCs w:val="52"/>
        </w:rPr>
      </w:pPr>
      <w:r>
        <w:rPr>
          <w:rFonts w:hint="eastAsia"/>
          <w:sz w:val="52"/>
          <w:szCs w:val="52"/>
        </w:rPr>
        <w:t>项目名称</w:t>
      </w:r>
      <w:bookmarkEnd w:id="95"/>
      <w:bookmarkEnd w:id="96"/>
      <w:bookmarkEnd w:id="97"/>
    </w:p>
    <w:p>
      <w:pPr>
        <w:spacing w:beforeLines="100" w:line="360" w:lineRule="auto"/>
        <w:ind w:right="-108"/>
        <w:jc w:val="center"/>
        <w:rPr>
          <w:rFonts w:ascii="宋体" w:hAnsi="宋体"/>
          <w:sz w:val="36"/>
          <w:szCs w:val="36"/>
        </w:rPr>
      </w:pPr>
      <w:r>
        <w:rPr>
          <w:rFonts w:hint="eastAsia" w:ascii="宋体" w:hAnsi="宋体"/>
          <w:sz w:val="36"/>
          <w:szCs w:val="36"/>
        </w:rPr>
        <w:t>项目编号：（标项）</w:t>
      </w:r>
    </w:p>
    <w:p>
      <w:pPr>
        <w:pStyle w:val="19"/>
      </w:pPr>
    </w:p>
    <w:p>
      <w:pPr>
        <w:jc w:val="center"/>
        <w:rPr>
          <w:sz w:val="84"/>
          <w:szCs w:val="84"/>
        </w:rPr>
      </w:pPr>
      <w:bookmarkStart w:id="98" w:name="_Toc8885_WPSOffice_Level1"/>
      <w:bookmarkStart w:id="99" w:name="_Toc9453_WPSOffice_Level1"/>
      <w:r>
        <w:rPr>
          <w:rFonts w:hint="eastAsia"/>
          <w:sz w:val="84"/>
          <w:szCs w:val="84"/>
        </w:rPr>
        <w:t>报</w:t>
      </w:r>
      <w:bookmarkEnd w:id="98"/>
      <w:bookmarkEnd w:id="99"/>
    </w:p>
    <w:p>
      <w:pPr>
        <w:jc w:val="center"/>
        <w:rPr>
          <w:sz w:val="84"/>
          <w:szCs w:val="84"/>
        </w:rPr>
      </w:pPr>
      <w:bookmarkStart w:id="100" w:name="_Toc7485_WPSOffice_Level1"/>
      <w:bookmarkStart w:id="101" w:name="_Toc10910_WPSOffice_Level1"/>
      <w:r>
        <w:rPr>
          <w:rFonts w:hint="eastAsia"/>
          <w:sz w:val="84"/>
          <w:szCs w:val="84"/>
        </w:rPr>
        <w:t>价</w:t>
      </w:r>
      <w:bookmarkEnd w:id="100"/>
      <w:bookmarkEnd w:id="101"/>
    </w:p>
    <w:p>
      <w:pPr>
        <w:jc w:val="center"/>
        <w:rPr>
          <w:sz w:val="84"/>
          <w:szCs w:val="84"/>
        </w:rPr>
      </w:pPr>
      <w:bookmarkStart w:id="102" w:name="_Toc3932_WPSOffice_Level1"/>
      <w:bookmarkStart w:id="103" w:name="_Toc14572_WPSOffice_Level1"/>
      <w:r>
        <w:rPr>
          <w:rFonts w:hint="eastAsia"/>
          <w:sz w:val="84"/>
          <w:szCs w:val="84"/>
        </w:rPr>
        <w:t>文</w:t>
      </w:r>
      <w:bookmarkEnd w:id="102"/>
      <w:bookmarkEnd w:id="103"/>
    </w:p>
    <w:p>
      <w:pPr>
        <w:jc w:val="center"/>
        <w:rPr>
          <w:sz w:val="84"/>
          <w:szCs w:val="84"/>
        </w:rPr>
      </w:pPr>
      <w:bookmarkStart w:id="104" w:name="_Toc7562_WPSOffice_Level1"/>
      <w:bookmarkStart w:id="105" w:name="_Toc16973_WPSOffice_Level1"/>
      <w:r>
        <w:rPr>
          <w:rFonts w:hint="eastAsia"/>
          <w:sz w:val="84"/>
          <w:szCs w:val="84"/>
        </w:rPr>
        <w:t>件</w:t>
      </w:r>
      <w:bookmarkEnd w:id="104"/>
      <w:bookmarkEnd w:id="105"/>
    </w:p>
    <w:p>
      <w:pPr>
        <w:spacing w:line="360" w:lineRule="auto"/>
        <w:ind w:right="532"/>
        <w:rPr>
          <w:rFonts w:ascii="宋体" w:hAnsi="宋体"/>
          <w:sz w:val="36"/>
          <w:szCs w:val="36"/>
        </w:rPr>
      </w:pPr>
    </w:p>
    <w:p>
      <w:pPr>
        <w:pStyle w:val="19"/>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106" w:name="_Toc26700_WPSOffice_Level1"/>
      <w:bookmarkStart w:id="107" w:name="_Toc4603_WPSOffice_Level1"/>
      <w:r>
        <w:rPr>
          <w:rFonts w:hint="eastAsia" w:ascii="宋体" w:hAnsi="宋体"/>
          <w:sz w:val="36"/>
          <w:szCs w:val="36"/>
        </w:rPr>
        <w:t>投标人全称（公章）：</w:t>
      </w:r>
      <w:bookmarkEnd w:id="106"/>
      <w:bookmarkEnd w:id="107"/>
    </w:p>
    <w:p>
      <w:pPr>
        <w:spacing w:line="360" w:lineRule="auto"/>
        <w:ind w:right="-108" w:firstLine="720" w:firstLineChars="200"/>
        <w:rPr>
          <w:rFonts w:ascii="宋体" w:hAnsi="宋体"/>
          <w:sz w:val="36"/>
          <w:szCs w:val="36"/>
        </w:rPr>
      </w:pPr>
      <w:bookmarkStart w:id="108" w:name="_Toc1391_WPSOffice_Level1"/>
      <w:bookmarkStart w:id="109" w:name="_Toc32593_WPSOffice_Level1"/>
      <w:r>
        <w:rPr>
          <w:rFonts w:hint="eastAsia" w:ascii="宋体" w:hAnsi="宋体"/>
          <w:sz w:val="36"/>
          <w:szCs w:val="36"/>
        </w:rPr>
        <w:t>地    址：</w:t>
      </w:r>
      <w:bookmarkEnd w:id="108"/>
      <w:bookmarkEnd w:id="109"/>
    </w:p>
    <w:p>
      <w:pPr>
        <w:spacing w:line="360" w:lineRule="auto"/>
        <w:ind w:right="-108" w:firstLine="720" w:firstLineChars="200"/>
        <w:rPr>
          <w:rFonts w:ascii="宋体" w:hAnsi="宋体"/>
          <w:sz w:val="36"/>
          <w:szCs w:val="36"/>
        </w:rPr>
      </w:pPr>
      <w:bookmarkStart w:id="110" w:name="_Toc3791_WPSOffice_Level1"/>
      <w:bookmarkStart w:id="111" w:name="_Toc20938_WPSOffice_Level1"/>
      <w:r>
        <w:rPr>
          <w:rFonts w:hint="eastAsia" w:ascii="宋体" w:hAnsi="宋体"/>
          <w:sz w:val="36"/>
          <w:szCs w:val="36"/>
        </w:rPr>
        <w:t>时    间：</w:t>
      </w:r>
      <w:bookmarkEnd w:id="110"/>
      <w:bookmarkEnd w:id="111"/>
    </w:p>
    <w:p>
      <w:pPr>
        <w:spacing w:line="360" w:lineRule="auto"/>
        <w:ind w:right="-108"/>
        <w:jc w:val="center"/>
        <w:rPr>
          <w:rFonts w:ascii="仿宋_GB2312" w:hAnsi="宋体" w:eastAsia="仿宋_GB2312"/>
          <w:b/>
          <w:sz w:val="36"/>
          <w:szCs w:val="36"/>
        </w:rPr>
      </w:pPr>
    </w:p>
    <w:p>
      <w:pPr>
        <w:pStyle w:val="19"/>
      </w:pPr>
    </w:p>
    <w:p>
      <w:pPr>
        <w:pStyle w:val="19"/>
      </w:pPr>
    </w:p>
    <w:p>
      <w:pPr>
        <w:pStyle w:val="19"/>
      </w:pPr>
    </w:p>
    <w:p>
      <w:pPr>
        <w:pStyle w:val="8"/>
        <w:ind w:left="0" w:leftChars="0" w:firstLine="0" w:firstLineChars="0"/>
        <w:rPr>
          <w:rFonts w:ascii="仿宋_GB2312" w:hAnsi="宋体" w:eastAsia="仿宋_GB2312"/>
          <w:b/>
          <w:sz w:val="36"/>
          <w:szCs w:val="36"/>
        </w:rPr>
      </w:pPr>
    </w:p>
    <w:p>
      <w:pPr>
        <w:pStyle w:val="8"/>
        <w:ind w:left="0" w:leftChars="0" w:firstLine="0" w:firstLineChars="0"/>
        <w:rPr>
          <w:rFonts w:ascii="仿宋_GB2312" w:hAnsi="宋体" w:eastAsia="仿宋_GB2312"/>
          <w:b/>
          <w:sz w:val="36"/>
          <w:szCs w:val="36"/>
        </w:rPr>
      </w:pPr>
    </w:p>
    <w:p>
      <w:pPr>
        <w:spacing w:line="480" w:lineRule="auto"/>
        <w:jc w:val="center"/>
        <w:rPr>
          <w:rFonts w:hint="eastAsia" w:ascii="宋体" w:hAnsi="宋体"/>
          <w:b/>
          <w:bCs/>
          <w:sz w:val="36"/>
          <w:szCs w:val="36"/>
        </w:rPr>
      </w:pPr>
      <w:bookmarkStart w:id="112" w:name="_Toc29537_WPSOffice_Level1"/>
      <w:bookmarkStart w:id="113" w:name="_Toc19972_WPSOffice_Level1"/>
      <w:r>
        <w:rPr>
          <w:rFonts w:hint="eastAsia" w:ascii="宋体" w:hAnsi="宋体"/>
          <w:b/>
          <w:bCs/>
          <w:sz w:val="36"/>
          <w:szCs w:val="36"/>
        </w:rPr>
        <w:t>报价文件目录</w:t>
      </w:r>
      <w:bookmarkEnd w:id="112"/>
      <w:bookmarkEnd w:id="113"/>
    </w:p>
    <w:p>
      <w:pPr>
        <w:pStyle w:val="19"/>
        <w:rPr>
          <w:rFonts w:hint="eastAsia"/>
        </w:rPr>
      </w:pPr>
    </w:p>
    <w:p>
      <w:pPr>
        <w:spacing w:line="360" w:lineRule="auto"/>
        <w:ind w:firstLine="480" w:firstLineChars="200"/>
        <w:rPr>
          <w:sz w:val="24"/>
        </w:rPr>
      </w:pPr>
    </w:p>
    <w:p>
      <w:pPr>
        <w:numPr>
          <w:ilvl w:val="0"/>
          <w:numId w:val="21"/>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4" w:name="_Toc6778_WPSOffice_Level1"/>
      <w:bookmarkStart w:id="115" w:name="_Toc29988_WPSOffice_Level1"/>
      <w:r>
        <w:rPr>
          <w:rFonts w:hint="eastAsia" w:asciiTheme="minorEastAsia" w:hAnsiTheme="minorEastAsia" w:eastAsiaTheme="minorEastAsia" w:cstheme="minorEastAsia"/>
          <w:sz w:val="28"/>
          <w:szCs w:val="28"/>
          <w:lang w:val="en-US" w:eastAsia="zh-CN"/>
        </w:rPr>
        <w:t>开标一览表（附件14）</w:t>
      </w:r>
      <w:bookmarkEnd w:id="114"/>
      <w:bookmarkEnd w:id="115"/>
    </w:p>
    <w:p>
      <w:pPr>
        <w:numPr>
          <w:ilvl w:val="0"/>
          <w:numId w:val="21"/>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6" w:name="_Toc15601_WPSOffice_Level1"/>
      <w:bookmarkStart w:id="117" w:name="_Toc11601_WPSOffice_Level1"/>
      <w:r>
        <w:rPr>
          <w:rFonts w:hint="eastAsia" w:asciiTheme="minorEastAsia" w:hAnsiTheme="minorEastAsia" w:eastAsiaTheme="minorEastAsia" w:cstheme="minorEastAsia"/>
          <w:sz w:val="28"/>
          <w:szCs w:val="28"/>
          <w:lang w:val="en-US" w:eastAsia="zh-CN"/>
        </w:rPr>
        <w:t>报价明细表（附件15）</w:t>
      </w:r>
      <w:bookmarkEnd w:id="116"/>
      <w:bookmarkEnd w:id="117"/>
    </w:p>
    <w:p>
      <w:pPr>
        <w:numPr>
          <w:ilvl w:val="0"/>
          <w:numId w:val="21"/>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bookmarkStart w:id="118" w:name="_Toc17543_WPSOffice_Level1"/>
      <w:bookmarkStart w:id="119" w:name="_Toc45_WPSOffice_Level1"/>
      <w:r>
        <w:rPr>
          <w:rFonts w:hint="eastAsia" w:asciiTheme="minorEastAsia" w:hAnsiTheme="minorEastAsia" w:eastAsiaTheme="minorEastAsia" w:cstheme="minorEastAsia"/>
          <w:kern w:val="2"/>
          <w:sz w:val="28"/>
          <w:szCs w:val="28"/>
          <w:lang w:val="en-US" w:eastAsia="zh-CN" w:bidi="ar-SA"/>
        </w:rPr>
        <w:t>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lang w:val="en-US" w:eastAsia="zh-CN"/>
        </w:rPr>
        <w:t>（附件16）</w:t>
      </w:r>
      <w:bookmarkEnd w:id="118"/>
      <w:bookmarkEnd w:id="119"/>
    </w:p>
    <w:p>
      <w:pPr>
        <w:numPr>
          <w:ilvl w:val="0"/>
          <w:numId w:val="21"/>
        </w:numPr>
        <w:spacing w:line="360" w:lineRule="auto"/>
        <w:ind w:left="425" w:leftChars="0" w:hanging="425"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针对报价投标人认为其他需要说明的</w:t>
      </w:r>
    </w:p>
    <w:p>
      <w:pPr>
        <w:numPr>
          <w:ilvl w:val="0"/>
          <w:numId w:val="0"/>
        </w:numPr>
        <w:spacing w:line="360" w:lineRule="auto"/>
        <w:ind w:leftChars="0"/>
        <w:jc w:val="both"/>
        <w:rPr>
          <w:rFonts w:hint="eastAsia" w:asciiTheme="minorEastAsia" w:hAnsiTheme="minorEastAsia" w:eastAsiaTheme="minorEastAsia" w:cstheme="minorEastAsia"/>
          <w:sz w:val="28"/>
          <w:szCs w:val="28"/>
          <w:lang w:val="en-US" w:eastAsia="zh-CN"/>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4</w:t>
      </w:r>
    </w:p>
    <w:p>
      <w:pPr>
        <w:spacing w:line="360" w:lineRule="auto"/>
        <w:ind w:left="-2" w:hanging="2"/>
        <w:jc w:val="center"/>
        <w:rPr>
          <w:rFonts w:hint="eastAsia" w:ascii="宋体" w:hAnsi="宋体"/>
          <w:b/>
          <w:sz w:val="32"/>
          <w:szCs w:val="32"/>
        </w:rPr>
      </w:pPr>
      <w:bookmarkStart w:id="120" w:name="_Toc16144_WPSOffice_Level1"/>
      <w:bookmarkStart w:id="121" w:name="_Toc30363_WPSOffice_Level1"/>
      <w:r>
        <w:rPr>
          <w:rFonts w:hint="eastAsia" w:ascii="宋体" w:hAnsi="宋体"/>
          <w:b/>
          <w:sz w:val="32"/>
          <w:szCs w:val="32"/>
        </w:rPr>
        <w:t>开标一览表</w:t>
      </w:r>
      <w:bookmarkEnd w:id="120"/>
      <w:bookmarkEnd w:id="121"/>
    </w:p>
    <w:p>
      <w:pPr>
        <w:pStyle w:val="19"/>
      </w:pPr>
    </w:p>
    <w:p>
      <w:pPr>
        <w:pStyle w:val="11"/>
        <w:spacing w:line="360" w:lineRule="auto"/>
        <w:ind w:firstLine="482" w:firstLineChars="200"/>
        <w:rPr>
          <w:rFonts w:hAnsi="宋体"/>
          <w:b/>
          <w:sz w:val="24"/>
        </w:rPr>
      </w:pPr>
      <w:r>
        <w:rPr>
          <w:rFonts w:hAnsi="宋体"/>
          <w:b/>
          <w:sz w:val="24"/>
        </w:rPr>
        <w:t>项目编号：</w:t>
      </w:r>
    </w:p>
    <w:p>
      <w:pPr>
        <w:pStyle w:val="39"/>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hint="eastAsia" w:ascii="宋体" w:hAnsi="宋体" w:eastAsia="宋体"/>
                <w:sz w:val="24"/>
                <w:lang w:eastAsia="zh-CN"/>
              </w:rPr>
            </w:pPr>
            <w:r>
              <w:rPr>
                <w:rFonts w:hint="eastAsia" w:ascii="宋体" w:hAnsi="宋体"/>
                <w:sz w:val="24"/>
              </w:rPr>
              <w:t>投标总报价</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hint="eastAsia" w:ascii="宋体" w:hAnsi="宋体" w:eastAsia="宋体" w:cs="宋体"/>
          <w:sz w:val="24"/>
        </w:rPr>
      </w:pPr>
      <w:r>
        <w:rPr>
          <w:rFonts w:hint="eastAsia" w:ascii="宋体" w:hAnsi="宋体"/>
          <w:b/>
          <w:szCs w:val="21"/>
        </w:rPr>
        <w:t>填报要求：</w:t>
      </w:r>
      <w:r>
        <w:rPr>
          <w:rFonts w:hint="eastAsia" w:ascii="宋体" w:hAnsi="宋体" w:eastAsia="宋体" w:cs="宋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hint="eastAsia" w:ascii="宋体" w:hAnsi="宋体" w:eastAsia="宋体" w:cs="宋体"/>
          <w:sz w:val="24"/>
        </w:rPr>
      </w:pPr>
    </w:p>
    <w:p>
      <w:pPr>
        <w:pStyle w:val="19"/>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60" w:lineRule="auto"/>
        <w:rPr>
          <w:rFonts w:hint="eastAsia" w:ascii="宋体" w:hAnsi="宋体" w:eastAsia="宋体"/>
          <w:b/>
          <w:sz w:val="28"/>
          <w:lang w:eastAsia="zh-CN"/>
        </w:rPr>
      </w:pPr>
      <w:r>
        <w:rPr>
          <w:rFonts w:hint="eastAsia" w:ascii="宋体" w:hAnsi="宋体"/>
          <w:b/>
          <w:sz w:val="28"/>
        </w:rPr>
        <w:t>附件1</w:t>
      </w:r>
      <w:r>
        <w:rPr>
          <w:rFonts w:hint="eastAsia" w:ascii="宋体" w:hAnsi="宋体"/>
          <w:b/>
          <w:sz w:val="28"/>
          <w:lang w:val="en-US" w:eastAsia="zh-CN"/>
        </w:rPr>
        <w:t>5</w:t>
      </w:r>
    </w:p>
    <w:p>
      <w:pPr>
        <w:spacing w:line="360" w:lineRule="auto"/>
        <w:jc w:val="center"/>
        <w:rPr>
          <w:rFonts w:hint="eastAsia" w:ascii="宋体" w:hAnsi="宋体"/>
          <w:sz w:val="24"/>
        </w:rPr>
      </w:pPr>
      <w:bookmarkStart w:id="122" w:name="_Toc22412_WPSOffice_Level1"/>
      <w:bookmarkStart w:id="123" w:name="_Toc8975_WPSOffice_Level1"/>
      <w:r>
        <w:rPr>
          <w:rFonts w:hint="eastAsia" w:ascii="宋体" w:hAnsi="宋体"/>
          <w:b/>
          <w:sz w:val="32"/>
          <w:szCs w:val="32"/>
        </w:rPr>
        <w:t>报价明细表</w:t>
      </w:r>
      <w:bookmarkEnd w:id="122"/>
      <w:bookmarkEnd w:id="123"/>
      <w:r>
        <w:rPr>
          <w:rFonts w:hint="eastAsia" w:ascii="宋体" w:hAnsi="宋体"/>
          <w:sz w:val="24"/>
        </w:rPr>
        <w:t xml:space="preserve">  </w:t>
      </w:r>
    </w:p>
    <w:p>
      <w:pPr>
        <w:spacing w:line="360" w:lineRule="auto"/>
        <w:jc w:val="both"/>
        <w:rPr>
          <w:rFonts w:hAnsi="宋体"/>
          <w:b/>
          <w:sz w:val="24"/>
        </w:rPr>
      </w:pPr>
      <w:r>
        <w:rPr>
          <w:rFonts w:hAnsi="宋体"/>
          <w:b/>
          <w:sz w:val="24"/>
        </w:rPr>
        <w:t>项目编号：</w:t>
      </w:r>
    </w:p>
    <w:p>
      <w:pPr>
        <w:pStyle w:val="39"/>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[货币单位：人民币元]</w:t>
      </w:r>
    </w:p>
    <w:tbl>
      <w:tblPr>
        <w:tblStyle w:val="20"/>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数量</w:t>
            </w:r>
          </w:p>
        </w:tc>
        <w:tc>
          <w:tcPr>
            <w:tcW w:w="714"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单价</w:t>
            </w:r>
          </w:p>
        </w:tc>
        <w:tc>
          <w:tcPr>
            <w:tcW w:w="697"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小计</w:t>
            </w:r>
          </w:p>
        </w:tc>
        <w:tc>
          <w:tcPr>
            <w:tcW w:w="709" w:type="dxa"/>
            <w:tcMar>
              <w:top w:w="57" w:type="dxa"/>
              <w:left w:w="108" w:type="dxa"/>
              <w:bottom w:w="0" w:type="dxa"/>
              <w:right w:w="108" w:type="dxa"/>
            </w:tcMar>
            <w:vAlign w:val="center"/>
          </w:tcPr>
          <w:p>
            <w:pPr>
              <w:spacing w:line="360" w:lineRule="auto"/>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14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260"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36"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1005"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851"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14"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697"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c>
          <w:tcPr>
            <w:tcW w:w="709" w:type="dxa"/>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15" w:leftChars="0" w:firstLine="420" w:firstLineChars="200"/>
        <w:rPr>
          <w:rFonts w:ascii="宋体" w:hAnsi="宋体"/>
          <w:szCs w:val="21"/>
        </w:rPr>
      </w:pPr>
      <w:r>
        <w:rPr>
          <w:rFonts w:hint="eastAsia" w:ascii="宋体" w:hAnsi="宋体"/>
          <w:szCs w:val="21"/>
        </w:rPr>
        <w:t>1.本表为《开标一览表》的报价明细表，如有缺项、漏项，视为投标报价中已包含相关费用，采购人无需另外支付任何费用。</w:t>
      </w:r>
    </w:p>
    <w:p>
      <w:pPr>
        <w:spacing w:line="360" w:lineRule="auto"/>
        <w:ind w:left="15" w:leftChars="0" w:firstLine="420" w:firstLineChars="200"/>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15" w:leftChars="0" w:firstLine="420" w:firstLineChars="200"/>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15" w:leftChars="0" w:firstLine="420" w:firstLineChars="200"/>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napToGrid w:val="0"/>
        <w:spacing w:beforeLines="50" w:after="50" w:line="360" w:lineRule="auto"/>
        <w:rPr>
          <w:rFonts w:hint="eastAsia" w:ascii="宋体" w:hAnsi="宋体" w:eastAsia="宋体"/>
          <w:b/>
          <w:sz w:val="28"/>
          <w:szCs w:val="28"/>
          <w:lang w:eastAsia="zh-CN"/>
        </w:rPr>
      </w:pPr>
      <w:r>
        <w:rPr>
          <w:rFonts w:hint="eastAsia" w:ascii="宋体" w:hAnsi="宋体"/>
          <w:b/>
          <w:sz w:val="28"/>
        </w:rPr>
        <w:t>附件1</w:t>
      </w:r>
      <w:r>
        <w:rPr>
          <w:rFonts w:hint="eastAsia" w:ascii="宋体" w:hAnsi="宋体"/>
          <w:b/>
          <w:sz w:val="28"/>
          <w:lang w:val="en-US" w:eastAsia="zh-CN"/>
        </w:rPr>
        <w:t>6</w:t>
      </w:r>
    </w:p>
    <w:p>
      <w:pPr>
        <w:pStyle w:val="8"/>
        <w:spacing w:line="360" w:lineRule="auto"/>
        <w:ind w:left="0" w:leftChars="0" w:firstLine="0" w:firstLineChars="0"/>
        <w:jc w:val="center"/>
        <w:rPr>
          <w:rFonts w:ascii="宋体" w:hAnsi="宋体" w:cs="宋体"/>
          <w:b/>
          <w:sz w:val="32"/>
          <w:szCs w:val="32"/>
        </w:rPr>
      </w:pPr>
      <w:bookmarkStart w:id="124" w:name="_Toc29357_WPSOffice_Level1"/>
      <w:bookmarkStart w:id="125" w:name="_Toc12654_WPSOffice_Level1"/>
      <w:r>
        <w:rPr>
          <w:rFonts w:hint="eastAsia" w:ascii="宋体" w:hAnsi="宋体" w:cs="宋体"/>
          <w:b/>
          <w:sz w:val="32"/>
          <w:szCs w:val="32"/>
        </w:rPr>
        <w:t>中小企业声明函（货物）</w:t>
      </w:r>
      <w:bookmarkEnd w:id="124"/>
      <w:bookmarkEnd w:id="125"/>
    </w:p>
    <w:p>
      <w:pPr>
        <w:pStyle w:val="8"/>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企业名称（盖章）：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日 期：    </w:t>
      </w:r>
    </w:p>
    <w:p>
      <w:pPr>
        <w:wordWrap w:val="0"/>
        <w:spacing w:line="360" w:lineRule="auto"/>
        <w:ind w:firstLine="480" w:firstLineChars="200"/>
        <w:jc w:val="center"/>
        <w:rPr>
          <w:rFonts w:hint="eastAsia"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4" w:type="first"/>
          <w:footerReference r:id="rId6" w:type="first"/>
          <w:headerReference r:id="rId3" w:type="default"/>
          <w:footerReference r:id="rId5"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11"/>
        <w:spacing w:line="360" w:lineRule="auto"/>
        <w:jc w:val="center"/>
        <w:outlineLvl w:val="1"/>
        <w:rPr>
          <w:rFonts w:hAnsi="宋体" w:cs="宋体"/>
          <w:b/>
          <w:sz w:val="32"/>
          <w:szCs w:val="32"/>
          <w:lang w:val="en-GB"/>
        </w:rPr>
      </w:pPr>
      <w:bookmarkStart w:id="126" w:name="_Toc17646_WPSOffice_Level1"/>
      <w:bookmarkStart w:id="127" w:name="_Toc27483_WPSOffice_Level1"/>
      <w:r>
        <w:rPr>
          <w:rFonts w:hint="eastAsia" w:hAnsi="宋体" w:cs="宋体"/>
          <w:b/>
          <w:sz w:val="32"/>
          <w:szCs w:val="32"/>
          <w:lang w:val="en-GB"/>
        </w:rPr>
        <w:t>残疾人福利性单位声明函</w:t>
      </w:r>
      <w:bookmarkEnd w:id="126"/>
      <w:bookmarkEnd w:id="127"/>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40"/>
        <w:spacing w:line="360" w:lineRule="auto"/>
        <w:ind w:left="4788" w:leftChars="2280" w:firstLine="0" w:firstLineChars="0"/>
        <w:rPr>
          <w:rFonts w:hint="eastAsia" w:ascii="宋体" w:hAnsi="宋体"/>
          <w:sz w:val="24"/>
        </w:rPr>
      </w:pPr>
      <w:r>
        <w:rPr>
          <w:rFonts w:hint="eastAsia" w:ascii="宋体" w:hAnsi="宋体" w:cs="宋体"/>
          <w:sz w:val="24"/>
        </w:rPr>
        <w:t xml:space="preserve">                                </w:t>
      </w:r>
      <w:r>
        <w:rPr>
          <w:rFonts w:hint="eastAsia" w:ascii="宋体" w:hAnsi="宋体"/>
          <w:sz w:val="24"/>
        </w:rPr>
        <w:t>单位名称（盖章）：</w:t>
      </w:r>
    </w:p>
    <w:p>
      <w:pPr>
        <w:pStyle w:val="40"/>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tabs>
          <w:tab w:val="left" w:pos="4860"/>
        </w:tabs>
        <w:spacing w:line="588" w:lineRule="exact"/>
        <w:ind w:right="1560" w:firstLine="480" w:firstLineChars="200"/>
        <w:jc w:val="center"/>
        <w:rPr>
          <w:rFonts w:ascii="宋体" w:hAnsi="宋体" w:cs="宋体"/>
          <w:sz w:val="24"/>
        </w:rPr>
      </w:pPr>
    </w:p>
    <w:p>
      <w:pPr>
        <w:pStyle w:val="40"/>
        <w:spacing w:line="360" w:lineRule="auto"/>
      </w:pPr>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政府采购文件公开招标货物类示范文本</w:t>
    </w:r>
    <w:r>
      <w:rPr>
        <w:rFonts w:hint="eastAsia"/>
        <w:b/>
        <w:i/>
        <w:color w:val="000000" w:themeColor="text1"/>
        <w:kern w:val="0"/>
        <w:sz w:val="18"/>
        <w:u w:val="single"/>
        <w:lang w:val="en-US" w:eastAsia="zh-CN"/>
        <w14:textFill>
          <w14:solidFill>
            <w14:schemeClr w14:val="tx1"/>
          </w14:solidFill>
        </w14:textFill>
      </w:rPr>
      <w:t>（试行）</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XXX政府采购招标文件--货物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8AB44E3A"/>
    <w:multiLevelType w:val="singleLevel"/>
    <w:tmpl w:val="8AB44E3A"/>
    <w:lvl w:ilvl="0" w:tentative="0">
      <w:start w:val="1"/>
      <w:numFmt w:val="decimal"/>
      <w:suff w:val="nothing"/>
      <w:lvlText w:val="%1、"/>
      <w:lvlJc w:val="left"/>
      <w:rPr>
        <w:rFonts w:hint="default" w:ascii="宋体" w:hAnsi="宋体" w:eastAsia="宋体" w:cs="宋体"/>
        <w:sz w:val="24"/>
        <w:szCs w:val="24"/>
      </w:rPr>
    </w:lvl>
  </w:abstractNum>
  <w:abstractNum w:abstractNumId="2">
    <w:nsid w:val="8FA37827"/>
    <w:multiLevelType w:val="singleLevel"/>
    <w:tmpl w:val="8FA37827"/>
    <w:lvl w:ilvl="0" w:tentative="0">
      <w:start w:val="1"/>
      <w:numFmt w:val="decimal"/>
      <w:lvlText w:val="%1."/>
      <w:lvlJc w:val="left"/>
      <w:pPr>
        <w:ind w:left="425" w:hanging="425"/>
      </w:pPr>
      <w:rPr>
        <w:rFonts w:hint="default"/>
      </w:r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BBFF1B09"/>
    <w:multiLevelType w:val="singleLevel"/>
    <w:tmpl w:val="BBFF1B09"/>
    <w:lvl w:ilvl="0" w:tentative="0">
      <w:start w:val="1"/>
      <w:numFmt w:val="chineseCounting"/>
      <w:suff w:val="nothing"/>
      <w:lvlText w:val="（%1）"/>
      <w:lvlJc w:val="left"/>
      <w:rPr>
        <w:rFonts w:hint="eastAsia"/>
      </w:rPr>
    </w:lvl>
  </w:abstractNum>
  <w:abstractNum w:abstractNumId="5">
    <w:nsid w:val="C464AF9A"/>
    <w:multiLevelType w:val="singleLevel"/>
    <w:tmpl w:val="C464AF9A"/>
    <w:lvl w:ilvl="0" w:tentative="0">
      <w:start w:val="1"/>
      <w:numFmt w:val="decimal"/>
      <w:lvlText w:val="%1."/>
      <w:lvlJc w:val="left"/>
      <w:pPr>
        <w:tabs>
          <w:tab w:val="left" w:pos="312"/>
        </w:tabs>
      </w:pPr>
    </w:lvl>
  </w:abstractNum>
  <w:abstractNum w:abstractNumId="6">
    <w:nsid w:val="DB9645F2"/>
    <w:multiLevelType w:val="singleLevel"/>
    <w:tmpl w:val="DB9645F2"/>
    <w:lvl w:ilvl="0" w:tentative="0">
      <w:start w:val="2"/>
      <w:numFmt w:val="chineseCounting"/>
      <w:suff w:val="nothing"/>
      <w:lvlText w:val="（%1）"/>
      <w:lvlJc w:val="left"/>
      <w:rPr>
        <w:rFonts w:hint="eastAsia"/>
      </w:rPr>
    </w:lvl>
  </w:abstractNum>
  <w:abstractNum w:abstractNumId="7">
    <w:nsid w:val="F0354830"/>
    <w:multiLevelType w:val="singleLevel"/>
    <w:tmpl w:val="F0354830"/>
    <w:lvl w:ilvl="0" w:tentative="0">
      <w:start w:val="1"/>
      <w:numFmt w:val="decimal"/>
      <w:suff w:val="space"/>
      <w:lvlText w:val="%1."/>
      <w:lvlJc w:val="left"/>
    </w:lvl>
  </w:abstractNum>
  <w:abstractNum w:abstractNumId="8">
    <w:nsid w:val="F3AC883A"/>
    <w:multiLevelType w:val="singleLevel"/>
    <w:tmpl w:val="F3AC883A"/>
    <w:lvl w:ilvl="0" w:tentative="0">
      <w:start w:val="1"/>
      <w:numFmt w:val="decimal"/>
      <w:suff w:val="nothing"/>
      <w:lvlText w:val="%1．"/>
      <w:lvlJc w:val="left"/>
      <w:pPr>
        <w:ind w:left="0" w:firstLine="400"/>
      </w:pPr>
      <w:rPr>
        <w:rFonts w:hint="default"/>
      </w:rPr>
    </w:lvl>
  </w:abstractNum>
  <w:abstractNum w:abstractNumId="9">
    <w:nsid w:val="F931D4A4"/>
    <w:multiLevelType w:val="singleLevel"/>
    <w:tmpl w:val="F931D4A4"/>
    <w:lvl w:ilvl="0" w:tentative="0">
      <w:start w:val="1"/>
      <w:numFmt w:val="decimal"/>
      <w:lvlText w:val="%1."/>
      <w:lvlJc w:val="left"/>
      <w:pPr>
        <w:tabs>
          <w:tab w:val="left" w:pos="312"/>
        </w:tabs>
      </w:pPr>
    </w:lvl>
  </w:abstractNum>
  <w:abstractNum w:abstractNumId="10">
    <w:nsid w:val="FF4D4BA8"/>
    <w:multiLevelType w:val="singleLevel"/>
    <w:tmpl w:val="FF4D4BA8"/>
    <w:lvl w:ilvl="0" w:tentative="0">
      <w:start w:val="1"/>
      <w:numFmt w:val="decimal"/>
      <w:lvlText w:val="%1."/>
      <w:lvlJc w:val="left"/>
      <w:pPr>
        <w:ind w:left="425" w:hanging="425"/>
      </w:pPr>
      <w:rPr>
        <w:rFonts w:hint="default"/>
      </w:rPr>
    </w:lvl>
  </w:abstractNum>
  <w:abstractNum w:abstractNumId="11">
    <w:nsid w:val="FFD330A0"/>
    <w:multiLevelType w:val="singleLevel"/>
    <w:tmpl w:val="FFD330A0"/>
    <w:lvl w:ilvl="0" w:tentative="0">
      <w:start w:val="1"/>
      <w:numFmt w:val="decimal"/>
      <w:suff w:val="nothing"/>
      <w:lvlText w:val="%1．"/>
      <w:lvlJc w:val="left"/>
      <w:pPr>
        <w:ind w:left="0" w:firstLine="400"/>
      </w:pPr>
      <w:rPr>
        <w:rFonts w:hint="default"/>
      </w:rPr>
    </w:lvl>
  </w:abstractNum>
  <w:abstractNum w:abstractNumId="12">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3">
    <w:nsid w:val="289F1F1C"/>
    <w:multiLevelType w:val="singleLevel"/>
    <w:tmpl w:val="289F1F1C"/>
    <w:lvl w:ilvl="0" w:tentative="0">
      <w:start w:val="1"/>
      <w:numFmt w:val="decimal"/>
      <w:lvlText w:val="%1."/>
      <w:lvlJc w:val="left"/>
      <w:pPr>
        <w:ind w:left="425" w:hanging="425"/>
      </w:pPr>
      <w:rPr>
        <w:rFonts w:hint="default"/>
      </w:rPr>
    </w:lvl>
  </w:abstractNum>
  <w:abstractNum w:abstractNumId="14">
    <w:nsid w:val="461E5E94"/>
    <w:multiLevelType w:val="singleLevel"/>
    <w:tmpl w:val="461E5E94"/>
    <w:lvl w:ilvl="0" w:tentative="0">
      <w:start w:val="2"/>
      <w:numFmt w:val="chineseCounting"/>
      <w:suff w:val="space"/>
      <w:lvlText w:val="第%1章"/>
      <w:lvlJc w:val="left"/>
      <w:rPr>
        <w:rFonts w:hint="eastAsia"/>
      </w:rPr>
    </w:lvl>
  </w:abstractNum>
  <w:abstractNum w:abstractNumId="15">
    <w:nsid w:val="6037E5CE"/>
    <w:multiLevelType w:val="singleLevel"/>
    <w:tmpl w:val="6037E5CE"/>
    <w:lvl w:ilvl="0" w:tentative="0">
      <w:start w:val="1"/>
      <w:numFmt w:val="decimal"/>
      <w:lvlText w:val="%1."/>
      <w:lvlJc w:val="left"/>
      <w:pPr>
        <w:tabs>
          <w:tab w:val="left" w:pos="312"/>
        </w:tabs>
      </w:pPr>
    </w:lvl>
  </w:abstractNum>
  <w:abstractNum w:abstractNumId="16">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7">
    <w:nsid w:val="66DDD653"/>
    <w:multiLevelType w:val="singleLevel"/>
    <w:tmpl w:val="66DDD653"/>
    <w:lvl w:ilvl="0" w:tentative="0">
      <w:start w:val="1"/>
      <w:numFmt w:val="chineseCounting"/>
      <w:suff w:val="space"/>
      <w:lvlText w:val="第%1章"/>
      <w:lvlJc w:val="left"/>
      <w:rPr>
        <w:rFonts w:hint="eastAsia"/>
      </w:rPr>
    </w:lvl>
  </w:abstractNum>
  <w:abstractNum w:abstractNumId="18">
    <w:nsid w:val="723BC5A6"/>
    <w:multiLevelType w:val="singleLevel"/>
    <w:tmpl w:val="723BC5A6"/>
    <w:lvl w:ilvl="0" w:tentative="0">
      <w:start w:val="1"/>
      <w:numFmt w:val="decimal"/>
      <w:pStyle w:val="5"/>
      <w:lvlText w:val="%1."/>
      <w:lvlJc w:val="left"/>
      <w:pPr>
        <w:tabs>
          <w:tab w:val="left" w:pos="780"/>
        </w:tabs>
        <w:ind w:left="780" w:hanging="360"/>
      </w:pPr>
    </w:lvl>
  </w:abstractNum>
  <w:abstractNum w:abstractNumId="19">
    <w:nsid w:val="7488A27B"/>
    <w:multiLevelType w:val="singleLevel"/>
    <w:tmpl w:val="7488A27B"/>
    <w:lvl w:ilvl="0" w:tentative="0">
      <w:start w:val="1"/>
      <w:numFmt w:val="decimal"/>
      <w:lvlText w:val="%1."/>
      <w:lvlJc w:val="left"/>
      <w:pPr>
        <w:ind w:left="425" w:hanging="425"/>
      </w:pPr>
      <w:rPr>
        <w:rFonts w:hint="default"/>
      </w:rPr>
    </w:lvl>
  </w:abstractNum>
  <w:abstractNum w:abstractNumId="20">
    <w:nsid w:val="7E92F494"/>
    <w:multiLevelType w:val="singleLevel"/>
    <w:tmpl w:val="7E92F494"/>
    <w:lvl w:ilvl="0" w:tentative="0">
      <w:start w:val="1"/>
      <w:numFmt w:val="decimal"/>
      <w:lvlText w:val="%1."/>
      <w:lvlJc w:val="left"/>
      <w:pPr>
        <w:ind w:left="425" w:hanging="425"/>
      </w:pPr>
      <w:rPr>
        <w:rFonts w:hint="default"/>
      </w:rPr>
    </w:lvl>
  </w:abstractNum>
  <w:num w:numId="1">
    <w:abstractNumId w:val="16"/>
  </w:num>
  <w:num w:numId="2">
    <w:abstractNumId w:val="18"/>
  </w:num>
  <w:num w:numId="3">
    <w:abstractNumId w:val="12"/>
  </w:num>
  <w:num w:numId="4">
    <w:abstractNumId w:val="17"/>
  </w:num>
  <w:num w:numId="5">
    <w:abstractNumId w:val="14"/>
  </w:num>
  <w:num w:numId="6">
    <w:abstractNumId w:val="9"/>
  </w:num>
  <w:num w:numId="7">
    <w:abstractNumId w:val="6"/>
  </w:num>
  <w:num w:numId="8">
    <w:abstractNumId w:val="15"/>
  </w:num>
  <w:num w:numId="9">
    <w:abstractNumId w:val="5"/>
  </w:num>
  <w:num w:numId="10">
    <w:abstractNumId w:val="4"/>
  </w:num>
  <w:num w:numId="11">
    <w:abstractNumId w:val="7"/>
  </w:num>
  <w:num w:numId="12">
    <w:abstractNumId w:val="8"/>
  </w:num>
  <w:num w:numId="13">
    <w:abstractNumId w:val="11"/>
  </w:num>
  <w:num w:numId="14">
    <w:abstractNumId w:val="0"/>
  </w:num>
  <w:num w:numId="15">
    <w:abstractNumId w:val="20"/>
  </w:num>
  <w:num w:numId="16">
    <w:abstractNumId w:val="1"/>
  </w:num>
  <w:num w:numId="17">
    <w:abstractNumId w:val="19"/>
  </w:num>
  <w:num w:numId="18">
    <w:abstractNumId w:val="2"/>
  </w:num>
  <w:num w:numId="19">
    <w:abstractNumId w:val="13"/>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s>
  <w:rsids>
    <w:rsidRoot w:val="685F2B0C"/>
    <w:rsid w:val="0002799D"/>
    <w:rsid w:val="00037F4A"/>
    <w:rsid w:val="00072A3F"/>
    <w:rsid w:val="000E538F"/>
    <w:rsid w:val="001136A2"/>
    <w:rsid w:val="001B51C8"/>
    <w:rsid w:val="001C4F91"/>
    <w:rsid w:val="001E6CF9"/>
    <w:rsid w:val="00242A20"/>
    <w:rsid w:val="002A4418"/>
    <w:rsid w:val="00312C7C"/>
    <w:rsid w:val="00315916"/>
    <w:rsid w:val="003201FA"/>
    <w:rsid w:val="00330F75"/>
    <w:rsid w:val="003C4BB8"/>
    <w:rsid w:val="003E7404"/>
    <w:rsid w:val="00401AC8"/>
    <w:rsid w:val="00494691"/>
    <w:rsid w:val="005240D4"/>
    <w:rsid w:val="00565F77"/>
    <w:rsid w:val="005B7FA6"/>
    <w:rsid w:val="00623A21"/>
    <w:rsid w:val="00627077"/>
    <w:rsid w:val="00627D71"/>
    <w:rsid w:val="0066350B"/>
    <w:rsid w:val="006F24A9"/>
    <w:rsid w:val="006F679D"/>
    <w:rsid w:val="0072317A"/>
    <w:rsid w:val="007E4962"/>
    <w:rsid w:val="0093255C"/>
    <w:rsid w:val="00987EDA"/>
    <w:rsid w:val="00A921FD"/>
    <w:rsid w:val="00A97E75"/>
    <w:rsid w:val="00AA020C"/>
    <w:rsid w:val="00AB49B7"/>
    <w:rsid w:val="00B023A2"/>
    <w:rsid w:val="00B44061"/>
    <w:rsid w:val="00BD378A"/>
    <w:rsid w:val="00C4791F"/>
    <w:rsid w:val="00CF3329"/>
    <w:rsid w:val="00D00C48"/>
    <w:rsid w:val="00D0546E"/>
    <w:rsid w:val="00D07E9B"/>
    <w:rsid w:val="00DB1E3F"/>
    <w:rsid w:val="00DC1336"/>
    <w:rsid w:val="00E32B23"/>
    <w:rsid w:val="00E41EBA"/>
    <w:rsid w:val="00E448AC"/>
    <w:rsid w:val="00E66CDC"/>
    <w:rsid w:val="00EC04A9"/>
    <w:rsid w:val="00EF43FF"/>
    <w:rsid w:val="00F26F1C"/>
    <w:rsid w:val="010742D5"/>
    <w:rsid w:val="01077B6C"/>
    <w:rsid w:val="011C2867"/>
    <w:rsid w:val="011E4134"/>
    <w:rsid w:val="012355F0"/>
    <w:rsid w:val="012B6D61"/>
    <w:rsid w:val="015C2A86"/>
    <w:rsid w:val="015F789E"/>
    <w:rsid w:val="01851778"/>
    <w:rsid w:val="01AE11E6"/>
    <w:rsid w:val="01B70CE3"/>
    <w:rsid w:val="01D10A61"/>
    <w:rsid w:val="01D61DCE"/>
    <w:rsid w:val="01F170ED"/>
    <w:rsid w:val="01F53A09"/>
    <w:rsid w:val="01F916C8"/>
    <w:rsid w:val="02040004"/>
    <w:rsid w:val="02063A29"/>
    <w:rsid w:val="0219353F"/>
    <w:rsid w:val="022115FB"/>
    <w:rsid w:val="02292E42"/>
    <w:rsid w:val="022C3095"/>
    <w:rsid w:val="02375009"/>
    <w:rsid w:val="02536BAE"/>
    <w:rsid w:val="0277756A"/>
    <w:rsid w:val="0294584C"/>
    <w:rsid w:val="029A4E8A"/>
    <w:rsid w:val="02BD7D6C"/>
    <w:rsid w:val="02C73731"/>
    <w:rsid w:val="032A675A"/>
    <w:rsid w:val="032C58C3"/>
    <w:rsid w:val="036059A4"/>
    <w:rsid w:val="037628ED"/>
    <w:rsid w:val="03804F1D"/>
    <w:rsid w:val="038D5F87"/>
    <w:rsid w:val="03936CF0"/>
    <w:rsid w:val="03996F9E"/>
    <w:rsid w:val="03A92BAF"/>
    <w:rsid w:val="03AD4EC4"/>
    <w:rsid w:val="03DC5B25"/>
    <w:rsid w:val="041155D0"/>
    <w:rsid w:val="04315D2A"/>
    <w:rsid w:val="04431C4F"/>
    <w:rsid w:val="044D523C"/>
    <w:rsid w:val="04604D98"/>
    <w:rsid w:val="046212F9"/>
    <w:rsid w:val="04663F34"/>
    <w:rsid w:val="04686D1E"/>
    <w:rsid w:val="04E746F0"/>
    <w:rsid w:val="04E87471"/>
    <w:rsid w:val="04EB6681"/>
    <w:rsid w:val="050A0D5B"/>
    <w:rsid w:val="050D23B9"/>
    <w:rsid w:val="05162537"/>
    <w:rsid w:val="051E7487"/>
    <w:rsid w:val="053F0EAC"/>
    <w:rsid w:val="053F23D3"/>
    <w:rsid w:val="056B3DBF"/>
    <w:rsid w:val="057D6BFC"/>
    <w:rsid w:val="057E41A9"/>
    <w:rsid w:val="05B01B1D"/>
    <w:rsid w:val="05BC5BB6"/>
    <w:rsid w:val="05C96C50"/>
    <w:rsid w:val="05CB2372"/>
    <w:rsid w:val="05FD1629"/>
    <w:rsid w:val="06221E50"/>
    <w:rsid w:val="06653309"/>
    <w:rsid w:val="06653EC4"/>
    <w:rsid w:val="067544C8"/>
    <w:rsid w:val="0699402C"/>
    <w:rsid w:val="069C64C8"/>
    <w:rsid w:val="06A0112C"/>
    <w:rsid w:val="06AD7687"/>
    <w:rsid w:val="06B864B2"/>
    <w:rsid w:val="06D372D6"/>
    <w:rsid w:val="06D64E56"/>
    <w:rsid w:val="06F061D6"/>
    <w:rsid w:val="0703081A"/>
    <w:rsid w:val="070C5153"/>
    <w:rsid w:val="070E765D"/>
    <w:rsid w:val="07157529"/>
    <w:rsid w:val="071747A0"/>
    <w:rsid w:val="071E2C8A"/>
    <w:rsid w:val="07347410"/>
    <w:rsid w:val="07375BAD"/>
    <w:rsid w:val="07425FC3"/>
    <w:rsid w:val="074273EB"/>
    <w:rsid w:val="07463A3E"/>
    <w:rsid w:val="074E4D14"/>
    <w:rsid w:val="0770629A"/>
    <w:rsid w:val="07841DA9"/>
    <w:rsid w:val="079F3EE7"/>
    <w:rsid w:val="07AE41DE"/>
    <w:rsid w:val="07D85507"/>
    <w:rsid w:val="07DF5164"/>
    <w:rsid w:val="07E50580"/>
    <w:rsid w:val="07F46C10"/>
    <w:rsid w:val="07F9224F"/>
    <w:rsid w:val="07FA589D"/>
    <w:rsid w:val="082E5DF2"/>
    <w:rsid w:val="085403A4"/>
    <w:rsid w:val="085E020A"/>
    <w:rsid w:val="086951C1"/>
    <w:rsid w:val="08696EDC"/>
    <w:rsid w:val="086A34E3"/>
    <w:rsid w:val="087075EB"/>
    <w:rsid w:val="088D6A54"/>
    <w:rsid w:val="08941B48"/>
    <w:rsid w:val="08C60C4A"/>
    <w:rsid w:val="08C72312"/>
    <w:rsid w:val="08DC3175"/>
    <w:rsid w:val="08F0261B"/>
    <w:rsid w:val="08F81693"/>
    <w:rsid w:val="09060203"/>
    <w:rsid w:val="090A0832"/>
    <w:rsid w:val="093C7432"/>
    <w:rsid w:val="095406F9"/>
    <w:rsid w:val="0955362C"/>
    <w:rsid w:val="09566590"/>
    <w:rsid w:val="09583EB5"/>
    <w:rsid w:val="095D7A37"/>
    <w:rsid w:val="09875848"/>
    <w:rsid w:val="09B341EC"/>
    <w:rsid w:val="09B565E4"/>
    <w:rsid w:val="09BB0BBA"/>
    <w:rsid w:val="09BB6CF7"/>
    <w:rsid w:val="09C77B1C"/>
    <w:rsid w:val="09E70A54"/>
    <w:rsid w:val="09E77E14"/>
    <w:rsid w:val="09E9749A"/>
    <w:rsid w:val="09F232F3"/>
    <w:rsid w:val="09F46495"/>
    <w:rsid w:val="09F623EB"/>
    <w:rsid w:val="09FF3A0A"/>
    <w:rsid w:val="0A082AE0"/>
    <w:rsid w:val="0A0D5A3B"/>
    <w:rsid w:val="0A172426"/>
    <w:rsid w:val="0A2355D9"/>
    <w:rsid w:val="0A444265"/>
    <w:rsid w:val="0A4573B3"/>
    <w:rsid w:val="0A53599E"/>
    <w:rsid w:val="0A6071C9"/>
    <w:rsid w:val="0A744A82"/>
    <w:rsid w:val="0A8528D5"/>
    <w:rsid w:val="0A903A5E"/>
    <w:rsid w:val="0A904AA4"/>
    <w:rsid w:val="0A93374C"/>
    <w:rsid w:val="0A972E8D"/>
    <w:rsid w:val="0AAA5EAC"/>
    <w:rsid w:val="0AB40849"/>
    <w:rsid w:val="0ABB2280"/>
    <w:rsid w:val="0AD56F1F"/>
    <w:rsid w:val="0AE946CC"/>
    <w:rsid w:val="0AEA3C8C"/>
    <w:rsid w:val="0AEE0D1E"/>
    <w:rsid w:val="0AFC0782"/>
    <w:rsid w:val="0B1E0CF0"/>
    <w:rsid w:val="0B556C34"/>
    <w:rsid w:val="0B6C389D"/>
    <w:rsid w:val="0B760351"/>
    <w:rsid w:val="0B846791"/>
    <w:rsid w:val="0B8B536A"/>
    <w:rsid w:val="0BC70939"/>
    <w:rsid w:val="0BCC7711"/>
    <w:rsid w:val="0BCD0049"/>
    <w:rsid w:val="0BE83010"/>
    <w:rsid w:val="0BEA0DB9"/>
    <w:rsid w:val="0BF8534E"/>
    <w:rsid w:val="0C061D9D"/>
    <w:rsid w:val="0C0F3325"/>
    <w:rsid w:val="0C1358B4"/>
    <w:rsid w:val="0C35472E"/>
    <w:rsid w:val="0C4551B9"/>
    <w:rsid w:val="0C480F3E"/>
    <w:rsid w:val="0C4813D5"/>
    <w:rsid w:val="0C585BE0"/>
    <w:rsid w:val="0C7E2237"/>
    <w:rsid w:val="0C9F1CEA"/>
    <w:rsid w:val="0CBE1DF9"/>
    <w:rsid w:val="0CC9599A"/>
    <w:rsid w:val="0CE0341A"/>
    <w:rsid w:val="0D10283C"/>
    <w:rsid w:val="0D3F7F2E"/>
    <w:rsid w:val="0D494870"/>
    <w:rsid w:val="0D5456F5"/>
    <w:rsid w:val="0D5955C7"/>
    <w:rsid w:val="0D705EC6"/>
    <w:rsid w:val="0D7C5049"/>
    <w:rsid w:val="0D83675C"/>
    <w:rsid w:val="0D8C75B3"/>
    <w:rsid w:val="0D9E0018"/>
    <w:rsid w:val="0DB757B9"/>
    <w:rsid w:val="0DE7555E"/>
    <w:rsid w:val="0DF06351"/>
    <w:rsid w:val="0E0979BF"/>
    <w:rsid w:val="0E5A014C"/>
    <w:rsid w:val="0E5E4DB8"/>
    <w:rsid w:val="0E5F6E07"/>
    <w:rsid w:val="0E607B1B"/>
    <w:rsid w:val="0E6126CF"/>
    <w:rsid w:val="0E635AF2"/>
    <w:rsid w:val="0E7F77A7"/>
    <w:rsid w:val="0E8405CA"/>
    <w:rsid w:val="0E8D5133"/>
    <w:rsid w:val="0E971943"/>
    <w:rsid w:val="0EB1236A"/>
    <w:rsid w:val="0F197C6F"/>
    <w:rsid w:val="0F270991"/>
    <w:rsid w:val="0F3E6F11"/>
    <w:rsid w:val="0F6F7789"/>
    <w:rsid w:val="0F911303"/>
    <w:rsid w:val="0FC27645"/>
    <w:rsid w:val="101F02CE"/>
    <w:rsid w:val="1056557C"/>
    <w:rsid w:val="105C5738"/>
    <w:rsid w:val="107907CC"/>
    <w:rsid w:val="10843C5D"/>
    <w:rsid w:val="109909D1"/>
    <w:rsid w:val="10B73F1D"/>
    <w:rsid w:val="10BE1B05"/>
    <w:rsid w:val="10C07DE3"/>
    <w:rsid w:val="10C84882"/>
    <w:rsid w:val="10D1178C"/>
    <w:rsid w:val="10E07EE2"/>
    <w:rsid w:val="10F630E0"/>
    <w:rsid w:val="11112CBE"/>
    <w:rsid w:val="11163418"/>
    <w:rsid w:val="111818B8"/>
    <w:rsid w:val="113B439C"/>
    <w:rsid w:val="11537715"/>
    <w:rsid w:val="11565610"/>
    <w:rsid w:val="11674F62"/>
    <w:rsid w:val="1171000D"/>
    <w:rsid w:val="118A244C"/>
    <w:rsid w:val="11950BDB"/>
    <w:rsid w:val="119C5B20"/>
    <w:rsid w:val="11A2124C"/>
    <w:rsid w:val="11AC592C"/>
    <w:rsid w:val="11AD389E"/>
    <w:rsid w:val="11C20C82"/>
    <w:rsid w:val="11C768FF"/>
    <w:rsid w:val="11D675CB"/>
    <w:rsid w:val="12063740"/>
    <w:rsid w:val="12101447"/>
    <w:rsid w:val="12275F24"/>
    <w:rsid w:val="123756C9"/>
    <w:rsid w:val="125F1817"/>
    <w:rsid w:val="12631B42"/>
    <w:rsid w:val="12655569"/>
    <w:rsid w:val="12695551"/>
    <w:rsid w:val="127F2662"/>
    <w:rsid w:val="128435EC"/>
    <w:rsid w:val="129643EF"/>
    <w:rsid w:val="12AD29BA"/>
    <w:rsid w:val="12B83A98"/>
    <w:rsid w:val="12BB4641"/>
    <w:rsid w:val="12BF6231"/>
    <w:rsid w:val="12CD4F26"/>
    <w:rsid w:val="12CE1F8E"/>
    <w:rsid w:val="12D31F47"/>
    <w:rsid w:val="13024F62"/>
    <w:rsid w:val="1307442E"/>
    <w:rsid w:val="130B3F40"/>
    <w:rsid w:val="13244721"/>
    <w:rsid w:val="13285985"/>
    <w:rsid w:val="133A1A09"/>
    <w:rsid w:val="133C703D"/>
    <w:rsid w:val="13494163"/>
    <w:rsid w:val="134C77A5"/>
    <w:rsid w:val="134D2BB6"/>
    <w:rsid w:val="135D3F89"/>
    <w:rsid w:val="135E6A8D"/>
    <w:rsid w:val="1366603A"/>
    <w:rsid w:val="13731B39"/>
    <w:rsid w:val="137E1974"/>
    <w:rsid w:val="1381791C"/>
    <w:rsid w:val="13A11F77"/>
    <w:rsid w:val="13A75515"/>
    <w:rsid w:val="13A86B85"/>
    <w:rsid w:val="13C30E6E"/>
    <w:rsid w:val="140769BE"/>
    <w:rsid w:val="141259D8"/>
    <w:rsid w:val="1413430F"/>
    <w:rsid w:val="141613F9"/>
    <w:rsid w:val="14203CB8"/>
    <w:rsid w:val="143A0B7C"/>
    <w:rsid w:val="143C354F"/>
    <w:rsid w:val="144646A7"/>
    <w:rsid w:val="14545F32"/>
    <w:rsid w:val="14596F4E"/>
    <w:rsid w:val="146F011F"/>
    <w:rsid w:val="147632A2"/>
    <w:rsid w:val="14872049"/>
    <w:rsid w:val="14936552"/>
    <w:rsid w:val="14C272D2"/>
    <w:rsid w:val="14E463A0"/>
    <w:rsid w:val="14EA3450"/>
    <w:rsid w:val="14F767B6"/>
    <w:rsid w:val="14FB222F"/>
    <w:rsid w:val="14FF79DA"/>
    <w:rsid w:val="150572EB"/>
    <w:rsid w:val="15080B89"/>
    <w:rsid w:val="150F0D42"/>
    <w:rsid w:val="151C2838"/>
    <w:rsid w:val="15374EFD"/>
    <w:rsid w:val="153E582F"/>
    <w:rsid w:val="1563128D"/>
    <w:rsid w:val="159016BB"/>
    <w:rsid w:val="15E30196"/>
    <w:rsid w:val="15E5000F"/>
    <w:rsid w:val="16031113"/>
    <w:rsid w:val="16213B9C"/>
    <w:rsid w:val="16674FC6"/>
    <w:rsid w:val="16692CA6"/>
    <w:rsid w:val="16725D01"/>
    <w:rsid w:val="168F227C"/>
    <w:rsid w:val="16F45F36"/>
    <w:rsid w:val="16FC1D97"/>
    <w:rsid w:val="171F0861"/>
    <w:rsid w:val="17372639"/>
    <w:rsid w:val="173D243C"/>
    <w:rsid w:val="17534ECF"/>
    <w:rsid w:val="175F0E7A"/>
    <w:rsid w:val="1764437C"/>
    <w:rsid w:val="1767434D"/>
    <w:rsid w:val="17BA77C8"/>
    <w:rsid w:val="17C93C3F"/>
    <w:rsid w:val="17D71645"/>
    <w:rsid w:val="17DD1E28"/>
    <w:rsid w:val="17E01BB1"/>
    <w:rsid w:val="17E21891"/>
    <w:rsid w:val="181011F1"/>
    <w:rsid w:val="181C38B0"/>
    <w:rsid w:val="181E053B"/>
    <w:rsid w:val="18205336"/>
    <w:rsid w:val="18231033"/>
    <w:rsid w:val="184F29B3"/>
    <w:rsid w:val="18810539"/>
    <w:rsid w:val="18876B88"/>
    <w:rsid w:val="18AA0A18"/>
    <w:rsid w:val="18DF40DC"/>
    <w:rsid w:val="18F45107"/>
    <w:rsid w:val="18F47AF6"/>
    <w:rsid w:val="190A522C"/>
    <w:rsid w:val="191C0124"/>
    <w:rsid w:val="192349BD"/>
    <w:rsid w:val="19297C63"/>
    <w:rsid w:val="192A06DB"/>
    <w:rsid w:val="192C0B58"/>
    <w:rsid w:val="192D288C"/>
    <w:rsid w:val="194335B5"/>
    <w:rsid w:val="198218DD"/>
    <w:rsid w:val="19A01ECA"/>
    <w:rsid w:val="19BF2F9E"/>
    <w:rsid w:val="19C56581"/>
    <w:rsid w:val="19EE41FA"/>
    <w:rsid w:val="1A002E3D"/>
    <w:rsid w:val="1A0E78C9"/>
    <w:rsid w:val="1A5A6066"/>
    <w:rsid w:val="1A777345"/>
    <w:rsid w:val="1A7A4184"/>
    <w:rsid w:val="1A8D59A2"/>
    <w:rsid w:val="1A8E3BCD"/>
    <w:rsid w:val="1AC76890"/>
    <w:rsid w:val="1AD15B84"/>
    <w:rsid w:val="1ADA6CD0"/>
    <w:rsid w:val="1AF47380"/>
    <w:rsid w:val="1B0C0005"/>
    <w:rsid w:val="1B251F48"/>
    <w:rsid w:val="1B3833FF"/>
    <w:rsid w:val="1B396BED"/>
    <w:rsid w:val="1B4C6CA1"/>
    <w:rsid w:val="1B52759D"/>
    <w:rsid w:val="1B612ED3"/>
    <w:rsid w:val="1B6A011C"/>
    <w:rsid w:val="1B705E15"/>
    <w:rsid w:val="1B8C6B7B"/>
    <w:rsid w:val="1BA0571E"/>
    <w:rsid w:val="1BA72C10"/>
    <w:rsid w:val="1BB91038"/>
    <w:rsid w:val="1BBF65FB"/>
    <w:rsid w:val="1BD162E3"/>
    <w:rsid w:val="1BDE64F1"/>
    <w:rsid w:val="1BEA1EEC"/>
    <w:rsid w:val="1BF657FB"/>
    <w:rsid w:val="1BF868AD"/>
    <w:rsid w:val="1C0503E8"/>
    <w:rsid w:val="1C126363"/>
    <w:rsid w:val="1C2023D8"/>
    <w:rsid w:val="1C766429"/>
    <w:rsid w:val="1C771298"/>
    <w:rsid w:val="1C786858"/>
    <w:rsid w:val="1C800114"/>
    <w:rsid w:val="1C9A155D"/>
    <w:rsid w:val="1CB15134"/>
    <w:rsid w:val="1CC92F95"/>
    <w:rsid w:val="1CFA7EEF"/>
    <w:rsid w:val="1CFB1146"/>
    <w:rsid w:val="1D0E75B6"/>
    <w:rsid w:val="1D2331DE"/>
    <w:rsid w:val="1D312AFC"/>
    <w:rsid w:val="1D325ED3"/>
    <w:rsid w:val="1D37062D"/>
    <w:rsid w:val="1D4105A8"/>
    <w:rsid w:val="1D487EB6"/>
    <w:rsid w:val="1D7B204C"/>
    <w:rsid w:val="1DB72E7F"/>
    <w:rsid w:val="1E317170"/>
    <w:rsid w:val="1E331E3B"/>
    <w:rsid w:val="1E4914EC"/>
    <w:rsid w:val="1E561B49"/>
    <w:rsid w:val="1E5B5B74"/>
    <w:rsid w:val="1E925E44"/>
    <w:rsid w:val="1EDB21B2"/>
    <w:rsid w:val="1EE21D29"/>
    <w:rsid w:val="1F0B37C8"/>
    <w:rsid w:val="1F1A3993"/>
    <w:rsid w:val="1F280F4B"/>
    <w:rsid w:val="1F3E1D5D"/>
    <w:rsid w:val="1F441C9D"/>
    <w:rsid w:val="1F4F3DC6"/>
    <w:rsid w:val="1F6E3177"/>
    <w:rsid w:val="1F6F04BA"/>
    <w:rsid w:val="1F6F7A87"/>
    <w:rsid w:val="1F7742A1"/>
    <w:rsid w:val="1F826B36"/>
    <w:rsid w:val="1F832B7E"/>
    <w:rsid w:val="1F8C15A6"/>
    <w:rsid w:val="1F986F45"/>
    <w:rsid w:val="1F9F6666"/>
    <w:rsid w:val="1FCD6552"/>
    <w:rsid w:val="1FE07634"/>
    <w:rsid w:val="1FF829ED"/>
    <w:rsid w:val="20027E74"/>
    <w:rsid w:val="201047BC"/>
    <w:rsid w:val="2019412B"/>
    <w:rsid w:val="2024650C"/>
    <w:rsid w:val="204E5FD2"/>
    <w:rsid w:val="20703E6E"/>
    <w:rsid w:val="207A428C"/>
    <w:rsid w:val="20835E3C"/>
    <w:rsid w:val="208A0C45"/>
    <w:rsid w:val="208F1332"/>
    <w:rsid w:val="20AA71C2"/>
    <w:rsid w:val="20B10A0D"/>
    <w:rsid w:val="20B9166B"/>
    <w:rsid w:val="20D02ECC"/>
    <w:rsid w:val="20DC2970"/>
    <w:rsid w:val="20FA7410"/>
    <w:rsid w:val="21076B87"/>
    <w:rsid w:val="21094E07"/>
    <w:rsid w:val="21113681"/>
    <w:rsid w:val="21250156"/>
    <w:rsid w:val="212B3666"/>
    <w:rsid w:val="21523AD1"/>
    <w:rsid w:val="215C6880"/>
    <w:rsid w:val="216D19EE"/>
    <w:rsid w:val="21860B2C"/>
    <w:rsid w:val="218F0080"/>
    <w:rsid w:val="21E13F03"/>
    <w:rsid w:val="22084595"/>
    <w:rsid w:val="22160C9C"/>
    <w:rsid w:val="2225605D"/>
    <w:rsid w:val="222A72A4"/>
    <w:rsid w:val="222F2404"/>
    <w:rsid w:val="22423882"/>
    <w:rsid w:val="227334E7"/>
    <w:rsid w:val="22734646"/>
    <w:rsid w:val="227F6D14"/>
    <w:rsid w:val="22AE1EDE"/>
    <w:rsid w:val="22C23296"/>
    <w:rsid w:val="22DD6CC1"/>
    <w:rsid w:val="2307360A"/>
    <w:rsid w:val="230F0CC5"/>
    <w:rsid w:val="23243D93"/>
    <w:rsid w:val="232931CF"/>
    <w:rsid w:val="233E3FBC"/>
    <w:rsid w:val="23444415"/>
    <w:rsid w:val="234D2AE9"/>
    <w:rsid w:val="23505F5A"/>
    <w:rsid w:val="235F3612"/>
    <w:rsid w:val="23623E35"/>
    <w:rsid w:val="23666663"/>
    <w:rsid w:val="23693289"/>
    <w:rsid w:val="23757B5B"/>
    <w:rsid w:val="237B0E89"/>
    <w:rsid w:val="238732D2"/>
    <w:rsid w:val="23887728"/>
    <w:rsid w:val="239147E1"/>
    <w:rsid w:val="23920DB7"/>
    <w:rsid w:val="239C1E68"/>
    <w:rsid w:val="23BB34F7"/>
    <w:rsid w:val="23D167C1"/>
    <w:rsid w:val="23FE2934"/>
    <w:rsid w:val="24105169"/>
    <w:rsid w:val="24145543"/>
    <w:rsid w:val="2415164D"/>
    <w:rsid w:val="242853E9"/>
    <w:rsid w:val="2435301D"/>
    <w:rsid w:val="24372605"/>
    <w:rsid w:val="24426206"/>
    <w:rsid w:val="247921D2"/>
    <w:rsid w:val="24813D65"/>
    <w:rsid w:val="24D40FD8"/>
    <w:rsid w:val="24DE5C48"/>
    <w:rsid w:val="24E51E80"/>
    <w:rsid w:val="24F64777"/>
    <w:rsid w:val="24FB1C59"/>
    <w:rsid w:val="24FE0E05"/>
    <w:rsid w:val="25517809"/>
    <w:rsid w:val="256C1BBD"/>
    <w:rsid w:val="256F2571"/>
    <w:rsid w:val="2576124C"/>
    <w:rsid w:val="258130F7"/>
    <w:rsid w:val="259402E7"/>
    <w:rsid w:val="25AF3989"/>
    <w:rsid w:val="25B82D92"/>
    <w:rsid w:val="25C73339"/>
    <w:rsid w:val="25C772BF"/>
    <w:rsid w:val="25D05B49"/>
    <w:rsid w:val="25D62822"/>
    <w:rsid w:val="25FD1357"/>
    <w:rsid w:val="2609319D"/>
    <w:rsid w:val="260B3061"/>
    <w:rsid w:val="26205FC9"/>
    <w:rsid w:val="262931EB"/>
    <w:rsid w:val="262E591A"/>
    <w:rsid w:val="263771C4"/>
    <w:rsid w:val="26400EA4"/>
    <w:rsid w:val="265B4748"/>
    <w:rsid w:val="26622CD9"/>
    <w:rsid w:val="266372C2"/>
    <w:rsid w:val="267961DB"/>
    <w:rsid w:val="268C7D4E"/>
    <w:rsid w:val="26A60A07"/>
    <w:rsid w:val="26AF2F03"/>
    <w:rsid w:val="26B424FB"/>
    <w:rsid w:val="26CC1B59"/>
    <w:rsid w:val="26D10ECC"/>
    <w:rsid w:val="26EF57DC"/>
    <w:rsid w:val="27083115"/>
    <w:rsid w:val="27142A2D"/>
    <w:rsid w:val="271B4881"/>
    <w:rsid w:val="27214C90"/>
    <w:rsid w:val="272414C7"/>
    <w:rsid w:val="272A2ED5"/>
    <w:rsid w:val="273E547E"/>
    <w:rsid w:val="27685524"/>
    <w:rsid w:val="276959E0"/>
    <w:rsid w:val="276F555C"/>
    <w:rsid w:val="27702C8E"/>
    <w:rsid w:val="27827E3D"/>
    <w:rsid w:val="279050B3"/>
    <w:rsid w:val="27A028B7"/>
    <w:rsid w:val="27AB6605"/>
    <w:rsid w:val="27BF3604"/>
    <w:rsid w:val="27D26786"/>
    <w:rsid w:val="27EA6257"/>
    <w:rsid w:val="27FD3CE9"/>
    <w:rsid w:val="28025678"/>
    <w:rsid w:val="2831638E"/>
    <w:rsid w:val="284F457A"/>
    <w:rsid w:val="28503B39"/>
    <w:rsid w:val="285117F8"/>
    <w:rsid w:val="287A7E0E"/>
    <w:rsid w:val="288445F5"/>
    <w:rsid w:val="28883EBB"/>
    <w:rsid w:val="28885F5E"/>
    <w:rsid w:val="28901CD3"/>
    <w:rsid w:val="28907627"/>
    <w:rsid w:val="28A908AA"/>
    <w:rsid w:val="28C3120E"/>
    <w:rsid w:val="28D9203E"/>
    <w:rsid w:val="290A1459"/>
    <w:rsid w:val="290D2770"/>
    <w:rsid w:val="293430C2"/>
    <w:rsid w:val="29394DC3"/>
    <w:rsid w:val="294D3F3D"/>
    <w:rsid w:val="296A69AB"/>
    <w:rsid w:val="296E2E4C"/>
    <w:rsid w:val="297A28A9"/>
    <w:rsid w:val="29871168"/>
    <w:rsid w:val="299C3570"/>
    <w:rsid w:val="299C610E"/>
    <w:rsid w:val="299F7580"/>
    <w:rsid w:val="29B24934"/>
    <w:rsid w:val="29B661A7"/>
    <w:rsid w:val="29C25DAC"/>
    <w:rsid w:val="29EF59E7"/>
    <w:rsid w:val="29F869C7"/>
    <w:rsid w:val="29FA460F"/>
    <w:rsid w:val="29FE68A2"/>
    <w:rsid w:val="2A081208"/>
    <w:rsid w:val="2A19132F"/>
    <w:rsid w:val="2A1E3A2B"/>
    <w:rsid w:val="2A3714C4"/>
    <w:rsid w:val="2A4E1459"/>
    <w:rsid w:val="2A5E24DB"/>
    <w:rsid w:val="2A907A77"/>
    <w:rsid w:val="2A926984"/>
    <w:rsid w:val="2AA908E7"/>
    <w:rsid w:val="2AC017A8"/>
    <w:rsid w:val="2AC36155"/>
    <w:rsid w:val="2ADB62C9"/>
    <w:rsid w:val="2AF2488D"/>
    <w:rsid w:val="2B1C1A99"/>
    <w:rsid w:val="2B334F71"/>
    <w:rsid w:val="2B50394A"/>
    <w:rsid w:val="2B753191"/>
    <w:rsid w:val="2B7D6E07"/>
    <w:rsid w:val="2B9444D2"/>
    <w:rsid w:val="2BE340CE"/>
    <w:rsid w:val="2BFC3479"/>
    <w:rsid w:val="2BFD1056"/>
    <w:rsid w:val="2C1E1CA1"/>
    <w:rsid w:val="2C214447"/>
    <w:rsid w:val="2C232160"/>
    <w:rsid w:val="2C4D6F1B"/>
    <w:rsid w:val="2C587217"/>
    <w:rsid w:val="2C825683"/>
    <w:rsid w:val="2C8D63B1"/>
    <w:rsid w:val="2CBB44E5"/>
    <w:rsid w:val="2CBC77F6"/>
    <w:rsid w:val="2CDB55D6"/>
    <w:rsid w:val="2D1D236A"/>
    <w:rsid w:val="2D74780B"/>
    <w:rsid w:val="2DAB174B"/>
    <w:rsid w:val="2DAC3053"/>
    <w:rsid w:val="2DB21AB3"/>
    <w:rsid w:val="2DC70AE2"/>
    <w:rsid w:val="2DCA6026"/>
    <w:rsid w:val="2DCD4928"/>
    <w:rsid w:val="2DDB423B"/>
    <w:rsid w:val="2DE96603"/>
    <w:rsid w:val="2E096E66"/>
    <w:rsid w:val="2E1729D6"/>
    <w:rsid w:val="2E1A0C6A"/>
    <w:rsid w:val="2E30569D"/>
    <w:rsid w:val="2E347EE6"/>
    <w:rsid w:val="2E374A38"/>
    <w:rsid w:val="2E3A1850"/>
    <w:rsid w:val="2E3C5510"/>
    <w:rsid w:val="2E4A61BB"/>
    <w:rsid w:val="2E6305D7"/>
    <w:rsid w:val="2E690638"/>
    <w:rsid w:val="2E875B98"/>
    <w:rsid w:val="2EA37EAA"/>
    <w:rsid w:val="2EBD7031"/>
    <w:rsid w:val="2EF73B32"/>
    <w:rsid w:val="2F011E82"/>
    <w:rsid w:val="2F240791"/>
    <w:rsid w:val="2F492921"/>
    <w:rsid w:val="2F4C7446"/>
    <w:rsid w:val="2F6858EF"/>
    <w:rsid w:val="2F6A0B1E"/>
    <w:rsid w:val="2F784161"/>
    <w:rsid w:val="2F7B48B5"/>
    <w:rsid w:val="2F853233"/>
    <w:rsid w:val="2F9C0730"/>
    <w:rsid w:val="2FA53047"/>
    <w:rsid w:val="2FAF333B"/>
    <w:rsid w:val="2FC27E67"/>
    <w:rsid w:val="2FCD2C96"/>
    <w:rsid w:val="2FE66FC1"/>
    <w:rsid w:val="30160CDB"/>
    <w:rsid w:val="301B2075"/>
    <w:rsid w:val="30243B4E"/>
    <w:rsid w:val="30287A71"/>
    <w:rsid w:val="3046030C"/>
    <w:rsid w:val="30613F93"/>
    <w:rsid w:val="306162D4"/>
    <w:rsid w:val="30635A86"/>
    <w:rsid w:val="30797BE5"/>
    <w:rsid w:val="308146B4"/>
    <w:rsid w:val="309F27BB"/>
    <w:rsid w:val="30C01081"/>
    <w:rsid w:val="30C81567"/>
    <w:rsid w:val="30CD46BC"/>
    <w:rsid w:val="30DC319E"/>
    <w:rsid w:val="31013135"/>
    <w:rsid w:val="311763B6"/>
    <w:rsid w:val="31257A15"/>
    <w:rsid w:val="31452A71"/>
    <w:rsid w:val="31527289"/>
    <w:rsid w:val="31834561"/>
    <w:rsid w:val="318F2514"/>
    <w:rsid w:val="31AC658F"/>
    <w:rsid w:val="31B2519D"/>
    <w:rsid w:val="31B37BA1"/>
    <w:rsid w:val="31EE6D68"/>
    <w:rsid w:val="31F241E6"/>
    <w:rsid w:val="31FD2600"/>
    <w:rsid w:val="32114B98"/>
    <w:rsid w:val="32127E75"/>
    <w:rsid w:val="32210BD1"/>
    <w:rsid w:val="322658D9"/>
    <w:rsid w:val="32361B53"/>
    <w:rsid w:val="32400891"/>
    <w:rsid w:val="32493248"/>
    <w:rsid w:val="324C0B81"/>
    <w:rsid w:val="3272558C"/>
    <w:rsid w:val="327403EA"/>
    <w:rsid w:val="328246AE"/>
    <w:rsid w:val="32C25872"/>
    <w:rsid w:val="32D473D1"/>
    <w:rsid w:val="32DA51AD"/>
    <w:rsid w:val="32DC671C"/>
    <w:rsid w:val="33091096"/>
    <w:rsid w:val="33232830"/>
    <w:rsid w:val="33247F6A"/>
    <w:rsid w:val="33442827"/>
    <w:rsid w:val="33462AFF"/>
    <w:rsid w:val="334B63B9"/>
    <w:rsid w:val="337E52FC"/>
    <w:rsid w:val="33843CA1"/>
    <w:rsid w:val="338604C2"/>
    <w:rsid w:val="338F2A0F"/>
    <w:rsid w:val="33996246"/>
    <w:rsid w:val="33DC7649"/>
    <w:rsid w:val="340639D6"/>
    <w:rsid w:val="34105AD1"/>
    <w:rsid w:val="346C4839"/>
    <w:rsid w:val="34731AFC"/>
    <w:rsid w:val="347728F4"/>
    <w:rsid w:val="348B54C8"/>
    <w:rsid w:val="34915550"/>
    <w:rsid w:val="349D56AC"/>
    <w:rsid w:val="349D6BA5"/>
    <w:rsid w:val="34A11B7B"/>
    <w:rsid w:val="34A6697A"/>
    <w:rsid w:val="34AF7E71"/>
    <w:rsid w:val="34B33A72"/>
    <w:rsid w:val="34B97200"/>
    <w:rsid w:val="34BF1760"/>
    <w:rsid w:val="34D5280E"/>
    <w:rsid w:val="34E20D20"/>
    <w:rsid w:val="350C7DB7"/>
    <w:rsid w:val="3562042D"/>
    <w:rsid w:val="356608C9"/>
    <w:rsid w:val="35850AE6"/>
    <w:rsid w:val="35BB5066"/>
    <w:rsid w:val="35DE1818"/>
    <w:rsid w:val="35E06871"/>
    <w:rsid w:val="36146F55"/>
    <w:rsid w:val="36787E34"/>
    <w:rsid w:val="36CD4B67"/>
    <w:rsid w:val="36D974F7"/>
    <w:rsid w:val="36E03CF2"/>
    <w:rsid w:val="36E05B33"/>
    <w:rsid w:val="36E77649"/>
    <w:rsid w:val="36FC06E4"/>
    <w:rsid w:val="37002BA5"/>
    <w:rsid w:val="372A57D1"/>
    <w:rsid w:val="373006D6"/>
    <w:rsid w:val="373215AF"/>
    <w:rsid w:val="37395AAC"/>
    <w:rsid w:val="37533A9C"/>
    <w:rsid w:val="37554C2A"/>
    <w:rsid w:val="376C2F8C"/>
    <w:rsid w:val="37733C45"/>
    <w:rsid w:val="378E6892"/>
    <w:rsid w:val="37EA244F"/>
    <w:rsid w:val="3801691A"/>
    <w:rsid w:val="38053C44"/>
    <w:rsid w:val="3816564C"/>
    <w:rsid w:val="38166F6B"/>
    <w:rsid w:val="382A2A0E"/>
    <w:rsid w:val="383C5D00"/>
    <w:rsid w:val="383F5E4A"/>
    <w:rsid w:val="38622194"/>
    <w:rsid w:val="38684F32"/>
    <w:rsid w:val="387A7CA5"/>
    <w:rsid w:val="387E3BF1"/>
    <w:rsid w:val="388E0F50"/>
    <w:rsid w:val="388E2941"/>
    <w:rsid w:val="38941E98"/>
    <w:rsid w:val="38983F5E"/>
    <w:rsid w:val="38EC1118"/>
    <w:rsid w:val="38F96580"/>
    <w:rsid w:val="38FD1A72"/>
    <w:rsid w:val="39056352"/>
    <w:rsid w:val="392F5095"/>
    <w:rsid w:val="3938092E"/>
    <w:rsid w:val="39413193"/>
    <w:rsid w:val="39465433"/>
    <w:rsid w:val="395B6912"/>
    <w:rsid w:val="39750ACE"/>
    <w:rsid w:val="398A61BC"/>
    <w:rsid w:val="399510E7"/>
    <w:rsid w:val="399B683C"/>
    <w:rsid w:val="399D3FE9"/>
    <w:rsid w:val="39B51F60"/>
    <w:rsid w:val="39BE3B67"/>
    <w:rsid w:val="39E932D4"/>
    <w:rsid w:val="39EA0C0C"/>
    <w:rsid w:val="3A1C6D85"/>
    <w:rsid w:val="3A3F6C87"/>
    <w:rsid w:val="3A531373"/>
    <w:rsid w:val="3A5B021A"/>
    <w:rsid w:val="3A772970"/>
    <w:rsid w:val="3A7D6D38"/>
    <w:rsid w:val="3A881CA1"/>
    <w:rsid w:val="3AB971E4"/>
    <w:rsid w:val="3ADF78F0"/>
    <w:rsid w:val="3AE00107"/>
    <w:rsid w:val="3AE428CE"/>
    <w:rsid w:val="3AEA5687"/>
    <w:rsid w:val="3B023CD3"/>
    <w:rsid w:val="3B140F58"/>
    <w:rsid w:val="3B170940"/>
    <w:rsid w:val="3B2A2C19"/>
    <w:rsid w:val="3B376B70"/>
    <w:rsid w:val="3B7A7129"/>
    <w:rsid w:val="3B7D7576"/>
    <w:rsid w:val="3B7F1E8C"/>
    <w:rsid w:val="3B890DAC"/>
    <w:rsid w:val="3BA25DBC"/>
    <w:rsid w:val="3BC76E9C"/>
    <w:rsid w:val="3BCB467A"/>
    <w:rsid w:val="3BE90506"/>
    <w:rsid w:val="3BEB6832"/>
    <w:rsid w:val="3BF45DB6"/>
    <w:rsid w:val="3BFA06DC"/>
    <w:rsid w:val="3C2E5ED4"/>
    <w:rsid w:val="3C40766B"/>
    <w:rsid w:val="3C7F621D"/>
    <w:rsid w:val="3C8B47EB"/>
    <w:rsid w:val="3CBB6AC9"/>
    <w:rsid w:val="3CBD35C8"/>
    <w:rsid w:val="3D1456AE"/>
    <w:rsid w:val="3D145DCC"/>
    <w:rsid w:val="3D1C0002"/>
    <w:rsid w:val="3D202664"/>
    <w:rsid w:val="3D2962ED"/>
    <w:rsid w:val="3D2D7B94"/>
    <w:rsid w:val="3D340B81"/>
    <w:rsid w:val="3D4E706F"/>
    <w:rsid w:val="3D8311E9"/>
    <w:rsid w:val="3DAA319C"/>
    <w:rsid w:val="3E036111"/>
    <w:rsid w:val="3E4C3B76"/>
    <w:rsid w:val="3E5D6B5C"/>
    <w:rsid w:val="3E7E4756"/>
    <w:rsid w:val="3E8106B7"/>
    <w:rsid w:val="3E845265"/>
    <w:rsid w:val="3E9A3719"/>
    <w:rsid w:val="3EC254C0"/>
    <w:rsid w:val="3ED07987"/>
    <w:rsid w:val="3EED10F8"/>
    <w:rsid w:val="3EFE25BA"/>
    <w:rsid w:val="3F310FA6"/>
    <w:rsid w:val="3F337D20"/>
    <w:rsid w:val="3F506818"/>
    <w:rsid w:val="3F684E6E"/>
    <w:rsid w:val="3F6A3676"/>
    <w:rsid w:val="3F710A6F"/>
    <w:rsid w:val="3F7E1F67"/>
    <w:rsid w:val="3F83420A"/>
    <w:rsid w:val="3F8F7315"/>
    <w:rsid w:val="3F9A203F"/>
    <w:rsid w:val="3FA67005"/>
    <w:rsid w:val="3FAE6184"/>
    <w:rsid w:val="3FE36C1C"/>
    <w:rsid w:val="3FE72AEA"/>
    <w:rsid w:val="3FEB19D5"/>
    <w:rsid w:val="402F4C8C"/>
    <w:rsid w:val="403B55F7"/>
    <w:rsid w:val="403D5505"/>
    <w:rsid w:val="404C5FC4"/>
    <w:rsid w:val="40580367"/>
    <w:rsid w:val="40632B44"/>
    <w:rsid w:val="408853C4"/>
    <w:rsid w:val="408B24EB"/>
    <w:rsid w:val="40D75E60"/>
    <w:rsid w:val="40F2437B"/>
    <w:rsid w:val="40FD48E0"/>
    <w:rsid w:val="40FE1BCF"/>
    <w:rsid w:val="40FE520F"/>
    <w:rsid w:val="41226153"/>
    <w:rsid w:val="41353E3C"/>
    <w:rsid w:val="414562FD"/>
    <w:rsid w:val="414C3B30"/>
    <w:rsid w:val="41563B9A"/>
    <w:rsid w:val="41731331"/>
    <w:rsid w:val="417B7161"/>
    <w:rsid w:val="418579D7"/>
    <w:rsid w:val="418C6B85"/>
    <w:rsid w:val="4196095F"/>
    <w:rsid w:val="41961CCB"/>
    <w:rsid w:val="419D72A2"/>
    <w:rsid w:val="41A0236E"/>
    <w:rsid w:val="41A96728"/>
    <w:rsid w:val="41AB6899"/>
    <w:rsid w:val="41F95353"/>
    <w:rsid w:val="42076836"/>
    <w:rsid w:val="420F1D94"/>
    <w:rsid w:val="422F695E"/>
    <w:rsid w:val="423B1FA8"/>
    <w:rsid w:val="424E4424"/>
    <w:rsid w:val="429325D1"/>
    <w:rsid w:val="429B53DF"/>
    <w:rsid w:val="429E3CF8"/>
    <w:rsid w:val="42A653BA"/>
    <w:rsid w:val="42BC7452"/>
    <w:rsid w:val="42D12138"/>
    <w:rsid w:val="42F7079D"/>
    <w:rsid w:val="430D4AC0"/>
    <w:rsid w:val="431E047F"/>
    <w:rsid w:val="431E65EF"/>
    <w:rsid w:val="43522956"/>
    <w:rsid w:val="43624EAD"/>
    <w:rsid w:val="437750CA"/>
    <w:rsid w:val="438D45B9"/>
    <w:rsid w:val="43985D00"/>
    <w:rsid w:val="43986BA3"/>
    <w:rsid w:val="43AB2F4E"/>
    <w:rsid w:val="43AC3F44"/>
    <w:rsid w:val="43B1210D"/>
    <w:rsid w:val="43C53F65"/>
    <w:rsid w:val="43DE77F3"/>
    <w:rsid w:val="43EF7EFB"/>
    <w:rsid w:val="43FA2050"/>
    <w:rsid w:val="4400649E"/>
    <w:rsid w:val="441910A9"/>
    <w:rsid w:val="444F0E73"/>
    <w:rsid w:val="44500782"/>
    <w:rsid w:val="446871A0"/>
    <w:rsid w:val="4478624B"/>
    <w:rsid w:val="447B6681"/>
    <w:rsid w:val="4493367B"/>
    <w:rsid w:val="44961F17"/>
    <w:rsid w:val="44A84176"/>
    <w:rsid w:val="44AB74B4"/>
    <w:rsid w:val="44BB301C"/>
    <w:rsid w:val="450A3185"/>
    <w:rsid w:val="450E61CB"/>
    <w:rsid w:val="451037D6"/>
    <w:rsid w:val="452905F3"/>
    <w:rsid w:val="45491D1C"/>
    <w:rsid w:val="45582FC6"/>
    <w:rsid w:val="4568103F"/>
    <w:rsid w:val="4571731D"/>
    <w:rsid w:val="45801D53"/>
    <w:rsid w:val="45953C03"/>
    <w:rsid w:val="45AE2DF6"/>
    <w:rsid w:val="45F459D1"/>
    <w:rsid w:val="46052F0A"/>
    <w:rsid w:val="460C379B"/>
    <w:rsid w:val="462B2635"/>
    <w:rsid w:val="464A3711"/>
    <w:rsid w:val="466B4F4C"/>
    <w:rsid w:val="469246C4"/>
    <w:rsid w:val="46977D08"/>
    <w:rsid w:val="46AF3AB5"/>
    <w:rsid w:val="46E25CA4"/>
    <w:rsid w:val="46E37251"/>
    <w:rsid w:val="46F40267"/>
    <w:rsid w:val="47017932"/>
    <w:rsid w:val="47294A71"/>
    <w:rsid w:val="474C71DB"/>
    <w:rsid w:val="475662DB"/>
    <w:rsid w:val="47756FD4"/>
    <w:rsid w:val="479B7297"/>
    <w:rsid w:val="47A214C1"/>
    <w:rsid w:val="47D626EF"/>
    <w:rsid w:val="47DE0285"/>
    <w:rsid w:val="47E81AB8"/>
    <w:rsid w:val="47F3460E"/>
    <w:rsid w:val="47F77566"/>
    <w:rsid w:val="47F94BE6"/>
    <w:rsid w:val="4812405E"/>
    <w:rsid w:val="481A3D49"/>
    <w:rsid w:val="481C1F20"/>
    <w:rsid w:val="48220E04"/>
    <w:rsid w:val="48225672"/>
    <w:rsid w:val="482454C6"/>
    <w:rsid w:val="48297C86"/>
    <w:rsid w:val="48370969"/>
    <w:rsid w:val="4844625B"/>
    <w:rsid w:val="484E47D0"/>
    <w:rsid w:val="486B4E85"/>
    <w:rsid w:val="48801F0A"/>
    <w:rsid w:val="488C6B30"/>
    <w:rsid w:val="48913C4F"/>
    <w:rsid w:val="489757F5"/>
    <w:rsid w:val="489C3512"/>
    <w:rsid w:val="489C7EA5"/>
    <w:rsid w:val="48AF592F"/>
    <w:rsid w:val="48DB5184"/>
    <w:rsid w:val="48DC4BB3"/>
    <w:rsid w:val="48F11175"/>
    <w:rsid w:val="48FC5916"/>
    <w:rsid w:val="48FF6D99"/>
    <w:rsid w:val="49035E3C"/>
    <w:rsid w:val="4913028B"/>
    <w:rsid w:val="49161A6F"/>
    <w:rsid w:val="491B567A"/>
    <w:rsid w:val="492819DC"/>
    <w:rsid w:val="49336FEA"/>
    <w:rsid w:val="493E22D0"/>
    <w:rsid w:val="49415896"/>
    <w:rsid w:val="4953162D"/>
    <w:rsid w:val="495C3D14"/>
    <w:rsid w:val="496A4A80"/>
    <w:rsid w:val="497C5511"/>
    <w:rsid w:val="498E2725"/>
    <w:rsid w:val="499C6D01"/>
    <w:rsid w:val="49A3132A"/>
    <w:rsid w:val="49B65DC9"/>
    <w:rsid w:val="49C828D8"/>
    <w:rsid w:val="49D94123"/>
    <w:rsid w:val="49E82B6B"/>
    <w:rsid w:val="49E970EA"/>
    <w:rsid w:val="49EE0415"/>
    <w:rsid w:val="4A0805D0"/>
    <w:rsid w:val="4A26545B"/>
    <w:rsid w:val="4A3E1268"/>
    <w:rsid w:val="4A560AA6"/>
    <w:rsid w:val="4A631F60"/>
    <w:rsid w:val="4A7B659D"/>
    <w:rsid w:val="4A8F76FA"/>
    <w:rsid w:val="4AAA1366"/>
    <w:rsid w:val="4AD018B4"/>
    <w:rsid w:val="4AD122F6"/>
    <w:rsid w:val="4AF76671"/>
    <w:rsid w:val="4AFB6678"/>
    <w:rsid w:val="4B12483C"/>
    <w:rsid w:val="4B281AD9"/>
    <w:rsid w:val="4B286964"/>
    <w:rsid w:val="4B462533"/>
    <w:rsid w:val="4B497516"/>
    <w:rsid w:val="4B5F395F"/>
    <w:rsid w:val="4B887ABD"/>
    <w:rsid w:val="4B927D05"/>
    <w:rsid w:val="4BA71700"/>
    <w:rsid w:val="4BAF3531"/>
    <w:rsid w:val="4BC40127"/>
    <w:rsid w:val="4BCF7C38"/>
    <w:rsid w:val="4BD1718E"/>
    <w:rsid w:val="4BD95ACE"/>
    <w:rsid w:val="4C000F41"/>
    <w:rsid w:val="4C1E38AF"/>
    <w:rsid w:val="4C1F09E8"/>
    <w:rsid w:val="4C5C31EE"/>
    <w:rsid w:val="4C6A4F05"/>
    <w:rsid w:val="4C6B7BE3"/>
    <w:rsid w:val="4C771D65"/>
    <w:rsid w:val="4C783020"/>
    <w:rsid w:val="4C9743B6"/>
    <w:rsid w:val="4CD104DB"/>
    <w:rsid w:val="4CEE4DA0"/>
    <w:rsid w:val="4CFA5EBA"/>
    <w:rsid w:val="4CFB7F02"/>
    <w:rsid w:val="4D0B09F5"/>
    <w:rsid w:val="4D243AE6"/>
    <w:rsid w:val="4D3006A2"/>
    <w:rsid w:val="4D362180"/>
    <w:rsid w:val="4D3C4079"/>
    <w:rsid w:val="4D4152D2"/>
    <w:rsid w:val="4D420722"/>
    <w:rsid w:val="4D5D2973"/>
    <w:rsid w:val="4D670A85"/>
    <w:rsid w:val="4D743D70"/>
    <w:rsid w:val="4D806473"/>
    <w:rsid w:val="4D9809CB"/>
    <w:rsid w:val="4DA27E03"/>
    <w:rsid w:val="4DB87F6B"/>
    <w:rsid w:val="4DD13E40"/>
    <w:rsid w:val="4DE22211"/>
    <w:rsid w:val="4DF85FC0"/>
    <w:rsid w:val="4E001052"/>
    <w:rsid w:val="4E015B9A"/>
    <w:rsid w:val="4E2B135E"/>
    <w:rsid w:val="4E3F2EE6"/>
    <w:rsid w:val="4E457068"/>
    <w:rsid w:val="4E4E4B6D"/>
    <w:rsid w:val="4E625DA3"/>
    <w:rsid w:val="4E7B029B"/>
    <w:rsid w:val="4E94139D"/>
    <w:rsid w:val="4ED36E10"/>
    <w:rsid w:val="4ED61833"/>
    <w:rsid w:val="4EDA18B9"/>
    <w:rsid w:val="4EDD2163"/>
    <w:rsid w:val="4EEA1FB8"/>
    <w:rsid w:val="4F1214F9"/>
    <w:rsid w:val="4F37236C"/>
    <w:rsid w:val="4F400F3C"/>
    <w:rsid w:val="4F573543"/>
    <w:rsid w:val="4FA24E56"/>
    <w:rsid w:val="4FA613D6"/>
    <w:rsid w:val="4FAE4B93"/>
    <w:rsid w:val="4FB43984"/>
    <w:rsid w:val="4FB80520"/>
    <w:rsid w:val="4FCE557D"/>
    <w:rsid w:val="4FCF67B8"/>
    <w:rsid w:val="4FF534DD"/>
    <w:rsid w:val="4FFE7F33"/>
    <w:rsid w:val="500E331C"/>
    <w:rsid w:val="500F7F8E"/>
    <w:rsid w:val="5010363B"/>
    <w:rsid w:val="50174E50"/>
    <w:rsid w:val="501802EF"/>
    <w:rsid w:val="501A6EB3"/>
    <w:rsid w:val="501C4E89"/>
    <w:rsid w:val="50401C90"/>
    <w:rsid w:val="50520469"/>
    <w:rsid w:val="50705EA7"/>
    <w:rsid w:val="508A0BD0"/>
    <w:rsid w:val="508E4B33"/>
    <w:rsid w:val="50CB3E82"/>
    <w:rsid w:val="50DC644B"/>
    <w:rsid w:val="50DD3BA3"/>
    <w:rsid w:val="50E61CAB"/>
    <w:rsid w:val="50EE7DC2"/>
    <w:rsid w:val="514136A1"/>
    <w:rsid w:val="514A20B0"/>
    <w:rsid w:val="515463AA"/>
    <w:rsid w:val="517D1FD1"/>
    <w:rsid w:val="51820F0A"/>
    <w:rsid w:val="51B00924"/>
    <w:rsid w:val="51BD4A0F"/>
    <w:rsid w:val="51BF1CEA"/>
    <w:rsid w:val="51C55B60"/>
    <w:rsid w:val="51C720FB"/>
    <w:rsid w:val="51D2101C"/>
    <w:rsid w:val="51E441B2"/>
    <w:rsid w:val="51E878B5"/>
    <w:rsid w:val="51EE3F4A"/>
    <w:rsid w:val="51F8599D"/>
    <w:rsid w:val="52144845"/>
    <w:rsid w:val="522B4481"/>
    <w:rsid w:val="523F3431"/>
    <w:rsid w:val="52433E33"/>
    <w:rsid w:val="52461D9B"/>
    <w:rsid w:val="52556F68"/>
    <w:rsid w:val="526131D0"/>
    <w:rsid w:val="527A0BC1"/>
    <w:rsid w:val="528E5F94"/>
    <w:rsid w:val="52B73817"/>
    <w:rsid w:val="53014F84"/>
    <w:rsid w:val="53081FE2"/>
    <w:rsid w:val="53757657"/>
    <w:rsid w:val="53836E13"/>
    <w:rsid w:val="5399393C"/>
    <w:rsid w:val="53BC34C4"/>
    <w:rsid w:val="53CE29B7"/>
    <w:rsid w:val="5423339D"/>
    <w:rsid w:val="54451376"/>
    <w:rsid w:val="545B0024"/>
    <w:rsid w:val="54623CCF"/>
    <w:rsid w:val="54783F91"/>
    <w:rsid w:val="54C52C01"/>
    <w:rsid w:val="54DE257B"/>
    <w:rsid w:val="55081F04"/>
    <w:rsid w:val="551B052F"/>
    <w:rsid w:val="551F503D"/>
    <w:rsid w:val="552E7B6C"/>
    <w:rsid w:val="55356F21"/>
    <w:rsid w:val="553B1566"/>
    <w:rsid w:val="553D5A1E"/>
    <w:rsid w:val="554E66B4"/>
    <w:rsid w:val="55623019"/>
    <w:rsid w:val="559508F1"/>
    <w:rsid w:val="55A0704C"/>
    <w:rsid w:val="55CD2AA4"/>
    <w:rsid w:val="55CD5B20"/>
    <w:rsid w:val="55DD38ED"/>
    <w:rsid w:val="55E33C19"/>
    <w:rsid w:val="55E3492A"/>
    <w:rsid w:val="55E63D84"/>
    <w:rsid w:val="55FB5288"/>
    <w:rsid w:val="560F5295"/>
    <w:rsid w:val="564A0AC3"/>
    <w:rsid w:val="56536DD0"/>
    <w:rsid w:val="56A16CF1"/>
    <w:rsid w:val="56C569E8"/>
    <w:rsid w:val="56EA1F97"/>
    <w:rsid w:val="56FE7B3D"/>
    <w:rsid w:val="57115A76"/>
    <w:rsid w:val="57356CE5"/>
    <w:rsid w:val="57400691"/>
    <w:rsid w:val="57477A7D"/>
    <w:rsid w:val="574C5991"/>
    <w:rsid w:val="575E0275"/>
    <w:rsid w:val="57685E63"/>
    <w:rsid w:val="576E359C"/>
    <w:rsid w:val="57761A73"/>
    <w:rsid w:val="57803A91"/>
    <w:rsid w:val="578F63E0"/>
    <w:rsid w:val="57974CC5"/>
    <w:rsid w:val="57AA5D1A"/>
    <w:rsid w:val="57B717AF"/>
    <w:rsid w:val="57C06BFC"/>
    <w:rsid w:val="57D0016E"/>
    <w:rsid w:val="57D46CDD"/>
    <w:rsid w:val="57DD461C"/>
    <w:rsid w:val="57DE15F7"/>
    <w:rsid w:val="57F052A5"/>
    <w:rsid w:val="57F56DA8"/>
    <w:rsid w:val="580F5DBC"/>
    <w:rsid w:val="58372026"/>
    <w:rsid w:val="584809DA"/>
    <w:rsid w:val="587316C8"/>
    <w:rsid w:val="588A1881"/>
    <w:rsid w:val="588C1B3F"/>
    <w:rsid w:val="588C3DE2"/>
    <w:rsid w:val="58952B75"/>
    <w:rsid w:val="589923E8"/>
    <w:rsid w:val="58D3199A"/>
    <w:rsid w:val="58DA5821"/>
    <w:rsid w:val="58E146E6"/>
    <w:rsid w:val="59043E08"/>
    <w:rsid w:val="5934326C"/>
    <w:rsid w:val="59471B28"/>
    <w:rsid w:val="59763E82"/>
    <w:rsid w:val="597F5245"/>
    <w:rsid w:val="598A3666"/>
    <w:rsid w:val="59A3232E"/>
    <w:rsid w:val="59A63822"/>
    <w:rsid w:val="59B8355B"/>
    <w:rsid w:val="59FE08FA"/>
    <w:rsid w:val="5A257E94"/>
    <w:rsid w:val="5A2A02BF"/>
    <w:rsid w:val="5A5106AE"/>
    <w:rsid w:val="5A60741A"/>
    <w:rsid w:val="5A7A608F"/>
    <w:rsid w:val="5A976E36"/>
    <w:rsid w:val="5A9D694A"/>
    <w:rsid w:val="5AA2358A"/>
    <w:rsid w:val="5AA24080"/>
    <w:rsid w:val="5AAD1EF8"/>
    <w:rsid w:val="5ACF7403"/>
    <w:rsid w:val="5B365C08"/>
    <w:rsid w:val="5B417E86"/>
    <w:rsid w:val="5B46719F"/>
    <w:rsid w:val="5B5C0955"/>
    <w:rsid w:val="5B60313C"/>
    <w:rsid w:val="5B705B09"/>
    <w:rsid w:val="5B9331F3"/>
    <w:rsid w:val="5B983712"/>
    <w:rsid w:val="5B997CCC"/>
    <w:rsid w:val="5B9D7438"/>
    <w:rsid w:val="5BA269DE"/>
    <w:rsid w:val="5BA42A14"/>
    <w:rsid w:val="5BC52ADE"/>
    <w:rsid w:val="5BC55F40"/>
    <w:rsid w:val="5C1E7608"/>
    <w:rsid w:val="5C60141A"/>
    <w:rsid w:val="5C691962"/>
    <w:rsid w:val="5C8D4642"/>
    <w:rsid w:val="5C9866C4"/>
    <w:rsid w:val="5CA70BEA"/>
    <w:rsid w:val="5CFA70E0"/>
    <w:rsid w:val="5CFF3634"/>
    <w:rsid w:val="5D0B0214"/>
    <w:rsid w:val="5D194CF3"/>
    <w:rsid w:val="5D1A0A42"/>
    <w:rsid w:val="5D282771"/>
    <w:rsid w:val="5D3A4C89"/>
    <w:rsid w:val="5D42151C"/>
    <w:rsid w:val="5D4F1710"/>
    <w:rsid w:val="5D5D43F4"/>
    <w:rsid w:val="5D71045F"/>
    <w:rsid w:val="5D9A4060"/>
    <w:rsid w:val="5DAB19D1"/>
    <w:rsid w:val="5DBE340A"/>
    <w:rsid w:val="5DD263B9"/>
    <w:rsid w:val="5DE41D76"/>
    <w:rsid w:val="5DE555FC"/>
    <w:rsid w:val="5DF27C61"/>
    <w:rsid w:val="5E3C79A5"/>
    <w:rsid w:val="5E4A015A"/>
    <w:rsid w:val="5E617327"/>
    <w:rsid w:val="5E6A778C"/>
    <w:rsid w:val="5E772D56"/>
    <w:rsid w:val="5E843AB7"/>
    <w:rsid w:val="5E9A1FB9"/>
    <w:rsid w:val="5EB11CC9"/>
    <w:rsid w:val="5EB7165F"/>
    <w:rsid w:val="5EDA2E6C"/>
    <w:rsid w:val="5EDF49B6"/>
    <w:rsid w:val="5EE659E4"/>
    <w:rsid w:val="5EF029BA"/>
    <w:rsid w:val="5EF2401E"/>
    <w:rsid w:val="5EF37A12"/>
    <w:rsid w:val="5F19063B"/>
    <w:rsid w:val="5F2922FF"/>
    <w:rsid w:val="5F2A58BF"/>
    <w:rsid w:val="5F2D2E3D"/>
    <w:rsid w:val="5F3F28CF"/>
    <w:rsid w:val="5F4D6034"/>
    <w:rsid w:val="5FBE3FE5"/>
    <w:rsid w:val="5FC03792"/>
    <w:rsid w:val="5FC939D5"/>
    <w:rsid w:val="5FDA399F"/>
    <w:rsid w:val="5FF22D36"/>
    <w:rsid w:val="5FFA79ED"/>
    <w:rsid w:val="60075E39"/>
    <w:rsid w:val="600D0AF4"/>
    <w:rsid w:val="60107F08"/>
    <w:rsid w:val="60273573"/>
    <w:rsid w:val="60276DC2"/>
    <w:rsid w:val="602A54A3"/>
    <w:rsid w:val="60315C67"/>
    <w:rsid w:val="60370997"/>
    <w:rsid w:val="604F40FC"/>
    <w:rsid w:val="605A259A"/>
    <w:rsid w:val="6060154E"/>
    <w:rsid w:val="606D0EF6"/>
    <w:rsid w:val="608C4224"/>
    <w:rsid w:val="60A8478B"/>
    <w:rsid w:val="60B07C9E"/>
    <w:rsid w:val="60D06270"/>
    <w:rsid w:val="60EA7F29"/>
    <w:rsid w:val="61013040"/>
    <w:rsid w:val="611128E5"/>
    <w:rsid w:val="611C35B8"/>
    <w:rsid w:val="61240930"/>
    <w:rsid w:val="61315EF6"/>
    <w:rsid w:val="613A0A49"/>
    <w:rsid w:val="614E56CB"/>
    <w:rsid w:val="615440FF"/>
    <w:rsid w:val="616E368F"/>
    <w:rsid w:val="6184566A"/>
    <w:rsid w:val="619012C2"/>
    <w:rsid w:val="61AE7556"/>
    <w:rsid w:val="61CD69BE"/>
    <w:rsid w:val="61D41854"/>
    <w:rsid w:val="61E3363C"/>
    <w:rsid w:val="62053A53"/>
    <w:rsid w:val="62282B27"/>
    <w:rsid w:val="623743B3"/>
    <w:rsid w:val="623E2D21"/>
    <w:rsid w:val="623E7108"/>
    <w:rsid w:val="625A6442"/>
    <w:rsid w:val="626A1CE1"/>
    <w:rsid w:val="626C134E"/>
    <w:rsid w:val="629B22CB"/>
    <w:rsid w:val="62A3229B"/>
    <w:rsid w:val="62A45588"/>
    <w:rsid w:val="62A57C35"/>
    <w:rsid w:val="62B952CA"/>
    <w:rsid w:val="62E07553"/>
    <w:rsid w:val="62FD1F58"/>
    <w:rsid w:val="63081C9E"/>
    <w:rsid w:val="63421845"/>
    <w:rsid w:val="634A387E"/>
    <w:rsid w:val="6361478E"/>
    <w:rsid w:val="636E52EB"/>
    <w:rsid w:val="638B4892"/>
    <w:rsid w:val="639279AF"/>
    <w:rsid w:val="63944825"/>
    <w:rsid w:val="63D762DC"/>
    <w:rsid w:val="63EC2A57"/>
    <w:rsid w:val="63FE5C95"/>
    <w:rsid w:val="640E22EE"/>
    <w:rsid w:val="641222ED"/>
    <w:rsid w:val="64156B80"/>
    <w:rsid w:val="642B5582"/>
    <w:rsid w:val="642F3826"/>
    <w:rsid w:val="643B040A"/>
    <w:rsid w:val="645D1336"/>
    <w:rsid w:val="64643953"/>
    <w:rsid w:val="649122E0"/>
    <w:rsid w:val="6491381F"/>
    <w:rsid w:val="64B77EFF"/>
    <w:rsid w:val="64BB209D"/>
    <w:rsid w:val="64C1009F"/>
    <w:rsid w:val="64FB2F8F"/>
    <w:rsid w:val="65077676"/>
    <w:rsid w:val="651722E7"/>
    <w:rsid w:val="65347231"/>
    <w:rsid w:val="656A546E"/>
    <w:rsid w:val="65740427"/>
    <w:rsid w:val="6577651D"/>
    <w:rsid w:val="658C66C4"/>
    <w:rsid w:val="65A05658"/>
    <w:rsid w:val="65AC2EFD"/>
    <w:rsid w:val="65B46375"/>
    <w:rsid w:val="65D37A5B"/>
    <w:rsid w:val="65F4511D"/>
    <w:rsid w:val="65F47DC0"/>
    <w:rsid w:val="65FF7596"/>
    <w:rsid w:val="66096B05"/>
    <w:rsid w:val="6627721E"/>
    <w:rsid w:val="66513AB4"/>
    <w:rsid w:val="66537DD0"/>
    <w:rsid w:val="66753E2C"/>
    <w:rsid w:val="6687460E"/>
    <w:rsid w:val="66A146AB"/>
    <w:rsid w:val="66A34F7A"/>
    <w:rsid w:val="66A43DA7"/>
    <w:rsid w:val="66AE0D1C"/>
    <w:rsid w:val="66B56271"/>
    <w:rsid w:val="66C32061"/>
    <w:rsid w:val="66CE247E"/>
    <w:rsid w:val="66D1553B"/>
    <w:rsid w:val="66D678E5"/>
    <w:rsid w:val="66E23A48"/>
    <w:rsid w:val="66EF31C1"/>
    <w:rsid w:val="66F123D1"/>
    <w:rsid w:val="66F16A47"/>
    <w:rsid w:val="66F203EF"/>
    <w:rsid w:val="671A0D2D"/>
    <w:rsid w:val="67200F9C"/>
    <w:rsid w:val="672252C1"/>
    <w:rsid w:val="67340A1D"/>
    <w:rsid w:val="674A4FC0"/>
    <w:rsid w:val="674D101A"/>
    <w:rsid w:val="675249FA"/>
    <w:rsid w:val="67683CFC"/>
    <w:rsid w:val="67B406DA"/>
    <w:rsid w:val="67C75EAB"/>
    <w:rsid w:val="67CF435F"/>
    <w:rsid w:val="67D13F82"/>
    <w:rsid w:val="67D47556"/>
    <w:rsid w:val="67E83BD3"/>
    <w:rsid w:val="67FE0A51"/>
    <w:rsid w:val="683021EA"/>
    <w:rsid w:val="6831292C"/>
    <w:rsid w:val="683A5F07"/>
    <w:rsid w:val="683D4EA1"/>
    <w:rsid w:val="68482B4B"/>
    <w:rsid w:val="6857517B"/>
    <w:rsid w:val="685F2B0C"/>
    <w:rsid w:val="68615AEE"/>
    <w:rsid w:val="686465B8"/>
    <w:rsid w:val="686E2F1C"/>
    <w:rsid w:val="686E4CA0"/>
    <w:rsid w:val="686F3D4E"/>
    <w:rsid w:val="6892121B"/>
    <w:rsid w:val="689E473A"/>
    <w:rsid w:val="68A772BD"/>
    <w:rsid w:val="68AD32C0"/>
    <w:rsid w:val="68B055E0"/>
    <w:rsid w:val="68C163CF"/>
    <w:rsid w:val="68E01B05"/>
    <w:rsid w:val="68E24AEE"/>
    <w:rsid w:val="68F77559"/>
    <w:rsid w:val="690A7BA1"/>
    <w:rsid w:val="693053C2"/>
    <w:rsid w:val="69577852"/>
    <w:rsid w:val="697A46A8"/>
    <w:rsid w:val="69AA61FA"/>
    <w:rsid w:val="69B022B6"/>
    <w:rsid w:val="69B63885"/>
    <w:rsid w:val="69B72806"/>
    <w:rsid w:val="69B83AE8"/>
    <w:rsid w:val="69C21FC2"/>
    <w:rsid w:val="69D05774"/>
    <w:rsid w:val="69DD68EF"/>
    <w:rsid w:val="69EA0A29"/>
    <w:rsid w:val="69F431E5"/>
    <w:rsid w:val="6A0B12F9"/>
    <w:rsid w:val="6A387A83"/>
    <w:rsid w:val="6A4E3481"/>
    <w:rsid w:val="6AB0358F"/>
    <w:rsid w:val="6AC81DFB"/>
    <w:rsid w:val="6ACC4B2B"/>
    <w:rsid w:val="6AD5470C"/>
    <w:rsid w:val="6B156F01"/>
    <w:rsid w:val="6B1823F4"/>
    <w:rsid w:val="6B302155"/>
    <w:rsid w:val="6B5061B8"/>
    <w:rsid w:val="6B5541CC"/>
    <w:rsid w:val="6B594757"/>
    <w:rsid w:val="6B794694"/>
    <w:rsid w:val="6BB10ECA"/>
    <w:rsid w:val="6BB2291D"/>
    <w:rsid w:val="6BB80CD3"/>
    <w:rsid w:val="6BD97443"/>
    <w:rsid w:val="6BE154D6"/>
    <w:rsid w:val="6BFA34BF"/>
    <w:rsid w:val="6C1E27AA"/>
    <w:rsid w:val="6C253A83"/>
    <w:rsid w:val="6C282E9B"/>
    <w:rsid w:val="6C4C1DDE"/>
    <w:rsid w:val="6C60775B"/>
    <w:rsid w:val="6C787CBB"/>
    <w:rsid w:val="6C8A4E5F"/>
    <w:rsid w:val="6C8C5CC8"/>
    <w:rsid w:val="6C9165B6"/>
    <w:rsid w:val="6CA87474"/>
    <w:rsid w:val="6CAE0CBE"/>
    <w:rsid w:val="6CBA4949"/>
    <w:rsid w:val="6CCD33BF"/>
    <w:rsid w:val="6CDD58C8"/>
    <w:rsid w:val="6D042B59"/>
    <w:rsid w:val="6D1075E9"/>
    <w:rsid w:val="6D2F4343"/>
    <w:rsid w:val="6D353D8C"/>
    <w:rsid w:val="6D4E6285"/>
    <w:rsid w:val="6D5C18AC"/>
    <w:rsid w:val="6D6B1613"/>
    <w:rsid w:val="6D886D51"/>
    <w:rsid w:val="6DC73391"/>
    <w:rsid w:val="6DCC4C0D"/>
    <w:rsid w:val="6DEA0A67"/>
    <w:rsid w:val="6DEC6437"/>
    <w:rsid w:val="6DFC561D"/>
    <w:rsid w:val="6E0F76B0"/>
    <w:rsid w:val="6E283F73"/>
    <w:rsid w:val="6E2F3C06"/>
    <w:rsid w:val="6E382FA7"/>
    <w:rsid w:val="6E395E9E"/>
    <w:rsid w:val="6E4341AC"/>
    <w:rsid w:val="6E5126B4"/>
    <w:rsid w:val="6E567C0C"/>
    <w:rsid w:val="6E5D6868"/>
    <w:rsid w:val="6E683231"/>
    <w:rsid w:val="6E7C1EB5"/>
    <w:rsid w:val="6EB5540B"/>
    <w:rsid w:val="6EB664D0"/>
    <w:rsid w:val="6ED36BB1"/>
    <w:rsid w:val="6EE110A6"/>
    <w:rsid w:val="6EF03BAE"/>
    <w:rsid w:val="6F155D21"/>
    <w:rsid w:val="6F1E3244"/>
    <w:rsid w:val="6F286746"/>
    <w:rsid w:val="6F2B2506"/>
    <w:rsid w:val="6F436F8F"/>
    <w:rsid w:val="6F451BBF"/>
    <w:rsid w:val="6F634567"/>
    <w:rsid w:val="6F8D6B1D"/>
    <w:rsid w:val="6FAE4748"/>
    <w:rsid w:val="6FD91F90"/>
    <w:rsid w:val="6FE23626"/>
    <w:rsid w:val="6FE31AA8"/>
    <w:rsid w:val="70045D42"/>
    <w:rsid w:val="700A0D6E"/>
    <w:rsid w:val="70344DE8"/>
    <w:rsid w:val="704D2ABA"/>
    <w:rsid w:val="706717CB"/>
    <w:rsid w:val="707200F0"/>
    <w:rsid w:val="707663A9"/>
    <w:rsid w:val="707F274F"/>
    <w:rsid w:val="70950CE0"/>
    <w:rsid w:val="709D2458"/>
    <w:rsid w:val="70A2698B"/>
    <w:rsid w:val="70AA312E"/>
    <w:rsid w:val="70C24A2F"/>
    <w:rsid w:val="70CC0C4C"/>
    <w:rsid w:val="70E071C4"/>
    <w:rsid w:val="70E41087"/>
    <w:rsid w:val="70E65326"/>
    <w:rsid w:val="70E80F60"/>
    <w:rsid w:val="70F11D57"/>
    <w:rsid w:val="71014D29"/>
    <w:rsid w:val="710A2B65"/>
    <w:rsid w:val="71191A27"/>
    <w:rsid w:val="711F713E"/>
    <w:rsid w:val="71217371"/>
    <w:rsid w:val="712E54D4"/>
    <w:rsid w:val="71321C7C"/>
    <w:rsid w:val="7146231D"/>
    <w:rsid w:val="714A1780"/>
    <w:rsid w:val="71637917"/>
    <w:rsid w:val="7170146E"/>
    <w:rsid w:val="71705776"/>
    <w:rsid w:val="717268C8"/>
    <w:rsid w:val="71802D0E"/>
    <w:rsid w:val="71880353"/>
    <w:rsid w:val="718F5890"/>
    <w:rsid w:val="71981E73"/>
    <w:rsid w:val="71C16BD6"/>
    <w:rsid w:val="71C363B8"/>
    <w:rsid w:val="71D14144"/>
    <w:rsid w:val="72143089"/>
    <w:rsid w:val="72150CEA"/>
    <w:rsid w:val="721F1006"/>
    <w:rsid w:val="721F4F40"/>
    <w:rsid w:val="7227177D"/>
    <w:rsid w:val="723419F5"/>
    <w:rsid w:val="7235573F"/>
    <w:rsid w:val="72477BAC"/>
    <w:rsid w:val="7255330E"/>
    <w:rsid w:val="726C56B8"/>
    <w:rsid w:val="72760CB0"/>
    <w:rsid w:val="7288771C"/>
    <w:rsid w:val="729326C7"/>
    <w:rsid w:val="72A458E1"/>
    <w:rsid w:val="72B13FB1"/>
    <w:rsid w:val="72C13E7C"/>
    <w:rsid w:val="72CD388B"/>
    <w:rsid w:val="72CE592F"/>
    <w:rsid w:val="72D21B1B"/>
    <w:rsid w:val="73014E33"/>
    <w:rsid w:val="730770A2"/>
    <w:rsid w:val="73197AE0"/>
    <w:rsid w:val="73221860"/>
    <w:rsid w:val="732F2FC7"/>
    <w:rsid w:val="733A4EF6"/>
    <w:rsid w:val="733D0234"/>
    <w:rsid w:val="733D1497"/>
    <w:rsid w:val="735F4C52"/>
    <w:rsid w:val="73773239"/>
    <w:rsid w:val="739D4E7F"/>
    <w:rsid w:val="73A52CA9"/>
    <w:rsid w:val="73C82E30"/>
    <w:rsid w:val="73FA14E3"/>
    <w:rsid w:val="73FD29BB"/>
    <w:rsid w:val="740A7F35"/>
    <w:rsid w:val="740B686A"/>
    <w:rsid w:val="74193434"/>
    <w:rsid w:val="7436153F"/>
    <w:rsid w:val="744401CE"/>
    <w:rsid w:val="745819FD"/>
    <w:rsid w:val="746C366D"/>
    <w:rsid w:val="748200B4"/>
    <w:rsid w:val="749C71E6"/>
    <w:rsid w:val="74AC77E0"/>
    <w:rsid w:val="74DE6D4A"/>
    <w:rsid w:val="75045F44"/>
    <w:rsid w:val="75154170"/>
    <w:rsid w:val="751F2CCD"/>
    <w:rsid w:val="75334F10"/>
    <w:rsid w:val="754A3843"/>
    <w:rsid w:val="75522BE7"/>
    <w:rsid w:val="755E6626"/>
    <w:rsid w:val="75714F21"/>
    <w:rsid w:val="75801690"/>
    <w:rsid w:val="75841DF5"/>
    <w:rsid w:val="75883FFE"/>
    <w:rsid w:val="759118EE"/>
    <w:rsid w:val="759A0BFF"/>
    <w:rsid w:val="75A62B5C"/>
    <w:rsid w:val="75B660D9"/>
    <w:rsid w:val="75DA056C"/>
    <w:rsid w:val="75FA2F4D"/>
    <w:rsid w:val="76177C7F"/>
    <w:rsid w:val="761E4555"/>
    <w:rsid w:val="7652518B"/>
    <w:rsid w:val="765661CE"/>
    <w:rsid w:val="766B1FE7"/>
    <w:rsid w:val="767737E8"/>
    <w:rsid w:val="7687321E"/>
    <w:rsid w:val="769C5380"/>
    <w:rsid w:val="769D488D"/>
    <w:rsid w:val="76A648DB"/>
    <w:rsid w:val="76AA6FCA"/>
    <w:rsid w:val="76AD33AB"/>
    <w:rsid w:val="76AE1A33"/>
    <w:rsid w:val="76B645C9"/>
    <w:rsid w:val="76CB05E9"/>
    <w:rsid w:val="76F557EA"/>
    <w:rsid w:val="76FB601C"/>
    <w:rsid w:val="771E0B46"/>
    <w:rsid w:val="77243900"/>
    <w:rsid w:val="773547FB"/>
    <w:rsid w:val="7745626C"/>
    <w:rsid w:val="774A218D"/>
    <w:rsid w:val="77534E7F"/>
    <w:rsid w:val="77765B6B"/>
    <w:rsid w:val="777D79D9"/>
    <w:rsid w:val="7788271D"/>
    <w:rsid w:val="778A3CA6"/>
    <w:rsid w:val="77AB127E"/>
    <w:rsid w:val="77B8759C"/>
    <w:rsid w:val="77CA7AD8"/>
    <w:rsid w:val="77F04589"/>
    <w:rsid w:val="780776F7"/>
    <w:rsid w:val="785D4AC2"/>
    <w:rsid w:val="78755AD9"/>
    <w:rsid w:val="78867CFB"/>
    <w:rsid w:val="7895518B"/>
    <w:rsid w:val="78DA375A"/>
    <w:rsid w:val="78FB6861"/>
    <w:rsid w:val="790C30F7"/>
    <w:rsid w:val="79182F94"/>
    <w:rsid w:val="791E6626"/>
    <w:rsid w:val="791F15A3"/>
    <w:rsid w:val="791F1ABD"/>
    <w:rsid w:val="792A6014"/>
    <w:rsid w:val="792A77CA"/>
    <w:rsid w:val="792C1C9C"/>
    <w:rsid w:val="79534836"/>
    <w:rsid w:val="795F47C4"/>
    <w:rsid w:val="796E1890"/>
    <w:rsid w:val="79880110"/>
    <w:rsid w:val="79894347"/>
    <w:rsid w:val="799447B2"/>
    <w:rsid w:val="79993DEC"/>
    <w:rsid w:val="79A91848"/>
    <w:rsid w:val="79B155D3"/>
    <w:rsid w:val="79BE02AE"/>
    <w:rsid w:val="79C44E91"/>
    <w:rsid w:val="79D75B18"/>
    <w:rsid w:val="79F9227E"/>
    <w:rsid w:val="7A03141B"/>
    <w:rsid w:val="7A0348C4"/>
    <w:rsid w:val="7A2F5A98"/>
    <w:rsid w:val="7A340EA4"/>
    <w:rsid w:val="7A3F5F0E"/>
    <w:rsid w:val="7A402127"/>
    <w:rsid w:val="7A677819"/>
    <w:rsid w:val="7A75750A"/>
    <w:rsid w:val="7A7C3110"/>
    <w:rsid w:val="7A9E603E"/>
    <w:rsid w:val="7AA5799A"/>
    <w:rsid w:val="7AAE7A48"/>
    <w:rsid w:val="7AF259C5"/>
    <w:rsid w:val="7B12265C"/>
    <w:rsid w:val="7B4E1237"/>
    <w:rsid w:val="7B557668"/>
    <w:rsid w:val="7B5721B8"/>
    <w:rsid w:val="7B5C6BFD"/>
    <w:rsid w:val="7B884D33"/>
    <w:rsid w:val="7BA630A7"/>
    <w:rsid w:val="7BBB6A08"/>
    <w:rsid w:val="7BCB5994"/>
    <w:rsid w:val="7BD83B2F"/>
    <w:rsid w:val="7BED154E"/>
    <w:rsid w:val="7BED6B05"/>
    <w:rsid w:val="7C1946E0"/>
    <w:rsid w:val="7C42078B"/>
    <w:rsid w:val="7C953CBE"/>
    <w:rsid w:val="7C9C6D51"/>
    <w:rsid w:val="7CA326C8"/>
    <w:rsid w:val="7CAA5F0D"/>
    <w:rsid w:val="7CC500B7"/>
    <w:rsid w:val="7CEB64E0"/>
    <w:rsid w:val="7D25417D"/>
    <w:rsid w:val="7D470375"/>
    <w:rsid w:val="7D5A124C"/>
    <w:rsid w:val="7D6B3C9C"/>
    <w:rsid w:val="7D6C7837"/>
    <w:rsid w:val="7D7F4B0A"/>
    <w:rsid w:val="7D87483A"/>
    <w:rsid w:val="7D886B89"/>
    <w:rsid w:val="7D8A3047"/>
    <w:rsid w:val="7D92427A"/>
    <w:rsid w:val="7DA653E8"/>
    <w:rsid w:val="7DAB4450"/>
    <w:rsid w:val="7DAE4568"/>
    <w:rsid w:val="7DC3009F"/>
    <w:rsid w:val="7DC80DDA"/>
    <w:rsid w:val="7DDC30D5"/>
    <w:rsid w:val="7DE442E9"/>
    <w:rsid w:val="7E0B16A2"/>
    <w:rsid w:val="7E12506E"/>
    <w:rsid w:val="7E1B5179"/>
    <w:rsid w:val="7E3610F8"/>
    <w:rsid w:val="7E594E0B"/>
    <w:rsid w:val="7E7C766D"/>
    <w:rsid w:val="7E833262"/>
    <w:rsid w:val="7E932FC5"/>
    <w:rsid w:val="7E9B5F2D"/>
    <w:rsid w:val="7ECE4E91"/>
    <w:rsid w:val="7ECE6209"/>
    <w:rsid w:val="7EDB5D8D"/>
    <w:rsid w:val="7EDD4604"/>
    <w:rsid w:val="7EE626A2"/>
    <w:rsid w:val="7F0A31ED"/>
    <w:rsid w:val="7F165CD8"/>
    <w:rsid w:val="7F243837"/>
    <w:rsid w:val="7F2B17D8"/>
    <w:rsid w:val="7F3C05D3"/>
    <w:rsid w:val="7F4E60A4"/>
    <w:rsid w:val="7F636CA1"/>
    <w:rsid w:val="7F676C28"/>
    <w:rsid w:val="7F751E64"/>
    <w:rsid w:val="7F7A4953"/>
    <w:rsid w:val="7F806C96"/>
    <w:rsid w:val="7F90721E"/>
    <w:rsid w:val="7F990359"/>
    <w:rsid w:val="7FAC08C1"/>
    <w:rsid w:val="7FAD0277"/>
    <w:rsid w:val="7FB44E0C"/>
    <w:rsid w:val="7FCF5193"/>
    <w:rsid w:val="7FD06104"/>
    <w:rsid w:val="7FE21DCB"/>
    <w:rsid w:val="7FF0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5"/>
    <w:next w:val="1"/>
    <w:qFormat/>
    <w:uiPriority w:val="0"/>
    <w:pPr>
      <w:tabs>
        <w:tab w:val="left" w:pos="780"/>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5">
    <w:name w:val="List Number 2"/>
    <w:basedOn w:val="1"/>
    <w:qFormat/>
    <w:uiPriority w:val="0"/>
    <w:pPr>
      <w:numPr>
        <w:ilvl w:val="0"/>
        <w:numId w:val="2"/>
      </w:numPr>
    </w:pPr>
  </w:style>
  <w:style w:type="paragraph" w:styleId="7">
    <w:name w:val="List Number"/>
    <w:basedOn w:val="1"/>
    <w:qFormat/>
    <w:uiPriority w:val="0"/>
    <w:pPr>
      <w:numPr>
        <w:ilvl w:val="0"/>
        <w:numId w:val="3"/>
      </w:numPr>
    </w:p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qFormat/>
    <w:uiPriority w:val="0"/>
    <w:pPr>
      <w:spacing w:line="360" w:lineRule="exact"/>
    </w:pPr>
    <w:rPr>
      <w:sz w:val="24"/>
    </w:r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8">
    <w:name w:val="Body Text First Indent"/>
    <w:basedOn w:val="1"/>
    <w:qFormat/>
    <w:uiPriority w:val="0"/>
    <w:pPr>
      <w:ind w:firstLine="200" w:firstLineChars="200"/>
    </w:pPr>
  </w:style>
  <w:style w:type="paragraph" w:styleId="19">
    <w:name w:val="Body Text First Indent 2"/>
    <w:basedOn w:val="2"/>
    <w:qFormat/>
    <w:uiPriority w:val="0"/>
    <w:pPr>
      <w:ind w:firstLine="420"/>
    </w:pPr>
  </w:style>
  <w:style w:type="table" w:styleId="21">
    <w:name w:val="Table Grid"/>
    <w:basedOn w:val="20"/>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qFormat/>
    <w:uiPriority w:val="0"/>
    <w:rPr>
      <w:color w:val="800080"/>
      <w:u w:val="single"/>
    </w:rPr>
  </w:style>
  <w:style w:type="character" w:styleId="24">
    <w:name w:val="Hyperlink"/>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font21"/>
    <w:basedOn w:val="22"/>
    <w:qFormat/>
    <w:uiPriority w:val="0"/>
    <w:rPr>
      <w:rFonts w:hint="default" w:ascii="Arial" w:hAnsi="Arial" w:cs="Arial"/>
      <w:color w:val="000000"/>
      <w:sz w:val="20"/>
      <w:szCs w:val="20"/>
      <w:u w:val="none"/>
    </w:rPr>
  </w:style>
  <w:style w:type="character" w:customStyle="1" w:styleId="43">
    <w:name w:val="font01"/>
    <w:basedOn w:val="22"/>
    <w:qFormat/>
    <w:uiPriority w:val="0"/>
    <w:rPr>
      <w:rFonts w:hint="eastAsia" w:ascii="宋体" w:hAnsi="宋体" w:eastAsia="宋体" w:cs="宋体"/>
      <w:color w:val="000000"/>
      <w:sz w:val="20"/>
      <w:szCs w:val="20"/>
      <w:u w:val="none"/>
    </w:rPr>
  </w:style>
  <w:style w:type="paragraph" w:customStyle="1" w:styleId="44">
    <w:name w:val="纯文本1"/>
    <w:basedOn w:val="45"/>
    <w:qFormat/>
    <w:uiPriority w:val="0"/>
    <w:pPr>
      <w:widowControl/>
      <w:jc w:val="left"/>
    </w:pPr>
    <w:rPr>
      <w:rFonts w:ascii="宋体" w:hAnsi="Courier New"/>
    </w:rPr>
  </w:style>
  <w:style w:type="paragraph" w:customStyle="1" w:styleId="4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6">
    <w:name w:val="Table Paragraph"/>
    <w:basedOn w:val="1"/>
    <w:qFormat/>
    <w:uiPriority w:val="1"/>
    <w:rPr>
      <w:rFonts w:ascii="宋体" w:hAnsi="宋体" w:cs="宋体"/>
    </w:rPr>
  </w:style>
  <w:style w:type="paragraph" w:customStyle="1" w:styleId="47">
    <w:name w:val="WPSOffice手动目录 1"/>
    <w:qFormat/>
    <w:uiPriority w:val="0"/>
    <w:rPr>
      <w:rFonts w:ascii="Times New Roman" w:hAnsi="Times New Roman" w:eastAsia="宋体" w:cs="Times New Roman"/>
      <w:lang w:val="en-US" w:eastAsia="zh-CN" w:bidi="ar-SA"/>
    </w:rPr>
  </w:style>
  <w:style w:type="character" w:customStyle="1" w:styleId="48">
    <w:name w:val="标题 1 Char Char"/>
    <w:basedOn w:val="22"/>
    <w:qFormat/>
    <w:uiPriority w:val="0"/>
    <w:rPr>
      <w:rFonts w:eastAsia="宋体"/>
      <w:b/>
      <w:spacing w:val="-2"/>
      <w:sz w:val="24"/>
      <w:lang w:val="en-US" w:eastAsia="zh-CN" w:bidi="ar-SA"/>
    </w:rPr>
  </w:style>
  <w:style w:type="character" w:customStyle="1" w:styleId="49">
    <w:name w:val="批注框文本 Char"/>
    <w:basedOn w:val="22"/>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37303</Words>
  <Characters>39983</Characters>
  <Lines>174</Lines>
  <Paragraphs>49</Paragraphs>
  <TotalTime>4</TotalTime>
  <ScaleCrop>false</ScaleCrop>
  <LinksUpToDate>false</LinksUpToDate>
  <CharactersWithSpaces>41876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zebora</cp:lastModifiedBy>
  <cp:lastPrinted>2022-09-08T07:55:00Z</cp:lastPrinted>
  <dcterms:modified xsi:type="dcterms:W3CDTF">2022-09-14T08:07:16Z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FD6F3ACCBF19418AB2A523CB750B9120</vt:lpwstr>
  </property>
</Properties>
</file>