
<file path=[Content_Types].xml><?xml version="1.0" encoding="utf-8"?>
<Types xmlns="http://schemas.openxmlformats.org/package/2006/content-types">
  <Default ContentType="image/jpeg" Extension="jpeg"/>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4"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TZCG-2022-G</w:t>
      </w:r>
      <w:r>
        <w:rPr>
          <w:rFonts w:hint="eastAsia" w:ascii="宋体"/>
          <w:b/>
          <w:color w:val="auto"/>
          <w:kern w:val="0"/>
          <w:sz w:val="32"/>
          <w:lang w:val="en-US" w:eastAsia="zh-CN"/>
        </w:rPr>
        <w:t>K016</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hint="eastAsia" w:ascii="宋体"/>
          <w:kern w:val="0"/>
          <w:sz w:val="28"/>
          <w:lang w:val="en-US" w:eastAsia="zh-CN"/>
        </w:rPr>
      </w:pPr>
      <w:r>
        <w:rPr>
          <w:rFonts w:hint="eastAsia" w:ascii="宋体"/>
          <w:kern w:val="0"/>
          <w:sz w:val="28"/>
        </w:rPr>
        <w:t>采购项目：台州智慧交管工程（协同应用）项目</w:t>
      </w:r>
      <w:r>
        <w:rPr>
          <w:rFonts w:hint="eastAsia" w:ascii="宋体"/>
          <w:kern w:val="0"/>
          <w:sz w:val="28"/>
          <w:lang w:val="en-US" w:eastAsia="zh-CN"/>
        </w:rPr>
        <w:t>_软件部分</w:t>
      </w:r>
    </w:p>
    <w:p>
      <w:pPr>
        <w:autoSpaceDE w:val="0"/>
        <w:autoSpaceDN w:val="0"/>
        <w:adjustRightInd w:val="0"/>
        <w:spacing w:line="360" w:lineRule="auto"/>
        <w:jc w:val="center"/>
        <w:rPr>
          <w:rFonts w:ascii="宋体"/>
          <w:kern w:val="0"/>
          <w:sz w:val="28"/>
        </w:rPr>
      </w:pPr>
      <w:r>
        <w:rPr>
          <w:rFonts w:hint="eastAsia" w:ascii="宋体"/>
          <w:kern w:val="0"/>
          <w:sz w:val="28"/>
        </w:rPr>
        <w:t>采 购 人：台州市公安局交通警察局</w:t>
      </w:r>
    </w:p>
    <w:p>
      <w:pPr>
        <w:autoSpaceDE w:val="0"/>
        <w:autoSpaceDN w:val="0"/>
        <w:adjustRightInd w:val="0"/>
        <w:spacing w:line="360" w:lineRule="auto"/>
        <w:ind w:left="0" w:leftChars="0" w:firstLine="0" w:firstLineChars="0"/>
        <w:jc w:val="center"/>
        <w:rPr>
          <w:rFonts w:ascii="宋体"/>
          <w:kern w:val="0"/>
          <w:sz w:val="28"/>
        </w:rPr>
      </w:pP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2022</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7</w:t>
      </w:r>
      <w:r>
        <w:rPr>
          <w:rFonts w:hint="eastAsia" w:ascii="宋体" w:hAnsi="宋体" w:cs="宋体"/>
          <w:kern w:val="0"/>
          <w:sz w:val="28"/>
          <w:szCs w:val="28"/>
        </w:rPr>
        <w:t xml:space="preserve"> 月</w:t>
      </w:r>
      <w:r>
        <w:rPr>
          <w:rFonts w:hint="eastAsia" w:ascii="宋体" w:hAnsi="宋体" w:cs="宋体"/>
          <w:kern w:val="0"/>
          <w:sz w:val="28"/>
          <w:szCs w:val="28"/>
          <w:lang w:val="en-US" w:eastAsia="zh-CN"/>
        </w:rPr>
        <w:t xml:space="preserve"> 27 </w:t>
      </w:r>
      <w:r>
        <w:rPr>
          <w:rFonts w:hint="eastAsia" w:ascii="宋体" w:hAnsi="宋体" w:cs="宋体"/>
          <w:kern w:val="0"/>
          <w:sz w:val="28"/>
          <w:szCs w:val="28"/>
        </w:rPr>
        <w:t>日</w:t>
      </w:r>
    </w:p>
    <w:p>
      <w:pPr>
        <w:spacing w:line="360" w:lineRule="auto"/>
      </w:pPr>
    </w:p>
    <w:p>
      <w:pPr>
        <w:pStyle w:val="21"/>
      </w:pPr>
    </w:p>
    <w:p>
      <w:pPr>
        <w:pStyle w:val="21"/>
      </w:pPr>
    </w:p>
    <w:p>
      <w:pPr>
        <w:pStyle w:val="21"/>
      </w:pPr>
    </w:p>
    <w:p>
      <w:pPr>
        <w:pStyle w:val="21"/>
      </w:pPr>
    </w:p>
    <w:p>
      <w:pPr>
        <w:pStyle w:val="21"/>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both"/>
            <w:rPr>
              <w:rFonts w:ascii="宋体" w:hAnsi="宋体"/>
              <w:kern w:val="0"/>
              <w:sz w:val="28"/>
              <w:szCs w:val="28"/>
            </w:rPr>
          </w:pPr>
          <w:bookmarkStart w:id="0" w:name="_Toc25017_WPSOffice_Type1"/>
        </w:p>
        <w:p>
          <w:pPr>
            <w:pStyle w:val="21"/>
          </w:pPr>
        </w:p>
        <w:p>
          <w:pPr>
            <w:spacing w:line="480" w:lineRule="auto"/>
            <w:jc w:val="center"/>
            <w:rPr>
              <w:rFonts w:hint="eastAsia" w:ascii="宋体" w:hAnsi="宋体"/>
              <w:b/>
              <w:bCs/>
              <w:sz w:val="36"/>
              <w:szCs w:val="36"/>
            </w:rPr>
          </w:pPr>
          <w:r>
            <w:rPr>
              <w:rFonts w:hint="eastAsia" w:ascii="宋体" w:hAnsi="宋体"/>
              <w:b/>
              <w:bCs/>
              <w:sz w:val="36"/>
              <w:szCs w:val="36"/>
            </w:rPr>
            <w:t>目  录</w:t>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hint="eastAsia" w:eastAsiaTheme="minorEastAsia" w:cstheme="minorBidi"/>
              <w:sz w:val="28"/>
              <w:szCs w:val="28"/>
            </w:rPr>
            <w:tab/>
          </w:r>
          <w:bookmarkStart w:id="1" w:name="_Toc4350_WPSOffice_Level1Page"/>
          <w:r>
            <w:rPr>
              <w:rFonts w:hint="eastAsia" w:eastAsiaTheme="minorEastAsia" w:cstheme="minorBidi"/>
              <w:sz w:val="28"/>
              <w:szCs w:val="28"/>
            </w:rPr>
            <w:t>3</w:t>
          </w:r>
          <w:bookmarkEnd w:id="1"/>
          <w:r>
            <w:rPr>
              <w:rFonts w:hint="eastAsia"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hint="eastAsia"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hint="eastAsia" w:eastAsiaTheme="minorEastAsia" w:cstheme="minorBidi"/>
              <w:sz w:val="28"/>
              <w:szCs w:val="28"/>
            </w:rPr>
            <w:tab/>
          </w:r>
          <w:bookmarkStart w:id="2" w:name="_Toc31173_WPSOffice_Level1Page"/>
          <w:r>
            <w:rPr>
              <w:rFonts w:hint="eastAsia" w:eastAsiaTheme="minorEastAsia" w:cstheme="minorBidi"/>
              <w:sz w:val="28"/>
              <w:szCs w:val="28"/>
            </w:rPr>
            <w:t>22</w:t>
          </w:r>
          <w:bookmarkEnd w:id="2"/>
          <w:r>
            <w:rPr>
              <w:rFonts w:hint="eastAsia"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bookmarkStart w:id="3" w:name="_Toc27944_WPSOffice_Level1Page"/>
          <w:r>
            <w:rPr>
              <w:rFonts w:hint="eastAsia" w:eastAsiaTheme="minorEastAsia" w:cstheme="minorBidi"/>
              <w:sz w:val="28"/>
              <w:szCs w:val="28"/>
            </w:rPr>
            <w:t>35</w:t>
          </w:r>
          <w:bookmarkEnd w:id="3"/>
          <w:r>
            <w:rPr>
              <w:rFonts w:hint="eastAsia" w:eastAsiaTheme="minorEastAsia" w:cstheme="minorBidi"/>
              <w:sz w:val="28"/>
              <w:szCs w:val="28"/>
            </w:rPr>
            <w:fldChar w:fldCharType="end"/>
          </w:r>
        </w:p>
        <w:p>
          <w:pPr>
            <w:pStyle w:val="18"/>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hint="eastAsia" w:eastAsiaTheme="minorEastAsia" w:cstheme="minorBidi"/>
              <w:sz w:val="28"/>
              <w:szCs w:val="28"/>
            </w:rPr>
            <w:tab/>
          </w:r>
          <w:bookmarkStart w:id="4" w:name="_Toc5481_WPSOffice_Level1Page"/>
          <w:r>
            <w:rPr>
              <w:rFonts w:hint="eastAsia" w:eastAsiaTheme="minorEastAsia" w:cstheme="minorBidi"/>
              <w:sz w:val="28"/>
              <w:szCs w:val="28"/>
            </w:rPr>
            <w:t>41</w:t>
          </w:r>
          <w:bookmarkEnd w:id="4"/>
          <w:r>
            <w:rPr>
              <w:rFonts w:hint="eastAsia"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3"/>
        <w:ind w:firstLine="480" w:firstLineChars="200"/>
        <w:rPr>
          <w:rFonts w:cs="宋体"/>
          <w:b w:val="0"/>
          <w:sz w:val="24"/>
          <w:szCs w:val="24"/>
        </w:rPr>
      </w:pPr>
      <w:bookmarkStart w:id="6" w:name="_Toc35393790"/>
      <w:bookmarkStart w:id="7" w:name="_Toc28359079"/>
      <w:bookmarkStart w:id="8" w:name="_Toc28359002"/>
      <w:bookmarkStart w:id="9" w:name="_Toc35393621"/>
      <w:bookmarkStart w:id="10" w:name="_Hlk24379207"/>
      <w:r>
        <w:rPr>
          <w:rFonts w:hint="eastAsia" w:cs="宋体"/>
          <w:b w:val="0"/>
          <w:sz w:val="24"/>
          <w:szCs w:val="24"/>
          <w:lang w:val="en-US" w:eastAsia="zh-CN"/>
        </w:rPr>
        <w:t>台州市</w:t>
      </w:r>
      <w:r>
        <w:rPr>
          <w:rFonts w:hint="eastAsia" w:cs="宋体"/>
          <w:b w:val="0"/>
          <w:sz w:val="24"/>
          <w:szCs w:val="24"/>
        </w:rPr>
        <w:t>政府采购</w:t>
      </w:r>
      <w:r>
        <w:rPr>
          <w:rFonts w:hint="eastAsia" w:ascii="宋体" w:hAnsi="宋体" w:eastAsia="宋体" w:cs="宋体"/>
          <w:b w:val="0"/>
          <w:sz w:val="24"/>
          <w:szCs w:val="24"/>
        </w:rPr>
        <w:t>中心受台州市公安局交通警察局委托，就台州智慧交管工程（协同应用）项目</w:t>
      </w:r>
      <w:r>
        <w:rPr>
          <w:rFonts w:hint="eastAsia" w:ascii="宋体" w:hAnsi="宋体" w:eastAsia="宋体" w:cs="宋体"/>
          <w:b w:val="0"/>
          <w:sz w:val="24"/>
          <w:szCs w:val="24"/>
          <w:lang w:val="en-US" w:eastAsia="zh-CN"/>
        </w:rPr>
        <w:t>_软件部分</w:t>
      </w:r>
      <w:r>
        <w:rPr>
          <w:rFonts w:hint="eastAsia" w:ascii="宋体" w:hAnsi="宋体" w:eastAsia="宋体" w:cs="宋体"/>
          <w:b w:val="0"/>
          <w:sz w:val="24"/>
          <w:szCs w:val="24"/>
        </w:rPr>
        <w:t>项目进</w:t>
      </w:r>
      <w:r>
        <w:rPr>
          <w:rFonts w:hint="eastAsia" w:cs="宋体"/>
          <w:b w:val="0"/>
          <w:sz w:val="24"/>
          <w:szCs w:val="24"/>
        </w:rPr>
        <w:t>行公开招标，欢迎符合资格条件的国内投标人参加投标。</w:t>
      </w:r>
    </w:p>
    <w:p>
      <w:pPr>
        <w:pStyle w:val="3"/>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TZCG-2022-G</w:t>
      </w:r>
      <w:r>
        <w:rPr>
          <w:rFonts w:hint="eastAsia" w:ascii="宋体" w:hAnsi="宋体" w:cs="宋体"/>
          <w:color w:val="auto"/>
          <w:sz w:val="24"/>
          <w:lang w:val="en-US" w:eastAsia="zh-CN"/>
        </w:rPr>
        <w:t>K016</w:t>
      </w:r>
      <w:r>
        <w:rPr>
          <w:rFonts w:hint="eastAsia" w:asciiTheme="minorEastAsia" w:hAnsiTheme="minorEastAsia" w:eastAsiaTheme="minorEastAsia" w:cstheme="minorEastAsia"/>
          <w:sz w:val="24"/>
        </w:rPr>
        <w:t>号</w:t>
      </w:r>
    </w:p>
    <w:bookmarkEnd w:id="10"/>
    <w:p>
      <w:pPr>
        <w:spacing w:line="360" w:lineRule="auto"/>
        <w:ind w:firstLine="480" w:firstLineChars="200"/>
        <w:rPr>
          <w:rFonts w:hint="eastAsia" w:ascii="宋体" w:hAnsi="宋体" w:cs="宋体"/>
          <w:kern w:val="0"/>
          <w:sz w:val="24"/>
        </w:rPr>
      </w:pPr>
      <w:r>
        <w:rPr>
          <w:rFonts w:hint="eastAsia" w:ascii="宋体" w:hAnsi="宋体" w:cs="宋体"/>
          <w:sz w:val="24"/>
        </w:rPr>
        <w:t>项目名称：</w:t>
      </w:r>
      <w:r>
        <w:rPr>
          <w:rFonts w:hint="eastAsia" w:ascii="宋体" w:hAnsi="宋体" w:eastAsia="宋体" w:cs="宋体"/>
          <w:b w:val="0"/>
          <w:sz w:val="24"/>
          <w:szCs w:val="24"/>
        </w:rPr>
        <w:t>台州智慧交管工程（协同应用）项目</w:t>
      </w:r>
      <w:r>
        <w:rPr>
          <w:rFonts w:hint="eastAsia" w:ascii="宋体" w:hAnsi="宋体" w:eastAsia="宋体" w:cs="宋体"/>
          <w:b w:val="0"/>
          <w:sz w:val="24"/>
          <w:szCs w:val="24"/>
          <w:lang w:val="en-US" w:eastAsia="zh-CN"/>
        </w:rPr>
        <w:t>_软件部分</w:t>
      </w:r>
      <w:r>
        <w:rPr>
          <w:rFonts w:hint="eastAsia" w:ascii="宋体" w:hAnsi="宋体" w:eastAsia="宋体" w:cs="宋体"/>
          <w:b w:val="0"/>
          <w:sz w:val="24"/>
          <w:szCs w:val="24"/>
        </w:rPr>
        <w:t>项目</w:t>
      </w:r>
    </w:p>
    <w:tbl>
      <w:tblPr>
        <w:tblStyle w:val="22"/>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cs="宋体"/>
                <w:b w:val="0"/>
                <w:bCs/>
                <w:sz w:val="21"/>
                <w:szCs w:val="21"/>
              </w:rPr>
              <w:t>1</w:t>
            </w:r>
          </w:p>
        </w:tc>
        <w:tc>
          <w:tcPr>
            <w:tcW w:w="2741" w:type="dxa"/>
            <w:vAlign w:val="center"/>
          </w:tcPr>
          <w:p>
            <w:pPr>
              <w:tabs>
                <w:tab w:val="left" w:pos="8280"/>
              </w:tabs>
              <w:autoSpaceDE w:val="0"/>
              <w:autoSpaceDN w:val="0"/>
              <w:adjustRightInd w:val="0"/>
              <w:jc w:val="center"/>
              <w:rPr>
                <w:rFonts w:hint="default" w:ascii="宋体" w:hAnsi="宋体" w:eastAsia="宋体" w:cs="宋体"/>
                <w:b w:val="0"/>
                <w:bCs/>
                <w:sz w:val="21"/>
                <w:szCs w:val="21"/>
                <w:lang w:val="en-US" w:eastAsia="zh-CN"/>
              </w:rPr>
            </w:pPr>
            <w:r>
              <w:rPr>
                <w:rFonts w:hint="eastAsia" w:ascii="宋体" w:hAnsi="宋体" w:eastAsia="宋体" w:cs="宋体"/>
                <w:b w:val="0"/>
                <w:sz w:val="21"/>
                <w:szCs w:val="21"/>
              </w:rPr>
              <w:t>台州智慧交管工程（协同应用）项目</w:t>
            </w:r>
            <w:r>
              <w:rPr>
                <w:rFonts w:hint="eastAsia" w:ascii="宋体" w:hAnsi="宋体" w:eastAsia="宋体" w:cs="宋体"/>
                <w:b w:val="0"/>
                <w:sz w:val="21"/>
                <w:szCs w:val="21"/>
                <w:lang w:val="en-US" w:eastAsia="zh-CN"/>
              </w:rPr>
              <w:t>_软件部分</w:t>
            </w:r>
          </w:p>
        </w:tc>
        <w:tc>
          <w:tcPr>
            <w:tcW w:w="999" w:type="dxa"/>
            <w:vAlign w:val="center"/>
          </w:tcPr>
          <w:p>
            <w:pPr>
              <w:tabs>
                <w:tab w:val="left" w:pos="8280"/>
              </w:tabs>
              <w:autoSpaceDE w:val="0"/>
              <w:autoSpaceDN w:val="0"/>
              <w:adjustRightInd w:val="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1</w:t>
            </w:r>
          </w:p>
        </w:tc>
        <w:tc>
          <w:tcPr>
            <w:tcW w:w="979" w:type="dxa"/>
            <w:vAlign w:val="center"/>
          </w:tcPr>
          <w:p>
            <w:pPr>
              <w:tabs>
                <w:tab w:val="left" w:pos="8280"/>
              </w:tabs>
              <w:autoSpaceDE w:val="0"/>
              <w:autoSpaceDN w:val="0"/>
              <w:adjustRightInd w:val="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项</w:t>
            </w:r>
          </w:p>
        </w:tc>
        <w:tc>
          <w:tcPr>
            <w:tcW w:w="1303" w:type="dxa"/>
            <w:vAlign w:val="center"/>
          </w:tcPr>
          <w:p>
            <w:pPr>
              <w:tabs>
                <w:tab w:val="left" w:pos="8280"/>
              </w:tabs>
              <w:autoSpaceDE w:val="0"/>
              <w:autoSpaceDN w:val="0"/>
              <w:adjustRightInd w:val="0"/>
              <w:jc w:val="center"/>
              <w:rPr>
                <w:rFonts w:hint="default" w:ascii="宋体" w:hAnsi="宋体" w:eastAsia="宋体" w:cs="宋体"/>
                <w:b w:val="0"/>
                <w:bCs/>
                <w:sz w:val="21"/>
                <w:szCs w:val="21"/>
                <w:lang w:val="en-US" w:eastAsia="zh-CN"/>
              </w:rPr>
            </w:pPr>
            <w:r>
              <w:rPr>
                <w:rFonts w:hint="eastAsia" w:ascii="宋体" w:hAnsi="宋体"/>
                <w:b w:val="0"/>
                <w:bCs/>
                <w:color w:val="auto"/>
                <w:sz w:val="21"/>
                <w:szCs w:val="24"/>
                <w:lang w:val="en-US" w:eastAsia="zh-CN"/>
              </w:rPr>
              <w:t>2927.83</w:t>
            </w:r>
          </w:p>
        </w:tc>
        <w:tc>
          <w:tcPr>
            <w:tcW w:w="1585" w:type="dxa"/>
            <w:vAlign w:val="center"/>
          </w:tcPr>
          <w:p>
            <w:pPr>
              <w:tabs>
                <w:tab w:val="left" w:pos="8280"/>
              </w:tabs>
              <w:autoSpaceDE w:val="0"/>
              <w:autoSpaceDN w:val="0"/>
              <w:adjustRightInd w:val="0"/>
              <w:jc w:val="center"/>
              <w:rPr>
                <w:rFonts w:hint="default" w:ascii="宋体" w:hAnsi="宋体" w:eastAsia="宋体" w:cs="宋体"/>
                <w:b w:val="0"/>
                <w:bCs/>
                <w:sz w:val="21"/>
                <w:szCs w:val="21"/>
                <w:lang w:val="en-US" w:eastAsia="zh-CN"/>
              </w:rPr>
            </w:pPr>
            <w:r>
              <w:rPr>
                <w:rFonts w:hint="eastAsia" w:ascii="宋体" w:hAnsi="宋体" w:eastAsia="宋体" w:cs="宋体"/>
                <w:i w:val="0"/>
                <w:iCs w:val="0"/>
                <w:color w:val="auto"/>
                <w:kern w:val="2"/>
                <w:sz w:val="21"/>
                <w:szCs w:val="21"/>
                <w:highlight w:val="none"/>
                <w:u w:val="none"/>
                <w:lang w:val="en-US" w:eastAsia="zh-CN" w:bidi="ar-SA"/>
              </w:rPr>
              <w:t>2867.45</w:t>
            </w:r>
          </w:p>
        </w:tc>
      </w:tr>
    </w:tbl>
    <w:p>
      <w:pPr>
        <w:pStyle w:val="3"/>
        <w:ind w:right="0" w:firstLine="482" w:firstLineChars="200"/>
        <w:rPr>
          <w:rFonts w:cs="宋体"/>
          <w:bCs/>
          <w:sz w:val="24"/>
          <w:szCs w:val="24"/>
        </w:rPr>
      </w:pPr>
      <w:bookmarkStart w:id="11" w:name="_Toc35393791"/>
      <w:bookmarkStart w:id="12" w:name="_Toc35393622"/>
      <w:bookmarkStart w:id="13" w:name="_Toc28359003"/>
      <w:bookmarkStart w:id="14" w:name="_Toc28359080"/>
      <w:r>
        <w:rPr>
          <w:rFonts w:hint="eastAsia" w:cs="宋体"/>
          <w:bCs/>
          <w:sz w:val="24"/>
          <w:szCs w:val="24"/>
        </w:rPr>
        <w:t>二、投标人的资格要求</w:t>
      </w:r>
      <w:bookmarkEnd w:id="11"/>
      <w:bookmarkEnd w:id="12"/>
      <w:bookmarkEnd w:id="13"/>
      <w:bookmarkEnd w:id="14"/>
    </w:p>
    <w:p>
      <w:pPr>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bookmarkStart w:id="15" w:name="_Toc28359081"/>
      <w:bookmarkStart w:id="16" w:name="_Toc35393792"/>
      <w:bookmarkStart w:id="17" w:name="_Toc35393623"/>
      <w:bookmarkStart w:id="18" w:name="_Toc28359004"/>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二</w:t>
      </w:r>
      <w:r>
        <w:rPr>
          <w:rFonts w:hint="eastAsia" w:ascii="宋体" w:hAnsi="宋体" w:cs="宋体"/>
          <w:sz w:val="24"/>
        </w:rPr>
        <w:t>）信用记录：未被列入“信用中国”失信被执行人或重大税收违法案件当事人名单；未处于“中国政府采购网”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三</w:t>
      </w:r>
      <w:r>
        <w:rPr>
          <w:rFonts w:hint="eastAsia" w:ascii="宋体" w:hAnsi="宋体" w:cs="宋体"/>
          <w:sz w:val="24"/>
        </w:rPr>
        <w:t>）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3"/>
        <w:ind w:right="0" w:firstLine="482" w:firstLineChars="200"/>
        <w:rPr>
          <w:rFonts w:cs="宋体"/>
          <w:bCs/>
          <w:sz w:val="24"/>
          <w:szCs w:val="24"/>
        </w:rPr>
      </w:pPr>
      <w:r>
        <w:rPr>
          <w:rFonts w:hint="eastAsia" w:cs="宋体"/>
          <w:bCs/>
          <w:sz w:val="24"/>
          <w:szCs w:val="24"/>
        </w:rPr>
        <w:t>三、获取招标文件</w:t>
      </w:r>
      <w:bookmarkEnd w:id="15"/>
      <w:bookmarkEnd w:id="16"/>
      <w:bookmarkEnd w:id="17"/>
      <w:bookmarkEnd w:id="18"/>
    </w:p>
    <w:p>
      <w:pPr>
        <w:spacing w:line="360" w:lineRule="auto"/>
        <w:ind w:firstLine="480" w:firstLineChars="200"/>
        <w:rPr>
          <w:rFonts w:ascii="宋体" w:hAnsi="宋体" w:cs="宋体"/>
          <w:sz w:val="24"/>
        </w:rPr>
      </w:pPr>
      <w:r>
        <w:rPr>
          <w:rFonts w:hint="eastAsia" w:ascii="宋体" w:hAnsi="宋体" w:cs="宋体"/>
          <w:sz w:val="24"/>
        </w:rPr>
        <w:t>（一）时间：</w:t>
      </w:r>
      <w:r>
        <w:rPr>
          <w:rFonts w:hint="eastAsia" w:ascii="宋体" w:hAnsi="宋体" w:cs="宋体"/>
          <w:color w:val="0000FF"/>
          <w:sz w:val="24"/>
          <w:u w:val="single"/>
          <w:lang w:val="en-US" w:eastAsia="zh-CN"/>
        </w:rPr>
        <w:t>2022</w:t>
      </w:r>
      <w:r>
        <w:rPr>
          <w:rFonts w:hint="eastAsia" w:ascii="宋体" w:hAnsi="宋体" w:cs="宋体"/>
          <w:color w:val="0000FF"/>
          <w:sz w:val="24"/>
          <w:u w:val="single"/>
        </w:rPr>
        <w:t>年</w:t>
      </w:r>
      <w:r>
        <w:rPr>
          <w:rFonts w:hint="eastAsia" w:ascii="宋体" w:hAnsi="宋体" w:cs="宋体"/>
          <w:color w:val="0000FF"/>
          <w:sz w:val="24"/>
          <w:u w:val="single"/>
          <w:lang w:val="en-US" w:eastAsia="zh-CN"/>
        </w:rPr>
        <w:t>8</w:t>
      </w:r>
      <w:r>
        <w:rPr>
          <w:rFonts w:hint="eastAsia" w:ascii="宋体" w:hAnsi="宋体" w:cs="宋体"/>
          <w:color w:val="0000FF"/>
          <w:sz w:val="24"/>
          <w:u w:val="single"/>
        </w:rPr>
        <w:t>月</w:t>
      </w:r>
      <w:r>
        <w:rPr>
          <w:rFonts w:hint="eastAsia" w:ascii="宋体" w:hAnsi="宋体" w:cs="宋体"/>
          <w:color w:val="0000FF"/>
          <w:sz w:val="24"/>
          <w:u w:val="single"/>
          <w:lang w:val="en-US" w:eastAsia="zh-CN"/>
        </w:rPr>
        <w:t>9</w:t>
      </w:r>
      <w:r>
        <w:rPr>
          <w:rFonts w:hint="eastAsia" w:ascii="宋体" w:hAnsi="宋体" w:cs="宋体"/>
          <w:color w:val="0000FF"/>
          <w:sz w:val="24"/>
          <w:u w:val="single"/>
        </w:rPr>
        <w:t>日</w:t>
      </w:r>
      <w:r>
        <w:rPr>
          <w:rFonts w:hint="eastAsia" w:ascii="宋体" w:hAnsi="宋体" w:cs="宋体"/>
          <w:color w:val="0000FF"/>
          <w:sz w:val="24"/>
        </w:rPr>
        <w:t>至</w:t>
      </w:r>
      <w:r>
        <w:rPr>
          <w:rFonts w:hint="eastAsia" w:ascii="宋体" w:hAnsi="宋体" w:cs="宋体"/>
          <w:color w:val="0000FF"/>
          <w:sz w:val="24"/>
          <w:u w:val="single"/>
          <w:lang w:val="en-US" w:eastAsia="zh-CN"/>
        </w:rPr>
        <w:t>2022</w:t>
      </w:r>
      <w:r>
        <w:rPr>
          <w:rFonts w:hint="eastAsia" w:ascii="宋体" w:hAnsi="宋体" w:cs="宋体"/>
          <w:color w:val="0000FF"/>
          <w:sz w:val="24"/>
          <w:u w:val="single"/>
        </w:rPr>
        <w:t>年</w:t>
      </w:r>
      <w:r>
        <w:rPr>
          <w:rFonts w:hint="eastAsia" w:ascii="宋体" w:hAnsi="宋体" w:cs="宋体"/>
          <w:color w:val="0000FF"/>
          <w:sz w:val="24"/>
          <w:u w:val="single"/>
          <w:lang w:val="en-US" w:eastAsia="zh-CN"/>
        </w:rPr>
        <w:t>8</w:t>
      </w:r>
      <w:r>
        <w:rPr>
          <w:rFonts w:hint="eastAsia" w:ascii="宋体" w:hAnsi="宋体" w:cs="宋体"/>
          <w:color w:val="0000FF"/>
          <w:sz w:val="24"/>
          <w:u w:val="single"/>
        </w:rPr>
        <w:t>月</w:t>
      </w:r>
      <w:r>
        <w:rPr>
          <w:rFonts w:hint="eastAsia" w:ascii="宋体" w:hAnsi="宋体" w:cs="宋体"/>
          <w:color w:val="0000FF"/>
          <w:sz w:val="24"/>
          <w:u w:val="single"/>
          <w:lang w:val="en-US" w:eastAsia="zh-CN"/>
        </w:rPr>
        <w:t>16</w:t>
      </w:r>
      <w:r>
        <w:rPr>
          <w:rFonts w:hint="eastAsia" w:ascii="宋体" w:hAnsi="宋体" w:cs="宋体"/>
          <w:color w:val="0000FF"/>
          <w:sz w:val="24"/>
          <w:u w:val="single"/>
        </w:rPr>
        <w:t>日</w:t>
      </w:r>
    </w:p>
    <w:p>
      <w:pPr>
        <w:pStyle w:val="28"/>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（二）方式：浙江政府采购网</w:t>
      </w:r>
      <w:r>
        <w:rPr>
          <w:rFonts w:hint="eastAsia" w:ascii="宋体" w:hAnsi="宋体" w:eastAsia="宋体" w:cs="宋体"/>
          <w:kern w:val="2"/>
          <w:sz w:val="24"/>
          <w:szCs w:val="24"/>
        </w:rPr>
        <w:t>（https://zfcg.czt.zj.gov.cn）</w:t>
      </w:r>
      <w:r>
        <w:rPr>
          <w:rFonts w:hint="eastAsia" w:ascii="宋体" w:hAnsi="宋体" w:eastAsia="宋体" w:cs="宋体"/>
          <w:sz w:val="24"/>
          <w:szCs w:val="24"/>
        </w:rPr>
        <w:t>免费下载</w:t>
      </w:r>
    </w:p>
    <w:p>
      <w:pPr>
        <w:pStyle w:val="3"/>
        <w:ind w:right="0" w:firstLine="482" w:firstLineChars="200"/>
        <w:rPr>
          <w:rFonts w:cs="宋体"/>
          <w:bCs/>
          <w:sz w:val="24"/>
          <w:szCs w:val="24"/>
        </w:rPr>
      </w:pPr>
      <w:bookmarkStart w:id="19" w:name="_Toc35393793"/>
      <w:bookmarkStart w:id="20" w:name="_Toc28359082"/>
      <w:bookmarkStart w:id="21" w:name="_Toc28359005"/>
      <w:bookmarkStart w:id="22" w:name="_Toc35393624"/>
      <w:r>
        <w:rPr>
          <w:rFonts w:hint="eastAsia" w:cs="宋体"/>
          <w:bCs/>
          <w:sz w:val="24"/>
          <w:szCs w:val="24"/>
        </w:rPr>
        <w:t>四、提交投标文件</w:t>
      </w:r>
      <w:bookmarkEnd w:id="19"/>
      <w:bookmarkEnd w:id="20"/>
      <w:bookmarkEnd w:id="21"/>
      <w:bookmarkEnd w:id="22"/>
    </w:p>
    <w:p>
      <w:pPr>
        <w:spacing w:line="360" w:lineRule="auto"/>
        <w:ind w:firstLine="480" w:firstLineChars="200"/>
        <w:rPr>
          <w:rFonts w:ascii="宋体" w:hAnsi="宋体" w:cs="宋体"/>
          <w:iCs/>
          <w:sz w:val="24"/>
          <w:u w:val="single"/>
        </w:rPr>
      </w:pPr>
      <w:bookmarkStart w:id="23" w:name="_Toc35393625"/>
      <w:bookmarkStart w:id="24" w:name="_Toc28359084"/>
      <w:bookmarkStart w:id="25" w:name="_Toc28359007"/>
      <w:bookmarkStart w:id="26" w:name="_Toc35393794"/>
      <w:r>
        <w:rPr>
          <w:rFonts w:hint="eastAsia" w:ascii="宋体" w:hAnsi="宋体" w:cs="宋体"/>
          <w:sz w:val="24"/>
        </w:rPr>
        <w:t>（一）截止时间（开标时间）：</w:t>
      </w:r>
      <w:r>
        <w:rPr>
          <w:rFonts w:hint="eastAsia" w:ascii="宋体" w:hAnsi="宋体" w:cs="宋体"/>
          <w:bCs/>
          <w:color w:val="0000FF"/>
          <w:sz w:val="24"/>
          <w:u w:val="single"/>
          <w:lang w:val="en-US" w:eastAsia="zh-CN"/>
        </w:rPr>
        <w:t>2022</w:t>
      </w:r>
      <w:r>
        <w:rPr>
          <w:rFonts w:hint="eastAsia" w:ascii="宋体" w:hAnsi="宋体" w:cs="宋体"/>
          <w:bCs/>
          <w:color w:val="0000FF"/>
          <w:sz w:val="24"/>
          <w:u w:val="single"/>
        </w:rPr>
        <w:t>年</w:t>
      </w:r>
      <w:r>
        <w:rPr>
          <w:rFonts w:hint="eastAsia" w:ascii="宋体" w:hAnsi="宋体" w:cs="宋体"/>
          <w:color w:val="0000FF"/>
          <w:sz w:val="24"/>
          <w:u w:val="single"/>
          <w:lang w:val="en-US" w:eastAsia="zh-CN"/>
        </w:rPr>
        <w:t xml:space="preserve">8 </w:t>
      </w:r>
      <w:r>
        <w:rPr>
          <w:rFonts w:hint="eastAsia" w:ascii="宋体" w:hAnsi="宋体" w:cs="宋体"/>
          <w:bCs/>
          <w:color w:val="0000FF"/>
          <w:sz w:val="24"/>
          <w:u w:val="single"/>
        </w:rPr>
        <w:t>月</w:t>
      </w:r>
      <w:r>
        <w:rPr>
          <w:rFonts w:hint="eastAsia" w:ascii="宋体" w:hAnsi="宋体" w:cs="宋体"/>
          <w:color w:val="0000FF"/>
          <w:sz w:val="24"/>
          <w:u w:val="single"/>
          <w:lang w:val="en-US" w:eastAsia="zh-CN"/>
        </w:rPr>
        <w:t xml:space="preserve"> 30</w:t>
      </w:r>
      <w:r>
        <w:rPr>
          <w:rFonts w:hint="eastAsia" w:ascii="宋体" w:hAnsi="宋体" w:cs="宋体"/>
          <w:bCs/>
          <w:color w:val="0000FF"/>
          <w:sz w:val="24"/>
          <w:u w:val="single"/>
        </w:rPr>
        <w:t>日</w:t>
      </w:r>
      <w:r>
        <w:rPr>
          <w:rFonts w:hint="eastAsia" w:ascii="宋体" w:hAnsi="宋体" w:cs="宋体"/>
          <w:bCs/>
          <w:color w:val="0000FF"/>
          <w:sz w:val="24"/>
          <w:u w:val="single"/>
          <w:lang w:val="en-US" w:eastAsia="zh-CN"/>
        </w:rPr>
        <w:t>9</w:t>
      </w:r>
      <w:r>
        <w:rPr>
          <w:rFonts w:hint="eastAsia" w:ascii="宋体" w:hAnsi="宋体" w:cs="宋体"/>
          <w:bCs/>
          <w:color w:val="0000FF"/>
          <w:sz w:val="24"/>
          <w:u w:val="single"/>
        </w:rPr>
        <w:t>点整</w:t>
      </w:r>
      <w:r>
        <w:rPr>
          <w:rFonts w:hint="eastAsia" w:ascii="宋体" w:hAnsi="宋体" w:cs="宋体"/>
          <w:bCs/>
          <w:color w:val="0000FF"/>
          <w:sz w:val="24"/>
        </w:rPr>
        <w:t>（</w:t>
      </w:r>
      <w:r>
        <w:rPr>
          <w:rFonts w:hint="eastAsia" w:ascii="宋体" w:hAnsi="宋体" w:cs="宋体"/>
          <w:bCs/>
          <w:sz w:val="24"/>
        </w:rPr>
        <w:t>北京时间）</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3"/>
    <w:bookmarkEnd w:id="24"/>
    <w:bookmarkEnd w:id="25"/>
    <w:bookmarkEnd w:id="26"/>
    <w:p>
      <w:pPr>
        <w:pStyle w:val="21"/>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3"/>
        <w:ind w:right="0" w:firstLine="482" w:firstLineChars="200"/>
        <w:rPr>
          <w:rFonts w:cs="宋体"/>
          <w:bCs/>
          <w:sz w:val="24"/>
          <w:szCs w:val="24"/>
        </w:rPr>
      </w:pPr>
      <w:bookmarkStart w:id="27" w:name="_Toc35393795"/>
      <w:bookmarkStart w:id="28" w:name="_Toc35393626"/>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3"/>
        <w:ind w:right="0" w:firstLine="482" w:firstLineChars="200"/>
        <w:rPr>
          <w:rFonts w:cs="宋体"/>
          <w:bCs/>
          <w:sz w:val="24"/>
          <w:szCs w:val="24"/>
        </w:rPr>
      </w:pPr>
      <w:bookmarkStart w:id="29" w:name="_Toc28359008"/>
      <w:bookmarkStart w:id="30" w:name="_Toc28359085"/>
      <w:bookmarkStart w:id="31" w:name="_Toc35393627"/>
      <w:bookmarkStart w:id="32" w:name="_Toc35393796"/>
      <w:r>
        <w:rPr>
          <w:rFonts w:hint="eastAsia" w:cs="宋体"/>
          <w:bCs/>
          <w:sz w:val="24"/>
          <w:szCs w:val="24"/>
        </w:rPr>
        <w:t>七、联系</w:t>
      </w:r>
      <w:bookmarkEnd w:id="29"/>
      <w:bookmarkEnd w:id="30"/>
      <w:bookmarkEnd w:id="31"/>
      <w:bookmarkEnd w:id="32"/>
      <w:r>
        <w:rPr>
          <w:rFonts w:hint="eastAsia" w:cs="宋体"/>
          <w:bCs/>
          <w:sz w:val="24"/>
          <w:szCs w:val="24"/>
        </w:rPr>
        <w:t>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u w:val="none"/>
        </w:rPr>
        <w:t>：</w:t>
      </w:r>
      <w:r>
        <w:rPr>
          <w:rFonts w:hint="eastAsia" w:ascii="宋体" w:hAnsi="宋体" w:cs="宋体"/>
          <w:sz w:val="24"/>
          <w:szCs w:val="24"/>
          <w:lang w:eastAsia="zh-CN"/>
        </w:rPr>
        <w:t>台州市公安局交通警察局</w:t>
      </w:r>
    </w:p>
    <w:p>
      <w:pPr>
        <w:spacing w:line="360" w:lineRule="auto"/>
        <w:ind w:firstLine="480" w:firstLineChars="200"/>
        <w:jc w:val="left"/>
        <w:rPr>
          <w:rFonts w:hint="eastAsia"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eastAsia="宋体" w:cs="宋体"/>
          <w:sz w:val="24"/>
          <w:szCs w:val="24"/>
          <w:lang w:eastAsia="zh-CN"/>
        </w:rPr>
        <w:t>台州市台州湾新区机场路</w:t>
      </w:r>
      <w:r>
        <w:rPr>
          <w:rFonts w:hint="eastAsia" w:ascii="宋体" w:hAnsi="宋体" w:eastAsia="宋体" w:cs="宋体"/>
          <w:sz w:val="24"/>
          <w:szCs w:val="24"/>
          <w:lang w:val="en-US" w:eastAsia="zh-CN"/>
        </w:rPr>
        <w:t>451号</w:t>
      </w:r>
    </w:p>
    <w:p>
      <w:pPr>
        <w:spacing w:line="360" w:lineRule="auto"/>
        <w:ind w:firstLine="480" w:firstLineChars="200"/>
        <w:jc w:val="left"/>
        <w:rPr>
          <w:rFonts w:hint="default" w:ascii="宋体" w:hAnsi="宋体" w:cs="宋体"/>
          <w:sz w:val="24"/>
          <w:u w:val="single"/>
          <w:lang w:val="en-US"/>
        </w:rPr>
      </w:pPr>
      <w:r>
        <w:rPr>
          <w:rFonts w:hint="eastAsia" w:ascii="宋体" w:hAnsi="宋体" w:cs="宋体"/>
          <w:sz w:val="24"/>
        </w:rPr>
        <w:t>联系人：</w:t>
      </w:r>
      <w:bookmarkStart w:id="33" w:name="_Toc28359009"/>
      <w:bookmarkStart w:id="34" w:name="_Toc28359086"/>
      <w:r>
        <w:rPr>
          <w:rFonts w:hint="eastAsia" w:ascii="宋体" w:hAnsi="宋体" w:cs="宋体"/>
          <w:sz w:val="24"/>
          <w:lang w:val="en-US" w:eastAsia="zh-CN"/>
        </w:rPr>
        <w:t>徐先生</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eastAsia="宋体" w:cs="宋体"/>
          <w:sz w:val="24"/>
          <w:szCs w:val="24"/>
          <w:lang w:val="en-US" w:eastAsia="zh-CN"/>
        </w:rPr>
        <w:t>13957679108</w:t>
      </w:r>
    </w:p>
    <w:bookmarkEnd w:id="33"/>
    <w:bookmarkEnd w:id="34"/>
    <w:p>
      <w:pPr>
        <w:spacing w:line="360" w:lineRule="auto"/>
        <w:ind w:firstLine="480" w:firstLineChars="200"/>
        <w:jc w:val="left"/>
        <w:rPr>
          <w:rFonts w:ascii="宋体" w:hAnsi="宋体" w:cs="宋体"/>
          <w:sz w:val="24"/>
        </w:rPr>
      </w:pPr>
      <w:r>
        <w:rPr>
          <w:rFonts w:hint="eastAsia" w:ascii="宋体" w:hAnsi="宋体" w:cs="宋体"/>
          <w:sz w:val="24"/>
        </w:rPr>
        <w:t>（二）</w:t>
      </w:r>
      <w:r>
        <w:rPr>
          <w:rFonts w:hint="eastAsia" w:ascii="宋体" w:hAnsi="宋体" w:cs="宋体"/>
          <w:b/>
          <w:bCs/>
          <w:sz w:val="24"/>
        </w:rPr>
        <w:t>采购组织机构</w:t>
      </w:r>
    </w:p>
    <w:p>
      <w:pPr>
        <w:spacing w:line="360" w:lineRule="auto"/>
        <w:ind w:firstLine="480" w:firstLineChars="200"/>
        <w:jc w:val="left"/>
        <w:rPr>
          <w:rFonts w:hint="default" w:ascii="宋体" w:hAnsi="宋体" w:eastAsia="宋体" w:cs="宋体"/>
          <w:sz w:val="24"/>
          <w:u w:val="single"/>
          <w:lang w:val="en-US" w:eastAsia="zh-CN"/>
        </w:rPr>
      </w:pPr>
      <w:bookmarkStart w:id="35" w:name="_Toc28359087"/>
      <w:bookmarkStart w:id="36" w:name="_Toc28359010"/>
      <w:r>
        <w:rPr>
          <w:rFonts w:hint="eastAsia" w:ascii="宋体" w:hAnsi="宋体" w:cs="宋体"/>
          <w:sz w:val="24"/>
        </w:rPr>
        <w:t>名 称：</w:t>
      </w:r>
      <w:r>
        <w:rPr>
          <w:rFonts w:hint="eastAsia" w:ascii="宋体" w:hAnsi="宋体" w:cs="宋体"/>
          <w:sz w:val="24"/>
          <w:u w:val="none"/>
          <w:lang w:val="en-US" w:eastAsia="zh-CN"/>
        </w:rPr>
        <w:t>台州市政府采购中心</w:t>
      </w:r>
    </w:p>
    <w:p>
      <w:pPr>
        <w:spacing w:line="360" w:lineRule="auto"/>
        <w:ind w:firstLine="480" w:firstLineChars="200"/>
        <w:jc w:val="left"/>
        <w:rPr>
          <w:rFonts w:ascii="宋体" w:hAnsi="宋体" w:cs="宋体"/>
          <w:sz w:val="24"/>
          <w:u w:val="single"/>
        </w:rPr>
      </w:pPr>
      <w:r>
        <w:rPr>
          <w:rFonts w:hint="eastAsia" w:ascii="宋体" w:hAnsi="宋体" w:cs="宋体"/>
          <w:sz w:val="24"/>
        </w:rPr>
        <w:t>地　址：台州市市府大道777号</w:t>
      </w:r>
    </w:p>
    <w:p>
      <w:pPr>
        <w:spacing w:line="360" w:lineRule="auto"/>
        <w:ind w:firstLine="480" w:firstLineChars="200"/>
        <w:jc w:val="left"/>
        <w:rPr>
          <w:rFonts w:hint="default" w:ascii="宋体" w:hAnsi="宋体" w:eastAsia="宋体" w:cs="宋体"/>
          <w:sz w:val="24"/>
          <w:u w:val="none"/>
          <w:lang w:val="en-US" w:eastAsia="zh-CN"/>
        </w:rPr>
      </w:pPr>
      <w:r>
        <w:rPr>
          <w:rFonts w:hint="eastAsia" w:ascii="宋体" w:hAnsi="宋体" w:cs="宋体"/>
          <w:sz w:val="24"/>
        </w:rPr>
        <w:t>项目联系人：</w:t>
      </w:r>
      <w:r>
        <w:rPr>
          <w:rFonts w:hint="eastAsia" w:ascii="宋体" w:hAnsi="宋体" w:cs="宋体"/>
          <w:sz w:val="24"/>
          <w:u w:val="none"/>
          <w:lang w:val="en-US" w:eastAsia="zh-CN"/>
        </w:rPr>
        <w:t>郑女士</w:t>
      </w:r>
    </w:p>
    <w:p>
      <w:pPr>
        <w:spacing w:line="360" w:lineRule="auto"/>
        <w:ind w:firstLine="480" w:firstLineChars="200"/>
        <w:jc w:val="left"/>
        <w:rPr>
          <w:rFonts w:hint="default" w:ascii="宋体" w:hAnsi="宋体" w:eastAsia="宋体" w:cs="宋体"/>
          <w:sz w:val="24"/>
          <w:u w:val="none"/>
          <w:lang w:val="en-US" w:eastAsia="zh-CN"/>
        </w:rPr>
      </w:pPr>
      <w:r>
        <w:rPr>
          <w:rFonts w:hint="eastAsia" w:ascii="宋体" w:hAnsi="宋体" w:cs="宋体"/>
          <w:sz w:val="24"/>
        </w:rPr>
        <w:t>联系电话：</w:t>
      </w:r>
      <w:r>
        <w:rPr>
          <w:rFonts w:hint="eastAsia" w:ascii="宋体" w:hAnsi="宋体" w:cs="宋体"/>
          <w:sz w:val="24"/>
          <w:u w:val="none"/>
        </w:rPr>
        <w:t>0576-</w:t>
      </w:r>
      <w:r>
        <w:rPr>
          <w:rFonts w:hint="eastAsia" w:ascii="宋体" w:hAnsi="宋体" w:cs="宋体"/>
          <w:sz w:val="24"/>
          <w:u w:val="none"/>
          <w:lang w:val="en-US" w:eastAsia="zh-CN"/>
        </w:rPr>
        <w:t>88685058</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lang w:val="en-US" w:eastAsia="zh-CN"/>
        </w:rPr>
        <w:t>侯</w:t>
      </w:r>
      <w:r>
        <w:rPr>
          <w:rFonts w:hint="eastAsia" w:ascii="宋体" w:hAnsi="宋体" w:cs="宋体"/>
          <w:sz w:val="24"/>
        </w:rPr>
        <w:t>女士</w:t>
      </w:r>
      <w:r>
        <w:rPr>
          <w:rFonts w:hint="eastAsia" w:ascii="宋体" w:hAnsi="宋体" w:cs="宋体"/>
          <w:sz w:val="24"/>
          <w:u w:val="none"/>
        </w:rPr>
        <w:t>（受理注册、中标结果相关质疑及答复）</w:t>
      </w:r>
    </w:p>
    <w:p>
      <w:pPr>
        <w:spacing w:line="360" w:lineRule="auto"/>
        <w:ind w:firstLine="480" w:firstLineChars="200"/>
        <w:jc w:val="left"/>
        <w:rPr>
          <w:rFonts w:ascii="宋体" w:hAnsi="宋体" w:cs="宋体"/>
          <w:sz w:val="24"/>
          <w:u w:val="none"/>
        </w:rPr>
      </w:pPr>
      <w:r>
        <w:rPr>
          <w:rFonts w:hint="eastAsia" w:ascii="宋体" w:hAnsi="宋体" w:cs="宋体"/>
          <w:sz w:val="24"/>
        </w:rPr>
        <w:t>联系电话：</w:t>
      </w:r>
      <w:r>
        <w:rPr>
          <w:rFonts w:hint="eastAsia" w:ascii="宋体" w:hAnsi="宋体" w:cs="宋体"/>
          <w:sz w:val="24"/>
          <w:u w:val="none"/>
        </w:rPr>
        <w:t>0576-88685121</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hint="eastAsia" w:ascii="宋体" w:hAnsi="宋体" w:cs="宋体"/>
          <w:sz w:val="24"/>
        </w:rPr>
      </w:pPr>
      <w:r>
        <w:rPr>
          <w:rFonts w:hint="eastAsia" w:ascii="宋体" w:hAnsi="宋体" w:cs="宋体"/>
          <w:sz w:val="24"/>
        </w:rPr>
        <w:t>名 称：台州市采监处</w:t>
      </w:r>
    </w:p>
    <w:p>
      <w:pPr>
        <w:spacing w:line="360" w:lineRule="auto"/>
        <w:ind w:firstLine="480" w:firstLineChars="200"/>
        <w:jc w:val="left"/>
        <w:rPr>
          <w:rFonts w:hint="eastAsia" w:ascii="宋体" w:hAnsi="宋体" w:cs="宋体"/>
          <w:sz w:val="24"/>
        </w:rPr>
      </w:pPr>
      <w:r>
        <w:rPr>
          <w:rFonts w:hint="eastAsia" w:ascii="宋体" w:hAnsi="宋体" w:cs="宋体"/>
          <w:sz w:val="24"/>
        </w:rPr>
        <w:t>地 址：台州市财政局</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sz w:val="24"/>
          <w:u w:val="none"/>
          <w:lang w:val="en-US" w:eastAsia="zh-CN"/>
        </w:rPr>
        <w:t>陈</w:t>
      </w:r>
      <w:r>
        <w:rPr>
          <w:rFonts w:hint="eastAsia" w:ascii="宋体" w:hAnsi="宋体" w:cs="宋体"/>
          <w:sz w:val="24"/>
          <w:u w:val="none"/>
        </w:rPr>
        <w:t>女士</w:t>
      </w:r>
    </w:p>
    <w:p>
      <w:pPr>
        <w:spacing w:line="360" w:lineRule="auto"/>
        <w:ind w:firstLine="480" w:firstLineChars="200"/>
        <w:jc w:val="left"/>
        <w:rPr>
          <w:rFonts w:hint="eastAsia" w:ascii="宋体" w:hAnsi="宋体" w:cs="宋体"/>
          <w:sz w:val="24"/>
          <w:u w:val="none"/>
          <w:lang w:val="en-US" w:eastAsia="zh-CN"/>
        </w:rPr>
      </w:pPr>
      <w:r>
        <w:rPr>
          <w:rFonts w:hint="eastAsia" w:ascii="宋体" w:hAnsi="宋体" w:cs="宋体"/>
          <w:sz w:val="24"/>
        </w:rPr>
        <w:t>联系电话：</w:t>
      </w:r>
      <w:r>
        <w:rPr>
          <w:rFonts w:hint="eastAsia" w:ascii="宋体" w:hAnsi="宋体" w:cs="宋体"/>
          <w:sz w:val="24"/>
          <w:u w:val="none"/>
        </w:rPr>
        <w:t>0576-</w:t>
      </w:r>
      <w:r>
        <w:rPr>
          <w:rFonts w:hint="eastAsia" w:ascii="宋体" w:hAnsi="宋体" w:cs="宋体"/>
          <w:sz w:val="24"/>
          <w:u w:val="none"/>
          <w:lang w:val="en-US" w:eastAsia="zh-CN"/>
        </w:rPr>
        <w:t>88206705</w:t>
      </w:r>
    </w:p>
    <w:p>
      <w:pPr>
        <w:spacing w:line="360" w:lineRule="auto"/>
        <w:ind w:firstLine="482" w:firstLineChars="200"/>
        <w:jc w:val="left"/>
        <w:rPr>
          <w:rFonts w:hint="eastAsia"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hint="eastAsia" w:ascii="宋体" w:hAnsi="宋体" w:cs="宋体"/>
          <w:sz w:val="24"/>
          <w:u w:val="none"/>
        </w:rPr>
      </w:pPr>
      <w:r>
        <w:rPr>
          <w:rFonts w:hint="eastAsia" w:ascii="宋体" w:hAnsi="宋体" w:cs="宋体"/>
          <w:sz w:val="24"/>
        </w:rPr>
        <w:t>联系电话</w:t>
      </w:r>
      <w:r>
        <w:rPr>
          <w:rFonts w:hint="eastAsia" w:ascii="宋体" w:hAnsi="宋体" w:cs="宋体"/>
          <w:sz w:val="24"/>
          <w:u w:val="none"/>
        </w:rPr>
        <w:t>：4008817190</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hint="eastAsia" w:ascii="宋体" w:hAnsi="宋体" w:cs="宋体"/>
          <w:sz w:val="24"/>
          <w:shd w:val="clear" w:color="auto" w:fill="FFFFFF"/>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2022</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27</w:t>
      </w:r>
      <w:r>
        <w:rPr>
          <w:rFonts w:hint="eastAsia" w:asciiTheme="minorEastAsia" w:hAnsiTheme="minorEastAsia" w:eastAsiaTheme="minorEastAsia" w:cstheme="minorEastAsia"/>
          <w:kern w:val="0"/>
          <w:sz w:val="24"/>
        </w:rPr>
        <w:t>日</w:t>
      </w:r>
    </w:p>
    <w:p>
      <w:r>
        <w:br w:type="page"/>
      </w:r>
    </w:p>
    <w:bookmarkEnd w:id="35"/>
    <w:bookmarkEnd w:id="36"/>
    <w:p>
      <w:pPr>
        <w:numPr>
          <w:ilvl w:val="0"/>
          <w:numId w:val="5"/>
        </w:numPr>
        <w:spacing w:line="360" w:lineRule="auto"/>
        <w:jc w:val="center"/>
        <w:rPr>
          <w:rFonts w:asciiTheme="minorEastAsia" w:hAnsiTheme="minorEastAsia" w:eastAsiaTheme="minorEastAsia"/>
          <w:b/>
          <w:sz w:val="36"/>
          <w:szCs w:val="36"/>
        </w:rPr>
      </w:pPr>
      <w:bookmarkStart w:id="37" w:name="_Toc25017_WPSOffice_Level1"/>
      <w:r>
        <w:rPr>
          <w:rFonts w:hint="eastAsia" w:asciiTheme="minorEastAsia" w:hAnsiTheme="minorEastAsia" w:eastAsiaTheme="minorEastAsia"/>
          <w:b/>
          <w:sz w:val="36"/>
          <w:szCs w:val="36"/>
        </w:rPr>
        <w:t>投标人须知</w:t>
      </w:r>
      <w:bookmarkEnd w:id="37"/>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2"/>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rPr>
            </w:pPr>
            <w:r>
              <w:rPr>
                <w:rFonts w:hint="eastAsia" w:ascii="宋体" w:hAnsi="宋体" w:cs="宋体"/>
                <w:color w:val="auto"/>
                <w:lang w:eastAsia="zh-CN"/>
              </w:rPr>
              <w:sym w:font="Wingdings 2" w:char="0052"/>
            </w:r>
            <w:r>
              <w:rPr>
                <w:rFonts w:hint="eastAsia" w:ascii="宋体" w:hAnsi="宋体" w:eastAsia="宋体" w:cs="宋体"/>
                <w:color w:val="auto"/>
              </w:rPr>
              <w:t>是 /</w:t>
            </w:r>
            <w:r>
              <w:rPr>
                <w:rFonts w:hint="eastAsia" w:ascii="宋体" w:hAnsi="宋体" w:cs="宋体"/>
                <w:color w:val="auto"/>
                <w:lang w:eastAsia="zh-CN"/>
              </w:rPr>
              <w:t>□</w:t>
            </w:r>
            <w:r>
              <w:rPr>
                <w:rFonts w:hint="eastAsia" w:ascii="宋体" w:hAnsi="宋体" w:eastAsia="宋体" w:cs="宋体"/>
                <w:color w:val="auto"/>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sym w:font="Wingdings 2" w:char="0052"/>
            </w:r>
            <w:r>
              <w:rPr>
                <w:rFonts w:hint="eastAsia" w:ascii="宋体" w:hAnsi="宋体" w:eastAsia="宋体" w:cs="宋体"/>
                <w:color w:val="auto"/>
              </w:rPr>
              <w:t>是</w:t>
            </w:r>
            <w:r>
              <w:rPr>
                <w:rFonts w:hint="eastAsia" w:ascii="宋体" w:hAnsi="宋体" w:eastAsia="宋体" w:cs="宋体"/>
                <w:color w:val="auto"/>
                <w:highlight w:val="none"/>
              </w:rPr>
              <w:t>（但主体部分不得分包，详见招标需求内容）</w:t>
            </w:r>
            <w:r>
              <w:rPr>
                <w:rFonts w:hint="eastAsia" w:ascii="宋体" w:hAnsi="宋体" w:eastAsia="宋体" w:cs="宋体"/>
                <w:color w:val="auto"/>
              </w:rPr>
              <w:t>/</w:t>
            </w:r>
            <w:r>
              <w:rPr>
                <w:rFonts w:hint="eastAsia" w:ascii="宋体" w:hAnsi="宋体" w:cs="宋体"/>
                <w:color w:val="auto"/>
                <w:lang w:eastAsia="zh-CN"/>
              </w:rPr>
              <w:t>□</w:t>
            </w:r>
            <w:r>
              <w:rPr>
                <w:rFonts w:hint="eastAsia" w:ascii="宋体" w:hAnsi="宋体" w:eastAsia="宋体" w:cs="宋体"/>
                <w:color w:val="auto"/>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□是（具体清单见招标需求）/</w:t>
            </w:r>
            <w:r>
              <w:rPr>
                <w:rFonts w:hint="eastAsia" w:ascii="宋体" w:hAnsi="宋体" w:cs="宋体"/>
                <w:color w:val="auto"/>
                <w:highlight w:val="none"/>
                <w:lang w:eastAsia="zh-CN"/>
              </w:rPr>
              <w:t>☑</w:t>
            </w:r>
            <w:r>
              <w:rPr>
                <w:rFonts w:hint="eastAsia" w:ascii="宋体" w:hAnsi="宋体" w:eastAsia="宋体" w:cs="宋体"/>
                <w:color w:val="auto"/>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spacing w:line="30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答疑会或</w:t>
            </w:r>
          </w:p>
          <w:p>
            <w:pPr>
              <w:keepNext w:val="0"/>
              <w:keepLines w:val="0"/>
              <w:pageBreakBefore w:val="0"/>
              <w:kinsoku/>
              <w:wordWrap/>
              <w:overflowPunct/>
              <w:topLinePunct w:val="0"/>
              <w:bidi w:val="0"/>
              <w:spacing w:line="30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szCs w:val="21"/>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ind w:firstLine="420" w:firstLineChars="200"/>
              <w:jc w:val="left"/>
              <w:rPr>
                <w:rFonts w:hint="eastAsia" w:ascii="宋体" w:hAnsi="宋体" w:eastAsia="宋体" w:cs="宋体"/>
                <w:color w:val="auto"/>
                <w:highlight w:val="none"/>
              </w:rPr>
            </w:pPr>
            <w:r>
              <w:rPr>
                <w:rFonts w:hint="eastAsia" w:ascii="宋体" w:hAnsi="宋体" w:cs="宋体"/>
                <w:color w:val="auto"/>
                <w:kern w:val="2"/>
                <w:sz w:val="21"/>
                <w:szCs w:val="21"/>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Cs w:val="21"/>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eastAsia="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09</w:t>
            </w:r>
            <w:r>
              <w:rPr>
                <w:rFonts w:hint="eastAsia" w:ascii="宋体" w:hAnsi="宋体" w:eastAsia="宋体" w:cs="宋体"/>
                <w:sz w:val="21"/>
                <w:szCs w:val="21"/>
                <w:u w:val="single"/>
              </w:rPr>
              <w:t>:</w:t>
            </w:r>
            <w:r>
              <w:rPr>
                <w:rFonts w:hint="eastAsia" w:ascii="宋体" w:hAnsi="宋体" w:cs="宋体"/>
                <w:sz w:val="21"/>
                <w:szCs w:val="21"/>
                <w:u w:val="single"/>
                <w:lang w:val="en-US" w:eastAsia="zh-CN"/>
              </w:rPr>
              <w:t>50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8"/>
              <w:keepNext w:val="0"/>
              <w:keepLines w:val="0"/>
              <w:pageBreakBefore w:val="0"/>
              <w:kinsoku/>
              <w:wordWrap/>
              <w:overflowPunct/>
              <w:topLinePunct w:val="0"/>
              <w:bidi w:val="0"/>
              <w:adjustRightInd/>
              <w:snapToGrid/>
              <w:spacing w:line="300" w:lineRule="auto"/>
              <w:ind w:firstLine="0"/>
              <w:jc w:val="center"/>
              <w:textAlignment w:val="auto"/>
              <w:rPr>
                <w:rFonts w:hint="eastAsia" w:ascii="宋体" w:hAnsi="宋体" w:eastAsia="宋体" w:cs="宋体"/>
                <w:szCs w:val="21"/>
              </w:rPr>
            </w:pPr>
            <w:r>
              <w:rPr>
                <w:rFonts w:hint="eastAsia" w:ascii="宋体" w:hAnsi="宋体" w:eastAsia="宋体" w:cs="宋体"/>
                <w:szCs w:val="21"/>
              </w:rPr>
              <w:t>不见面开标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9"/>
              <w:keepNext w:val="0"/>
              <w:keepLines w:val="0"/>
              <w:pageBreakBefore w:val="0"/>
              <w:kinsoku/>
              <w:wordWrap/>
              <w:overflowPunct/>
              <w:topLinePunct w:val="0"/>
              <w:bidi w:val="0"/>
              <w:adjustRightInd/>
              <w:snapToGrid/>
              <w:spacing w:before="0" w:beforeAutospacing="0" w:after="0" w:afterAutospacing="0"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eastAsia="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eastAsia="宋体" w:cs="宋体"/>
                <w:sz w:val="21"/>
                <w:szCs w:val="21"/>
                <w:lang w:eastAsia="zh-CN"/>
              </w:rPr>
              <w:t>投标</w:t>
            </w:r>
            <w:r>
              <w:rPr>
                <w:rFonts w:hint="eastAsia" w:ascii="宋体" w:hAnsi="宋体" w:eastAsia="宋体" w:cs="宋体"/>
                <w:sz w:val="21"/>
                <w:szCs w:val="21"/>
              </w:rPr>
              <w:t>文件，所有</w:t>
            </w:r>
            <w:r>
              <w:rPr>
                <w:rFonts w:hint="eastAsia" w:ascii="宋体" w:hAnsi="宋体" w:eastAsia="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eastAsia="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en-US" w:eastAsia="zh-CN"/>
              </w:rPr>
              <w:t>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4.投标人进行远程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 w:val="21"/>
                <w:szCs w:val="21"/>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eastAsia="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3"/>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bCs/>
                <w:szCs w:val="21"/>
              </w:rPr>
            </w:pPr>
            <w:r>
              <w:rPr>
                <w:rFonts w:hint="eastAsia" w:ascii="宋体" w:hAnsi="宋体" w:eastAsia="宋体" w:cs="宋体"/>
                <w:bCs/>
                <w:szCs w:val="21"/>
              </w:rPr>
              <w:t>1.本项目实行电子投标，投标人自行承担投标一切费用。</w:t>
            </w:r>
          </w:p>
          <w:p>
            <w:pPr>
              <w:pStyle w:val="13"/>
              <w:keepNext w:val="0"/>
              <w:keepLines w:val="0"/>
              <w:pageBreakBefore w:val="0"/>
              <w:kinsoku/>
              <w:wordWrap/>
              <w:overflowPunct/>
              <w:topLinePunct w:val="0"/>
              <w:bidi w:val="0"/>
              <w:adjustRightInd/>
              <w:snapToGrid/>
              <w:spacing w:line="300" w:lineRule="auto"/>
              <w:ind w:firstLine="420" w:firstLineChars="200"/>
              <w:textAlignment w:val="auto"/>
              <w:rPr>
                <w:rFonts w:hint="default"/>
                <w:lang w:val="en-US" w:eastAsia="zh-CN"/>
              </w:rPr>
            </w:pPr>
            <w:r>
              <w:rPr>
                <w:rFonts w:hint="eastAsia" w:ascii="宋体" w:hAnsi="宋体" w:eastAsia="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szCs w:val="21"/>
                <w:lang w:val="en-US" w:eastAsia="zh-CN"/>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szCs w:val="21"/>
              </w:rPr>
              <w:t>http://www.creditchina.gov.cn</w:t>
            </w:r>
            <w:r>
              <w:rPr>
                <w:rFonts w:hint="eastAsia" w:ascii="宋体" w:hAnsi="宋体" w:eastAsia="宋体" w:cs="宋体"/>
                <w:szCs w:val="21"/>
              </w:rPr>
              <w:fldChar w:fldCharType="end"/>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中国政府采购网（网址：http://www.ccgp.gov.cn</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szCs w:val="21"/>
                <w:lang w:val="en-US" w:eastAsia="zh-CN"/>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auto"/>
                <w:szCs w:val="21"/>
              </w:rPr>
            </w:pPr>
            <w:r>
              <w:rPr>
                <w:rFonts w:hint="eastAsia" w:ascii="宋体" w:hAnsi="宋体" w:eastAsia="宋体" w:cs="宋体"/>
                <w:color w:val="auto"/>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szCs w:val="21"/>
                <w:lang w:eastAsia="zh-CN"/>
              </w:rPr>
            </w:pPr>
            <w:r>
              <w:rPr>
                <w:rFonts w:hint="eastAsia" w:ascii="宋体" w:hAnsi="宋体" w:eastAsia="宋体" w:cs="宋体"/>
                <w:color w:val="auto"/>
                <w:szCs w:val="21"/>
              </w:rPr>
              <w:t>根据《政府采购促进中小企业发展管理办法》</w:t>
            </w:r>
            <w:r>
              <w:rPr>
                <w:rFonts w:hint="eastAsia" w:ascii="宋体" w:hAnsi="宋体" w:cs="宋体"/>
                <w:color w:val="auto"/>
                <w:szCs w:val="21"/>
                <w:lang w:eastAsia="zh-CN"/>
              </w:rPr>
              <w:t>（</w:t>
            </w:r>
            <w:r>
              <w:rPr>
                <w:rFonts w:hint="eastAsia" w:ascii="宋体" w:hAnsi="宋体" w:eastAsia="宋体" w:cs="宋体"/>
                <w:color w:val="auto"/>
                <w:szCs w:val="21"/>
              </w:rPr>
              <w:t>财库〔2020〕46号</w:t>
            </w:r>
            <w:r>
              <w:rPr>
                <w:rFonts w:hint="eastAsia" w:ascii="宋体" w:hAnsi="宋体" w:cs="宋体"/>
                <w:color w:val="auto"/>
                <w:szCs w:val="21"/>
                <w:lang w:eastAsia="zh-CN"/>
              </w:rPr>
              <w:t>）</w:t>
            </w:r>
            <w:r>
              <w:rPr>
                <w:rFonts w:hint="eastAsia" w:ascii="宋体" w:hAnsi="宋体" w:eastAsia="宋体" w:cs="宋体"/>
                <w:color w:val="auto"/>
                <w:szCs w:val="21"/>
              </w:rPr>
              <w:t>文件的规定，本项目(□是 /</w:t>
            </w:r>
            <w:r>
              <w:rPr>
                <w:rFonts w:hint="eastAsia" w:ascii="宋体" w:hAnsi="宋体" w:cs="宋体"/>
                <w:color w:val="auto"/>
                <w:szCs w:val="21"/>
                <w:lang w:eastAsia="zh-CN"/>
              </w:rPr>
              <w:t>☑</w:t>
            </w:r>
            <w:r>
              <w:rPr>
                <w:rFonts w:hint="eastAsia" w:ascii="宋体" w:hAnsi="宋体" w:eastAsia="宋体" w:cs="宋体"/>
                <w:color w:val="auto"/>
                <w:szCs w:val="21"/>
              </w:rPr>
              <w:t xml:space="preserve"> 否</w:t>
            </w:r>
            <w:r>
              <w:rPr>
                <w:rFonts w:hint="eastAsia" w:ascii="宋体" w:hAnsi="宋体" w:eastAsia="宋体" w:cs="宋体"/>
                <w:color w:val="auto"/>
                <w:szCs w:val="21"/>
                <w:shd w:val="clear" w:color="auto" w:fill="FFFFFF"/>
              </w:rPr>
              <w:t>)</w:t>
            </w:r>
            <w:r>
              <w:rPr>
                <w:rFonts w:hint="eastAsia" w:ascii="宋体" w:hAnsi="宋体" w:eastAsia="宋体" w:cs="宋体"/>
                <w:color w:val="auto"/>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1.项目属性</w:t>
            </w:r>
            <w:r>
              <w:rPr>
                <w:rFonts w:hint="eastAsia" w:ascii="宋体" w:hAnsi="宋体" w:cs="宋体"/>
                <w:szCs w:val="21"/>
                <w:u w:val="none"/>
                <w:lang w:eastAsia="zh-CN"/>
              </w:rPr>
              <w:t>：</w:t>
            </w:r>
            <w:r>
              <w:rPr>
                <w:rFonts w:hint="eastAsia" w:ascii="宋体" w:hAnsi="宋体" w:cs="宋体"/>
                <w:szCs w:val="21"/>
                <w:u w:val="single"/>
                <w:lang w:val="en-US" w:eastAsia="zh-CN"/>
              </w:rPr>
              <w:t>服务</w:t>
            </w:r>
            <w:r>
              <w:rPr>
                <w:rFonts w:hint="eastAsia" w:ascii="宋体" w:hAnsi="宋体" w:eastAsia="宋体" w:cs="宋体"/>
                <w:szCs w:val="21"/>
                <w:u w:val="single"/>
              </w:rPr>
              <w:t>类</w:t>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2.中小企业划分标准所属行业（具体根据《中小企业划型标准规定》执行）</w:t>
            </w:r>
            <w:r>
              <w:rPr>
                <w:rFonts w:hint="eastAsia" w:ascii="宋体" w:hAnsi="宋体" w:cs="宋体"/>
                <w:szCs w:val="21"/>
                <w:lang w:eastAsia="zh-CN"/>
              </w:rPr>
              <w:t>：</w:t>
            </w:r>
            <w:r>
              <w:rPr>
                <w:rFonts w:hint="eastAsia" w:ascii="宋体" w:hAnsi="宋体" w:eastAsia="宋体" w:cs="宋体"/>
                <w:szCs w:val="21"/>
              </w:rPr>
              <w:t>采购标的：</w:t>
            </w:r>
            <w:r>
              <w:rPr>
                <w:rFonts w:hint="eastAsia" w:ascii="宋体" w:hAnsi="宋体" w:eastAsia="宋体" w:cs="宋体"/>
                <w:szCs w:val="21"/>
                <w:u w:val="single"/>
                <w:lang w:eastAsia="zh-CN"/>
              </w:rPr>
              <w:t>台州智慧交管工程（协同应用）项目</w:t>
            </w:r>
            <w:r>
              <w:rPr>
                <w:rFonts w:hint="eastAsia" w:ascii="宋体" w:hAnsi="宋体" w:eastAsia="宋体" w:cs="宋体"/>
                <w:szCs w:val="21"/>
                <w:u w:val="single"/>
                <w:lang w:val="en-US" w:eastAsia="zh-CN"/>
              </w:rPr>
              <w:t>_软件部分</w:t>
            </w:r>
            <w:r>
              <w:rPr>
                <w:rFonts w:hint="eastAsia" w:ascii="宋体" w:hAnsi="宋体" w:eastAsia="宋体" w:cs="宋体"/>
                <w:szCs w:val="21"/>
              </w:rPr>
              <w:t>，所属行业：</w:t>
            </w:r>
            <w:r>
              <w:rPr>
                <w:rFonts w:hint="eastAsia" w:ascii="宋体" w:hAnsi="宋体" w:eastAsia="宋体" w:cs="宋体"/>
                <w:szCs w:val="21"/>
                <w:highlight w:val="none"/>
                <w:u w:val="single"/>
                <w:lang w:val="en-US" w:eastAsia="zh-CN"/>
              </w:rPr>
              <w:t>软件和信息技术服务业</w:t>
            </w:r>
            <w:r>
              <w:rPr>
                <w:rFonts w:hint="eastAsia" w:ascii="宋体" w:hAnsi="宋体" w:eastAsia="宋体" w:cs="宋体"/>
                <w:szCs w:val="21"/>
                <w:highlight w:val="none"/>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textAlignment w:val="auto"/>
              <w:rPr>
                <w:rFonts w:hint="eastAsia" w:ascii="宋体" w:hAnsi="宋体" w:eastAsia="宋体" w:cs="宋体"/>
                <w:color w:val="111F2C"/>
                <w:szCs w:val="21"/>
                <w:shd w:val="clear" w:color="auto" w:fill="FFFFFF"/>
              </w:rPr>
            </w:pPr>
            <w:r>
              <w:rPr>
                <w:rFonts w:hint="eastAsia" w:ascii="宋体" w:hAnsi="宋体" w:eastAsia="宋体" w:cs="宋体"/>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kern w:val="0"/>
                <w:szCs w:val="21"/>
                <w:lang w:val="zh-CN"/>
              </w:rPr>
              <w:t>带“</w:t>
            </w:r>
            <w:r>
              <w:rPr>
                <w:rFonts w:hint="eastAsia" w:ascii="宋体" w:hAnsi="宋体" w:eastAsia="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带“★”的条款是</w:t>
            </w:r>
            <w:r>
              <w:rPr>
                <w:rFonts w:hint="eastAsia" w:ascii="宋体" w:hAnsi="宋体" w:eastAsia="宋体" w:cs="宋体"/>
              </w:rPr>
              <w:t>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本招标文件解释权属于采购人和采购组织机构。</w:t>
            </w:r>
          </w:p>
        </w:tc>
      </w:tr>
    </w:tbl>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4"/>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pStyle w:val="21"/>
        <w:spacing w:after="0" w:line="360" w:lineRule="auto"/>
        <w:ind w:left="0" w:leftChars="0" w:firstLine="480" w:firstLineChars="200"/>
        <w:rPr>
          <w:rFonts w:hint="eastAsia" w:eastAsia="宋体"/>
          <w:lang w:eastAsia="zh-CN"/>
        </w:rPr>
      </w:pPr>
      <w:r>
        <w:rPr>
          <w:rFonts w:hint="eastAsia" w:ascii="宋体" w:hAnsi="宋体"/>
          <w:sz w:val="24"/>
        </w:rPr>
        <w:t>5.联合体：</w:t>
      </w:r>
      <w:r>
        <w:rPr>
          <w:rFonts w:hint="eastAsia"/>
          <w:sz w:val="24"/>
        </w:rPr>
        <w:t>两个或两个以上法人或者其他组织可以组成一个联合体，以一个投标人的身份共同投标</w:t>
      </w:r>
      <w:r>
        <w:rPr>
          <w:rFonts w:hint="eastAsia"/>
          <w:sz w:val="24"/>
          <w:lang w:eastAsia="zh-CN"/>
        </w:rPr>
        <w:t>。</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9"/>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3"/>
        <w:snapToGrid w:val="0"/>
        <w:spacing w:line="360" w:lineRule="auto"/>
        <w:ind w:firstLine="482" w:firstLineChars="200"/>
        <w:rPr>
          <w:rFonts w:hAnsi="宋体" w:cs="宋体"/>
          <w:b/>
          <w:sz w:val="24"/>
        </w:rPr>
      </w:pPr>
      <w:r>
        <w:rPr>
          <w:rFonts w:hint="eastAsia" w:hAnsi="宋体" w:cs="宋体"/>
          <w:b/>
          <w:sz w:val="24"/>
        </w:rPr>
        <w:t>（七）特别说明</w:t>
      </w:r>
    </w:p>
    <w:p>
      <w:pPr>
        <w:pStyle w:val="13"/>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9"/>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9"/>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8"/>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pStyle w:val="58"/>
        <w:snapToGrid w:val="0"/>
        <w:spacing w:line="360" w:lineRule="auto"/>
        <w:ind w:firstLine="420"/>
        <w:rPr>
          <w:rFonts w:hint="eastAsia" w:ascii="宋体" w:hAnsi="宋体" w:eastAsia="宋体"/>
          <w:b/>
          <w:sz w:val="24"/>
          <w:lang w:val="en-US" w:eastAsia="zh-CN"/>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w:t>
      </w:r>
      <w:r>
        <w:rPr>
          <w:rFonts w:hint="eastAsia" w:asciiTheme="minorEastAsia" w:hAnsiTheme="minorEastAsia" w:eastAsiaTheme="minorEastAsia"/>
          <w:b/>
          <w:sz w:val="24"/>
        </w:rPr>
        <w:t>成</w:t>
      </w:r>
      <w:r>
        <w:rPr>
          <w:rFonts w:hint="eastAsia" w:asciiTheme="minorEastAsia" w:hAnsiTheme="minorEastAsia" w:eastAsiaTheme="minorEastAsia"/>
          <w:b/>
          <w:sz w:val="24"/>
          <w:highlight w:val="yellow"/>
          <w:lang w:eastAsia="zh-CN"/>
        </w:rPr>
        <w:t>（</w:t>
      </w:r>
      <w:r>
        <w:rPr>
          <w:rFonts w:hint="eastAsia" w:asciiTheme="minorEastAsia" w:hAnsiTheme="minorEastAsia" w:eastAsiaTheme="minorEastAsia"/>
          <w:b/>
          <w:sz w:val="24"/>
          <w:highlight w:val="yellow"/>
        </w:rPr>
        <w:t>以联合体形式参加本项目投标的，联合体各方均应当提供如下资格证明材料。</w:t>
      </w:r>
      <w:r>
        <w:rPr>
          <w:rFonts w:hint="eastAsia" w:ascii="宋体" w:hAnsi="宋体"/>
          <w:b/>
          <w:sz w:val="24"/>
          <w:highlight w:val="yellow"/>
          <w:lang w:eastAsia="zh-CN"/>
        </w:rPr>
        <w:t>）</w:t>
      </w:r>
    </w:p>
    <w:p>
      <w:pPr>
        <w:snapToGrid w:val="0"/>
        <w:spacing w:line="360" w:lineRule="auto"/>
        <w:ind w:firstLine="480" w:firstLineChars="200"/>
        <w:rPr>
          <w:rFonts w:hint="eastAsia" w:ascii="宋体" w:hAnsi="宋体" w:cs="宋体"/>
          <w:sz w:val="24"/>
        </w:rPr>
      </w:pPr>
      <w:r>
        <w:rPr>
          <w:rFonts w:hint="eastAsia" w:ascii="宋体" w:hAnsi="宋体"/>
          <w:b w:val="0"/>
          <w:bCs/>
          <w:sz w:val="24"/>
          <w:lang w:eastAsia="zh-CN"/>
        </w:rPr>
        <w:t>（</w:t>
      </w:r>
      <w:r>
        <w:rPr>
          <w:rFonts w:hint="eastAsia" w:ascii="宋体" w:hAnsi="宋体"/>
          <w:b w:val="0"/>
          <w:bCs/>
          <w:sz w:val="24"/>
          <w:lang w:val="en-US" w:eastAsia="zh-CN"/>
        </w:rPr>
        <w:t>1</w:t>
      </w:r>
      <w:r>
        <w:rPr>
          <w:rFonts w:hint="eastAsia" w:ascii="宋体" w:hAnsi="宋体"/>
          <w:b w:val="0"/>
          <w:bCs/>
          <w:sz w:val="24"/>
          <w:lang w:eastAsia="zh-CN"/>
        </w:rPr>
        <w:t>）</w:t>
      </w:r>
      <w:r>
        <w:rPr>
          <w:rFonts w:hint="eastAsia" w:ascii="宋体" w:hAnsi="宋体" w:cs="宋体"/>
          <w:sz w:val="24"/>
        </w:rPr>
        <w:t>投标声明书；</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授权委</w:t>
      </w:r>
      <w:r>
        <w:rPr>
          <w:rFonts w:hint="eastAsia" w:ascii="宋体" w:hAnsi="宋体" w:cs="宋体"/>
          <w:color w:val="auto"/>
          <w:sz w:val="24"/>
        </w:rPr>
        <w:t>托书</w:t>
      </w:r>
      <w:r>
        <w:rPr>
          <w:rFonts w:hint="eastAsia" w:ascii="宋体" w:hAnsi="宋体" w:cs="宋体"/>
          <w:color w:val="auto"/>
          <w:sz w:val="24"/>
          <w:lang w:val="en-US" w:eastAsia="zh-CN"/>
        </w:rPr>
        <w:t>或联合体授权委托书</w:t>
      </w:r>
      <w:r>
        <w:rPr>
          <w:rFonts w:hint="eastAsia" w:ascii="宋体" w:hAnsi="宋体" w:cs="宋体"/>
          <w:color w:val="auto"/>
          <w:sz w:val="24"/>
        </w:rPr>
        <w:t>（法</w:t>
      </w:r>
      <w:r>
        <w:rPr>
          <w:rFonts w:hint="eastAsia" w:ascii="宋体" w:hAnsi="宋体" w:cs="宋体"/>
          <w:sz w:val="24"/>
        </w:rPr>
        <w:t>定代表人亲自办理投标事宜的，则无需提交授权委托书</w:t>
      </w:r>
      <w:r>
        <w:rPr>
          <w:rFonts w:hint="eastAsia" w:ascii="宋体" w:hAnsi="宋体" w:cs="宋体"/>
          <w:sz w:val="24"/>
          <w:lang w:eastAsia="zh-CN"/>
        </w:rPr>
        <w:t>；</w:t>
      </w:r>
      <w:r>
        <w:rPr>
          <w:rFonts w:hint="eastAsia" w:ascii="宋体" w:hAnsi="宋体" w:cs="宋体"/>
          <w:sz w:val="24"/>
          <w:lang w:val="en-US" w:eastAsia="zh-CN"/>
        </w:rPr>
        <w:t>以联合体形式投标时需</w:t>
      </w:r>
      <w:r>
        <w:rPr>
          <w:rFonts w:hint="eastAsia" w:ascii="宋体" w:hAnsi="宋体" w:cs="宋体"/>
          <w:color w:val="auto"/>
          <w:sz w:val="24"/>
          <w:lang w:val="en-US" w:eastAsia="zh-CN"/>
        </w:rPr>
        <w:t>提供联合体授权委托书</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eastAsia="宋体" w:cs="宋体"/>
          <w:color w:val="auto"/>
          <w:sz w:val="24"/>
          <w:szCs w:val="24"/>
        </w:rPr>
        <w:t>联合体共同投标协议书</w:t>
      </w:r>
      <w:r>
        <w:rPr>
          <w:rFonts w:hint="eastAsia" w:ascii="宋体" w:hAnsi="宋体" w:cs="宋体"/>
          <w:sz w:val="24"/>
          <w:lang w:eastAsia="zh-CN"/>
        </w:rPr>
        <w:t>（</w:t>
      </w:r>
      <w:r>
        <w:rPr>
          <w:rFonts w:hint="eastAsia" w:ascii="宋体" w:hAnsi="宋体" w:cs="宋体"/>
          <w:sz w:val="24"/>
          <w:lang w:val="en-US" w:eastAsia="zh-CN"/>
        </w:rPr>
        <w:t>以</w:t>
      </w:r>
      <w:r>
        <w:rPr>
          <w:rFonts w:hint="eastAsia" w:ascii="宋体" w:hAnsi="宋体" w:cs="宋体"/>
          <w:sz w:val="24"/>
          <w:lang w:eastAsia="zh-CN"/>
        </w:rPr>
        <w:t>联合体</w:t>
      </w:r>
      <w:r>
        <w:rPr>
          <w:rFonts w:hint="eastAsia" w:ascii="宋体" w:hAnsi="宋体" w:cs="宋体"/>
          <w:sz w:val="24"/>
          <w:lang w:val="en-US" w:eastAsia="zh-CN"/>
        </w:rPr>
        <w:t>形式</w:t>
      </w:r>
      <w:r>
        <w:rPr>
          <w:rFonts w:hint="eastAsia" w:ascii="宋体" w:hAnsi="宋体" w:cs="宋体"/>
          <w:sz w:val="24"/>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8"/>
        <w:widowControl/>
        <w:numPr>
          <w:ilvl w:val="0"/>
          <w:numId w:val="6"/>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8"/>
        <w:widowControl/>
        <w:numPr>
          <w:ilvl w:val="0"/>
          <w:numId w:val="6"/>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w:t>
      </w:r>
      <w:r>
        <w:rPr>
          <w:rFonts w:hint="eastAsia" w:ascii="Calibri" w:hAnsi="Calibri" w:cs="Calibri"/>
          <w:sz w:val="24"/>
          <w:szCs w:val="24"/>
          <w:lang w:eastAsia="zh-CN"/>
        </w:rPr>
        <w:t>（</w:t>
      </w:r>
      <w:r>
        <w:rPr>
          <w:rFonts w:hint="eastAsia" w:ascii="Calibri" w:hAnsi="Calibri" w:cs="Calibri"/>
          <w:sz w:val="24"/>
          <w:szCs w:val="24"/>
        </w:rPr>
        <w:t>投标人对项目现状及需求的理解</w:t>
      </w:r>
      <w:r>
        <w:rPr>
          <w:rFonts w:hint="eastAsia" w:ascii="Calibri" w:hAnsi="Calibri" w:cs="Calibri"/>
          <w:sz w:val="24"/>
          <w:szCs w:val="24"/>
          <w:lang w:eastAsia="zh-CN"/>
        </w:rPr>
        <w:t>状况</w:t>
      </w:r>
      <w:r>
        <w:rPr>
          <w:rFonts w:hint="eastAsia" w:ascii="Calibri" w:hAnsi="Calibri" w:cs="Calibri"/>
          <w:sz w:val="24"/>
          <w:szCs w:val="24"/>
        </w:rPr>
        <w:t>，对项目现状和需求描述的全面性、准确性、针对性，项目功能设计完备、对系统各组成部分等功能进行准确的分析，对项目重点、难点的把握，解决方案及合理化建议</w:t>
      </w:r>
      <w:r>
        <w:rPr>
          <w:rFonts w:hint="eastAsia" w:ascii="Calibri" w:hAnsi="Calibri" w:cs="Calibri"/>
          <w:sz w:val="24"/>
          <w:szCs w:val="24"/>
          <w:lang w:eastAsia="zh-CN"/>
        </w:rPr>
        <w:t>）</w:t>
      </w:r>
      <w:r>
        <w:rPr>
          <w:rFonts w:hint="eastAsia" w:ascii="Calibri" w:hAnsi="Calibri" w:cs="Calibri"/>
          <w:sz w:val="24"/>
          <w:szCs w:val="24"/>
        </w:rPr>
        <w:t>；</w:t>
      </w:r>
    </w:p>
    <w:p>
      <w:pPr>
        <w:pStyle w:val="8"/>
        <w:widowControl/>
        <w:numPr>
          <w:ilvl w:val="0"/>
          <w:numId w:val="6"/>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8"/>
        <w:widowControl/>
        <w:numPr>
          <w:ilvl w:val="0"/>
          <w:numId w:val="6"/>
        </w:numPr>
        <w:adjustRightInd w:val="0"/>
        <w:snapToGrid w:val="0"/>
        <w:spacing w:line="360" w:lineRule="auto"/>
        <w:ind w:firstLine="640"/>
        <w:rPr>
          <w:rFonts w:hint="eastAsia" w:ascii="宋体" w:hAnsi="宋体" w:eastAsia="宋体" w:cs="宋体"/>
          <w:sz w:val="24"/>
          <w:szCs w:val="24"/>
        </w:rPr>
      </w:pPr>
      <w:r>
        <w:rPr>
          <w:rFonts w:hint="eastAsia" w:ascii="Calibri" w:hAnsi="Calibri" w:cs="Calibri"/>
          <w:sz w:val="24"/>
          <w:szCs w:val="24"/>
        </w:rPr>
        <w:t>功能设</w:t>
      </w:r>
      <w:r>
        <w:rPr>
          <w:rFonts w:hint="eastAsia" w:ascii="宋体" w:hAnsi="宋体" w:eastAsia="宋体" w:cs="宋体"/>
          <w:sz w:val="24"/>
          <w:szCs w:val="24"/>
        </w:rPr>
        <w:t>计方案；</w:t>
      </w:r>
    </w:p>
    <w:p>
      <w:pPr>
        <w:pStyle w:val="8"/>
        <w:widowControl/>
        <w:numPr>
          <w:ilvl w:val="0"/>
          <w:numId w:val="6"/>
        </w:numPr>
        <w:adjustRightInd w:val="0"/>
        <w:snapToGrid w:val="0"/>
        <w:spacing w:line="360" w:lineRule="auto"/>
        <w:ind w:firstLine="640"/>
        <w:rPr>
          <w:rFonts w:hint="eastAsia" w:ascii="宋体" w:hAnsi="宋体" w:eastAsia="宋体" w:cs="宋体"/>
          <w:sz w:val="24"/>
          <w:szCs w:val="24"/>
        </w:rPr>
      </w:pPr>
      <w:r>
        <w:rPr>
          <w:rFonts w:hint="eastAsia" w:ascii="宋体" w:hAnsi="宋体" w:eastAsia="宋体" w:cs="宋体"/>
          <w:sz w:val="24"/>
          <w:szCs w:val="24"/>
        </w:rPr>
        <w:t>质量保证方案；</w:t>
      </w:r>
    </w:p>
    <w:p>
      <w:pPr>
        <w:pStyle w:val="8"/>
        <w:widowControl/>
        <w:numPr>
          <w:ilvl w:val="0"/>
          <w:numId w:val="6"/>
        </w:numPr>
        <w:adjustRightInd w:val="0"/>
        <w:snapToGrid w:val="0"/>
        <w:spacing w:line="360" w:lineRule="auto"/>
        <w:ind w:firstLine="640"/>
        <w:rPr>
          <w:rFonts w:hint="eastAsia" w:ascii="宋体" w:hAnsi="宋体" w:eastAsia="宋体" w:cs="宋体"/>
          <w:sz w:val="24"/>
          <w:szCs w:val="24"/>
        </w:rPr>
      </w:pPr>
      <w:r>
        <w:rPr>
          <w:rFonts w:hint="eastAsia" w:ascii="宋体" w:hAnsi="宋体" w:eastAsia="宋体" w:cs="宋体"/>
          <w:sz w:val="24"/>
          <w:szCs w:val="24"/>
        </w:rPr>
        <w:t>项目实施方案（包括项目工期、确保项目进行的措施或方案、项目实施进度安排、项目实施人员及项目负责人的资质、类似经验及社保证明等）；</w:t>
      </w:r>
    </w:p>
    <w:p>
      <w:pPr>
        <w:pStyle w:val="8"/>
        <w:widowControl/>
        <w:numPr>
          <w:ilvl w:val="0"/>
          <w:numId w:val="6"/>
        </w:numPr>
        <w:adjustRightInd w:val="0"/>
        <w:snapToGrid w:val="0"/>
        <w:spacing w:line="360" w:lineRule="auto"/>
        <w:ind w:firstLine="64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项目分包方案；</w:t>
      </w:r>
    </w:p>
    <w:p>
      <w:pPr>
        <w:pStyle w:val="8"/>
        <w:widowControl/>
        <w:numPr>
          <w:ilvl w:val="0"/>
          <w:numId w:val="6"/>
        </w:numPr>
        <w:adjustRightInd w:val="0"/>
        <w:snapToGrid w:val="0"/>
        <w:spacing w:line="360" w:lineRule="auto"/>
        <w:ind w:firstLine="640"/>
        <w:rPr>
          <w:rFonts w:hint="eastAsia" w:ascii="宋体" w:hAnsi="宋体" w:eastAsia="宋体" w:cs="宋体"/>
          <w:sz w:val="24"/>
          <w:szCs w:val="24"/>
        </w:rPr>
      </w:pPr>
      <w:r>
        <w:rPr>
          <w:rFonts w:hint="eastAsia" w:ascii="宋体" w:hAnsi="宋体" w:eastAsia="宋体" w:cs="宋体"/>
          <w:sz w:val="24"/>
          <w:szCs w:val="24"/>
        </w:rPr>
        <w:t>技术需求响应表；</w:t>
      </w:r>
    </w:p>
    <w:p>
      <w:pPr>
        <w:pStyle w:val="8"/>
        <w:widowControl/>
        <w:numPr>
          <w:ilvl w:val="0"/>
          <w:numId w:val="6"/>
        </w:numPr>
        <w:adjustRightInd w:val="0"/>
        <w:snapToGrid w:val="0"/>
        <w:spacing w:line="360" w:lineRule="auto"/>
        <w:ind w:firstLine="640"/>
        <w:rPr>
          <w:rFonts w:hint="eastAsia" w:ascii="宋体" w:hAnsi="宋体" w:eastAsia="宋体" w:cs="宋体"/>
          <w:sz w:val="24"/>
          <w:szCs w:val="24"/>
        </w:rPr>
      </w:pPr>
      <w:r>
        <w:rPr>
          <w:rFonts w:hint="eastAsia" w:ascii="宋体" w:hAnsi="宋体" w:eastAsia="宋体" w:cs="宋体"/>
          <w:sz w:val="24"/>
          <w:szCs w:val="24"/>
        </w:rPr>
        <w:t>项目实施人员一览表；</w:t>
      </w:r>
    </w:p>
    <w:p>
      <w:pPr>
        <w:numPr>
          <w:ilvl w:val="0"/>
          <w:numId w:val="6"/>
        </w:numPr>
        <w:spacing w:line="360" w:lineRule="auto"/>
        <w:ind w:firstLine="640"/>
        <w:rPr>
          <w:rFonts w:hint="eastAsia" w:ascii="宋体" w:hAnsi="宋体" w:eastAsia="宋体" w:cs="宋体"/>
          <w:sz w:val="24"/>
        </w:rPr>
      </w:pPr>
      <w:r>
        <w:rPr>
          <w:rFonts w:hint="eastAsia" w:ascii="宋体" w:hAnsi="宋体" w:eastAsia="宋体" w:cs="宋体"/>
          <w:sz w:val="24"/>
        </w:rPr>
        <w:t>工程量/原材料、人工费清单（均不含报价）；</w:t>
      </w:r>
    </w:p>
    <w:p>
      <w:pPr>
        <w:numPr>
          <w:ilvl w:val="0"/>
          <w:numId w:val="6"/>
        </w:numPr>
        <w:spacing w:line="360" w:lineRule="auto"/>
        <w:ind w:firstLine="640"/>
        <w:rPr>
          <w:rFonts w:hint="eastAsia" w:ascii="宋体" w:hAnsi="宋体" w:eastAsia="宋体" w:cs="宋体"/>
          <w:sz w:val="24"/>
        </w:rPr>
      </w:pPr>
      <w:r>
        <w:rPr>
          <w:rFonts w:hint="eastAsia" w:ascii="宋体" w:hAnsi="宋体" w:eastAsia="宋体" w:cs="宋体"/>
          <w:sz w:val="24"/>
        </w:rPr>
        <w:t>项目负责人资格情况表；</w:t>
      </w:r>
    </w:p>
    <w:p>
      <w:pPr>
        <w:numPr>
          <w:ilvl w:val="0"/>
          <w:numId w:val="6"/>
        </w:numPr>
        <w:spacing w:line="360" w:lineRule="auto"/>
        <w:ind w:firstLine="640"/>
        <w:rPr>
          <w:rFonts w:hint="eastAsia" w:ascii="宋体" w:hAnsi="宋体" w:eastAsia="宋体" w:cs="宋体"/>
          <w:sz w:val="24"/>
        </w:rPr>
      </w:pPr>
      <w:r>
        <w:rPr>
          <w:rFonts w:hint="eastAsia" w:ascii="宋体" w:hAnsi="宋体" w:eastAsia="宋体" w:cs="宋体"/>
          <w:sz w:val="24"/>
        </w:rPr>
        <w:t>安装、调试及验收方案（包括项目验收标准和验收方法等）；</w:t>
      </w:r>
    </w:p>
    <w:p>
      <w:pPr>
        <w:numPr>
          <w:ilvl w:val="0"/>
          <w:numId w:val="6"/>
        </w:numPr>
        <w:spacing w:line="360" w:lineRule="auto"/>
        <w:ind w:firstLine="640"/>
        <w:rPr>
          <w:rFonts w:hint="eastAsia" w:ascii="宋体" w:hAnsi="宋体" w:eastAsia="宋体" w:cs="宋体"/>
          <w:sz w:val="24"/>
        </w:rPr>
      </w:pPr>
      <w:r>
        <w:rPr>
          <w:rFonts w:hint="eastAsia" w:ascii="宋体" w:hAnsi="宋体" w:eastAsia="宋体" w:cs="宋体"/>
          <w:sz w:val="24"/>
        </w:rPr>
        <w:t>实施服务与保障的能力及方案（包括服务方式、服务网点、技术培训、实施期与运维期服务的内容和措施等）；</w:t>
      </w:r>
    </w:p>
    <w:p>
      <w:pPr>
        <w:numPr>
          <w:ilvl w:val="0"/>
          <w:numId w:val="6"/>
        </w:numPr>
        <w:spacing w:line="360" w:lineRule="auto"/>
        <w:ind w:firstLine="640"/>
        <w:rPr>
          <w:sz w:val="24"/>
        </w:rPr>
      </w:pPr>
      <w:r>
        <w:rPr>
          <w:rFonts w:hint="eastAsia" w:ascii="宋体" w:hAnsi="宋体" w:eastAsia="宋体" w:cs="宋体"/>
          <w:sz w:val="24"/>
        </w:rPr>
        <w:t>投标人需要说明的其他内容（包括可能影响投标人技</w:t>
      </w:r>
      <w:r>
        <w:rPr>
          <w:rFonts w:hint="eastAsia"/>
          <w:sz w:val="24"/>
        </w:rPr>
        <w:t>术性能评分项的各类证明材料）。</w:t>
      </w:r>
    </w:p>
    <w:p>
      <w:pPr>
        <w:autoSpaceDE w:val="0"/>
        <w:autoSpaceDN w:val="0"/>
        <w:adjustRightInd w:val="0"/>
        <w:spacing w:line="360" w:lineRule="auto"/>
        <w:ind w:firstLine="426" w:firstLineChars="177"/>
        <w:rPr>
          <w:rFonts w:hint="eastAsia" w:asciiTheme="minorEastAsia" w:hAnsiTheme="minorEastAsia" w:eastAsiaTheme="minorEastAsia"/>
          <w:b/>
          <w:bCs/>
          <w:color w:val="000000" w:themeColor="text1"/>
          <w:kern w:val="0"/>
          <w:sz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7"/>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8"/>
        <w:widowControl/>
        <w:numPr>
          <w:ilvl w:val="0"/>
          <w:numId w:val="7"/>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8"/>
        <w:widowControl/>
        <w:numPr>
          <w:ilvl w:val="0"/>
          <w:numId w:val="7"/>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kern w:val="0"/>
          <w:sz w:val="24"/>
          <w:lang w:eastAsia="zh-CN"/>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（1）开标一览表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（2）报价明细表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val="en-GB" w:eastAsia="zh-CN"/>
        </w:rPr>
      </w:pPr>
      <w:r>
        <w:rPr>
          <w:rFonts w:hint="eastAsia" w:asciiTheme="minorEastAsia" w:hAnsiTheme="minorEastAsia" w:eastAsiaTheme="minorEastAsia"/>
          <w:kern w:val="0"/>
          <w:sz w:val="24"/>
        </w:rPr>
        <w:t>（3）</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kern w:val="0"/>
          <w:sz w:val="24"/>
          <w:lang w:val="en-GB" w:eastAsia="zh-CN"/>
        </w:rPr>
        <w:t>；</w:t>
      </w:r>
    </w:p>
    <w:p>
      <w:pPr>
        <w:autoSpaceDE w:val="0"/>
        <w:autoSpaceDN w:val="0"/>
        <w:adjustRightInd w:val="0"/>
        <w:spacing w:line="360" w:lineRule="auto"/>
        <w:ind w:firstLine="480" w:firstLineChars="200"/>
        <w:rPr>
          <w:rFonts w:hint="eastAsia" w:asciiTheme="minorEastAsia" w:hAnsiTheme="minorEastAsia" w:eastAsiaTheme="minorEastAsia"/>
          <w:b/>
          <w:kern w:val="0"/>
          <w:sz w:val="24"/>
          <w:lang w:eastAsia="zh-CN"/>
        </w:rPr>
      </w:pPr>
      <w:r>
        <w:rPr>
          <w:rFonts w:hint="eastAsia" w:asciiTheme="minorEastAsia" w:hAnsiTheme="minorEastAsia" w:eastAsiaTheme="minorEastAsia"/>
          <w:kern w:val="0"/>
          <w:sz w:val="24"/>
        </w:rPr>
        <w:t>（4）针对报价投标人认为其他需要说明的</w:t>
      </w:r>
      <w:r>
        <w:rPr>
          <w:rFonts w:hint="eastAsia" w:asciiTheme="minorEastAsia" w:hAnsiTheme="minorEastAsia" w:eastAsiaTheme="minorEastAsia"/>
          <w:kern w:val="0"/>
          <w:sz w:val="24"/>
          <w:lang w:eastAsia="zh-CN"/>
        </w:rPr>
        <w:t>。</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8"/>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8"/>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8"/>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hint="eastAsia" w:asciiTheme="minorEastAsia" w:hAnsiTheme="minorEastAsia" w:eastAsiaTheme="minorEastAsia"/>
          <w:b/>
          <w:sz w:val="24"/>
          <w:lang w:eastAsia="zh-CN"/>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8"/>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8"/>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8"/>
        <w:spacing w:line="360" w:lineRule="auto"/>
        <w:ind w:firstLine="482" w:firstLineChars="200"/>
        <w:rPr>
          <w:b/>
          <w:bCs/>
          <w:sz w:val="24"/>
          <w:szCs w:val="22"/>
        </w:rPr>
      </w:pPr>
      <w:r>
        <w:rPr>
          <w:rFonts w:hint="eastAsia"/>
          <w:b/>
          <w:bCs/>
          <w:sz w:val="24"/>
          <w:szCs w:val="22"/>
        </w:rPr>
        <w:t>（二）开标异议</w:t>
      </w:r>
    </w:p>
    <w:p>
      <w:pPr>
        <w:pStyle w:val="8"/>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8"/>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3"/>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9"/>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numPr>
          <w:ilvl w:val="0"/>
          <w:numId w:val="8"/>
        </w:numPr>
        <w:spacing w:line="360" w:lineRule="auto"/>
        <w:ind w:firstLine="482" w:firstLineChars="200"/>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发布中标结果公告</w:t>
      </w:r>
    </w:p>
    <w:p>
      <w:pPr>
        <w:numPr>
          <w:ilvl w:val="0"/>
          <w:numId w:val="0"/>
        </w:num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w:t>
      </w:r>
      <w:r>
        <w:rPr>
          <w:rFonts w:hint="eastAsia" w:cs="Times New Roman" w:asciiTheme="minorEastAsia" w:hAnsiTheme="minorEastAsia" w:eastAsiaTheme="minorEastAsia"/>
          <w:kern w:val="0"/>
          <w:sz w:val="24"/>
          <w:szCs w:val="24"/>
          <w:lang w:val="en-US" w:eastAsia="zh-CN" w:bidi="ar-SA"/>
        </w:rPr>
        <w:t>期为1个工</w:t>
      </w:r>
      <w:r>
        <w:rPr>
          <w:sz w:val="24"/>
        </w:rPr>
        <w:t>作日</w:t>
      </w:r>
      <w:r>
        <w:rPr>
          <w:rFonts w:hint="eastAsia" w:ascii="宋体" w:hAnsi="宋体"/>
          <w:kern w:val="0"/>
          <w:sz w:val="24"/>
        </w:rPr>
        <w:t>。</w:t>
      </w:r>
    </w:p>
    <w:p>
      <w:pPr>
        <w:pStyle w:val="9"/>
        <w:numPr>
          <w:ilvl w:val="0"/>
          <w:numId w:val="8"/>
        </w:numPr>
        <w:spacing w:line="360" w:lineRule="auto"/>
        <w:ind w:left="0" w:leftChars="0" w:firstLine="482" w:firstLineChars="200"/>
        <w:jc w:val="both"/>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发放中标通知书</w:t>
      </w:r>
    </w:p>
    <w:p>
      <w:pPr>
        <w:pStyle w:val="9"/>
        <w:numPr>
          <w:ilvl w:val="0"/>
          <w:numId w:val="0"/>
        </w:numPr>
        <w:spacing w:line="360" w:lineRule="auto"/>
        <w:ind w:firstLine="480" w:firstLineChars="20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9"/>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9"/>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9"/>
        <w:spacing w:before="0" w:beforeAutospacing="0" w:after="0" w:afterAutospacing="0" w:line="360" w:lineRule="auto"/>
        <w:ind w:firstLine="480" w:firstLineChars="200"/>
        <w:jc w:val="both"/>
        <w:rPr>
          <w:rFonts w:hint="default"/>
        </w:rPr>
      </w:pPr>
      <w:r>
        <w:t>3.中标人无故拖延、拒签合同的</w:t>
      </w:r>
      <w:r>
        <w:rPr>
          <w:rFonts w:hint="eastAsia"/>
          <w:lang w:eastAsia="zh-CN"/>
        </w:rPr>
        <w:t>，</w:t>
      </w:r>
      <w:r>
        <w:t>将取消中标资格。</w:t>
      </w:r>
    </w:p>
    <w:p>
      <w:pPr>
        <w:pStyle w:val="19"/>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9"/>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9"/>
        <w:spacing w:before="0" w:beforeAutospacing="0" w:after="0" w:afterAutospacing="0" w:line="360" w:lineRule="auto"/>
        <w:ind w:firstLine="482" w:firstLineChars="200"/>
        <w:jc w:val="both"/>
        <w:rPr>
          <w:rFonts w:hint="default" w:cs="仿宋_GB2312"/>
          <w:b/>
        </w:rPr>
      </w:pPr>
      <w:r>
        <w:rPr>
          <w:b/>
        </w:rPr>
        <w:t>（二）合同公告及备案</w:t>
      </w:r>
    </w:p>
    <w:p>
      <w:pPr>
        <w:pStyle w:val="11"/>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hint="eastAsia" w:ascii="宋体" w:hAnsi="宋体" w:eastAsia="宋体"/>
          <w:sz w:val="24"/>
          <w:lang w:eastAsia="zh-CN"/>
        </w:rPr>
      </w:pPr>
      <w:r>
        <w:rPr>
          <w:rFonts w:hint="eastAsia" w:ascii="宋体" w:hAnsi="宋体"/>
          <w:sz w:val="24"/>
        </w:rPr>
        <w:t>（3）投标人对中标结果提出质疑的，应当在中标结果公告期限届满之日起7个工作日内提出质疑</w:t>
      </w:r>
      <w:r>
        <w:rPr>
          <w:rFonts w:hint="eastAsia" w:ascii="宋体" w:hAnsi="宋体"/>
          <w:sz w:val="24"/>
          <w:lang w:eastAsia="zh-CN"/>
        </w:rPr>
        <w:t>。</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numPr>
          <w:ilvl w:val="0"/>
          <w:numId w:val="5"/>
        </w:numPr>
        <w:spacing w:line="360" w:lineRule="auto"/>
        <w:jc w:val="center"/>
        <w:rPr>
          <w:rFonts w:asciiTheme="minorEastAsia" w:hAnsiTheme="minorEastAsia" w:eastAsiaTheme="minorEastAsia"/>
          <w:b/>
          <w:sz w:val="36"/>
          <w:szCs w:val="36"/>
        </w:rPr>
      </w:pPr>
      <w:bookmarkStart w:id="38" w:name="_Toc13072_WPSOffice_Level1"/>
      <w:r>
        <w:rPr>
          <w:rFonts w:hint="eastAsia" w:asciiTheme="minorEastAsia" w:hAnsiTheme="minorEastAsia" w:eastAsiaTheme="minorEastAsia"/>
          <w:b/>
          <w:sz w:val="36"/>
          <w:szCs w:val="36"/>
        </w:rPr>
        <w:t>招标需求</w:t>
      </w:r>
      <w:bookmarkEnd w:id="38"/>
    </w:p>
    <w:p>
      <w:pPr>
        <w:tabs>
          <w:tab w:val="left" w:pos="8280"/>
        </w:tabs>
        <w:autoSpaceDE w:val="0"/>
        <w:autoSpaceDN w:val="0"/>
        <w:adjustRightIn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2"/>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74"/>
        <w:gridCol w:w="1494"/>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974"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494"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109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cs="宋体"/>
                <w:b w:val="0"/>
                <w:bCs/>
                <w:sz w:val="21"/>
                <w:szCs w:val="21"/>
              </w:rPr>
              <w:t>1</w:t>
            </w:r>
          </w:p>
        </w:tc>
        <w:tc>
          <w:tcPr>
            <w:tcW w:w="1974" w:type="dxa"/>
            <w:vAlign w:val="center"/>
          </w:tcPr>
          <w:p>
            <w:pPr>
              <w:tabs>
                <w:tab w:val="left" w:pos="8280"/>
              </w:tabs>
              <w:autoSpaceDE w:val="0"/>
              <w:autoSpaceDN w:val="0"/>
              <w:adjustRightInd w:val="0"/>
              <w:jc w:val="center"/>
              <w:rPr>
                <w:rFonts w:hint="default" w:ascii="宋体" w:hAnsi="宋体" w:eastAsia="宋体" w:cs="宋体"/>
                <w:b/>
                <w:sz w:val="21"/>
                <w:szCs w:val="21"/>
                <w:lang w:val="en-US" w:eastAsia="zh-CN"/>
              </w:rPr>
            </w:pPr>
            <w:r>
              <w:rPr>
                <w:rFonts w:hint="eastAsia" w:ascii="宋体" w:hAnsi="宋体" w:eastAsia="宋体" w:cs="宋体"/>
                <w:b w:val="0"/>
                <w:sz w:val="21"/>
                <w:szCs w:val="21"/>
              </w:rPr>
              <w:t>台州智慧交管工程（协同应用）项目</w:t>
            </w:r>
            <w:r>
              <w:rPr>
                <w:rFonts w:hint="eastAsia" w:ascii="宋体" w:hAnsi="宋体" w:eastAsia="宋体" w:cs="宋体"/>
                <w:b w:val="0"/>
                <w:sz w:val="21"/>
                <w:szCs w:val="21"/>
                <w:lang w:val="en-US" w:eastAsia="zh-CN"/>
              </w:rPr>
              <w:t>_软件部分</w:t>
            </w:r>
          </w:p>
        </w:tc>
        <w:tc>
          <w:tcPr>
            <w:tcW w:w="1494" w:type="dxa"/>
            <w:vAlign w:val="center"/>
          </w:tcPr>
          <w:p>
            <w:pPr>
              <w:tabs>
                <w:tab w:val="left" w:pos="8280"/>
              </w:tabs>
              <w:autoSpaceDE w:val="0"/>
              <w:autoSpaceDN w:val="0"/>
              <w:adjustRightInd w:val="0"/>
              <w:jc w:val="center"/>
              <w:rPr>
                <w:rFonts w:hint="default" w:ascii="宋体" w:hAnsi="宋体" w:eastAsia="宋体" w:cs="宋体"/>
                <w:b/>
                <w:sz w:val="21"/>
                <w:szCs w:val="21"/>
                <w:lang w:val="en-US"/>
              </w:rPr>
            </w:pPr>
            <w:r>
              <w:rPr>
                <w:rFonts w:hint="eastAsia" w:ascii="宋体" w:hAnsi="宋体" w:cs="宋体"/>
                <w:b w:val="0"/>
                <w:bCs/>
                <w:sz w:val="21"/>
                <w:szCs w:val="21"/>
                <w:lang w:val="en-US" w:eastAsia="zh-CN"/>
              </w:rPr>
              <w:t>详见技术需求</w:t>
            </w:r>
          </w:p>
        </w:tc>
        <w:tc>
          <w:tcPr>
            <w:tcW w:w="1099"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 w:val="0"/>
                <w:bCs/>
                <w:sz w:val="21"/>
                <w:szCs w:val="21"/>
                <w:lang w:val="en-US" w:eastAsia="zh-CN"/>
              </w:rPr>
              <w:t>1</w:t>
            </w:r>
          </w:p>
        </w:tc>
        <w:tc>
          <w:tcPr>
            <w:tcW w:w="852"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 w:val="0"/>
                <w:bCs/>
                <w:sz w:val="21"/>
                <w:szCs w:val="21"/>
                <w:lang w:val="en-US" w:eastAsia="zh-CN"/>
              </w:rPr>
              <w:t>项</w:t>
            </w:r>
          </w:p>
        </w:tc>
        <w:tc>
          <w:tcPr>
            <w:tcW w:w="1142" w:type="dxa"/>
            <w:vAlign w:val="center"/>
          </w:tcPr>
          <w:p>
            <w:pPr>
              <w:tabs>
                <w:tab w:val="left" w:pos="8280"/>
              </w:tabs>
              <w:autoSpaceDE w:val="0"/>
              <w:autoSpaceDN w:val="0"/>
              <w:adjustRightInd w:val="0"/>
              <w:jc w:val="center"/>
              <w:rPr>
                <w:rFonts w:hint="eastAsia" w:ascii="宋体" w:hAnsi="宋体" w:eastAsia="宋体" w:cs="宋体"/>
                <w:b w:val="0"/>
                <w:bCs/>
                <w:color w:val="auto"/>
                <w:kern w:val="2"/>
                <w:sz w:val="21"/>
                <w:szCs w:val="21"/>
                <w:lang w:val="en-US" w:eastAsia="zh-CN" w:bidi="ar-SA"/>
              </w:rPr>
            </w:pPr>
            <w:r>
              <w:rPr>
                <w:rFonts w:hint="eastAsia" w:ascii="宋体" w:hAnsi="宋体"/>
                <w:b w:val="0"/>
                <w:bCs/>
                <w:color w:val="auto"/>
                <w:sz w:val="21"/>
                <w:szCs w:val="24"/>
                <w:lang w:val="en-US" w:eastAsia="zh-CN"/>
              </w:rPr>
              <w:t>2927.83</w:t>
            </w:r>
          </w:p>
        </w:tc>
        <w:tc>
          <w:tcPr>
            <w:tcW w:w="1203" w:type="dxa"/>
            <w:vAlign w:val="center"/>
          </w:tcPr>
          <w:p>
            <w:pPr>
              <w:tabs>
                <w:tab w:val="left" w:pos="8280"/>
              </w:tabs>
              <w:autoSpaceDE w:val="0"/>
              <w:autoSpaceDN w:val="0"/>
              <w:adjustRightInd w:val="0"/>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2867.45</w:t>
            </w:r>
          </w:p>
        </w:tc>
      </w:tr>
    </w:tbl>
    <w:p>
      <w:pPr>
        <w:numPr>
          <w:ilvl w:val="0"/>
          <w:numId w:val="9"/>
        </w:numPr>
        <w:tabs>
          <w:tab w:val="left" w:pos="8280"/>
        </w:tabs>
        <w:autoSpaceDE w:val="0"/>
        <w:autoSpaceDN w:val="0"/>
        <w:adjustRightIn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rPr>
        <w:t>技术需求</w:t>
      </w:r>
    </w:p>
    <w:p>
      <w:pPr>
        <w:tabs>
          <w:tab w:val="left" w:pos="8280"/>
        </w:tabs>
        <w:autoSpaceDE w:val="0"/>
        <w:autoSpaceDN w:val="0"/>
        <w:adjustRightInd w:val="0"/>
        <w:jc w:val="left"/>
        <w:rPr>
          <w:rFonts w:hint="eastAsia" w:ascii="宋体" w:hAnsi="宋体" w:cs="宋体"/>
          <w:b w:val="0"/>
          <w:bCs/>
          <w:sz w:val="21"/>
          <w:szCs w:val="21"/>
          <w:lang w:val="en-US" w:eastAsia="zh-CN"/>
        </w:rPr>
      </w:pPr>
      <w:r>
        <w:rPr>
          <w:rFonts w:hint="eastAsia" w:ascii="黑体" w:hAnsi="黑体" w:eastAsia="黑体" w:cs="黑体"/>
          <w:b w:val="0"/>
          <w:bCs/>
          <w:sz w:val="28"/>
          <w:szCs w:val="28"/>
          <w:lang w:val="en-US" w:eastAsia="zh-CN"/>
        </w:rPr>
        <w:t>（一）采购内容一览表</w:t>
      </w:r>
    </w:p>
    <w:tbl>
      <w:tblPr>
        <w:tblStyle w:val="22"/>
        <w:tblW w:w="94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1"/>
        <w:gridCol w:w="2031"/>
        <w:gridCol w:w="5469"/>
        <w:gridCol w:w="679"/>
        <w:gridCol w:w="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序号</w:t>
            </w:r>
          </w:p>
        </w:tc>
        <w:tc>
          <w:tcPr>
            <w:tcW w:w="2031"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名称</w:t>
            </w:r>
          </w:p>
        </w:tc>
        <w:tc>
          <w:tcPr>
            <w:tcW w:w="546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描述</w:t>
            </w:r>
          </w:p>
        </w:tc>
        <w:tc>
          <w:tcPr>
            <w:tcW w:w="67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数量</w:t>
            </w:r>
          </w:p>
        </w:tc>
        <w:tc>
          <w:tcPr>
            <w:tcW w:w="67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是否主体部分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1</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应用融合管理模块</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统一认证、统一门户、统一授权、统一接入、任务管理等</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1套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2</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数智实战模块</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情报支撑、任务调度、督查监管、勤务管理、业务监管等</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1套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3</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数智决策模块</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态势看板、情报看板、指挥看板、勤务看板、中队看板等</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 xml:space="preserve">1套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4</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高地一体化模块</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数据展示、事件处置、标签画像、多源分析、融合处理等</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 xml:space="preserve">1套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5</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信号控制</w:t>
            </w:r>
            <w:bookmarkStart w:id="124" w:name="_GoBack"/>
            <w:bookmarkEnd w:id="124"/>
            <w:r>
              <w:rPr>
                <w:rFonts w:hint="eastAsia" w:ascii="宋体" w:hAnsi="宋体" w:cs="宋体"/>
                <w:b w:val="0"/>
                <w:bCs/>
                <w:sz w:val="21"/>
                <w:szCs w:val="21"/>
                <w:lang w:val="en-US" w:eastAsia="zh-CN"/>
              </w:rPr>
              <w:t>提升模块</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提质升档、干线调优、优化服务、应用改造等</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1套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6</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交通态势分析模块</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监测评估、研判报警、信息发布、历史评价等</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1套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7</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驾驶人学习防范模块</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违法举报、公益活动、学习中心等</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1套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8</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运维管理模块</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资产管理、运维考核、视频诊断、应用监测等</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1套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9</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移动应用模块</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数据看板、订阅推送、勤务打卡、事故上报等</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 xml:space="preserve">1套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10</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事故可视化模块</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事故审核、规律分析、隐患排查、数据可视等</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 xml:space="preserve">1套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11</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赋能中心</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任务管理、模型超市、模型工具、AI能力、高速数据等</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 xml:space="preserve">1套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12</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数据中心</w:t>
            </w:r>
          </w:p>
        </w:tc>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数据标准、数据接入、数据处理、数据组织、数据共享等</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1套</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4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tabs>
                <w:tab w:val="left" w:pos="8280"/>
              </w:tabs>
              <w:autoSpaceDE w:val="0"/>
              <w:autoSpaceDN w:val="0"/>
              <w:adjustRightInd w:val="0"/>
              <w:jc w:val="center"/>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13</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系统集成</w:t>
            </w:r>
          </w:p>
        </w:tc>
        <w:tc>
          <w:tcPr>
            <w:tcW w:w="61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完成项目所有内容的整体集成，达到稳定运行效果</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280"/>
              </w:tabs>
              <w:autoSpaceDE w:val="0"/>
              <w:autoSpaceDN w:val="0"/>
              <w:adjustRightInd w:val="0"/>
              <w:jc w:val="center"/>
              <w:rPr>
                <w:rFonts w:hint="eastAsia" w:ascii="宋体" w:hAnsi="宋体" w:cs="宋体"/>
                <w:b w:val="0"/>
                <w:bCs/>
                <w:sz w:val="21"/>
                <w:szCs w:val="21"/>
                <w:lang w:val="en-US" w:eastAsia="zh-CN"/>
              </w:rPr>
            </w:pPr>
          </w:p>
        </w:tc>
      </w:tr>
    </w:tbl>
    <w:p>
      <w:pPr>
        <w:pStyle w:val="10"/>
        <w:rPr>
          <w:rFonts w:ascii="宋体" w:hAnsi="宋体"/>
          <w:color w:val="auto"/>
          <w:sz w:val="24"/>
        </w:rPr>
      </w:pPr>
    </w:p>
    <w:p>
      <w:pPr>
        <w:rPr>
          <w:rFonts w:hint="eastAsia" w:ascii="黑体" w:hAnsi="黑体" w:eastAsia="黑体" w:cs="黑体"/>
          <w:b/>
          <w:bCs w:val="0"/>
          <w:sz w:val="28"/>
          <w:szCs w:val="28"/>
          <w:lang w:val="en-US" w:eastAsia="zh-CN"/>
        </w:rPr>
      </w:pPr>
      <w:r>
        <w:rPr>
          <w:rFonts w:hint="eastAsia" w:ascii="黑体" w:hAnsi="黑体" w:eastAsia="黑体" w:cs="黑体"/>
          <w:b/>
          <w:bCs w:val="0"/>
          <w:sz w:val="28"/>
          <w:szCs w:val="28"/>
          <w:lang w:val="en-US" w:eastAsia="zh-CN"/>
        </w:rPr>
        <w:br w:type="page"/>
      </w:r>
    </w:p>
    <w:p>
      <w:pPr>
        <w:tabs>
          <w:tab w:val="left" w:pos="8280"/>
        </w:tabs>
        <w:autoSpaceDE w:val="0"/>
        <w:autoSpaceDN w:val="0"/>
        <w:adjustRightInd w:val="0"/>
        <w:jc w:val="left"/>
        <w:rPr>
          <w:rFonts w:hint="eastAsia" w:ascii="黑体" w:hAnsi="黑体" w:eastAsia="黑体" w:cs="黑体"/>
          <w:b/>
          <w:bCs w:val="0"/>
          <w:color w:val="auto"/>
          <w:sz w:val="28"/>
          <w:szCs w:val="28"/>
        </w:rPr>
      </w:pPr>
      <w:r>
        <w:rPr>
          <w:rFonts w:hint="eastAsia" w:ascii="黑体" w:hAnsi="黑体" w:eastAsia="黑体" w:cs="黑体"/>
          <w:b/>
          <w:bCs w:val="0"/>
          <w:sz w:val="28"/>
          <w:szCs w:val="28"/>
          <w:lang w:val="en-US" w:eastAsia="zh-CN"/>
        </w:rPr>
        <w:t>（二）项目具体技术参数需求</w:t>
      </w:r>
    </w:p>
    <w:p>
      <w:pPr>
        <w:keepNext/>
        <w:keepLines/>
        <w:numPr>
          <w:ilvl w:val="1"/>
          <w:numId w:val="2"/>
        </w:numPr>
        <w:tabs>
          <w:tab w:val="left" w:pos="142"/>
          <w:tab w:val="left" w:pos="360"/>
        </w:tabs>
        <w:spacing w:line="360" w:lineRule="auto"/>
        <w:ind w:left="0" w:firstLine="0"/>
        <w:outlineLvl w:val="1"/>
        <w:rPr>
          <w:rFonts w:ascii="黑体" w:hAnsi="黑体" w:eastAsia="黑体"/>
          <w:b/>
          <w:bCs/>
          <w:color w:val="auto"/>
          <w:sz w:val="28"/>
          <w:szCs w:val="32"/>
        </w:rPr>
      </w:pPr>
      <w:r>
        <w:rPr>
          <w:rFonts w:hint="eastAsia" w:ascii="黑体" w:hAnsi="黑体" w:eastAsia="黑体"/>
          <w:b/>
          <w:bCs/>
          <w:color w:val="auto"/>
          <w:sz w:val="28"/>
          <w:szCs w:val="32"/>
        </w:rPr>
        <w:t>项目</w:t>
      </w:r>
      <w:r>
        <w:rPr>
          <w:rFonts w:ascii="黑体" w:hAnsi="黑体" w:eastAsia="黑体"/>
          <w:b/>
          <w:bCs/>
          <w:color w:val="auto"/>
          <w:sz w:val="28"/>
          <w:szCs w:val="32"/>
        </w:rPr>
        <w:t>建设背景</w:t>
      </w:r>
      <w:r>
        <w:rPr>
          <w:rFonts w:hint="eastAsia" w:ascii="黑体" w:hAnsi="黑体" w:eastAsia="黑体"/>
          <w:b/>
          <w:bCs/>
          <w:color w:val="auto"/>
          <w:sz w:val="28"/>
          <w:szCs w:val="32"/>
        </w:rPr>
        <w:t>与现状</w:t>
      </w:r>
    </w:p>
    <w:p>
      <w:pPr>
        <w:keepNext/>
        <w:keepLines/>
        <w:numPr>
          <w:ilvl w:val="2"/>
          <w:numId w:val="2"/>
        </w:numPr>
        <w:tabs>
          <w:tab w:val="left" w:pos="142"/>
          <w:tab w:val="left" w:pos="360"/>
        </w:tabs>
        <w:spacing w:line="360" w:lineRule="auto"/>
        <w:ind w:left="0" w:firstLine="0"/>
        <w:outlineLvl w:val="2"/>
        <w:rPr>
          <w:rFonts w:ascii="黑体" w:hAnsi="黑体" w:eastAsia="黑体" w:cs="仿宋"/>
          <w:b/>
          <w:bCs/>
          <w:color w:val="auto"/>
          <w:sz w:val="28"/>
          <w:szCs w:val="32"/>
        </w:rPr>
      </w:pPr>
      <w:r>
        <w:rPr>
          <w:rFonts w:hint="eastAsia" w:ascii="黑体" w:hAnsi="黑体" w:eastAsia="黑体" w:cs="仿宋"/>
          <w:b/>
          <w:bCs/>
          <w:color w:val="auto"/>
          <w:sz w:val="28"/>
          <w:szCs w:val="32"/>
        </w:rPr>
        <w:t>建设背景</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2019年2月，全国公安交通管理工作会议在重庆市召开。会议要求全国公安交通管理机关推进交通治理现代化，全力稳定交通安全形势。全面深化公安交管改革，完善交管“放管服”举措；深入推进智慧交管建设，加快现代科技与交通管理深度融合，支持信息主导**，数据引领服务。</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2019年5月8日，习近平总书记在全国公安工作会议上强调“要把大数据作为推动公安工作创新发展的大引擎、培育战斗力生成新的增长点，全面助推公安工作质量变革、效率变革、动力变革”。</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2021年2月18日，浙江省委省政府启动数字化改革，要求“围绕建设数字浙江目标，统筹运用数字化技术、数字化思维、数字化认知”。从系统思维，顶层设计入手，以全方位、全过程、全领域助推**机制变革为目标，谋划今后一个时期信息化发展策略和措施。</w:t>
      </w:r>
    </w:p>
    <w:p>
      <w:pPr>
        <w:spacing w:before="46" w:beforeLines="15" w:after="46" w:afterLines="15" w:line="360" w:lineRule="auto"/>
        <w:ind w:firstLine="480" w:firstLineChars="200"/>
        <w:rPr>
          <w:b/>
          <w:color w:val="auto"/>
          <w:kern w:val="0"/>
          <w:sz w:val="24"/>
          <w:lang w:val="zh-CN"/>
        </w:rPr>
      </w:pPr>
      <w:r>
        <w:rPr>
          <w:rFonts w:hint="eastAsia"/>
          <w:color w:val="auto"/>
          <w:kern w:val="0"/>
          <w:sz w:val="24"/>
          <w:lang w:val="zh-CN"/>
        </w:rPr>
        <w:t>台州市公安局交通警察局于2019年下半年完成台州智慧交管工程的全面规划工作，将在2020年至202</w:t>
      </w:r>
      <w:r>
        <w:rPr>
          <w:color w:val="auto"/>
          <w:kern w:val="0"/>
          <w:sz w:val="24"/>
          <w:lang w:val="zh-CN"/>
        </w:rPr>
        <w:t>3</w:t>
      </w:r>
      <w:r>
        <w:rPr>
          <w:rFonts w:hint="eastAsia"/>
          <w:color w:val="auto"/>
          <w:kern w:val="0"/>
          <w:sz w:val="24"/>
          <w:lang w:val="zh-CN"/>
        </w:rPr>
        <w:t>年分四部分完成台州智慧交管工程整体建设。本</w:t>
      </w:r>
      <w:r>
        <w:rPr>
          <w:rFonts w:hint="eastAsia" w:ascii="宋体" w:hAnsi="宋体" w:cs="宋体"/>
          <w:color w:val="auto"/>
          <w:kern w:val="0"/>
          <w:sz w:val="24"/>
          <w:lang w:val="zh-CN"/>
        </w:rPr>
        <w:t>项目为台州智慧交管工程项目第四部分协同应用部分。</w:t>
      </w:r>
    </w:p>
    <w:p>
      <w:pPr>
        <w:keepNext/>
        <w:keepLines/>
        <w:numPr>
          <w:ilvl w:val="2"/>
          <w:numId w:val="2"/>
        </w:numPr>
        <w:tabs>
          <w:tab w:val="left" w:pos="142"/>
          <w:tab w:val="left" w:pos="360"/>
        </w:tabs>
        <w:spacing w:line="360" w:lineRule="auto"/>
        <w:ind w:left="0" w:firstLine="0"/>
        <w:outlineLvl w:val="2"/>
        <w:rPr>
          <w:rFonts w:ascii="黑体" w:hAnsi="黑体" w:eastAsia="黑体" w:cs="仿宋"/>
          <w:b/>
          <w:bCs/>
          <w:color w:val="auto"/>
          <w:sz w:val="28"/>
          <w:szCs w:val="32"/>
        </w:rPr>
      </w:pPr>
      <w:r>
        <w:rPr>
          <w:rFonts w:hint="eastAsia" w:ascii="黑体" w:hAnsi="黑体" w:eastAsia="黑体" w:cs="仿宋"/>
          <w:b/>
          <w:bCs/>
          <w:color w:val="auto"/>
          <w:sz w:val="28"/>
          <w:szCs w:val="32"/>
        </w:rPr>
        <w:t>业务应用现状</w:t>
      </w:r>
    </w:p>
    <w:p>
      <w:pPr>
        <w:widowControl/>
        <w:autoSpaceDE w:val="0"/>
        <w:autoSpaceDN w:val="0"/>
        <w:adjustRightInd w:val="0"/>
        <w:spacing w:line="360" w:lineRule="auto"/>
        <w:ind w:firstLine="460" w:firstLineChars="192"/>
        <w:jc w:val="left"/>
        <w:rPr>
          <w:color w:val="auto"/>
          <w:kern w:val="0"/>
          <w:sz w:val="24"/>
          <w:szCs w:val="28"/>
          <w:lang w:val="zh-CN"/>
        </w:rPr>
      </w:pPr>
      <w:r>
        <w:rPr>
          <w:rFonts w:hint="eastAsia"/>
          <w:color w:val="auto"/>
          <w:kern w:val="0"/>
          <w:sz w:val="24"/>
          <w:szCs w:val="28"/>
          <w:lang w:val="zh-CN"/>
        </w:rPr>
        <w:t>台州交管信息化业务应用系统包含便民惠民的互联网应用、交管业务公安信息网应用、感知系统的视频专网应用、窗口处理等相关政务外网应用及执法处理与勤务打卡等移动端应用，主要应用包括台州交警微信公众号、公安交通集成指挥平台、交通管理综合应用平台、指挥中心集成平台、台州市道路交通事故网上办案系统、车辆大数据系统、路口信控智能化、交通秩序管理综合业务系统、台州交警视频综合业务平台、执法记录仪管理平台、微波雷达系统、台州交警基础数据管理平台、警车与警员定位管理系统、城市道路智能管控平台、腾讯电子地图等。本期规划应用将充分挖掘、复用现有业务应用的数据价值与功能模块，避免重复建设，如针对车辆大数据系统的升级改造，高地一体化模块改造、基于采购方指定地图的业务应用开发，基于各类感知数据的模型超市建设等。</w:t>
      </w:r>
    </w:p>
    <w:p>
      <w:pPr>
        <w:keepNext/>
        <w:keepLines/>
        <w:numPr>
          <w:ilvl w:val="2"/>
          <w:numId w:val="2"/>
        </w:numPr>
        <w:tabs>
          <w:tab w:val="left" w:pos="142"/>
          <w:tab w:val="left" w:pos="360"/>
        </w:tabs>
        <w:spacing w:line="360" w:lineRule="auto"/>
        <w:ind w:left="0" w:firstLine="0"/>
        <w:outlineLvl w:val="2"/>
        <w:rPr>
          <w:rFonts w:ascii="黑体" w:hAnsi="黑体" w:eastAsia="黑体" w:cs="仿宋"/>
          <w:b/>
          <w:bCs/>
          <w:color w:val="auto"/>
          <w:sz w:val="28"/>
          <w:szCs w:val="32"/>
        </w:rPr>
      </w:pPr>
      <w:r>
        <w:rPr>
          <w:rFonts w:hint="eastAsia" w:ascii="黑体" w:hAnsi="黑体" w:eastAsia="黑体" w:cs="仿宋"/>
          <w:b/>
          <w:bCs/>
          <w:color w:val="auto"/>
          <w:sz w:val="28"/>
          <w:szCs w:val="32"/>
        </w:rPr>
        <w:t>数据架构现状</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台州交警信息化建设较早，各业务条线按需独自建设业务应用，缺少顶层设计、统筹规划，导致系统分散繁杂、数据割裂无统一标准。</w:t>
      </w:r>
      <w:r>
        <w:rPr>
          <w:color w:val="auto"/>
          <w:kern w:val="0"/>
          <w:sz w:val="24"/>
          <w:szCs w:val="28"/>
        </w:rPr>
        <w:t xml:space="preserve">  </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因缺少统一规划，各职能部门IT系统基本独立建设，存在重复投资，建设成本高等问题。技术上没有统一规范和标准，无法支持资源共享；服务器资源使用率低，难以集中管理和使用，且大部分设备接近运维末期，急需集约建设资源中心，将IT资源统一整合。智慧交管的智能化发展，需要大量的IT计算资源，但是现有的软硬一体的部署方式对IT资源的配置相对固化，不能根据实际需要和业务变化进行资源动态调整和快速扩展，导致系统的灵活性和扩展性差，无法满足平时实时分析、战时资源全部调用的需求，因此急需建设一套弹性资源调度平台。</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数据烟囱化严重，需要构建统一数据中心。当前的信息化系统、智能解析系统均自带数据标准、保存在内部私有的数据库中，无法支持跨系统融合的多维情报研判。当采用不同系统重复利用同一类数据时，势必带来不同系统间结构化数据的标准化和开放性问题，同时这种应用和数据的强绑定耦合构架，也会对引入新的应用系统带来对接障碍。为此，需要通过统一的数据中心，把各系统的信息化数据、结构化数据进行集中存储和开放共享，并提供批量分析处理、实时流处理匹配不同业务应用场景的数据分析引擎。</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当前各系统独立构建中间件和服务平台，导致平台丛生，重复建设严重，接口标准各行其道不标准，无法复用，需要参考数字化改革框架要求，构建台州智慧交管统一的应用支撑平台——赋能中心，归并中间件和服务总线，打造标准化接口、服务化模型超市，最大限度避免重复建设，提高资源利用率，提供业务创新的土壤。赋能中心提供统一的大数据服务、AI能力、模型超市，支持基础组件微服务化，让智慧交管协同应用体系的创新应用像积木一样快速开发、安装、应用，并提供拖拉拽的模型工具，为一线民警根据个人业务特点构建“因人而异”的技战法仓库，最大限度挖掘信息化红利，提升**效能。</w:t>
      </w:r>
    </w:p>
    <w:p>
      <w:pPr>
        <w:keepNext/>
        <w:keepLines/>
        <w:numPr>
          <w:ilvl w:val="2"/>
          <w:numId w:val="2"/>
        </w:numPr>
        <w:tabs>
          <w:tab w:val="left" w:pos="142"/>
          <w:tab w:val="left" w:pos="360"/>
        </w:tabs>
        <w:spacing w:line="360" w:lineRule="auto"/>
        <w:ind w:left="0" w:firstLine="0"/>
        <w:outlineLvl w:val="2"/>
        <w:rPr>
          <w:rFonts w:ascii="黑体" w:hAnsi="黑体" w:eastAsia="黑体" w:cs="仿宋"/>
          <w:b/>
          <w:bCs/>
          <w:color w:val="auto"/>
          <w:sz w:val="28"/>
          <w:szCs w:val="32"/>
        </w:rPr>
      </w:pPr>
      <w:r>
        <w:rPr>
          <w:rFonts w:hint="eastAsia" w:ascii="黑体" w:hAnsi="黑体" w:eastAsia="黑体" w:cs="仿宋"/>
          <w:b/>
          <w:bCs/>
          <w:color w:val="auto"/>
          <w:sz w:val="28"/>
          <w:szCs w:val="32"/>
        </w:rPr>
        <w:t>存在的问题和差距</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当前台州智慧交管工程交通管理体系局部有效，与智慧交管建设先进地市相比，缺乏基于全局的顶层设计，无法支持有效的协调联动，具体表现为以下几个方面：</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（1）融合不足：台州市交警各应用系统由各部门分阶段按需独立建设，各应用系统自有硬件设施、数据库各不相同，接口协议五花八门，导致数据孤岛和系统壁垒，造成数据无法互通共用。</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（2）共享不足：由于数据孤岛和系统壁垒的存在，台州市交警各条线建设自行规划，缺少统筹，导致基础设施、数据资源割裂严重，未支持共建共享，随着业务集成应用的拓展，融合共享问题日益凸显。</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3）生态不足：多年来台州市交警立足实战要求，以应用系统作为建设重点，打造了一批视频、车辆智能化应用，但各厂家各自圈地，私有协议形成垄断格局。随着AI技术的日新月异，新技术新应用层出不穷，急需打造数据中心，构建台州交警协同应用统一平台，形成应用、数据百花齐放百家争鸣的新局面。</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（4）开放不足：从底层基础设施到数据资源，再到应用支撑，各层均烟囱林立，垂直应用自成体系，导致算法、算力、应用、数据封闭耦合，系统兼容开放能力不足。</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（5）协同不足：在应用层面，当前台州市交警局各应用模块功能单一，聚焦各业务条线，面对实战需求，由于操作断点导致在各系统间来回切换，反复输入，时效性、协同性不足。</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（6）赋能不足：当前台州市交警局各应用系统缺乏开放共享能力，对内不足以赋能县（市、区）、不足以赋能各个业务部门；对外，不足以赋能其他惠民应用，感知大数据和传统大数据需要深度结合。</w:t>
      </w:r>
    </w:p>
    <w:p>
      <w:pPr>
        <w:keepNext/>
        <w:keepLines/>
        <w:numPr>
          <w:ilvl w:val="1"/>
          <w:numId w:val="2"/>
        </w:numPr>
        <w:tabs>
          <w:tab w:val="left" w:pos="142"/>
          <w:tab w:val="left" w:pos="360"/>
        </w:tabs>
        <w:spacing w:line="360" w:lineRule="auto"/>
        <w:ind w:left="0" w:firstLine="0"/>
        <w:outlineLvl w:val="1"/>
        <w:rPr>
          <w:rFonts w:ascii="黑体" w:hAnsi="黑体" w:eastAsia="黑体"/>
          <w:b/>
          <w:bCs/>
          <w:color w:val="auto"/>
          <w:sz w:val="28"/>
          <w:szCs w:val="32"/>
        </w:rPr>
      </w:pPr>
      <w:r>
        <w:rPr>
          <w:rFonts w:hint="eastAsia" w:ascii="黑体" w:hAnsi="黑体" w:eastAsia="黑体"/>
          <w:b/>
          <w:bCs/>
          <w:color w:val="auto"/>
          <w:sz w:val="28"/>
          <w:szCs w:val="32"/>
        </w:rPr>
        <w:t>采购需求</w:t>
      </w:r>
    </w:p>
    <w:p>
      <w:pPr>
        <w:keepNext/>
        <w:keepLines/>
        <w:numPr>
          <w:ilvl w:val="2"/>
          <w:numId w:val="2"/>
        </w:numPr>
        <w:tabs>
          <w:tab w:val="left" w:pos="142"/>
          <w:tab w:val="left" w:pos="360"/>
        </w:tabs>
        <w:spacing w:line="360" w:lineRule="auto"/>
        <w:ind w:left="0" w:firstLine="0"/>
        <w:outlineLvl w:val="2"/>
        <w:rPr>
          <w:rFonts w:ascii="黑体" w:hAnsi="黑体" w:eastAsia="黑体" w:cs="仿宋"/>
          <w:b/>
          <w:bCs/>
          <w:color w:val="auto"/>
          <w:sz w:val="28"/>
          <w:szCs w:val="32"/>
        </w:rPr>
      </w:pPr>
      <w:r>
        <w:rPr>
          <w:rFonts w:hint="eastAsia" w:ascii="黑体" w:hAnsi="黑体" w:eastAsia="黑体" w:cs="仿宋"/>
          <w:b/>
          <w:bCs/>
          <w:color w:val="auto"/>
          <w:sz w:val="28"/>
          <w:szCs w:val="32"/>
        </w:rPr>
        <w:t>建设目标</w:t>
      </w:r>
    </w:p>
    <w:p>
      <w:pPr>
        <w:spacing w:line="360" w:lineRule="auto"/>
        <w:ind w:firstLine="480" w:firstLineChars="200"/>
        <w:rPr>
          <w:rFonts w:ascii="宋体" w:hAnsi="宋体"/>
          <w:color w:val="auto"/>
          <w:sz w:val="24"/>
          <w:szCs w:val="22"/>
        </w:rPr>
      </w:pPr>
      <w:r>
        <w:rPr>
          <w:rFonts w:hint="eastAsia"/>
          <w:color w:val="auto"/>
          <w:sz w:val="24"/>
          <w:szCs w:val="22"/>
        </w:rPr>
        <w:t>通过本项目的建设，聚焦安全、疏堵，增强交通情报精准度，提升路面执法效力，逐步满足国家、公安部提出的有关交通管理信息化建设的任务要求，同时支撑台州交警局交通管理发展的需要，发挥科技效能，支持交通态势、执法、管控、秩序智能化，为人民群众营造一个环境优美、交通便捷、出行顺畅的平安台州、绿色台州、智慧台州，达成信息惠民、技术便民、智能提效的目标。</w:t>
      </w:r>
    </w:p>
    <w:p>
      <w:pPr>
        <w:keepNext/>
        <w:keepLines/>
        <w:numPr>
          <w:ilvl w:val="2"/>
          <w:numId w:val="2"/>
        </w:numPr>
        <w:tabs>
          <w:tab w:val="left" w:pos="142"/>
          <w:tab w:val="left" w:pos="360"/>
        </w:tabs>
        <w:spacing w:line="360" w:lineRule="auto"/>
        <w:ind w:left="0" w:firstLine="0"/>
        <w:outlineLvl w:val="2"/>
        <w:rPr>
          <w:rFonts w:ascii="黑体" w:hAnsi="黑体" w:eastAsia="黑体" w:cs="仿宋"/>
          <w:b/>
          <w:bCs/>
          <w:color w:val="auto"/>
          <w:sz w:val="28"/>
          <w:szCs w:val="32"/>
        </w:rPr>
      </w:pPr>
      <w:r>
        <w:rPr>
          <w:rFonts w:hint="eastAsia" w:ascii="黑体" w:hAnsi="黑体" w:eastAsia="黑体" w:cs="仿宋"/>
          <w:b/>
          <w:bCs/>
          <w:color w:val="auto"/>
          <w:sz w:val="28"/>
          <w:szCs w:val="32"/>
        </w:rPr>
        <w:t>建设内容</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本项目统筹建设台州交警“3+1+1</w:t>
      </w:r>
      <w:r>
        <w:rPr>
          <w:rFonts w:hint="eastAsia"/>
          <w:color w:val="auto"/>
          <w:kern w:val="0"/>
          <w:sz w:val="24"/>
          <w:lang w:val="en-US" w:eastAsia="zh-CN"/>
        </w:rPr>
        <w:t>0</w:t>
      </w:r>
      <w:r>
        <w:rPr>
          <w:rFonts w:hint="eastAsia"/>
          <w:color w:val="auto"/>
          <w:kern w:val="0"/>
          <w:sz w:val="24"/>
          <w:lang w:val="zh-CN"/>
        </w:rPr>
        <w:t>”智慧交管工程，其中“3”为包含资源中心、数据中心、赋能中心在内的三大支撑中心，“1”为一个协同应用体系，“1</w:t>
      </w:r>
      <w:r>
        <w:rPr>
          <w:rFonts w:hint="eastAsia"/>
          <w:color w:val="auto"/>
          <w:kern w:val="0"/>
          <w:sz w:val="24"/>
          <w:lang w:val="en-US" w:eastAsia="zh-CN"/>
        </w:rPr>
        <w:t>0</w:t>
      </w:r>
      <w:r>
        <w:rPr>
          <w:rFonts w:hint="eastAsia"/>
          <w:color w:val="auto"/>
          <w:kern w:val="0"/>
          <w:sz w:val="24"/>
          <w:lang w:val="zh-CN"/>
        </w:rPr>
        <w:t>”为包含应用融合管理模块、数智实战模块、数智决策模块、高地一体化模块、信号控制提升模块、事故可视化模块、交通态势分析模块、驾驶人学习防范模块、运维管理模块、移动应用模块在内可按需拓展的1</w:t>
      </w:r>
      <w:r>
        <w:rPr>
          <w:rFonts w:hint="eastAsia"/>
          <w:color w:val="auto"/>
          <w:kern w:val="0"/>
          <w:sz w:val="24"/>
          <w:lang w:val="en-US" w:eastAsia="zh-CN"/>
        </w:rPr>
        <w:t>0</w:t>
      </w:r>
      <w:r>
        <w:rPr>
          <w:rFonts w:hint="eastAsia"/>
          <w:color w:val="auto"/>
          <w:kern w:val="0"/>
          <w:sz w:val="24"/>
          <w:lang w:val="zh-CN"/>
        </w:rPr>
        <w:t>个应用模块。</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1</w:t>
      </w:r>
      <w:r>
        <w:rPr>
          <w:rFonts w:hint="eastAsia"/>
          <w:color w:val="auto"/>
          <w:kern w:val="0"/>
          <w:sz w:val="24"/>
          <w:szCs w:val="28"/>
        </w:rPr>
        <w:t>）资源中心</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建设计算基础资源、平台服务、大数据平台和系统运维平台等内容，基础资源主要包括通用计算资源、</w:t>
      </w:r>
      <w:r>
        <w:rPr>
          <w:color w:val="auto"/>
          <w:kern w:val="0"/>
          <w:sz w:val="24"/>
          <w:szCs w:val="28"/>
        </w:rPr>
        <w:t>GPU</w:t>
      </w:r>
      <w:r>
        <w:rPr>
          <w:rFonts w:hint="eastAsia"/>
          <w:color w:val="auto"/>
          <w:kern w:val="0"/>
          <w:sz w:val="24"/>
          <w:szCs w:val="28"/>
        </w:rPr>
        <w:t>计算资源和相关存储资源，为台州市智慧交管数据中心、数据标准体系、大数据平台搭建及智慧应用部署提供基础支撑。在公安视频专网和公安信息网各部署一套平台，交管智能体，采用扩展性良好的“松耦合”架构，各层之间可相互协调，任意扩展，满足未来交管一体化应用的使用和扩展需求。</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2</w:t>
      </w:r>
      <w:r>
        <w:rPr>
          <w:rFonts w:hint="eastAsia"/>
          <w:color w:val="auto"/>
          <w:kern w:val="0"/>
          <w:sz w:val="24"/>
          <w:szCs w:val="28"/>
        </w:rPr>
        <w:t>）数据</w:t>
      </w:r>
      <w:r>
        <w:rPr>
          <w:color w:val="auto"/>
          <w:kern w:val="0"/>
          <w:sz w:val="24"/>
          <w:szCs w:val="28"/>
        </w:rPr>
        <w:t>中心</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通过统一的数据接入标准规范，支持对各类外场设备采集数据、交通管理信息化数据、社会信息资源、公安信息资源、交通相关部门数据以及交通相关企业数据的接入、清洗、转换与治理，建设全域全量大数据资源池，支持数据“统一处理、统一存储、统一分析、统一应用、统一共享”的目标，面向各交管应用系统提供数据支撑，支持应用业务系统与数据平台之间的分层解耦、兼容开放的生态体系，同时交警部门统一拥有交管数据管理、分配、共享、服务的所有权。</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3</w:t>
      </w:r>
      <w:r>
        <w:rPr>
          <w:rFonts w:hint="eastAsia"/>
          <w:color w:val="auto"/>
          <w:kern w:val="0"/>
          <w:sz w:val="24"/>
          <w:szCs w:val="28"/>
        </w:rPr>
        <w:t>）赋能中心</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适应人工智能、大数据技术发展，面向交警业务实战应用，落实分级分类预警机制，建设</w:t>
      </w:r>
      <w:r>
        <w:rPr>
          <w:rFonts w:hint="eastAsia"/>
          <w:color w:val="auto"/>
          <w:kern w:val="0"/>
          <w:sz w:val="24"/>
          <w:szCs w:val="28"/>
        </w:rPr>
        <w:t>车像、</w:t>
      </w:r>
      <w:r>
        <w:rPr>
          <w:color w:val="auto"/>
          <w:kern w:val="0"/>
          <w:sz w:val="24"/>
          <w:szCs w:val="28"/>
        </w:rPr>
        <w:t>违法图片识别比对智能应用，搭建多层级音视频协同任务调度通道，推进</w:t>
      </w:r>
      <w:r>
        <w:rPr>
          <w:rFonts w:hint="eastAsia"/>
          <w:b/>
          <w:bCs/>
          <w:color w:val="auto"/>
          <w:kern w:val="0"/>
          <w:sz w:val="24"/>
          <w:szCs w:val="28"/>
          <w:lang w:eastAsia="zh-CN"/>
        </w:rPr>
        <w:t>高速及地方</w:t>
      </w:r>
      <w:r>
        <w:rPr>
          <w:color w:val="auto"/>
          <w:kern w:val="0"/>
          <w:sz w:val="24"/>
          <w:szCs w:val="28"/>
        </w:rPr>
        <w:t>公路交通安全防控、交通违法分析研判、应急任务调度等业务岗位数字化转型和智能化改造，全面提高交通安全隐患发现消除能力，为道路交通事故预防中心工作提供技术支撑服务。</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4</w:t>
      </w:r>
      <w:r>
        <w:rPr>
          <w:rFonts w:hint="eastAsia"/>
          <w:color w:val="auto"/>
          <w:kern w:val="0"/>
          <w:sz w:val="24"/>
          <w:szCs w:val="28"/>
        </w:rPr>
        <w:t>）智慧交管协同应用体系</w:t>
      </w:r>
    </w:p>
    <w:p>
      <w:pPr>
        <w:widowControl/>
        <w:autoSpaceDE w:val="0"/>
        <w:autoSpaceDN w:val="0"/>
        <w:adjustRightInd w:val="0"/>
        <w:spacing w:before="120" w:after="120" w:line="360" w:lineRule="auto"/>
        <w:ind w:firstLine="463" w:firstLineChars="192"/>
        <w:jc w:val="left"/>
        <w:rPr>
          <w:color w:val="auto"/>
          <w:kern w:val="0"/>
          <w:sz w:val="24"/>
          <w:szCs w:val="28"/>
        </w:rPr>
      </w:pPr>
      <w:r>
        <w:rPr>
          <w:rFonts w:hint="eastAsia"/>
          <w:b/>
          <w:color w:val="auto"/>
          <w:kern w:val="0"/>
          <w:sz w:val="24"/>
          <w:szCs w:val="28"/>
        </w:rPr>
        <w:t>应用融合管理模块。</w:t>
      </w:r>
      <w:r>
        <w:rPr>
          <w:rFonts w:hint="eastAsia"/>
          <w:color w:val="auto"/>
          <w:kern w:val="0"/>
          <w:sz w:val="24"/>
          <w:szCs w:val="28"/>
        </w:rPr>
        <w:t>智慧交管应用融合管理模块提供用户基本的使用功能，包含统一认证管理、统一门户集成、用户体系对接、统一授权管理、统一接入管理等功能。</w:t>
      </w:r>
    </w:p>
    <w:p>
      <w:pPr>
        <w:widowControl/>
        <w:autoSpaceDE w:val="0"/>
        <w:autoSpaceDN w:val="0"/>
        <w:adjustRightInd w:val="0"/>
        <w:spacing w:before="120" w:after="120" w:line="360" w:lineRule="auto"/>
        <w:ind w:firstLine="463" w:firstLineChars="192"/>
        <w:jc w:val="left"/>
        <w:rPr>
          <w:color w:val="auto"/>
          <w:kern w:val="0"/>
          <w:sz w:val="24"/>
          <w:szCs w:val="28"/>
        </w:rPr>
      </w:pPr>
      <w:r>
        <w:rPr>
          <w:rFonts w:hint="eastAsia"/>
          <w:b/>
          <w:color w:val="auto"/>
          <w:kern w:val="0"/>
          <w:sz w:val="24"/>
          <w:szCs w:val="28"/>
        </w:rPr>
        <w:t>数智实战模块。</w:t>
      </w:r>
      <w:r>
        <w:rPr>
          <w:rFonts w:hint="eastAsia"/>
          <w:color w:val="auto"/>
          <w:kern w:val="0"/>
          <w:sz w:val="24"/>
          <w:szCs w:val="28"/>
        </w:rPr>
        <w:t>数智实战模块建设从台州市交通实际情况出发，结合公安部新勤务管理体系和本市公安**机制改革，充分运用大数据、云计算、物联网、互联网等信息技术，探索健全预警、研判、指挥、调度、联动、考核、监督的新**运行机制，在此基础上，构建运营决策与感知控制机制，形成“问题导向，运营决策闭环”与“绩效导向，**执行闭环”双闭环，追求最大的**绩效，努力提升城市交通治理能力的现代化水平。</w:t>
      </w:r>
    </w:p>
    <w:p>
      <w:pPr>
        <w:widowControl/>
        <w:autoSpaceDE w:val="0"/>
        <w:autoSpaceDN w:val="0"/>
        <w:adjustRightInd w:val="0"/>
        <w:spacing w:before="120" w:after="120" w:line="360" w:lineRule="auto"/>
        <w:ind w:firstLine="463" w:firstLineChars="192"/>
        <w:jc w:val="left"/>
        <w:rPr>
          <w:color w:val="auto"/>
          <w:kern w:val="0"/>
          <w:sz w:val="24"/>
          <w:szCs w:val="28"/>
        </w:rPr>
      </w:pPr>
      <w:r>
        <w:rPr>
          <w:b/>
          <w:color w:val="auto"/>
          <w:kern w:val="0"/>
          <w:sz w:val="24"/>
          <w:szCs w:val="28"/>
        </w:rPr>
        <w:t>数智决策模块</w:t>
      </w:r>
      <w:r>
        <w:rPr>
          <w:rFonts w:hint="eastAsia"/>
          <w:b/>
          <w:color w:val="auto"/>
          <w:kern w:val="0"/>
          <w:sz w:val="24"/>
          <w:szCs w:val="28"/>
        </w:rPr>
        <w:t>。</w:t>
      </w:r>
      <w:r>
        <w:rPr>
          <w:rFonts w:hint="eastAsia"/>
          <w:color w:val="auto"/>
          <w:kern w:val="0"/>
          <w:sz w:val="24"/>
          <w:szCs w:val="28"/>
        </w:rPr>
        <w:t>依据数据中心，通过大数据研判分析，按照交通管理要素的变化趋势给出不同的应用场景，以可视化看板方式，呈现城市交通整体态势及交通运行过程的异常突变情况；主动推送交通运行异常情况，提前针对每一种应用场景给出勤务处置预案。其主要的展现方式由交通态势看板、指挥看板、</w:t>
      </w:r>
      <w:r>
        <w:rPr>
          <w:color w:val="auto"/>
          <w:kern w:val="0"/>
          <w:sz w:val="24"/>
          <w:szCs w:val="28"/>
        </w:rPr>
        <w:t>情报看板</w:t>
      </w:r>
      <w:r>
        <w:rPr>
          <w:rFonts w:hint="eastAsia"/>
          <w:color w:val="auto"/>
          <w:kern w:val="0"/>
          <w:sz w:val="24"/>
          <w:szCs w:val="28"/>
        </w:rPr>
        <w:t>、勤务看板、中队看板、事故看板六部分组成，针对决策</w:t>
      </w:r>
      <w:r>
        <w:rPr>
          <w:color w:val="auto"/>
          <w:kern w:val="0"/>
          <w:sz w:val="24"/>
          <w:szCs w:val="28"/>
        </w:rPr>
        <w:t>人员</w:t>
      </w:r>
      <w:r>
        <w:rPr>
          <w:rFonts w:hint="eastAsia"/>
          <w:color w:val="auto"/>
          <w:kern w:val="0"/>
          <w:sz w:val="24"/>
          <w:szCs w:val="28"/>
        </w:rPr>
        <w:t>、指挥人员、</w:t>
      </w:r>
      <w:r>
        <w:rPr>
          <w:color w:val="auto"/>
          <w:kern w:val="0"/>
          <w:sz w:val="24"/>
          <w:szCs w:val="28"/>
        </w:rPr>
        <w:t>情报分析人员、</w:t>
      </w:r>
      <w:r>
        <w:rPr>
          <w:rFonts w:hint="eastAsia"/>
          <w:color w:val="auto"/>
          <w:kern w:val="0"/>
          <w:sz w:val="24"/>
          <w:szCs w:val="28"/>
        </w:rPr>
        <w:t>路面带班</w:t>
      </w:r>
      <w:r>
        <w:rPr>
          <w:color w:val="auto"/>
          <w:kern w:val="0"/>
          <w:sz w:val="24"/>
          <w:szCs w:val="28"/>
        </w:rPr>
        <w:t>人员</w:t>
      </w:r>
      <w:r>
        <w:rPr>
          <w:rFonts w:hint="eastAsia"/>
          <w:color w:val="auto"/>
          <w:kern w:val="0"/>
          <w:sz w:val="24"/>
          <w:szCs w:val="28"/>
        </w:rPr>
        <w:t>各角色不同关注点，提供以个性化、智能化、可视化为突出特征的多屏实战。</w:t>
      </w:r>
    </w:p>
    <w:p>
      <w:pPr>
        <w:widowControl/>
        <w:autoSpaceDE w:val="0"/>
        <w:autoSpaceDN w:val="0"/>
        <w:adjustRightInd w:val="0"/>
        <w:spacing w:before="120" w:after="120" w:line="360" w:lineRule="auto"/>
        <w:ind w:firstLine="463" w:firstLineChars="192"/>
        <w:jc w:val="left"/>
        <w:rPr>
          <w:color w:val="auto"/>
          <w:kern w:val="0"/>
          <w:sz w:val="24"/>
          <w:szCs w:val="28"/>
        </w:rPr>
      </w:pPr>
      <w:r>
        <w:rPr>
          <w:rFonts w:hint="eastAsia"/>
          <w:b/>
          <w:color w:val="auto"/>
          <w:kern w:val="0"/>
          <w:sz w:val="24"/>
          <w:szCs w:val="28"/>
        </w:rPr>
        <w:t>高地一体化模块。</w:t>
      </w:r>
      <w:r>
        <w:rPr>
          <w:rFonts w:hint="eastAsia"/>
          <w:color w:val="auto"/>
          <w:kern w:val="0"/>
          <w:sz w:val="24"/>
          <w:szCs w:val="28"/>
        </w:rPr>
        <w:t>整合台州城区与高速公路交通管控的设备资源、感知能力、分析能力与处置能力，基于扁平化指挥调度思想打造“高地一体化一张图”的指挥作战平台，打破了台州城区与高速交通管控的信息壁垒，提升了处置决策的能力与效率。</w:t>
      </w:r>
    </w:p>
    <w:p>
      <w:pPr>
        <w:widowControl/>
        <w:autoSpaceDE w:val="0"/>
        <w:autoSpaceDN w:val="0"/>
        <w:adjustRightInd w:val="0"/>
        <w:spacing w:before="120" w:after="120" w:line="360" w:lineRule="auto"/>
        <w:ind w:firstLine="463" w:firstLineChars="192"/>
        <w:jc w:val="left"/>
        <w:rPr>
          <w:color w:val="auto"/>
          <w:kern w:val="0"/>
          <w:sz w:val="24"/>
          <w:szCs w:val="28"/>
        </w:rPr>
      </w:pPr>
      <w:r>
        <w:rPr>
          <w:b/>
          <w:color w:val="auto"/>
          <w:kern w:val="0"/>
          <w:sz w:val="24"/>
          <w:szCs w:val="28"/>
        </w:rPr>
        <w:t>信号控制提升模块</w:t>
      </w:r>
      <w:r>
        <w:rPr>
          <w:rFonts w:hint="eastAsia"/>
          <w:b/>
          <w:color w:val="auto"/>
          <w:kern w:val="0"/>
          <w:sz w:val="24"/>
          <w:szCs w:val="28"/>
        </w:rPr>
        <w:t>。</w:t>
      </w:r>
      <w:r>
        <w:rPr>
          <w:rFonts w:hint="eastAsia"/>
          <w:color w:val="auto"/>
          <w:kern w:val="0"/>
          <w:sz w:val="24"/>
          <w:szCs w:val="28"/>
        </w:rPr>
        <w:t>规范管控平台数据信息，扩展台州市交通信号统一管控区域；在此基础上，</w:t>
      </w:r>
      <w:r>
        <w:rPr>
          <w:rFonts w:hint="eastAsia"/>
          <w:color w:val="auto"/>
          <w:kern w:val="0"/>
          <w:sz w:val="24"/>
          <w:szCs w:val="28"/>
          <w:lang w:eastAsia="zh-CN"/>
        </w:rPr>
        <w:t>对干线绿波进一步调整优化，</w:t>
      </w:r>
      <w:r>
        <w:rPr>
          <w:rFonts w:hint="eastAsia"/>
          <w:color w:val="auto"/>
          <w:kern w:val="0"/>
          <w:sz w:val="24"/>
          <w:szCs w:val="28"/>
        </w:rPr>
        <w:t>提升交通管控公众服务能力，促进台州市全域信号管控向规范化、精细化、智慧化发展。</w:t>
      </w:r>
    </w:p>
    <w:p>
      <w:pPr>
        <w:widowControl/>
        <w:autoSpaceDE w:val="0"/>
        <w:autoSpaceDN w:val="0"/>
        <w:adjustRightInd w:val="0"/>
        <w:spacing w:before="120" w:after="120" w:line="360" w:lineRule="auto"/>
        <w:ind w:firstLine="463" w:firstLineChars="192"/>
        <w:jc w:val="left"/>
        <w:rPr>
          <w:color w:val="auto"/>
          <w:kern w:val="0"/>
          <w:sz w:val="24"/>
          <w:szCs w:val="28"/>
        </w:rPr>
      </w:pPr>
      <w:r>
        <w:rPr>
          <w:b/>
          <w:color w:val="auto"/>
          <w:kern w:val="0"/>
          <w:sz w:val="24"/>
          <w:szCs w:val="28"/>
        </w:rPr>
        <w:t>事故可视化模块</w:t>
      </w:r>
      <w:r>
        <w:rPr>
          <w:rFonts w:hint="eastAsia"/>
          <w:b/>
          <w:color w:val="auto"/>
          <w:kern w:val="0"/>
          <w:sz w:val="24"/>
          <w:szCs w:val="28"/>
        </w:rPr>
        <w:t>。</w:t>
      </w:r>
      <w:r>
        <w:rPr>
          <w:rFonts w:hint="eastAsia"/>
          <w:color w:val="auto"/>
          <w:kern w:val="0"/>
          <w:sz w:val="24"/>
          <w:szCs w:val="28"/>
        </w:rPr>
        <w:t>将公安部核心业务系统的海量事故数据进行数据汇聚、治理管理，研判挖掘事故发生的规律，形成事故分析报告，对可能出现的道路交通事故概率高发倾向以及数据异常情况及时向交通管理决策部门发出预警，以便降低事故发生的概率。</w:t>
      </w:r>
    </w:p>
    <w:p>
      <w:pPr>
        <w:widowControl/>
        <w:autoSpaceDE w:val="0"/>
        <w:autoSpaceDN w:val="0"/>
        <w:adjustRightInd w:val="0"/>
        <w:spacing w:before="120" w:after="120" w:line="360" w:lineRule="auto"/>
        <w:ind w:firstLine="463" w:firstLineChars="192"/>
        <w:jc w:val="left"/>
        <w:rPr>
          <w:color w:val="auto"/>
          <w:kern w:val="0"/>
          <w:sz w:val="24"/>
          <w:szCs w:val="28"/>
        </w:rPr>
      </w:pPr>
      <w:r>
        <w:rPr>
          <w:rFonts w:hint="eastAsia"/>
          <w:b/>
          <w:color w:val="auto"/>
          <w:kern w:val="0"/>
          <w:sz w:val="24"/>
          <w:szCs w:val="28"/>
        </w:rPr>
        <w:t>交通态势分析模块。</w:t>
      </w:r>
      <w:r>
        <w:rPr>
          <w:rFonts w:hint="eastAsia"/>
          <w:color w:val="auto"/>
          <w:kern w:val="0"/>
          <w:sz w:val="24"/>
          <w:szCs w:val="28"/>
        </w:rPr>
        <w:t>利用大数据融合技术，在统一的路网表达的基础上，通过多维分析挖掘交通数据价值，准确感知城市交通运行体征，提供客观掌握城市交通状况的晴雨表，支撑城市交通精细化管理和快速决策。</w:t>
      </w:r>
    </w:p>
    <w:p>
      <w:pPr>
        <w:widowControl/>
        <w:autoSpaceDE w:val="0"/>
        <w:autoSpaceDN w:val="0"/>
        <w:adjustRightInd w:val="0"/>
        <w:spacing w:before="120" w:after="120" w:line="360" w:lineRule="auto"/>
        <w:ind w:firstLine="463" w:firstLineChars="192"/>
        <w:jc w:val="left"/>
        <w:rPr>
          <w:color w:val="auto"/>
          <w:kern w:val="0"/>
          <w:sz w:val="24"/>
          <w:szCs w:val="28"/>
        </w:rPr>
      </w:pPr>
      <w:r>
        <w:rPr>
          <w:rFonts w:hint="eastAsia"/>
          <w:b/>
          <w:color w:val="auto"/>
          <w:kern w:val="0"/>
          <w:sz w:val="24"/>
          <w:szCs w:val="28"/>
        </w:rPr>
        <w:t>驾驶人学习防范模块。</w:t>
      </w:r>
      <w:r>
        <w:rPr>
          <w:rFonts w:hint="eastAsia"/>
          <w:color w:val="auto"/>
          <w:kern w:val="0"/>
          <w:sz w:val="24"/>
          <w:szCs w:val="28"/>
        </w:rPr>
        <w:t>引导驾驶人主动学习道路交通安全知识，增强自身安全出行意识。通过学习管理平台推动驾驶人道路交通安全的学习，落实驾驶人的学习成效。从而达到广泛普及安全常识，从源头支持最大限度预防和减少交通事故发生的最终目标。</w:t>
      </w:r>
    </w:p>
    <w:p>
      <w:pPr>
        <w:spacing w:before="46" w:beforeLines="15" w:after="46" w:afterLines="15" w:line="360" w:lineRule="auto"/>
        <w:ind w:firstLine="482" w:firstLineChars="200"/>
        <w:rPr>
          <w:color w:val="auto"/>
          <w:kern w:val="0"/>
          <w:sz w:val="24"/>
          <w:lang w:val="zh-CN"/>
        </w:rPr>
      </w:pPr>
      <w:r>
        <w:rPr>
          <w:rFonts w:hint="eastAsia"/>
          <w:b/>
          <w:color w:val="auto"/>
          <w:kern w:val="0"/>
          <w:sz w:val="24"/>
          <w:lang w:val="zh-CN"/>
        </w:rPr>
        <w:t>运维管理模块。</w:t>
      </w:r>
      <w:r>
        <w:rPr>
          <w:rFonts w:hint="eastAsia"/>
          <w:color w:val="auto"/>
          <w:kern w:val="0"/>
          <w:sz w:val="24"/>
          <w:lang w:val="zh-CN"/>
        </w:rPr>
        <w:t>通过对全域资产的统一化管理，统一化编码，统一化配置，统一化展示和统一化标签构建运维平台一体化的资产管理体系。通过人工智能，视觉分析，大数据等技术对物联感知设备等对象进行实时监测、呈现和预警，构建一套智能化，多样化的设备状态检测体系。第一时间发现设备在运行期间存在的问题。运维工作中涉及到的设备多种多样，发现的告警信息也是类型众多。通过建立统一化的告警处理体系，使得各类告警进行统一化的管理，分级分类，规范处理。构建公开化，数据化的运维考核体系。需要建立公正、合理、可量化的工作考核体系，对部门，项目，人员对各个维度进行规范化的考核评价，提高运维效率和管理水平。形成规范化、标准化的运维过程管理机制。智能运维平台的设计以ITSS的先进管理理念为指引，加强了主动化、规范化管理，对系统故障维护和处置过程进行实时跟踪把控和规范化管理。</w:t>
      </w:r>
    </w:p>
    <w:p>
      <w:pPr>
        <w:widowControl/>
        <w:autoSpaceDE w:val="0"/>
        <w:autoSpaceDN w:val="0"/>
        <w:adjustRightInd w:val="0"/>
        <w:spacing w:before="120" w:after="120" w:line="360" w:lineRule="auto"/>
        <w:ind w:firstLine="463" w:firstLineChars="192"/>
        <w:jc w:val="left"/>
        <w:rPr>
          <w:color w:val="auto"/>
          <w:kern w:val="0"/>
          <w:sz w:val="24"/>
          <w:szCs w:val="28"/>
        </w:rPr>
      </w:pPr>
      <w:r>
        <w:rPr>
          <w:rFonts w:hint="eastAsia"/>
          <w:b/>
          <w:color w:val="auto"/>
          <w:kern w:val="0"/>
          <w:sz w:val="24"/>
          <w:szCs w:val="28"/>
        </w:rPr>
        <w:t>移动应用模块。</w:t>
      </w:r>
      <w:r>
        <w:rPr>
          <w:rFonts w:hint="eastAsia"/>
          <w:color w:val="auto"/>
          <w:kern w:val="0"/>
          <w:sz w:val="24"/>
          <w:szCs w:val="28"/>
        </w:rPr>
        <w:t>“浙政钉”和“浙里办”是台州市加快政府职能转变、建设服务型政府、适应信息化时代要求的具体举措，围绕缓解城市交通拥堵、提升公交服务能力、交通网格化管理、提高综合运输协调能力等重点工作，以提升应用效能为主题，以提高管理的精细化、服务的精准化为核心，以构建各级协同工作平台为抓手，搭建综合交通运行监测与协调联动框架，形成一体化多方式公众服务体系，建设覆盖全面的交通信息监测体系、可视化的交通监控指挥体系、协同共享的电子政务体系、方便实用的交通信息服务体系，最终建成新型的、智慧的综合交通运输系统，提高交通运输系统的运行效率和服务水平，为公众提供畅通、安全、绿色、舒适的出行服务，为智慧城市建设奠定基础。</w:t>
      </w:r>
    </w:p>
    <w:p>
      <w:pPr>
        <w:keepNext/>
        <w:keepLines/>
        <w:numPr>
          <w:ilvl w:val="2"/>
          <w:numId w:val="2"/>
        </w:numPr>
        <w:tabs>
          <w:tab w:val="left" w:pos="142"/>
          <w:tab w:val="left" w:pos="360"/>
        </w:tabs>
        <w:spacing w:line="360" w:lineRule="auto"/>
        <w:ind w:left="0" w:firstLine="0"/>
        <w:outlineLvl w:val="2"/>
        <w:rPr>
          <w:rFonts w:ascii="黑体" w:hAnsi="黑体" w:eastAsia="黑体" w:cs="仿宋"/>
          <w:b/>
          <w:bCs/>
          <w:color w:val="auto"/>
          <w:sz w:val="28"/>
          <w:szCs w:val="32"/>
        </w:rPr>
      </w:pPr>
      <w:r>
        <w:rPr>
          <w:rFonts w:hint="eastAsia" w:ascii="黑体" w:hAnsi="黑体" w:eastAsia="黑体" w:cs="仿宋"/>
          <w:b/>
          <w:bCs/>
          <w:color w:val="auto"/>
          <w:sz w:val="28"/>
          <w:szCs w:val="32"/>
        </w:rPr>
        <w:t>建设原则</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以用促建：坚持需求导向，强化平台建设的针对性和有效性；</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统筹规划：坚持“全市一盘棋”、市县联动。加强顶层设计和鼓励基层创新相结合；</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共建共享：集约建设，多方参与，共创共享共优；一地创新，全市受益；</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标准规范：坚持标准引领，以标准化促进数据深度融合，系统互联互通；</w:t>
      </w:r>
    </w:p>
    <w:p>
      <w:pPr>
        <w:spacing w:before="46" w:beforeLines="15" w:after="46" w:afterLines="15" w:line="360" w:lineRule="auto"/>
        <w:ind w:firstLine="480" w:firstLineChars="200"/>
        <w:rPr>
          <w:color w:val="auto"/>
          <w:kern w:val="0"/>
          <w:sz w:val="24"/>
          <w:lang w:val="zh-CN"/>
        </w:rPr>
      </w:pPr>
      <w:r>
        <w:rPr>
          <w:rFonts w:hint="eastAsia"/>
          <w:color w:val="auto"/>
          <w:kern w:val="0"/>
          <w:sz w:val="24"/>
          <w:lang w:val="zh-CN"/>
        </w:rPr>
        <w:t>安全可控：坚持网络安全底线，完善网络和数据安全管理制度，落实安全主体责任。</w:t>
      </w:r>
    </w:p>
    <w:p>
      <w:pPr>
        <w:keepNext/>
        <w:keepLines/>
        <w:numPr>
          <w:ilvl w:val="2"/>
          <w:numId w:val="2"/>
        </w:numPr>
        <w:tabs>
          <w:tab w:val="left" w:pos="142"/>
          <w:tab w:val="left" w:pos="360"/>
        </w:tabs>
        <w:spacing w:line="360" w:lineRule="auto"/>
        <w:ind w:left="0" w:firstLine="0"/>
        <w:outlineLvl w:val="2"/>
        <w:rPr>
          <w:rFonts w:ascii="黑体" w:hAnsi="黑体" w:eastAsia="黑体" w:cs="仿宋"/>
          <w:b/>
          <w:bCs/>
          <w:color w:val="auto"/>
          <w:sz w:val="28"/>
          <w:szCs w:val="32"/>
        </w:rPr>
      </w:pPr>
      <w:r>
        <w:rPr>
          <w:rFonts w:hint="eastAsia" w:ascii="黑体" w:hAnsi="黑体" w:eastAsia="黑体" w:cs="仿宋"/>
          <w:b/>
          <w:bCs/>
          <w:color w:val="auto"/>
          <w:sz w:val="28"/>
          <w:szCs w:val="32"/>
        </w:rPr>
        <w:t>建设依据</w:t>
      </w:r>
    </w:p>
    <w:p>
      <w:pPr>
        <w:widowControl/>
        <w:autoSpaceDE w:val="0"/>
        <w:autoSpaceDN w:val="0"/>
        <w:adjustRightInd w:val="0"/>
        <w:spacing w:line="360" w:lineRule="auto"/>
        <w:ind w:firstLine="463" w:firstLineChars="192"/>
        <w:jc w:val="left"/>
        <w:rPr>
          <w:b/>
          <w:color w:val="auto"/>
          <w:kern w:val="0"/>
          <w:sz w:val="24"/>
          <w:szCs w:val="28"/>
        </w:rPr>
      </w:pPr>
      <w:r>
        <w:rPr>
          <w:rFonts w:hint="eastAsia"/>
          <w:b/>
          <w:color w:val="auto"/>
          <w:kern w:val="0"/>
          <w:sz w:val="24"/>
          <w:szCs w:val="28"/>
        </w:rPr>
        <w:t>（</w:t>
      </w:r>
      <w:r>
        <w:rPr>
          <w:b/>
          <w:color w:val="auto"/>
          <w:kern w:val="0"/>
          <w:sz w:val="24"/>
          <w:szCs w:val="28"/>
        </w:rPr>
        <w:t>1</w:t>
      </w:r>
      <w:r>
        <w:rPr>
          <w:rFonts w:hint="eastAsia"/>
          <w:b/>
          <w:color w:val="auto"/>
          <w:kern w:val="0"/>
          <w:sz w:val="24"/>
          <w:szCs w:val="28"/>
        </w:rPr>
        <w:t>）国家信息化及人工智能要求</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1）《中华人民共和国国民经济和社会发展第十四个五年规划和2035年远景目标纲要》</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2）《关于促进智慧城市健康发展的指导意见（发改高技〔2014〕1770号）》</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3）《国家电子政务工程建设项目管理暂行办法（国家发改委55号令）》</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4）《智慧城市公共信息平台建设指南(试行)》</w:t>
      </w:r>
    </w:p>
    <w:p>
      <w:pPr>
        <w:widowControl/>
        <w:autoSpaceDE w:val="0"/>
        <w:autoSpaceDN w:val="0"/>
        <w:adjustRightInd w:val="0"/>
        <w:spacing w:line="360" w:lineRule="auto"/>
        <w:ind w:firstLine="463" w:firstLineChars="192"/>
        <w:jc w:val="left"/>
        <w:rPr>
          <w:b/>
          <w:color w:val="auto"/>
          <w:kern w:val="0"/>
          <w:sz w:val="24"/>
          <w:szCs w:val="28"/>
        </w:rPr>
      </w:pPr>
      <w:r>
        <w:rPr>
          <w:rFonts w:hint="eastAsia"/>
          <w:b/>
          <w:color w:val="auto"/>
          <w:kern w:val="0"/>
          <w:sz w:val="24"/>
          <w:szCs w:val="28"/>
        </w:rPr>
        <w:t>（</w:t>
      </w:r>
      <w:r>
        <w:rPr>
          <w:b/>
          <w:color w:val="auto"/>
          <w:kern w:val="0"/>
          <w:sz w:val="24"/>
          <w:szCs w:val="28"/>
        </w:rPr>
        <w:t>2</w:t>
      </w:r>
      <w:r>
        <w:rPr>
          <w:rFonts w:hint="eastAsia"/>
          <w:b/>
          <w:color w:val="auto"/>
          <w:kern w:val="0"/>
          <w:sz w:val="24"/>
          <w:szCs w:val="28"/>
        </w:rPr>
        <w:t>）公安部、公安厅相关规划、规范、标准、文件</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1</w:t>
      </w:r>
      <w:r>
        <w:rPr>
          <w:rFonts w:hint="eastAsia"/>
          <w:color w:val="auto"/>
          <w:kern w:val="0"/>
          <w:sz w:val="24"/>
          <w:szCs w:val="28"/>
        </w:rPr>
        <w:t>）《公安信息化标准汇编》</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2</w:t>
      </w:r>
      <w:r>
        <w:rPr>
          <w:rFonts w:hint="eastAsia"/>
          <w:color w:val="auto"/>
          <w:kern w:val="0"/>
          <w:sz w:val="24"/>
          <w:szCs w:val="28"/>
        </w:rPr>
        <w:t>）《公安信息化数据质量管理规范》</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3）《</w:t>
      </w:r>
      <w:r>
        <w:rPr>
          <w:color w:val="auto"/>
          <w:kern w:val="0"/>
          <w:sz w:val="24"/>
          <w:szCs w:val="28"/>
        </w:rPr>
        <w:t>公安交通管理科技发展规划（2021-2023年）</w:t>
      </w:r>
      <w:r>
        <w:rPr>
          <w:rFonts w:hint="eastAsia"/>
          <w:color w:val="auto"/>
          <w:kern w:val="0"/>
          <w:sz w:val="24"/>
          <w:szCs w:val="28"/>
        </w:rPr>
        <w:t>》</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4</w:t>
      </w:r>
      <w:r>
        <w:rPr>
          <w:rFonts w:hint="eastAsia"/>
          <w:color w:val="auto"/>
          <w:kern w:val="0"/>
          <w:sz w:val="24"/>
          <w:szCs w:val="28"/>
        </w:rPr>
        <w:t>）《2</w:t>
      </w:r>
      <w:r>
        <w:rPr>
          <w:color w:val="auto"/>
          <w:kern w:val="0"/>
          <w:sz w:val="24"/>
          <w:szCs w:val="28"/>
        </w:rPr>
        <w:t>021年全省公安机关政务服务数字化改革实施方案》（浙公办</w:t>
      </w:r>
      <w:r>
        <w:rPr>
          <w:rFonts w:hint="eastAsia"/>
          <w:color w:val="auto"/>
          <w:kern w:val="0"/>
          <w:sz w:val="24"/>
          <w:szCs w:val="28"/>
        </w:rPr>
        <w:t>〔</w:t>
      </w:r>
      <w:r>
        <w:rPr>
          <w:color w:val="auto"/>
          <w:kern w:val="0"/>
          <w:sz w:val="24"/>
          <w:szCs w:val="28"/>
        </w:rPr>
        <w:t>2021</w:t>
      </w:r>
      <w:r>
        <w:rPr>
          <w:rFonts w:hint="eastAsia"/>
          <w:color w:val="auto"/>
          <w:kern w:val="0"/>
          <w:sz w:val="24"/>
          <w:szCs w:val="28"/>
        </w:rPr>
        <w:t>〕</w:t>
      </w:r>
      <w:r>
        <w:rPr>
          <w:color w:val="auto"/>
          <w:kern w:val="0"/>
          <w:sz w:val="24"/>
          <w:szCs w:val="28"/>
        </w:rPr>
        <w:t>26号）</w:t>
      </w:r>
    </w:p>
    <w:p>
      <w:pPr>
        <w:widowControl/>
        <w:autoSpaceDE w:val="0"/>
        <w:autoSpaceDN w:val="0"/>
        <w:adjustRightInd w:val="0"/>
        <w:spacing w:line="360" w:lineRule="auto"/>
        <w:ind w:firstLine="463" w:firstLineChars="192"/>
        <w:jc w:val="left"/>
        <w:rPr>
          <w:b/>
          <w:color w:val="auto"/>
          <w:kern w:val="0"/>
          <w:sz w:val="24"/>
          <w:szCs w:val="28"/>
        </w:rPr>
      </w:pPr>
      <w:bookmarkStart w:id="39" w:name="_Hlk5198911"/>
      <w:bookmarkEnd w:id="39"/>
      <w:r>
        <w:rPr>
          <w:rFonts w:hint="eastAsia"/>
          <w:b/>
          <w:color w:val="auto"/>
          <w:kern w:val="0"/>
          <w:sz w:val="24"/>
          <w:szCs w:val="28"/>
        </w:rPr>
        <w:t>（3）浙江省、台州市信息化建设方面要求</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1</w:t>
      </w:r>
      <w:r>
        <w:rPr>
          <w:rFonts w:hint="eastAsia"/>
          <w:color w:val="auto"/>
          <w:kern w:val="0"/>
          <w:sz w:val="24"/>
          <w:szCs w:val="28"/>
        </w:rPr>
        <w:t>）《关于进一步推进全省公安智慧交管管理体系建设工作的通知》（浙公交网〔2019〕41号）</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2</w:t>
      </w:r>
      <w:r>
        <w:rPr>
          <w:rFonts w:hint="eastAsia"/>
          <w:color w:val="auto"/>
          <w:kern w:val="0"/>
          <w:sz w:val="24"/>
          <w:szCs w:val="28"/>
        </w:rPr>
        <w:t>）</w:t>
      </w:r>
      <w:r>
        <w:rPr>
          <w:color w:val="auto"/>
          <w:kern w:val="0"/>
          <w:sz w:val="24"/>
          <w:szCs w:val="28"/>
        </w:rPr>
        <w:t>《浙江省数字化改革总体方案》（浙委改发</w:t>
      </w:r>
      <w:r>
        <w:rPr>
          <w:rFonts w:hint="eastAsia"/>
          <w:color w:val="auto"/>
          <w:kern w:val="0"/>
          <w:sz w:val="24"/>
          <w:szCs w:val="28"/>
        </w:rPr>
        <w:t>〔</w:t>
      </w:r>
      <w:r>
        <w:rPr>
          <w:color w:val="auto"/>
          <w:kern w:val="0"/>
          <w:sz w:val="24"/>
          <w:szCs w:val="28"/>
        </w:rPr>
        <w:t>2021</w:t>
      </w:r>
      <w:r>
        <w:rPr>
          <w:rFonts w:hint="eastAsia"/>
          <w:color w:val="auto"/>
          <w:kern w:val="0"/>
          <w:sz w:val="24"/>
          <w:szCs w:val="28"/>
        </w:rPr>
        <w:t>〕</w:t>
      </w:r>
      <w:r>
        <w:rPr>
          <w:color w:val="auto"/>
          <w:kern w:val="0"/>
          <w:sz w:val="24"/>
          <w:szCs w:val="28"/>
        </w:rPr>
        <w:t>2号）</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3</w:t>
      </w:r>
      <w:r>
        <w:rPr>
          <w:rFonts w:hint="eastAsia"/>
          <w:color w:val="auto"/>
          <w:kern w:val="0"/>
          <w:sz w:val="24"/>
          <w:szCs w:val="28"/>
        </w:rPr>
        <w:t>）《台州市政府数字化转型项目管理办法》</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4</w:t>
      </w:r>
      <w:r>
        <w:rPr>
          <w:rFonts w:hint="eastAsia"/>
          <w:color w:val="auto"/>
          <w:kern w:val="0"/>
          <w:sz w:val="24"/>
          <w:szCs w:val="28"/>
        </w:rPr>
        <w:t>）关于印发《台州市“城市大脑”建设方案》的通知（台市委办发〔2020〕29号</w:t>
      </w:r>
      <w:r>
        <w:rPr>
          <w:color w:val="auto"/>
          <w:kern w:val="0"/>
          <w:sz w:val="24"/>
          <w:szCs w:val="28"/>
        </w:rPr>
        <w:t xml:space="preserve"> </w:t>
      </w:r>
      <w:r>
        <w:rPr>
          <w:rFonts w:hint="eastAsia"/>
          <w:color w:val="auto"/>
          <w:kern w:val="0"/>
          <w:sz w:val="24"/>
          <w:szCs w:val="28"/>
        </w:rPr>
        <w:t>）</w:t>
      </w:r>
    </w:p>
    <w:p>
      <w:pPr>
        <w:widowControl/>
        <w:autoSpaceDE w:val="0"/>
        <w:autoSpaceDN w:val="0"/>
        <w:adjustRightInd w:val="0"/>
        <w:spacing w:line="360" w:lineRule="auto"/>
        <w:ind w:firstLine="463" w:firstLineChars="192"/>
        <w:jc w:val="left"/>
        <w:rPr>
          <w:b/>
          <w:color w:val="auto"/>
          <w:kern w:val="0"/>
          <w:sz w:val="24"/>
          <w:szCs w:val="28"/>
        </w:rPr>
      </w:pPr>
      <w:r>
        <w:rPr>
          <w:rFonts w:hint="eastAsia"/>
          <w:b/>
          <w:color w:val="auto"/>
          <w:kern w:val="0"/>
          <w:sz w:val="24"/>
          <w:szCs w:val="28"/>
        </w:rPr>
        <w:t>（</w:t>
      </w:r>
      <w:r>
        <w:rPr>
          <w:b/>
          <w:color w:val="auto"/>
          <w:kern w:val="0"/>
          <w:sz w:val="24"/>
          <w:szCs w:val="28"/>
        </w:rPr>
        <w:t>4</w:t>
      </w:r>
      <w:r>
        <w:rPr>
          <w:rFonts w:hint="eastAsia"/>
          <w:b/>
          <w:color w:val="auto"/>
          <w:kern w:val="0"/>
          <w:sz w:val="24"/>
          <w:szCs w:val="28"/>
        </w:rPr>
        <w:t>）视频图像、网络、大数据、计算机软件及信息安全等设计编制依据</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1）《公安信息通信网联网设备及应用系统注册管理办法》</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2）《信息安全技术网络安全等级保护安全设计技术要求》（GBT25070-2019）</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3</w:t>
      </w:r>
      <w:r>
        <w:rPr>
          <w:rFonts w:hint="eastAsia"/>
          <w:color w:val="auto"/>
          <w:kern w:val="0"/>
          <w:sz w:val="24"/>
          <w:szCs w:val="28"/>
        </w:rPr>
        <w:t>）《计算机软件可靠性和可维护性管理》（GB/T14394-2016）</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4</w:t>
      </w:r>
      <w:r>
        <w:rPr>
          <w:rFonts w:hint="eastAsia"/>
          <w:color w:val="auto"/>
          <w:kern w:val="0"/>
          <w:sz w:val="24"/>
          <w:szCs w:val="28"/>
        </w:rPr>
        <w:t>）《计算机软件文档编制规范》（GB/T8567-2019）</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5</w:t>
      </w:r>
      <w:r>
        <w:rPr>
          <w:rFonts w:hint="eastAsia"/>
          <w:color w:val="auto"/>
          <w:kern w:val="0"/>
          <w:sz w:val="24"/>
          <w:szCs w:val="28"/>
        </w:rPr>
        <w:t>）《计算机软件需求规格说明规范》（GB/T9385-8）</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6</w:t>
      </w:r>
      <w:r>
        <w:rPr>
          <w:rFonts w:hint="eastAsia"/>
          <w:color w:val="auto"/>
          <w:kern w:val="0"/>
          <w:sz w:val="24"/>
          <w:szCs w:val="28"/>
        </w:rPr>
        <w:t>）《公安交通集成指挥平台结构和功能》（GA/T1146-2014）</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7</w:t>
      </w:r>
      <w:r>
        <w:rPr>
          <w:rFonts w:hint="eastAsia"/>
          <w:color w:val="auto"/>
          <w:kern w:val="0"/>
          <w:sz w:val="24"/>
          <w:szCs w:val="28"/>
        </w:rPr>
        <w:t>）《信息技术大数据 大数据系统基本要求》(GB/T38673-2020)</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8</w:t>
      </w:r>
      <w:r>
        <w:rPr>
          <w:rFonts w:hint="eastAsia"/>
          <w:color w:val="auto"/>
          <w:kern w:val="0"/>
          <w:sz w:val="24"/>
          <w:szCs w:val="28"/>
        </w:rPr>
        <w:t>）《信息技术大数据系统运维和管理功能要求》(GB/T38633-2020)</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9</w:t>
      </w:r>
      <w:r>
        <w:rPr>
          <w:rFonts w:hint="eastAsia"/>
          <w:color w:val="auto"/>
          <w:kern w:val="0"/>
          <w:sz w:val="24"/>
          <w:szCs w:val="28"/>
        </w:rPr>
        <w:t>）《信息技术大数据接口基本要求》(GB/T38672-2020)</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10</w:t>
      </w:r>
      <w:r>
        <w:rPr>
          <w:rFonts w:hint="eastAsia"/>
          <w:color w:val="auto"/>
          <w:kern w:val="0"/>
          <w:sz w:val="24"/>
          <w:szCs w:val="28"/>
        </w:rPr>
        <w:t>）《信息技术大数据数据分类指南》(GB/T38667-2020)</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11</w:t>
      </w:r>
      <w:r>
        <w:rPr>
          <w:rFonts w:hint="eastAsia"/>
          <w:color w:val="auto"/>
          <w:kern w:val="0"/>
          <w:sz w:val="24"/>
          <w:szCs w:val="28"/>
        </w:rPr>
        <w:t>）《信息技术大数据存储与处理模块功能测试要求》(GB/T38676-2020)</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12</w:t>
      </w:r>
      <w:r>
        <w:rPr>
          <w:rFonts w:hint="eastAsia"/>
          <w:color w:val="auto"/>
          <w:kern w:val="0"/>
          <w:sz w:val="24"/>
          <w:szCs w:val="28"/>
        </w:rPr>
        <w:t>）《信息技术大数据分析模块功能测试要求》(GB/T38643-2020)</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13</w:t>
      </w:r>
      <w:r>
        <w:rPr>
          <w:rFonts w:hint="eastAsia"/>
          <w:color w:val="auto"/>
          <w:kern w:val="0"/>
          <w:sz w:val="24"/>
          <w:szCs w:val="28"/>
        </w:rPr>
        <w:t>）《信息技术大数据计算系统通用要求》(GB/T38675-2020)</w:t>
      </w:r>
    </w:p>
    <w:p>
      <w:pPr>
        <w:widowControl/>
        <w:autoSpaceDE w:val="0"/>
        <w:autoSpaceDN w:val="0"/>
        <w:adjustRightInd w:val="0"/>
        <w:spacing w:line="360" w:lineRule="auto"/>
        <w:ind w:firstLine="463" w:firstLineChars="192"/>
        <w:jc w:val="left"/>
        <w:rPr>
          <w:b/>
          <w:color w:val="auto"/>
          <w:kern w:val="0"/>
          <w:sz w:val="24"/>
          <w:szCs w:val="28"/>
        </w:rPr>
      </w:pPr>
      <w:r>
        <w:rPr>
          <w:rFonts w:hint="eastAsia"/>
          <w:b/>
          <w:color w:val="auto"/>
          <w:kern w:val="0"/>
          <w:sz w:val="24"/>
          <w:szCs w:val="28"/>
        </w:rPr>
        <w:t>（</w:t>
      </w:r>
      <w:r>
        <w:rPr>
          <w:b/>
          <w:color w:val="auto"/>
          <w:kern w:val="0"/>
          <w:sz w:val="24"/>
          <w:szCs w:val="28"/>
        </w:rPr>
        <w:t>5</w:t>
      </w:r>
      <w:r>
        <w:rPr>
          <w:rFonts w:hint="eastAsia"/>
          <w:b/>
          <w:color w:val="auto"/>
          <w:kern w:val="0"/>
          <w:sz w:val="24"/>
          <w:szCs w:val="28"/>
        </w:rPr>
        <w:t>）交管数据中心，数据采集、数据标准化等设计编制来源依据</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1</w:t>
      </w:r>
      <w:r>
        <w:rPr>
          <w:rFonts w:hint="eastAsia"/>
          <w:color w:val="auto"/>
          <w:kern w:val="0"/>
          <w:sz w:val="24"/>
          <w:szCs w:val="28"/>
        </w:rPr>
        <w:t>）GAT946.1-20</w:t>
      </w:r>
      <w:r>
        <w:rPr>
          <w:color w:val="auto"/>
          <w:kern w:val="0"/>
          <w:sz w:val="24"/>
          <w:szCs w:val="28"/>
        </w:rPr>
        <w:t>20</w:t>
      </w:r>
      <w:r>
        <w:rPr>
          <w:rFonts w:hint="eastAsia"/>
          <w:color w:val="auto"/>
          <w:kern w:val="0"/>
          <w:sz w:val="24"/>
          <w:szCs w:val="28"/>
        </w:rPr>
        <w:t>道路交通管理信息采集规范</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2</w:t>
      </w:r>
      <w:r>
        <w:rPr>
          <w:rFonts w:hint="eastAsia"/>
          <w:color w:val="auto"/>
          <w:kern w:val="0"/>
          <w:sz w:val="24"/>
          <w:szCs w:val="28"/>
        </w:rPr>
        <w:t>）GAT1049.2-2013公安交通集成指挥平台通信协议</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3</w:t>
      </w:r>
      <w:r>
        <w:rPr>
          <w:rFonts w:hint="eastAsia"/>
          <w:color w:val="auto"/>
          <w:kern w:val="0"/>
          <w:sz w:val="24"/>
          <w:szCs w:val="28"/>
        </w:rPr>
        <w:t>）GAT1400.1-2017公安视频图像信息应用系统</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4</w:t>
      </w:r>
      <w:r>
        <w:rPr>
          <w:rFonts w:hint="eastAsia"/>
          <w:color w:val="auto"/>
          <w:kern w:val="0"/>
          <w:sz w:val="24"/>
          <w:szCs w:val="28"/>
        </w:rPr>
        <w:t>）GAT1426-2017机动车违法停车自动记录系统通用技术条件</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5</w:t>
      </w:r>
      <w:r>
        <w:rPr>
          <w:rFonts w:hint="eastAsia"/>
          <w:color w:val="auto"/>
          <w:kern w:val="0"/>
          <w:sz w:val="24"/>
          <w:szCs w:val="28"/>
        </w:rPr>
        <w:t>）GB5768.4-2017道路交通标志和标线</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6</w:t>
      </w:r>
      <w:r>
        <w:rPr>
          <w:rFonts w:hint="eastAsia"/>
          <w:color w:val="auto"/>
          <w:kern w:val="0"/>
          <w:sz w:val="24"/>
          <w:szCs w:val="28"/>
        </w:rPr>
        <w:t>）GBT29107-2012道路交通信息服务交通状况描述</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7</w:t>
      </w:r>
      <w:r>
        <w:rPr>
          <w:rFonts w:hint="eastAsia"/>
          <w:color w:val="auto"/>
          <w:kern w:val="0"/>
          <w:sz w:val="24"/>
          <w:szCs w:val="28"/>
        </w:rPr>
        <w:t>）GGBT33171-2016城市交通运行状况评价规范</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8</w:t>
      </w:r>
      <w:r>
        <w:rPr>
          <w:rFonts w:hint="eastAsia"/>
          <w:color w:val="auto"/>
          <w:kern w:val="0"/>
          <w:sz w:val="24"/>
          <w:szCs w:val="28"/>
        </w:rPr>
        <w:t>）GA/DSJ201-2019公安大数据处理</w:t>
      </w:r>
    </w:p>
    <w:p>
      <w:pPr>
        <w:spacing w:after="120"/>
        <w:rPr>
          <w:color w:val="auto"/>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keepNext/>
        <w:keepLines/>
        <w:numPr>
          <w:ilvl w:val="2"/>
          <w:numId w:val="2"/>
        </w:numPr>
        <w:tabs>
          <w:tab w:val="left" w:pos="142"/>
          <w:tab w:val="left" w:pos="360"/>
        </w:tabs>
        <w:spacing w:line="360" w:lineRule="auto"/>
        <w:ind w:left="0" w:firstLine="0"/>
        <w:outlineLvl w:val="2"/>
        <w:rPr>
          <w:rFonts w:ascii="黑体" w:hAnsi="黑体" w:eastAsia="黑体" w:cs="仿宋"/>
          <w:b/>
          <w:bCs/>
          <w:color w:val="auto"/>
          <w:sz w:val="28"/>
          <w:szCs w:val="32"/>
        </w:rPr>
      </w:pPr>
      <w:r>
        <w:rPr>
          <w:rFonts w:hint="eastAsia" w:ascii="黑体" w:hAnsi="黑体" w:eastAsia="黑体" w:cs="仿宋"/>
          <w:b/>
          <w:bCs/>
          <w:color w:val="auto"/>
          <w:sz w:val="28"/>
          <w:szCs w:val="32"/>
        </w:rPr>
        <w:t>软件技术要求</w:t>
      </w:r>
    </w:p>
    <w:p>
      <w:pPr>
        <w:spacing w:line="360" w:lineRule="auto"/>
        <w:ind w:firstLine="480" w:firstLineChars="200"/>
        <w:rPr>
          <w:rFonts w:hint="eastAsia"/>
          <w:b/>
          <w:color w:val="auto"/>
          <w:sz w:val="24"/>
          <w:szCs w:val="22"/>
        </w:rPr>
      </w:pPr>
      <w:r>
        <w:rPr>
          <w:rFonts w:hint="eastAsia"/>
          <w:b/>
          <w:color w:val="auto"/>
          <w:sz w:val="24"/>
          <w:szCs w:val="22"/>
        </w:rPr>
        <w:t>投标方的技术方案需包含但不仅限于满足以下的业务需求</w:t>
      </w:r>
      <w:r>
        <w:rPr>
          <w:rFonts w:hint="eastAsia"/>
          <w:b/>
          <w:color w:val="auto"/>
          <w:sz w:val="24"/>
          <w:szCs w:val="22"/>
          <w:lang w:eastAsia="zh-CN"/>
        </w:rPr>
        <w:t>；每个模块方案均需包括功能结构图、业务流程图、数据流向图，以及详细的功能描述，尽可能附上功能界面截图；</w:t>
      </w:r>
      <w:r>
        <w:rPr>
          <w:rFonts w:hint="eastAsia"/>
          <w:b/>
          <w:color w:val="auto"/>
          <w:sz w:val="24"/>
          <w:szCs w:val="22"/>
        </w:rPr>
        <w:t>技术要求中相关证明材料需加盖投标商公章。</w:t>
      </w:r>
    </w:p>
    <w:p>
      <w:pPr>
        <w:numPr>
          <w:ilvl w:val="0"/>
          <w:numId w:val="0"/>
        </w:numPr>
        <w:spacing w:line="360" w:lineRule="auto"/>
        <w:ind w:leftChars="0" w:firstLine="480" w:firstLineChars="200"/>
      </w:pPr>
      <w:r>
        <w:rPr>
          <w:rFonts w:hint="eastAsia" w:ascii="Times New Roman" w:hAnsi="Times New Roman" w:eastAsia="宋体" w:cs="Times New Roman"/>
          <w:b/>
          <w:color w:val="auto"/>
          <w:sz w:val="24"/>
          <w:szCs w:val="22"/>
          <w:lang w:val="en-US" w:eastAsia="zh-CN"/>
        </w:rPr>
        <w:t>本项目涉及对接的接口</w:t>
      </w:r>
      <w:r>
        <w:rPr>
          <w:rFonts w:hint="eastAsia" w:cs="Times New Roman"/>
          <w:b/>
          <w:color w:val="auto"/>
          <w:sz w:val="24"/>
          <w:szCs w:val="22"/>
          <w:lang w:val="en-US" w:eastAsia="zh-CN"/>
        </w:rPr>
        <w:t>均为</w:t>
      </w:r>
      <w:r>
        <w:rPr>
          <w:rFonts w:hint="eastAsia" w:ascii="Times New Roman" w:hAnsi="Times New Roman" w:eastAsia="宋体" w:cs="Times New Roman"/>
          <w:b/>
          <w:color w:val="auto"/>
          <w:sz w:val="24"/>
          <w:szCs w:val="22"/>
          <w:lang w:val="en-US" w:eastAsia="zh-CN"/>
        </w:rPr>
        <w:t>免费开放，由采购人负责相关接口的协调工作，接口上的技术问题由中标公司负责处理。</w:t>
      </w:r>
    </w:p>
    <w:p>
      <w:pPr>
        <w:spacing w:line="360" w:lineRule="auto"/>
        <w:ind w:firstLine="480" w:firstLineChars="200"/>
        <w:rPr>
          <w:rFonts w:hint="eastAsia"/>
          <w:b/>
          <w:color w:val="auto"/>
          <w:sz w:val="24"/>
          <w:szCs w:val="22"/>
        </w:rPr>
      </w:pPr>
      <w:r>
        <w:rPr>
          <w:rFonts w:hint="eastAsia" w:ascii="宋体" w:hAnsi="宋体"/>
          <w:b/>
          <w:color w:val="auto"/>
          <w:sz w:val="24"/>
          <w:szCs w:val="22"/>
        </w:rPr>
        <w:t>▲</w:t>
      </w:r>
      <w:r>
        <w:rPr>
          <w:rFonts w:hint="eastAsia"/>
          <w:b/>
          <w:color w:val="auto"/>
          <w:sz w:val="24"/>
          <w:szCs w:val="22"/>
        </w:rPr>
        <w:t>中标方需在数据中心建设的同时，</w:t>
      </w:r>
      <w:r>
        <w:rPr>
          <w:rFonts w:hint="eastAsia"/>
          <w:b/>
          <w:color w:val="auto"/>
          <w:sz w:val="24"/>
          <w:szCs w:val="22"/>
          <w:lang w:eastAsia="zh-CN"/>
        </w:rPr>
        <w:t>尽快</w:t>
      </w:r>
      <w:r>
        <w:rPr>
          <w:rFonts w:hint="eastAsia"/>
          <w:b/>
          <w:color w:val="auto"/>
          <w:sz w:val="24"/>
          <w:szCs w:val="22"/>
        </w:rPr>
        <w:t>形成</w:t>
      </w:r>
      <w:r>
        <w:rPr>
          <w:rFonts w:hint="eastAsia"/>
          <w:b/>
          <w:color w:val="auto"/>
          <w:sz w:val="24"/>
          <w:szCs w:val="22"/>
          <w:lang w:eastAsia="zh-CN"/>
        </w:rPr>
        <w:t>详细设计方案，包括</w:t>
      </w:r>
      <w:r>
        <w:rPr>
          <w:rFonts w:hint="eastAsia"/>
          <w:b/>
          <w:color w:val="auto"/>
          <w:sz w:val="24"/>
          <w:szCs w:val="22"/>
        </w:rPr>
        <w:t>各模块UI原型图</w:t>
      </w:r>
      <w:r>
        <w:rPr>
          <w:rFonts w:hint="eastAsia"/>
          <w:b/>
          <w:color w:val="auto"/>
          <w:sz w:val="24"/>
          <w:szCs w:val="22"/>
          <w:lang w:eastAsia="zh-CN"/>
        </w:rPr>
        <w:t>等</w:t>
      </w:r>
      <w:r>
        <w:rPr>
          <w:rFonts w:hint="eastAsia"/>
          <w:b/>
          <w:color w:val="auto"/>
          <w:sz w:val="24"/>
          <w:szCs w:val="22"/>
        </w:rPr>
        <w:t>，供招标单位各业务条线负责人</w:t>
      </w:r>
      <w:r>
        <w:rPr>
          <w:rFonts w:hint="eastAsia"/>
          <w:b/>
          <w:color w:val="auto"/>
          <w:sz w:val="24"/>
          <w:szCs w:val="22"/>
          <w:lang w:eastAsia="zh-CN"/>
        </w:rPr>
        <w:t>审核通过，并</w:t>
      </w:r>
      <w:r>
        <w:rPr>
          <w:rFonts w:hint="eastAsia"/>
          <w:b/>
          <w:color w:val="auto"/>
          <w:sz w:val="24"/>
          <w:szCs w:val="22"/>
        </w:rPr>
        <w:t>确定总体框架、风格、界面后，再进行软件开发，减少后期重复翻工工作量，提高工作效率</w:t>
      </w:r>
      <w:r>
        <w:rPr>
          <w:rFonts w:hint="eastAsia"/>
          <w:b/>
          <w:color w:val="auto"/>
          <w:sz w:val="24"/>
          <w:szCs w:val="22"/>
          <w:lang w:eastAsia="zh-CN"/>
        </w:rPr>
        <w:t>；</w:t>
      </w:r>
      <w:r>
        <w:rPr>
          <w:rFonts w:hint="eastAsia"/>
          <w:b/>
          <w:color w:val="auto"/>
          <w:sz w:val="24"/>
          <w:szCs w:val="22"/>
        </w:rPr>
        <w:t>同时，本次招标各应用模块设计的查询统计数据均能导出。</w:t>
      </w:r>
    </w:p>
    <w:p>
      <w:pPr>
        <w:pStyle w:val="10"/>
        <w:ind w:firstLine="480"/>
        <w:rPr>
          <w:rFonts w:hint="eastAsia" w:ascii="Times New Roman" w:hAnsi="Times New Roman" w:eastAsia="宋体" w:cs="Times New Roman"/>
          <w:b/>
          <w:color w:val="auto"/>
          <w:sz w:val="24"/>
          <w:szCs w:val="22"/>
          <w:lang w:val="en-US" w:eastAsia="zh-CN"/>
        </w:rPr>
      </w:pPr>
      <w:r>
        <w:rPr>
          <w:rFonts w:hint="eastAsia" w:ascii="宋体" w:hAnsi="宋体"/>
          <w:b/>
          <w:color w:val="000000" w:themeColor="text1"/>
          <w:sz w:val="24"/>
          <w:szCs w:val="22"/>
          <w14:textFill>
            <w14:solidFill>
              <w14:schemeClr w14:val="tx1"/>
            </w14:solidFill>
          </w14:textFill>
        </w:rPr>
        <w:t>▲</w:t>
      </w:r>
      <w:r>
        <w:rPr>
          <w:rFonts w:hint="eastAsia"/>
          <w:b/>
          <w:color w:val="auto"/>
          <w:sz w:val="24"/>
          <w:szCs w:val="22"/>
          <w:lang w:val="en-US" w:eastAsia="zh-CN"/>
        </w:rPr>
        <w:t xml:space="preserve">本项目中的各功能模块需符合信创有关要求。 </w:t>
      </w:r>
      <w:bookmarkStart w:id="40" w:name="_Hlk103845779"/>
    </w:p>
    <w:p>
      <w:pPr>
        <w:pStyle w:val="10"/>
        <w:ind w:firstLine="480"/>
        <w:rPr>
          <w:rFonts w:hint="eastAsia"/>
          <w:b/>
          <w:color w:val="auto"/>
          <w:sz w:val="24"/>
          <w:szCs w:val="22"/>
          <w:lang w:val="en-US" w:eastAsia="zh-CN"/>
        </w:rPr>
      </w:pPr>
    </w:p>
    <w:p>
      <w:pPr>
        <w:keepNext/>
        <w:keepLines/>
        <w:numPr>
          <w:ilvl w:val="3"/>
          <w:numId w:val="2"/>
        </w:numPr>
        <w:tabs>
          <w:tab w:val="left" w:pos="142"/>
          <w:tab w:val="left" w:pos="360"/>
        </w:tabs>
        <w:spacing w:line="360" w:lineRule="auto"/>
        <w:ind w:left="864" w:leftChars="0" w:hanging="864" w:firstLineChars="0"/>
        <w:outlineLvl w:val="2"/>
        <w:rPr>
          <w:rFonts w:hint="eastAsia" w:ascii="黑体" w:hAnsi="黑体" w:eastAsia="黑体" w:cs="仿宋"/>
          <w:b/>
          <w:bCs/>
          <w:color w:val="auto"/>
          <w:sz w:val="28"/>
          <w:szCs w:val="32"/>
        </w:rPr>
      </w:pPr>
      <w:r>
        <w:rPr>
          <w:rFonts w:hint="eastAsia" w:ascii="黑体" w:hAnsi="黑体" w:eastAsia="黑体" w:cs="仿宋"/>
          <w:b/>
          <w:bCs/>
          <w:color w:val="auto"/>
          <w:sz w:val="28"/>
          <w:szCs w:val="32"/>
        </w:rPr>
        <w:t>数据中心</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921"/>
        <w:gridCol w:w="5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序号</w:t>
            </w:r>
          </w:p>
        </w:tc>
        <w:tc>
          <w:tcPr>
            <w:tcW w:w="1126"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功能模块</w:t>
            </w:r>
          </w:p>
        </w:tc>
        <w:tc>
          <w:tcPr>
            <w:tcW w:w="3380"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（一）</w:t>
            </w:r>
          </w:p>
        </w:tc>
        <w:tc>
          <w:tcPr>
            <w:tcW w:w="1126" w:type="pct"/>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制定数据标准体系</w:t>
            </w:r>
          </w:p>
        </w:tc>
        <w:tc>
          <w:tcPr>
            <w:tcW w:w="3380" w:type="pct"/>
            <w:shd w:val="clear" w:color="auto" w:fill="auto"/>
            <w:noWrap/>
            <w:vAlign w:val="center"/>
          </w:tcPr>
          <w:p>
            <w:pPr>
              <w:widowControl/>
              <w:jc w:val="left"/>
              <w:rPr>
                <w:rFonts w:ascii="宋体" w:hAnsi="宋体" w:cs="宋体"/>
                <w:b/>
                <w:bCs/>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数据标准体系制定</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制定台州市交管数据标准体系，形成台州市交管体系统一的数据语言，明确元数据、数据字典、模型、资源目录、分级分类、数据安全、数据质量标准，标准制定应符合国标（GB/T38667-2020信息技术大数据数据分类指南、GB/T38676-2020信息技术大数据存储与处理模块功能测试要求、GB/T38643-2020信息技术大数据分析模块功能测试要求等）、行标（GAT946.1-2020道路交通管理信息采集规范、GAT1049.2-2013公安交通集成指挥平台通信协议等）、部标、省标等数据管理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元数据标准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基于统一的数据中台建设元数据标准。统一定义数据中心各数据层的表定义，字段数量，字段英文名，字段长度等标准。提供自动对标功能，自动对标时每张表通过对标历史、分词的方式会默认对上一批字段，那些没有对标的字段，亦可通过手动对标的形式来完成对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数据字典标准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应基于统一的数据中台建设数据字典标准。定义统一的数据字典标准，对字典表进行标准化管理。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模型管理标准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应基于统一的数据中台建设模型管理标准。支持逻辑实体命名。支撑在数据处理、数据质量和数据共享交换环节统一数据标准，形成统一模型规划。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资源目录标准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应基于统一的数据中台建设资源目录标准。建立交通管理数据资源目录体系和数据信息资源类目标准，建立标准库和数据信息资源分类。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分级分类标准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应基于统一的数据中台建设数据分级分类标准。包含数据资源的开放和共享策略。为数据服务和数据共享交换提供标准支撑。为数据分层的预定义制定系统数据规范，提供统一的数据管理业务视图。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数据安全标准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应基于统一的数据中台建设数据安全标准。统一数据使用安全规划，形成数据使用权限。包括但不限于数据权限管理，数据审计等功能服务。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8</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数据质量标准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基于统一的数据中台建设数据质量标准。包含数据质量管理办法和组织机构、数据质量评估标准以及管理规范，提供数据质量问题发现、监测跟踪等闭环流程和管理规范，形成数据质量长效提升机制。支撑及时发现、监测定位、跟踪解决各类数据质量问题，形成数据质量问题的闭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9</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数据接入标准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基于统一的数据中台建设数据接入标准。数据接入主要包括数据探查、数据定义、数据读取、数据挂接和数据对账等操作。数据接入标准应包含对数据接入的各功能的标准化要求，和数据接入标准的接口形式，数据接入标准应能满足台州交警现网业务系统数据接入数据中心的需求，也应能满足未来新建业务系统数据接入数据中心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r>
              <w:rPr>
                <w:rFonts w:ascii="宋体" w:hAnsi="宋体" w:cs="宋体"/>
                <w:color w:val="auto"/>
                <w:kern w:val="0"/>
                <w:sz w:val="20"/>
                <w:szCs w:val="20"/>
              </w:rPr>
              <w:t>0</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数据共享标准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应基于统一的数据中台建设数据共享标准。对共享接口、共享权限控制等制定相应的标准；应能满足为台州交警本期新建业务系统提供数据共享需求。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r>
              <w:rPr>
                <w:rFonts w:ascii="宋体" w:hAnsi="宋体" w:cs="宋体"/>
                <w:color w:val="auto"/>
                <w:kern w:val="0"/>
                <w:sz w:val="20"/>
                <w:szCs w:val="20"/>
              </w:rPr>
              <w:t>1</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系统日志标准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应基于统一的数据中台建设业务系统日志标准，所有应用系统均需要采用该标准向数据中心提供原始系统日志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（二）</w:t>
            </w:r>
          </w:p>
        </w:tc>
        <w:tc>
          <w:tcPr>
            <w:tcW w:w="1126" w:type="pct"/>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数据接入</w:t>
            </w:r>
          </w:p>
        </w:tc>
        <w:tc>
          <w:tcPr>
            <w:tcW w:w="3380" w:type="pct"/>
            <w:shd w:val="clear" w:color="auto" w:fill="auto"/>
            <w:noWrap/>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接入功能</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基于统一的数据中台提供数据接入功能，实现对台州市交管数据的接入，支持关系型数据库、大数据、分布式数据库、文本及接口数据的接入，支持数据库同步、数据抽取、批量导入、增量更新、手动采集、FTP、网络文件系统、分布式文件系统、边界接入等数据接入方式。</w:t>
            </w:r>
          </w:p>
          <w:p>
            <w:pPr>
              <w:widowControl/>
              <w:jc w:val="left"/>
              <w:rPr>
                <w:rFonts w:hint="default" w:ascii="宋体" w:hAnsi="宋体" w:cs="宋体"/>
                <w:color w:val="auto"/>
                <w:kern w:val="0"/>
                <w:sz w:val="20"/>
                <w:szCs w:val="20"/>
              </w:rPr>
            </w:pPr>
            <w:r>
              <w:rPr>
                <w:rFonts w:hint="eastAsia" w:ascii="宋体" w:hAnsi="宋体" w:cs="宋体"/>
                <w:color w:val="auto"/>
                <w:kern w:val="0"/>
                <w:sz w:val="20"/>
                <w:szCs w:val="20"/>
              </w:rPr>
              <w:t>★支持数据定义，包括数据格式定义、数据读取定义、数据比对定义、数据清洗定义、数据提取定义、数据分发定义。</w:t>
            </w:r>
          </w:p>
          <w:p>
            <w:pPr>
              <w:widowControl/>
              <w:jc w:val="left"/>
              <w:rPr>
                <w:rFonts w:hint="default" w:ascii="宋体" w:hAnsi="宋体" w:cs="宋体"/>
                <w:color w:val="auto"/>
                <w:kern w:val="0"/>
                <w:sz w:val="20"/>
                <w:szCs w:val="20"/>
              </w:rPr>
            </w:pPr>
            <w:r>
              <w:rPr>
                <w:rFonts w:hint="eastAsia" w:ascii="宋体" w:hAnsi="宋体" w:cs="宋体"/>
                <w:color w:val="auto"/>
                <w:kern w:val="0"/>
                <w:sz w:val="20"/>
                <w:szCs w:val="20"/>
              </w:rPr>
              <w:t>★支持数据探查，包括启用探查、探查报告、探查概览，对数据进行数据上、结构上的排查，按照固有的规则进行数据校验。</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★支持数据对账，支持增删改查，支持监控定时调度前后源表到目标表中的数据量是否一致。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数据接入范围</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建设两大数据中心，即视频专网数据中心和公安信息网数据中心。视频专网数据中心接入视频专网基础业务系统的共性业务数据，公安信息网数据中心保存完整的共性业务数据，除接入公安信息网基础业务系统的共性业务数据外，同时要同步接入视频专网数据中心的数据。并根据需求支持后续开发交管系统的数据接入。具体如下：</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1、视频专网数据中心</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接入系统：包括台州交警视频综合业务平台、执法记录仪管理平台、卡口系统、电警系统、微波雷达系统、台州交警基础数据管理平台、警车与警员定位管理系统、交警微信公众号、台州交通信号智能管控平台、重点车辆定位系统、互联网警情系统等。</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2）接入数据：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设备资产数据（摄像机、信号机、卡口、电警、诱导屏、雷达、地磁等）；</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卡口过车数据（基础过车数据+二次特征识别数据）；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交通流采集数据（传统交通流检测数据、互联网浮动车数据）；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信号配时数据；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GPS定位数据（警员、警车、警用装备、重点车辆等）；</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互联网浮动车数据；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应急救援数据（医院、消防、路政、交通等）；</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气象环境数据；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各业务系统日志类数据;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2、公安信息网数据中心</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接入系统：以交通秩序管理综合业务系统、城市道路智能管控平台、公安交通集成指挥平台、交通事故预防分析研判系统、交警指挥中心集成平台、道路交通事故网上办案系统、交警车辆大数据系统、110接处警平台、公安人口系统等；同时接入视频专网数据中心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2）接入数据：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六合一数据（机动车、驾驶证、违法、事故、危险品、**等业务应用所需的核心业务数据）；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警情数据（市局110接处警数据、智能分析警情数据、人工上报警情数据等）；</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移动执法数据；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公安人口数据（常住人口、暂住人口、**人员等）；</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视频专网数据中心数据（标准库、主题库、专题库）；</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各业务系统日志类数据;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数据接入接口</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数据中心应根据具体系统、数据种类、数据类型制定针对性的接口，以实现对现网系统数据的接入。</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应归纳总结成标准的数据接口规范，用于支撑数据中心：</w:t>
            </w:r>
          </w:p>
          <w:p>
            <w:pPr>
              <w:widowControl/>
              <w:jc w:val="left"/>
              <w:rPr>
                <w:rFonts w:ascii="宋体" w:hAnsi="宋体" w:cs="宋体"/>
                <w:color w:val="auto"/>
                <w:kern w:val="0"/>
                <w:sz w:val="20"/>
                <w:szCs w:val="20"/>
              </w:rPr>
            </w:pPr>
            <w:r>
              <w:rPr>
                <w:rFonts w:ascii="宋体" w:hAnsi="宋体" w:cs="宋体"/>
                <w:color w:val="auto"/>
                <w:kern w:val="0"/>
                <w:sz w:val="20"/>
                <w:szCs w:val="20"/>
              </w:rPr>
              <w:t>1</w:t>
            </w:r>
            <w:r>
              <w:rPr>
                <w:rFonts w:hint="eastAsia" w:ascii="宋体" w:hAnsi="宋体" w:cs="宋体"/>
                <w:color w:val="auto"/>
                <w:kern w:val="0"/>
                <w:sz w:val="20"/>
                <w:szCs w:val="20"/>
              </w:rPr>
              <w:t>）接入新建系统的数据；</w:t>
            </w:r>
          </w:p>
          <w:p>
            <w:pPr>
              <w:widowControl/>
              <w:jc w:val="left"/>
              <w:rPr>
                <w:color w:val="auto"/>
              </w:rPr>
            </w:pPr>
            <w:r>
              <w:rPr>
                <w:rFonts w:ascii="宋体" w:hAnsi="宋体" w:cs="宋体"/>
                <w:color w:val="auto"/>
                <w:kern w:val="0"/>
                <w:sz w:val="20"/>
                <w:szCs w:val="20"/>
              </w:rPr>
              <w:t>2</w:t>
            </w:r>
            <w:r>
              <w:rPr>
                <w:rFonts w:hint="eastAsia" w:ascii="宋体" w:hAnsi="宋体" w:cs="宋体"/>
                <w:color w:val="auto"/>
                <w:kern w:val="0"/>
                <w:sz w:val="20"/>
                <w:szCs w:val="20"/>
              </w:rPr>
              <w:t>）向业务系统提供数据服务。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（三）</w:t>
            </w:r>
          </w:p>
        </w:tc>
        <w:tc>
          <w:tcPr>
            <w:tcW w:w="1126" w:type="pct"/>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数据处理</w:t>
            </w:r>
          </w:p>
        </w:tc>
        <w:tc>
          <w:tcPr>
            <w:tcW w:w="3380" w:type="pct"/>
            <w:shd w:val="clear" w:color="auto" w:fill="auto"/>
            <w:noWrap/>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数据提取</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lang w:eastAsia="zh-CN"/>
              </w:rPr>
              <w:t>基于统一的数据中台，</w:t>
            </w:r>
            <w:r>
              <w:rPr>
                <w:rFonts w:hint="eastAsia" w:ascii="宋体" w:hAnsi="宋体" w:cs="宋体"/>
                <w:color w:val="auto"/>
                <w:kern w:val="0"/>
                <w:sz w:val="20"/>
                <w:szCs w:val="20"/>
              </w:rPr>
              <w:t>应支持外部系统接入到数据中心的数据形成原始库，按照制定的数据标准体系，对原始库的数据进行提取，形成标准库。</w:t>
            </w:r>
          </w:p>
          <w:p>
            <w:pPr>
              <w:widowControl/>
              <w:jc w:val="left"/>
              <w:rPr>
                <w:color w:val="auto"/>
              </w:rPr>
            </w:pPr>
            <w:r>
              <w:rPr>
                <w:rFonts w:hint="eastAsia" w:ascii="宋体" w:hAnsi="宋体" w:cs="宋体"/>
                <w:color w:val="auto"/>
                <w:kern w:val="0"/>
                <w:sz w:val="20"/>
                <w:szCs w:val="20"/>
              </w:rPr>
              <w:t>对结构化数据，在数据处理的过程中进行提取；对非结构化数据，如</w:t>
            </w:r>
            <w:r>
              <w:rPr>
                <w:rFonts w:ascii="宋体" w:hAnsi="宋体" w:cs="宋体"/>
                <w:color w:val="auto"/>
                <w:kern w:val="0"/>
                <w:sz w:val="20"/>
                <w:szCs w:val="20"/>
              </w:rPr>
              <w:t>word</w:t>
            </w:r>
            <w:r>
              <w:rPr>
                <w:rFonts w:hint="eastAsia" w:ascii="宋体" w:hAnsi="宋体" w:cs="宋体"/>
                <w:color w:val="auto"/>
                <w:kern w:val="0"/>
                <w:sz w:val="20"/>
                <w:szCs w:val="20"/>
              </w:rPr>
              <w:t>、</w:t>
            </w:r>
            <w:r>
              <w:rPr>
                <w:rFonts w:ascii="宋体" w:hAnsi="宋体" w:cs="宋体"/>
                <w:color w:val="auto"/>
                <w:kern w:val="0"/>
                <w:sz w:val="20"/>
                <w:szCs w:val="20"/>
              </w:rPr>
              <w:t>XML</w:t>
            </w:r>
            <w:r>
              <w:rPr>
                <w:rFonts w:hint="eastAsia" w:ascii="宋体" w:hAnsi="宋体" w:cs="宋体"/>
                <w:color w:val="auto"/>
                <w:kern w:val="0"/>
                <w:sz w:val="20"/>
                <w:szCs w:val="20"/>
              </w:rPr>
              <w:t>、</w:t>
            </w:r>
            <w:r>
              <w:rPr>
                <w:rFonts w:ascii="宋体" w:hAnsi="宋体" w:cs="宋体"/>
                <w:color w:val="auto"/>
                <w:kern w:val="0"/>
                <w:sz w:val="20"/>
                <w:szCs w:val="20"/>
              </w:rPr>
              <w:t>Excel</w:t>
            </w:r>
            <w:r>
              <w:rPr>
                <w:rFonts w:hint="eastAsia" w:ascii="宋体" w:hAnsi="宋体" w:cs="宋体"/>
                <w:color w:val="auto"/>
                <w:kern w:val="0"/>
                <w:sz w:val="20"/>
                <w:szCs w:val="20"/>
              </w:rPr>
              <w:t>等，先导入到原始库，再进行提取。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数据清洗</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基于数据中台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数据清洗是实现数据标准化的主要处理环节，将数据转化为满足标准及质量要求的数据。应支持截断、提取、过滤和转换类清洗函数，支持数据治理清洗函数，包括不限于对身份证、车牌号、地址规划等。应支持去重、代码集关联、提取、转换、截断等清洗脚本的自动化生成。</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1）应支持数据过滤功能，支持对信息的辨别和分离，实现冗余信息及垃圾信息的滤除。</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2）应支持数据去重功能，支持对不同的数据制定不同的去重、合并判断规则，支持根据不同场景下数据重复的不同判别规则，以及合并、清除策略，对判定为重复的数据进行合并或清除处理。</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3）应支持数据格转功能，将非标数据参照为本项目制定的数据标准体系转换为统一的标准格式并进行输出。</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 xml:space="preserve">4）应支持数据校验功能，并提供校验规则，空值校验、取值范围校验等校验标准。支持参照校验知识库对数据进行完整性、一致性等校验。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数据关联</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基于数据中台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按照关联规则或算法，将数据和其他业务数据、数据模型进行关联。</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1）应支持关联回填功能，将不完备的日志数据与知识数据等根据场景进行关联，并将关联的要素等信息回填至日志。</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2）应支持关联提取功能，支持制定提取规则，可按照提取规则，对各类原始数据资源中所涉及的关键要素的时空关系及关联进行提取。</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3）应支持关联分析功能，挖掘要素间的深层次关联（如语义分析及关联计算等）。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数据比对</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基于数据中台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数据比对按照规则将输入的线索数据与处理的数据进行相同比较或相似度计算，并支持按要求将匹配数据返回。</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1）应支持结构化比对功能，通过线索与指定字段取值进行比对，在海量日志中实时发现线索相关信息。</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2）应支持关联匹配功能，实时发现线索相关信息。应支持完全匹配、模糊匹配、范围匹配、正则匹配等功能。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数据标识</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数据标识基于知识库，对数据打标签，为上层应用提供数据标识支撑。</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应根据视频专网和公安信息网数据中心接入的台州市交管数据，制定合理的数据标签。标签应分为通用标签和业务标签，通用标签是数据自身所蕴含特性的显性化，通常由数据自身属性或由处理的关联比对结构来确定，如敏感级别、语言、区域等；业务标签是根据业务应用对数据标注的具有明确业务含义的标签，如外地车、无牌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数据分发</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基于数据中台</w:t>
            </w:r>
            <w:r>
              <w:rPr>
                <w:rFonts w:hint="eastAsia" w:ascii="宋体" w:hAnsi="宋体" w:cs="宋体"/>
                <w:color w:val="auto"/>
                <w:kern w:val="0"/>
                <w:sz w:val="20"/>
                <w:szCs w:val="20"/>
                <w:lang w:eastAsia="zh-CN"/>
              </w:rPr>
              <w:t>进行</w:t>
            </w:r>
            <w:r>
              <w:rPr>
                <w:rFonts w:hint="eastAsia" w:ascii="宋体" w:hAnsi="宋体" w:cs="宋体"/>
                <w:color w:val="auto"/>
                <w:kern w:val="0"/>
                <w:sz w:val="20"/>
                <w:szCs w:val="20"/>
              </w:rPr>
              <w:t>数据分发，按照分发策略将结果数据对应分发到原始库、资源库、主题库、业务库、知识库。</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1）应支持任务调度功能，配置数据分发任务，包括但不限于分发任务注册，报文模板配置和下端模块注册等功能。</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w:t>
            </w:r>
            <w:r>
              <w:rPr>
                <w:rFonts w:ascii="宋体" w:hAnsi="宋体" w:cs="宋体"/>
                <w:color w:val="auto"/>
                <w:kern w:val="0"/>
                <w:sz w:val="20"/>
                <w:szCs w:val="20"/>
              </w:rPr>
              <w:t>应支持</w:t>
            </w:r>
            <w:r>
              <w:rPr>
                <w:rFonts w:hint="eastAsia" w:ascii="宋体" w:hAnsi="宋体" w:cs="宋体"/>
                <w:color w:val="auto"/>
                <w:kern w:val="0"/>
                <w:sz w:val="20"/>
                <w:szCs w:val="20"/>
              </w:rPr>
              <w:t>分发任务队列管理功能，包括任务信息、任务执行情况及结果情况。</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3）应支持数据分发功能，根据任务注册信息获取数据，按照模板组装数据，并向指定下端模块发送组装后的数据报文。</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4）应支持分发统计功能，统计数据分发和处理情况统计。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（四）</w:t>
            </w:r>
          </w:p>
        </w:tc>
        <w:tc>
          <w:tcPr>
            <w:tcW w:w="1126" w:type="pct"/>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数据组织</w:t>
            </w:r>
          </w:p>
        </w:tc>
        <w:tc>
          <w:tcPr>
            <w:tcW w:w="3380"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数据组织</w:t>
            </w:r>
          </w:p>
        </w:tc>
        <w:tc>
          <w:tcPr>
            <w:tcW w:w="3380"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w:t>
            </w:r>
            <w:r>
              <w:rPr>
                <w:rFonts w:hint="eastAsia" w:ascii="宋体" w:hAnsi="宋体" w:cs="宋体"/>
                <w:color w:val="auto"/>
                <w:kern w:val="0"/>
                <w:sz w:val="20"/>
                <w:szCs w:val="20"/>
                <w:lang w:eastAsia="zh-CN"/>
              </w:rPr>
              <w:t>数据中台</w:t>
            </w:r>
            <w:r>
              <w:rPr>
                <w:rFonts w:hint="eastAsia" w:ascii="宋体" w:hAnsi="宋体" w:cs="宋体"/>
                <w:color w:val="auto"/>
                <w:kern w:val="0"/>
                <w:sz w:val="20"/>
                <w:szCs w:val="20"/>
              </w:rPr>
              <w:t>应支持数据库创建，实现系统内业务库、资源库、主题库、知识库等数据库的创建和基本信息管理。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2）应支持数据库管理，实现数据库和数据接入规则、数据预处理步骤、分级分类规则、标准化规则的关联设置。</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 xml:space="preserve"> 3）应支持数据组织视图，实现数据库大数据组织情况的统一展示。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原始库</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需具备存储原始数据，并在此基础上补充对各种来源数据进行一系列处理加工后产生的标准化数据项、关联要素信息和基础标签、行为标签、业务标签和分级分类属性。</w:t>
            </w:r>
          </w:p>
          <w:p>
            <w:pPr>
              <w:spacing w:after="120"/>
              <w:rPr>
                <w:rFonts w:ascii="宋体" w:hAnsi="宋体" w:cs="宋体"/>
                <w:color w:val="auto"/>
                <w:kern w:val="0"/>
                <w:sz w:val="20"/>
                <w:szCs w:val="20"/>
              </w:rPr>
            </w:pPr>
            <w:r>
              <w:rPr>
                <w:rFonts w:ascii="宋体" w:hAnsi="宋体" w:cs="宋体"/>
                <w:color w:val="auto"/>
                <w:kern w:val="0"/>
                <w:sz w:val="20"/>
                <w:szCs w:val="20"/>
              </w:rPr>
              <w:t>原始库按照接入数据的源系统划分目录</w:t>
            </w:r>
            <w:r>
              <w:rPr>
                <w:rFonts w:hint="eastAsia" w:ascii="宋体" w:hAnsi="宋体" w:cs="宋体"/>
                <w:color w:val="auto"/>
                <w:kern w:val="0"/>
                <w:sz w:val="20"/>
                <w:szCs w:val="20"/>
              </w:rPr>
              <w:t>，</w:t>
            </w:r>
            <w:r>
              <w:rPr>
                <w:rFonts w:ascii="宋体" w:hAnsi="宋体" w:cs="宋体"/>
                <w:color w:val="auto"/>
                <w:kern w:val="0"/>
                <w:sz w:val="20"/>
                <w:szCs w:val="20"/>
              </w:rPr>
              <w:t>应能清晰呈现及保存</w:t>
            </w:r>
            <w:r>
              <w:rPr>
                <w:rFonts w:hint="eastAsia" w:ascii="宋体" w:hAnsi="宋体" w:cs="宋体"/>
                <w:color w:val="auto"/>
                <w:kern w:val="0"/>
                <w:sz w:val="20"/>
                <w:szCs w:val="20"/>
              </w:rPr>
              <w:t>“数据接入范围”内定义的数据。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标准库</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需具备按照数据质量标准经过提取、清洗、转换等技术手段治理后再按照数据分级分类要求建立的数据标准库。</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公安信息网与视频专网建立标准库，完成后需要数据服务支撑数智实战模块、数智决策模块、高地一体化模块、信号控制提升模块、重点对象管控模块、交通态势分析模块、运维管理模块、移动应用模块、事故可视化模块。</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标准库应按照业务属性进行归纳，遵循数据资源目的设定。</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本项目，应建立但不限于以下标准库，并需要投标时详述每类标准库下的数据种类及数据表结构：</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基础信息数据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卡口相关数据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视频相关数据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诱导相关数据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交通流相关数据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信号控制相关数据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GPS定位相关数据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机动车相关数据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驾驶人相关数据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交通违法相关数据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交通事故相关数据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危险品车辆相关数据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警情相关数据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人口相关数据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应急救援相关数据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交通运输相关数据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综合执法相关数据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综合治理相关数据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气象环境相关数据</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停车相关数据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资源库</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应建立各类数据资源的关键要素（各种标识类属性）以及要素之间关联、关系的公共数据集合。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知识库</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应具备交管领域共享的特征知识数据和规则方法集合，包括用于数据接入、处理、治理、组织和服务的所有知识性数据以及各种规则、方法、过程的集合。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业务库</w:t>
            </w:r>
          </w:p>
        </w:tc>
        <w:tc>
          <w:tcPr>
            <w:tcW w:w="3380"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1）应具备业务生产库，记录和存储业务人员进行业务开展与流程等业务活动相关的一切数据。</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2）应具备业务资源库，汇聚业务系统内的数据资源，包括原始库、资源库、主题库等提取或分发的数据。</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3）应具备业务知识库，汇聚与业务相关，支撑具体业务方向的业务或专题知识，包括业务知识实体库和业务知识模型库。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7</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主题库</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主题库是为了便利工作、精准快速地反映工作对象全貌而建立的融合各类数据资源、长期积累的人、车、路、事、组织主题对象库，本项目应在公安信息网建立人员主题库、机动车主题库、道路主题库、组织主题库、案事件主题库。投标时，应详述各主题库的结构。</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人员主题聚合车辆所有人及驾驶人、交通管理及辅助人员、与交通安全相关的企业机构法人及其管理人、交通违法和交通事故当事人等交通安全参与者各个维度属性描述的信息集合。比如驾驶人基本信息（包含</w:t>
            </w:r>
            <w:r>
              <w:rPr>
                <w:rFonts w:hint="eastAsia" w:ascii="宋体" w:hAnsi="宋体" w:cs="宋体"/>
                <w:color w:val="auto"/>
                <w:kern w:val="0"/>
                <w:sz w:val="20"/>
                <w:szCs w:val="20"/>
                <w:lang w:eastAsia="zh-CN"/>
              </w:rPr>
              <w:t>所属大队、中队，以及</w:t>
            </w:r>
            <w:r>
              <w:rPr>
                <w:rFonts w:hint="eastAsia" w:ascii="宋体" w:hAnsi="宋体" w:cs="宋体"/>
                <w:color w:val="auto"/>
                <w:kern w:val="0"/>
                <w:sz w:val="20"/>
                <w:szCs w:val="20"/>
              </w:rPr>
              <w:t>行政区划县市区、乡镇、村居）、驾驶人基本信息、驾驶人违法记分信息、驾驶人考试信息、驾驶人事故信息、事故当事人信息、机动车所有人信息、企业机构法人信息、交通管理人员及相关社会组织人员等信息。</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（2）机动车主题聚合机动车、重点关注类型的机动车、公务用车、救援抢险车等各个维度属性描述的信息集合。比如比如机动车相关基本信息（包含发证机关、</w:t>
            </w:r>
            <w:r>
              <w:rPr>
                <w:rFonts w:hint="eastAsia" w:ascii="宋体" w:hAnsi="宋体" w:cs="宋体"/>
                <w:color w:val="auto"/>
                <w:kern w:val="0"/>
                <w:sz w:val="20"/>
                <w:szCs w:val="20"/>
                <w:lang w:eastAsia="zh-CN"/>
              </w:rPr>
              <w:t>所属大队、中队，</w:t>
            </w:r>
            <w:r>
              <w:rPr>
                <w:rFonts w:hint="eastAsia" w:ascii="宋体" w:hAnsi="宋体" w:cs="宋体"/>
                <w:color w:val="auto"/>
                <w:kern w:val="0"/>
                <w:sz w:val="20"/>
                <w:szCs w:val="20"/>
              </w:rPr>
              <w:t>以及行政区划县市区、乡镇、村居）、机动车相关基本信息、机动车状态信息、路径信息、所有人信息、相关驾驶人信息、交通违法信息、交通事故信息、车载信息等。</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（3）道路主题按照道路分类标准和管辖范围，聚合与道路相关的信息，包括道路基本信息、道路交通科技设备基础信息、道路施工信息、</w:t>
            </w:r>
            <w:bookmarkStart w:id="41" w:name="OLE_LINK1"/>
            <w:r>
              <w:rPr>
                <w:rFonts w:hint="eastAsia" w:ascii="宋体" w:hAnsi="宋体" w:cs="宋体"/>
                <w:color w:val="auto"/>
                <w:kern w:val="0"/>
                <w:sz w:val="20"/>
                <w:szCs w:val="20"/>
              </w:rPr>
              <w:t>道路拥堵</w:t>
            </w:r>
            <w:bookmarkEnd w:id="41"/>
            <w:r>
              <w:rPr>
                <w:rFonts w:hint="eastAsia" w:ascii="宋体" w:hAnsi="宋体" w:cs="宋体"/>
                <w:color w:val="auto"/>
                <w:kern w:val="0"/>
                <w:sz w:val="20"/>
                <w:szCs w:val="20"/>
              </w:rPr>
              <w:t>信息、交通事故信息、危险路段、隐患路段、违法多发地等各个维度属性描述的信息集合。</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4）组织主题数据主要汇聚交通安全管理责任单位、交通安全责任单位的各个维度属性描述的信息集合。例如单位基本信息，包括统一机构代码、法人信息、管理人员信息、企业经营范围、营业执照信息、营运许可信息等；单位登记机动车基本信息、违法信息、事故信息、驾驶人及押运员信息等。</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5）案事件主题库是以案事件为主体，覆盖案事件办理全流程的相关数据集合。包括警情、案事件、流程、法律文书、案事件特征等各类信息的多维刻画。如交通执法信息、交通事故信息、交通违法信息、交通违法案件信息等。</w:t>
            </w:r>
          </w:p>
          <w:p>
            <w:pPr>
              <w:widowControl/>
              <w:jc w:val="left"/>
              <w:rPr>
                <w:color w:val="auto"/>
              </w:rPr>
            </w:pPr>
            <w:r>
              <w:rPr>
                <w:rFonts w:hint="eastAsia" w:ascii="宋体" w:hAnsi="宋体" w:cs="宋体"/>
                <w:color w:val="auto"/>
                <w:kern w:val="0"/>
                <w:sz w:val="20"/>
                <w:szCs w:val="20"/>
              </w:rPr>
              <w:t>（6）非机动车主题库：聚合非机动车、重点关注类型的非机动车、快递运输非机动车等各个维度属性描述的信息集合。比如非机动车相关基本信息、登记信息、所有人信息、交通违法信息、交通事故信等。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8</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专题库</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专题库是数据中心的核心数据库，需承载赋能中心模型超市中模型计算成果数据，本项目应至少建立交通流量专题、交通路况专题、积分模型专题、勤务专题、业务监管专题，以及本招标要求中他处提到的专题。</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应提供通过北向数据交换接口为智慧交管业务应用系统提供统一专题数据服务。</w:t>
            </w:r>
          </w:p>
          <w:p>
            <w:pPr>
              <w:widowControl/>
              <w:jc w:val="left"/>
              <w:rPr>
                <w:color w:val="auto"/>
              </w:rPr>
            </w:pPr>
            <w:r>
              <w:rPr>
                <w:rFonts w:ascii="宋体" w:hAnsi="宋体" w:cs="宋体"/>
                <w:color w:val="auto"/>
                <w:kern w:val="0"/>
                <w:sz w:val="20"/>
                <w:szCs w:val="20"/>
              </w:rPr>
              <w:t>投标时</w:t>
            </w:r>
            <w:r>
              <w:rPr>
                <w:rFonts w:hint="eastAsia" w:ascii="宋体" w:hAnsi="宋体" w:cs="宋体"/>
                <w:color w:val="auto"/>
                <w:kern w:val="0"/>
                <w:sz w:val="20"/>
                <w:szCs w:val="20"/>
              </w:rPr>
              <w:t>，</w:t>
            </w:r>
            <w:r>
              <w:rPr>
                <w:rFonts w:ascii="宋体" w:hAnsi="宋体" w:cs="宋体"/>
                <w:color w:val="auto"/>
                <w:kern w:val="0"/>
                <w:sz w:val="20"/>
                <w:szCs w:val="20"/>
              </w:rPr>
              <w:t>应详述各类专题相关的数据种类及数据结构</w:t>
            </w:r>
            <w:r>
              <w:rPr>
                <w:rFonts w:hint="eastAsia" w:ascii="宋体" w:hAnsi="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9</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索引库</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需支持对原始库、标准库、资源库、主题库等数据库的关键要素建立实现全局索引。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（五）</w:t>
            </w:r>
          </w:p>
        </w:tc>
        <w:tc>
          <w:tcPr>
            <w:tcW w:w="1126" w:type="pct"/>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数据治理</w:t>
            </w:r>
          </w:p>
        </w:tc>
        <w:tc>
          <w:tcPr>
            <w:tcW w:w="3380" w:type="pct"/>
            <w:shd w:val="clear" w:color="auto" w:fill="auto"/>
            <w:noWrap/>
            <w:vAlign w:val="center"/>
          </w:tcPr>
          <w:p>
            <w:pPr>
              <w:widowControl/>
              <w:jc w:val="left"/>
              <w:rPr>
                <w:rFonts w:ascii="宋体" w:hAnsi="宋体" w:cs="宋体"/>
                <w:b/>
                <w:bCs/>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数据资产管理-数据资源目录</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数据中台应提供数据资源目录管理功能。</w:t>
            </w:r>
          </w:p>
          <w:p>
            <w:pPr>
              <w:widowControl/>
              <w:jc w:val="left"/>
              <w:rPr>
                <w:rFonts w:hint="eastAsia" w:ascii="宋体" w:hAnsi="宋体" w:eastAsia="宋体" w:cs="宋体"/>
                <w:color w:val="auto"/>
                <w:kern w:val="0"/>
                <w:sz w:val="20"/>
                <w:szCs w:val="20"/>
                <w:lang w:eastAsia="zh-CN"/>
              </w:rPr>
            </w:pPr>
            <w:r>
              <w:rPr>
                <w:rFonts w:ascii="宋体" w:hAnsi="宋体" w:cs="宋体"/>
                <w:color w:val="auto"/>
                <w:kern w:val="0"/>
                <w:sz w:val="20"/>
                <w:szCs w:val="20"/>
              </w:rPr>
              <w:t>1</w:t>
            </w:r>
            <w:r>
              <w:rPr>
                <w:rFonts w:hint="eastAsia" w:ascii="宋体" w:hAnsi="宋体" w:cs="宋体"/>
                <w:color w:val="auto"/>
                <w:kern w:val="0"/>
                <w:sz w:val="20"/>
                <w:szCs w:val="20"/>
              </w:rPr>
              <w:t>）包含数据资源目录信息，支持审核、注册功能,支持资源分类配置，支持批量模板导入。</w:t>
            </w:r>
          </w:p>
          <w:p>
            <w:pPr>
              <w:widowControl/>
              <w:jc w:val="left"/>
              <w:rPr>
                <w:rFonts w:ascii="宋体" w:hAnsi="宋体" w:cs="宋体"/>
                <w:color w:val="auto"/>
                <w:kern w:val="0"/>
                <w:sz w:val="20"/>
                <w:szCs w:val="20"/>
              </w:rPr>
            </w:pPr>
            <w:r>
              <w:rPr>
                <w:rFonts w:ascii="宋体" w:hAnsi="宋体" w:cs="宋体"/>
                <w:color w:val="auto"/>
                <w:kern w:val="0"/>
                <w:sz w:val="20"/>
                <w:szCs w:val="20"/>
              </w:rPr>
              <w:t>2</w:t>
            </w:r>
            <w:r>
              <w:rPr>
                <w:rFonts w:hint="eastAsia" w:ascii="宋体" w:hAnsi="宋体" w:cs="宋体"/>
                <w:color w:val="auto"/>
                <w:kern w:val="0"/>
                <w:sz w:val="20"/>
                <w:szCs w:val="20"/>
              </w:rPr>
              <w:t>）支持资源目录更新、资源停用、资源注销、资源重新启用、资源目录汇聚、资源目录同步、资源目录查询、数据元素维护、数据字段维护等功能。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★数据资产管理-数据分级分类</w:t>
            </w:r>
          </w:p>
        </w:tc>
        <w:tc>
          <w:tcPr>
            <w:tcW w:w="3380" w:type="pct"/>
            <w:shd w:val="clear" w:color="auto" w:fill="auto"/>
            <w:vAlign w:val="center"/>
          </w:tcPr>
          <w:p>
            <w:pPr>
              <w:widowControl/>
              <w:jc w:val="left"/>
              <w:rPr>
                <w:rFonts w:hint="eastAsia" w:ascii="宋体" w:hAnsi="宋体" w:cs="宋体"/>
                <w:color w:val="auto"/>
                <w:kern w:val="0"/>
                <w:sz w:val="20"/>
                <w:szCs w:val="20"/>
                <w:lang w:eastAsia="zh-CN"/>
              </w:rPr>
            </w:pPr>
            <w:r>
              <w:rPr>
                <w:rFonts w:hint="eastAsia" w:ascii="宋体" w:hAnsi="宋体" w:cs="宋体"/>
                <w:color w:val="auto"/>
                <w:kern w:val="0"/>
                <w:sz w:val="20"/>
                <w:szCs w:val="20"/>
              </w:rPr>
              <w:t>数据中台应提供数据分级分类管理功能，支持对来源数据进行自动分级分类，控制用户访问数据权限，粒度支持字段级</w:t>
            </w:r>
            <w:r>
              <w:rPr>
                <w:rFonts w:hint="eastAsia" w:ascii="宋体" w:hAnsi="宋体" w:cs="宋体"/>
                <w:color w:val="auto"/>
                <w:kern w:val="0"/>
                <w:sz w:val="20"/>
                <w:szCs w:val="20"/>
                <w:lang w:eastAsia="zh-CN"/>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支持敏感级别规则的管理，数据授权管理，数据分级分类审核、审批。</w:t>
            </w:r>
            <w:r>
              <w:rPr>
                <w:rFonts w:hint="eastAsia" w:ascii="宋体" w:hAnsi="宋体" w:cs="宋体"/>
                <w:b/>
                <w:bCs/>
                <w:strike w:val="0"/>
                <w:dstrike w:val="0"/>
                <w:color w:val="auto"/>
                <w:kern w:val="0"/>
                <w:sz w:val="20"/>
                <w:szCs w:val="20"/>
              </w:rPr>
              <w:t>提供界面截图证明。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★数据资产管理-数据血缘管理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数据中台应提供血缘记录功能，描述记录血缘信息的规则。血缘分析功能，数据资源进行数据流向分析、继承分析、转换分析、溯源和变更影响分析，勾勒出每条数据的来龙去脉，形成血缘关系，支持表血缘和字段血缘。血缘查询功能，数据类别、数据项进行数据血缘的接口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★数据资产管理-标签管理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应提供标签管理功能，包括但不限于标签的注册、修改、删除、查询、导入、导出，以及标签类目等管理功能。标签规则的定义和标签规则知识库的管理。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★数据资产管理-数据质量管理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数据中台应提供全链路数据质量管理，对数据源、导入过程、数据资产、数据使用等数据链路中的各个环节进行管控，包括质量监控、异常告警、问题定位、自定义规则维护、灵活的规则执行、自动分析报告</w:t>
            </w:r>
            <w:r>
              <w:rPr>
                <w:rFonts w:hint="eastAsia" w:ascii="宋体" w:hAnsi="宋体" w:cs="宋体"/>
                <w:strike w:val="0"/>
                <w:dstrike w:val="0"/>
                <w:color w:val="auto"/>
                <w:kern w:val="0"/>
                <w:sz w:val="20"/>
                <w:szCs w:val="20"/>
              </w:rPr>
              <w:t>，</w:t>
            </w:r>
            <w:r>
              <w:rPr>
                <w:rFonts w:hint="eastAsia" w:ascii="宋体" w:hAnsi="宋体" w:cs="宋体"/>
                <w:b/>
                <w:bCs/>
                <w:strike w:val="0"/>
                <w:dstrike w:val="0"/>
                <w:color w:val="auto"/>
                <w:kern w:val="0"/>
                <w:sz w:val="20"/>
                <w:szCs w:val="20"/>
              </w:rPr>
              <w:t>提供界面截图</w:t>
            </w:r>
            <w:r>
              <w:rPr>
                <w:rFonts w:hint="eastAsia" w:ascii="宋体" w:hAnsi="宋体" w:cs="宋体"/>
                <w:b/>
                <w:bCs/>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数据资产管理-数据运维管理</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需支持运维日志采集，资源统计，运行状态监控，数据质量展示分析，数据运维报表，数据备份管理。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★数据资产管理-数据运营管理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数据中台应提供数据服务目录管理功能。</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1）根据数据资源的开放程度和使用情况进行个性化配置和展示，数据资源目录的获取、展示以及配置等。</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2）并支持服务计量，对各项数据服务进行计量和统计，评估各种数据资源的使用情况。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8</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★元数据管理</w:t>
            </w:r>
          </w:p>
        </w:tc>
        <w:tc>
          <w:tcPr>
            <w:tcW w:w="3380"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val="en-US" w:eastAsia="zh-CN"/>
              </w:rPr>
              <w:t>1）</w:t>
            </w:r>
            <w:r>
              <w:rPr>
                <w:rFonts w:hint="eastAsia" w:ascii="宋体" w:hAnsi="宋体" w:cs="宋体"/>
                <w:color w:val="auto"/>
                <w:kern w:val="0"/>
                <w:sz w:val="20"/>
                <w:szCs w:val="20"/>
              </w:rPr>
              <w:t>数据中台应提供数据源管理功能，每个数据源所包含的表和视图的信息进行查看（表名称、创建时间、更新时间、描述、字段结构）。</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2）数据中台应提供元数据开发功能，实现构建数据仓库分层管理模型，数据表、资产管理的编目。</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3）数据中台应提供规范中心功能，实现创建自定义标准、导入代码表以及标准审核功能，规范用户数据结构与所用代码表。</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4）</w:t>
            </w:r>
            <w:r>
              <w:rPr>
                <w:rFonts w:hint="eastAsia" w:ascii="宋体" w:hAnsi="宋体" w:cs="宋体"/>
                <w:color w:val="auto"/>
                <w:kern w:val="0"/>
                <w:sz w:val="20"/>
                <w:szCs w:val="20"/>
              </w:rPr>
              <w:t>数据中台应提供元数据查询功能，支持展示各个数仓分层的技术元数据、业务元数据和关系元数据。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9</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数据采集</w:t>
            </w:r>
          </w:p>
        </w:tc>
        <w:tc>
          <w:tcPr>
            <w:tcW w:w="3380"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ascii="宋体" w:hAnsi="宋体" w:cs="宋体"/>
                <w:color w:val="auto"/>
                <w:kern w:val="0"/>
                <w:sz w:val="20"/>
                <w:szCs w:val="20"/>
              </w:rPr>
              <w:t>★1）</w:t>
            </w:r>
            <w:r>
              <w:rPr>
                <w:rFonts w:hint="eastAsia" w:ascii="宋体" w:hAnsi="宋体"/>
                <w:color w:val="auto"/>
                <w:kern w:val="0"/>
                <w:sz w:val="20"/>
                <w:szCs w:val="24"/>
              </w:rPr>
              <w:t>数据中台</w:t>
            </w:r>
            <w:r>
              <w:rPr>
                <w:rFonts w:hint="eastAsia" w:ascii="宋体" w:hAnsi="宋体" w:cs="宋体"/>
                <w:color w:val="auto"/>
                <w:kern w:val="0"/>
                <w:sz w:val="20"/>
                <w:szCs w:val="20"/>
              </w:rPr>
              <w:t>应提供离线采集（单表采集、批量采集、实时采集和自定义采集）功能，</w:t>
            </w:r>
            <w:r>
              <w:rPr>
                <w:rFonts w:hint="eastAsia" w:ascii="宋体" w:hAnsi="宋体" w:cs="宋体"/>
                <w:b/>
                <w:bCs/>
                <w:color w:val="auto"/>
                <w:kern w:val="0"/>
                <w:sz w:val="20"/>
                <w:szCs w:val="20"/>
              </w:rPr>
              <w:t>提供界面截图证明</w:t>
            </w:r>
            <w:r>
              <w:rPr>
                <w:rFonts w:hint="eastAsia" w:ascii="宋体" w:hAnsi="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ascii="宋体" w:hAnsi="宋体" w:cs="宋体"/>
                <w:color w:val="auto"/>
                <w:kern w:val="0"/>
                <w:sz w:val="20"/>
                <w:szCs w:val="20"/>
              </w:rPr>
              <w:t>2）</w:t>
            </w:r>
            <w:r>
              <w:rPr>
                <w:rFonts w:hint="eastAsia" w:ascii="宋体" w:hAnsi="宋体"/>
                <w:color w:val="auto"/>
                <w:kern w:val="0"/>
                <w:sz w:val="20"/>
                <w:szCs w:val="24"/>
              </w:rPr>
              <w:t>数据中台</w:t>
            </w:r>
            <w:r>
              <w:rPr>
                <w:rFonts w:hint="eastAsia" w:ascii="宋体" w:hAnsi="宋体" w:cs="宋体"/>
                <w:color w:val="auto"/>
                <w:kern w:val="0"/>
                <w:sz w:val="20"/>
                <w:szCs w:val="20"/>
              </w:rPr>
              <w:t>应提供关系型数据库和日志文件的实时采集功能。</w:t>
            </w:r>
          </w:p>
          <w:p>
            <w:pPr>
              <w:widowControl/>
              <w:jc w:val="left"/>
              <w:rPr>
                <w:rFonts w:hint="eastAsia" w:ascii="宋体" w:hAnsi="宋体" w:eastAsia="宋体" w:cs="宋体"/>
                <w:color w:val="auto"/>
                <w:kern w:val="0"/>
                <w:sz w:val="20"/>
                <w:szCs w:val="20"/>
                <w:lang w:eastAsia="zh-CN"/>
              </w:rPr>
            </w:pPr>
            <w:r>
              <w:rPr>
                <w:rFonts w:ascii="宋体" w:hAnsi="宋体" w:cs="宋体"/>
                <w:color w:val="auto"/>
                <w:kern w:val="0"/>
                <w:sz w:val="20"/>
                <w:szCs w:val="20"/>
              </w:rPr>
              <w:t>3）</w:t>
            </w:r>
            <w:r>
              <w:rPr>
                <w:rFonts w:hint="eastAsia" w:ascii="宋体" w:hAnsi="宋体"/>
                <w:color w:val="auto"/>
                <w:kern w:val="0"/>
                <w:sz w:val="20"/>
                <w:szCs w:val="24"/>
              </w:rPr>
              <w:t>数据中台</w:t>
            </w:r>
            <w:r>
              <w:rPr>
                <w:rFonts w:hint="eastAsia" w:ascii="宋体" w:hAnsi="宋体" w:cs="宋体"/>
                <w:color w:val="auto"/>
                <w:kern w:val="0"/>
                <w:sz w:val="20"/>
                <w:szCs w:val="20"/>
              </w:rPr>
              <w:t>应提供脚本开发功能，实现数据脚本开发，包含：</w:t>
            </w:r>
            <w:r>
              <w:rPr>
                <w:rFonts w:ascii="宋体" w:hAnsi="宋体" w:cs="宋体"/>
                <w:color w:val="auto"/>
                <w:kern w:val="0"/>
                <w:sz w:val="20"/>
                <w:szCs w:val="20"/>
              </w:rPr>
              <w:t>Python、PHP、Shell、SQL等脚本格式</w:t>
            </w:r>
            <w:r>
              <w:rPr>
                <w:rFonts w:hint="eastAsia" w:ascii="宋体" w:hAnsi="宋体" w:cs="宋体"/>
                <w:color w:val="auto"/>
                <w:kern w:val="0"/>
                <w:sz w:val="20"/>
                <w:szCs w:val="20"/>
              </w:rPr>
              <w:t>。</w:t>
            </w:r>
          </w:p>
          <w:p>
            <w:pPr>
              <w:widowControl/>
              <w:jc w:val="left"/>
              <w:rPr>
                <w:rFonts w:hint="eastAsia" w:ascii="宋体" w:hAnsi="宋体" w:eastAsia="宋体" w:cs="宋体"/>
                <w:color w:val="auto"/>
                <w:kern w:val="0"/>
                <w:sz w:val="20"/>
                <w:szCs w:val="20"/>
                <w:lang w:eastAsia="zh-CN"/>
              </w:rPr>
            </w:pPr>
            <w:r>
              <w:rPr>
                <w:rFonts w:ascii="宋体" w:hAnsi="宋体" w:cs="宋体"/>
                <w:color w:val="auto"/>
                <w:kern w:val="0"/>
                <w:sz w:val="20"/>
                <w:szCs w:val="20"/>
              </w:rPr>
              <w:t>4）</w:t>
            </w:r>
            <w:r>
              <w:rPr>
                <w:rFonts w:hint="eastAsia" w:ascii="宋体" w:hAnsi="宋体"/>
                <w:color w:val="auto"/>
                <w:kern w:val="0"/>
                <w:sz w:val="20"/>
                <w:szCs w:val="24"/>
              </w:rPr>
              <w:t>数据中台</w:t>
            </w:r>
            <w:r>
              <w:rPr>
                <w:rFonts w:hint="eastAsia" w:ascii="宋体" w:hAnsi="宋体" w:cs="宋体"/>
                <w:color w:val="auto"/>
                <w:kern w:val="0"/>
                <w:sz w:val="20"/>
                <w:szCs w:val="20"/>
              </w:rPr>
              <w:t>应提供工作流开发功能，实现数据采集任务、数据处理脚本的可视化流串联，统一调度。</w:t>
            </w:r>
          </w:p>
          <w:p>
            <w:pPr>
              <w:widowControl/>
              <w:jc w:val="left"/>
              <w:rPr>
                <w:rFonts w:ascii="宋体" w:hAnsi="宋体" w:cs="宋体"/>
                <w:color w:val="auto"/>
                <w:kern w:val="0"/>
                <w:sz w:val="20"/>
                <w:szCs w:val="20"/>
              </w:rPr>
            </w:pPr>
            <w:r>
              <w:rPr>
                <w:rFonts w:ascii="宋体" w:hAnsi="宋体" w:cs="宋体"/>
                <w:color w:val="auto"/>
                <w:kern w:val="0"/>
                <w:sz w:val="20"/>
                <w:szCs w:val="20"/>
              </w:rPr>
              <w:t>5）</w:t>
            </w:r>
            <w:r>
              <w:rPr>
                <w:rFonts w:hint="eastAsia" w:ascii="宋体" w:hAnsi="宋体"/>
                <w:color w:val="auto"/>
                <w:kern w:val="0"/>
                <w:sz w:val="20"/>
                <w:szCs w:val="24"/>
              </w:rPr>
              <w:t>数据中台</w:t>
            </w:r>
            <w:r>
              <w:rPr>
                <w:rFonts w:hint="eastAsia" w:ascii="宋体" w:hAnsi="宋体" w:cs="宋体"/>
                <w:color w:val="auto"/>
                <w:kern w:val="0"/>
                <w:sz w:val="20"/>
                <w:szCs w:val="20"/>
              </w:rPr>
              <w:t>应提供自定义函数管理功能，自定义导入函数包，实现一键注册并使用。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color w:val="auto"/>
              </w:rPr>
              <w:t>★</w:t>
            </w:r>
            <w:r>
              <w:rPr>
                <w:rFonts w:hint="eastAsia" w:ascii="宋体" w:hAnsi="宋体" w:cs="宋体"/>
                <w:color w:val="auto"/>
                <w:kern w:val="0"/>
                <w:sz w:val="20"/>
                <w:szCs w:val="20"/>
              </w:rPr>
              <w:t>数据计算</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lang w:eastAsia="zh-CN"/>
              </w:rPr>
              <w:t>数据中台</w:t>
            </w:r>
            <w:r>
              <w:rPr>
                <w:rFonts w:hint="eastAsia" w:ascii="宋体" w:hAnsi="宋体" w:cs="宋体"/>
                <w:color w:val="auto"/>
                <w:kern w:val="0"/>
                <w:sz w:val="20"/>
                <w:szCs w:val="20"/>
              </w:rPr>
              <w:t>应提供创建数据计算的算子开发功能。实现在数据计算模块使用语言编写算子（支持脚本类型</w:t>
            </w:r>
            <w:r>
              <w:rPr>
                <w:rFonts w:ascii="宋体" w:hAnsi="宋体" w:cs="宋体"/>
                <w:color w:val="auto"/>
                <w:kern w:val="0"/>
                <w:sz w:val="20"/>
                <w:szCs w:val="20"/>
              </w:rPr>
              <w:t>Shell、python、python3、PHP、SQL)。</w:t>
            </w:r>
            <w:r>
              <w:rPr>
                <w:rFonts w:ascii="宋体" w:hAnsi="宋体" w:cs="宋体"/>
                <w:b/>
                <w:bCs/>
                <w:color w:val="auto"/>
                <w:kern w:val="0"/>
                <w:sz w:val="20"/>
                <w:szCs w:val="20"/>
              </w:rPr>
              <w:t>提供界面截</w:t>
            </w:r>
            <w:r>
              <w:rPr>
                <w:rFonts w:hint="eastAsia" w:ascii="宋体" w:hAnsi="宋体" w:cs="宋体"/>
                <w:b/>
                <w:bCs/>
                <w:color w:val="auto"/>
                <w:kern w:val="0"/>
                <w:sz w:val="20"/>
                <w:szCs w:val="20"/>
              </w:rPr>
              <w:t>图证明。</w:t>
            </w:r>
          </w:p>
          <w:p>
            <w:pPr>
              <w:widowControl/>
              <w:jc w:val="left"/>
              <w:rPr>
                <w:rFonts w:hint="default" w:eastAsia="宋体"/>
                <w:color w:val="auto"/>
                <w:lang w:val="en-US" w:eastAsia="zh-CN"/>
              </w:rPr>
            </w:pPr>
            <w:r>
              <w:rPr>
                <w:rFonts w:hint="eastAsia" w:ascii="宋体" w:hAnsi="宋体" w:cs="宋体"/>
                <w:color w:val="auto"/>
                <w:kern w:val="0"/>
                <w:sz w:val="20"/>
                <w:szCs w:val="20"/>
                <w:lang w:eastAsia="zh-CN"/>
              </w:rPr>
              <w:t>数据中台应支持</w:t>
            </w:r>
            <w:r>
              <w:rPr>
                <w:rFonts w:hint="eastAsia" w:ascii="宋体" w:hAnsi="宋体" w:cs="宋体"/>
                <w:color w:val="auto"/>
                <w:kern w:val="0"/>
                <w:sz w:val="20"/>
                <w:szCs w:val="20"/>
                <w:lang w:val="en-US" w:eastAsia="zh-CN"/>
              </w:rPr>
              <w:t>ARM、X86体系。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color w:val="auto"/>
              </w:rPr>
              <w:t>★</w:t>
            </w:r>
            <w:r>
              <w:rPr>
                <w:rFonts w:hint="eastAsia" w:ascii="宋体" w:hAnsi="宋体" w:cs="宋体"/>
                <w:color w:val="auto"/>
                <w:kern w:val="0"/>
                <w:sz w:val="20"/>
                <w:szCs w:val="20"/>
              </w:rPr>
              <w:t>数据融合</w:t>
            </w:r>
          </w:p>
        </w:tc>
        <w:tc>
          <w:tcPr>
            <w:tcW w:w="3380" w:type="pct"/>
            <w:shd w:val="clear" w:color="auto" w:fill="auto"/>
            <w:vAlign w:val="center"/>
          </w:tcPr>
          <w:p>
            <w:pPr>
              <w:widowControl/>
              <w:jc w:val="left"/>
              <w:rPr>
                <w:rFonts w:ascii="宋体" w:hAnsi="宋体" w:cs="宋体"/>
                <w:color w:val="auto"/>
                <w:kern w:val="0"/>
                <w:sz w:val="20"/>
                <w:szCs w:val="20"/>
              </w:rPr>
            </w:pPr>
            <w:r>
              <w:rPr>
                <w:rFonts w:ascii="宋体" w:hAnsi="宋体" w:cs="宋体"/>
                <w:color w:val="auto"/>
                <w:kern w:val="0"/>
                <w:sz w:val="20"/>
                <w:szCs w:val="20"/>
              </w:rPr>
              <w:t>应利用道路交通管理时间</w:t>
            </w:r>
            <w:r>
              <w:rPr>
                <w:rFonts w:hint="eastAsia" w:ascii="宋体" w:hAnsi="宋体" w:cs="宋体"/>
                <w:color w:val="auto"/>
                <w:kern w:val="0"/>
                <w:sz w:val="20"/>
                <w:szCs w:val="20"/>
              </w:rPr>
              <w:t>、</w:t>
            </w:r>
            <w:r>
              <w:rPr>
                <w:rFonts w:ascii="宋体" w:hAnsi="宋体" w:cs="宋体"/>
                <w:color w:val="auto"/>
                <w:kern w:val="0"/>
                <w:sz w:val="20"/>
                <w:szCs w:val="20"/>
              </w:rPr>
              <w:t>空间的基本特性</w:t>
            </w:r>
            <w:r>
              <w:rPr>
                <w:rFonts w:hint="eastAsia" w:ascii="宋体" w:hAnsi="宋体" w:cs="宋体"/>
                <w:color w:val="auto"/>
                <w:kern w:val="0"/>
                <w:sz w:val="20"/>
                <w:szCs w:val="20"/>
              </w:rPr>
              <w:t>，</w:t>
            </w:r>
            <w:r>
              <w:rPr>
                <w:rFonts w:ascii="宋体" w:hAnsi="宋体" w:cs="宋体"/>
                <w:color w:val="auto"/>
                <w:kern w:val="0"/>
                <w:sz w:val="20"/>
                <w:szCs w:val="20"/>
              </w:rPr>
              <w:t>建立道路交通管理时空分析底座</w:t>
            </w:r>
            <w:r>
              <w:rPr>
                <w:rFonts w:hint="eastAsia" w:ascii="宋体" w:hAnsi="宋体" w:cs="宋体"/>
                <w:color w:val="auto"/>
                <w:kern w:val="0"/>
                <w:sz w:val="20"/>
                <w:szCs w:val="20"/>
              </w:rPr>
              <w:t>，</w:t>
            </w:r>
            <w:r>
              <w:rPr>
                <w:rFonts w:ascii="宋体" w:hAnsi="宋体" w:cs="宋体"/>
                <w:color w:val="auto"/>
                <w:kern w:val="0"/>
                <w:sz w:val="20"/>
                <w:szCs w:val="20"/>
              </w:rPr>
              <w:t>实现空间数据业务化</w:t>
            </w:r>
            <w:r>
              <w:rPr>
                <w:rFonts w:hint="eastAsia" w:ascii="宋体" w:hAnsi="宋体" w:cs="宋体"/>
                <w:color w:val="auto"/>
                <w:kern w:val="0"/>
                <w:sz w:val="20"/>
                <w:szCs w:val="20"/>
              </w:rPr>
              <w:t>，业务数据空间化，实现数据融合，充分发挥数据的效能。</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请在投标书中，论述详细实现方案。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数据资产</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olor w:val="auto"/>
                <w:kern w:val="0"/>
                <w:sz w:val="20"/>
                <w:szCs w:val="24"/>
              </w:rPr>
              <w:t>数据中台</w:t>
            </w:r>
            <w:r>
              <w:rPr>
                <w:rFonts w:hint="eastAsia" w:ascii="宋体" w:hAnsi="宋体" w:cs="宋体"/>
                <w:color w:val="auto"/>
                <w:kern w:val="0"/>
                <w:sz w:val="20"/>
                <w:szCs w:val="20"/>
              </w:rPr>
              <w:t>资产概览功能，支持主题数据资产查看。</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2）资产中心功能，需支持对数据资产进行筛选和查看。</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3）表详情信息，需支持数据资产表详情的查看，基本信息、字段信息、血缘关系、更新记录和数据详情。</w:t>
            </w:r>
            <w:r>
              <w:rPr>
                <w:rFonts w:hint="eastAsia" w:ascii="宋体" w:hAnsi="宋体" w:cs="宋体"/>
                <w:b/>
                <w:bCs/>
                <w:strike w:val="0"/>
                <w:dstrike w:val="0"/>
                <w:color w:val="auto"/>
                <w:kern w:val="0"/>
                <w:sz w:val="20"/>
                <w:szCs w:val="20"/>
              </w:rPr>
              <w:t>提供界面截图证明。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项目管理</w:t>
            </w:r>
          </w:p>
        </w:tc>
        <w:tc>
          <w:tcPr>
            <w:tcW w:w="3380"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1）项目管理，需支持项目创建功能，并实现分配项目管理员。实现用户、权限、资源的管理。</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2）项目切换，需支持单用户多项目，提供自由切换项目功能。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平台管理</w:t>
            </w:r>
          </w:p>
        </w:tc>
        <w:tc>
          <w:tcPr>
            <w:tcW w:w="3380"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★1）节点管理功能，需提供平台的集群总览，包括但不限于集群的整体运行状况、组件运行状况，节点详情、节点状态等管理功能。</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2）引擎服务功能，需支持在引擎服务注册各类的引擎资源，可对接Hadoop大数据平台的Hive、HDFS、Kafka等数据种类。</w:t>
            </w:r>
            <w:r>
              <w:rPr>
                <w:rFonts w:hint="eastAsia" w:ascii="宋体" w:hAnsi="宋体" w:cs="宋体"/>
                <w:b/>
                <w:bCs/>
                <w:color w:val="auto"/>
                <w:kern w:val="0"/>
                <w:sz w:val="20"/>
                <w:szCs w:val="20"/>
              </w:rPr>
              <w:t>提供界面截图证明。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r>
              <w:rPr>
                <w:rFonts w:ascii="宋体" w:hAnsi="宋体" w:cs="宋体"/>
                <w:color w:val="auto"/>
                <w:kern w:val="0"/>
                <w:sz w:val="20"/>
                <w:szCs w:val="20"/>
              </w:rPr>
              <w:t>5</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数据共享</w:t>
            </w:r>
          </w:p>
        </w:tc>
        <w:tc>
          <w:tcPr>
            <w:tcW w:w="3380" w:type="pct"/>
            <w:shd w:val="clear" w:color="auto" w:fill="auto"/>
            <w:vAlign w:val="center"/>
          </w:tcPr>
          <w:p>
            <w:pPr>
              <w:widowControl/>
              <w:jc w:val="left"/>
              <w:rPr>
                <w:rFonts w:hint="default" w:ascii="宋体" w:hAnsi="宋体" w:cs="宋体"/>
                <w:color w:val="auto"/>
                <w:kern w:val="0"/>
                <w:sz w:val="20"/>
                <w:szCs w:val="20"/>
              </w:rPr>
            </w:pPr>
            <w:r>
              <w:rPr>
                <w:rFonts w:hint="eastAsia" w:ascii="宋体" w:hAnsi="宋体"/>
                <w:color w:val="auto"/>
                <w:kern w:val="0"/>
                <w:sz w:val="20"/>
                <w:szCs w:val="24"/>
              </w:rPr>
              <w:t>数据中台</w:t>
            </w:r>
            <w:r>
              <w:rPr>
                <w:rFonts w:hint="eastAsia" w:ascii="宋体" w:hAnsi="宋体" w:cs="宋体"/>
                <w:color w:val="auto"/>
                <w:kern w:val="0"/>
                <w:sz w:val="20"/>
                <w:szCs w:val="20"/>
              </w:rPr>
              <w:t>应提供发布</w:t>
            </w:r>
            <w:r>
              <w:rPr>
                <w:rFonts w:ascii="宋体" w:hAnsi="宋体" w:cs="宋体"/>
                <w:color w:val="auto"/>
                <w:kern w:val="0"/>
                <w:sz w:val="20"/>
                <w:szCs w:val="20"/>
              </w:rPr>
              <w:t>API服务功能。至少支持治理完成的数据通过</w:t>
            </w:r>
            <w:r>
              <w:rPr>
                <w:rFonts w:hint="eastAsia" w:ascii="宋体" w:hAnsi="宋体" w:cs="宋体"/>
                <w:color w:val="auto"/>
                <w:kern w:val="0"/>
                <w:sz w:val="20"/>
                <w:szCs w:val="20"/>
              </w:rPr>
              <w:t xml:space="preserve"> API 链接的形式分享，提供 API 权限管理，以及增删改查功能。</w:t>
            </w:r>
          </w:p>
          <w:p>
            <w:pPr>
              <w:widowControl/>
              <w:jc w:val="left"/>
              <w:rPr>
                <w:rFonts w:hint="default" w:ascii="宋体" w:hAnsi="宋体" w:cs="宋体"/>
                <w:color w:val="auto"/>
                <w:kern w:val="0"/>
                <w:sz w:val="20"/>
                <w:szCs w:val="20"/>
              </w:rPr>
            </w:pPr>
            <w:r>
              <w:rPr>
                <w:rFonts w:hint="eastAsia" w:ascii="宋体" w:hAnsi="宋体" w:cs="宋体"/>
                <w:color w:val="auto"/>
                <w:kern w:val="0"/>
                <w:sz w:val="20"/>
                <w:szCs w:val="20"/>
              </w:rPr>
              <w:t>数据中台应提供API注册功能，支持查询检索服务（全文检索、通用扩展查询、通过数据查询服务等），比对订阅，数据推送，数据操作、数据API注册功能。</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数据中台应提供数据脱敏功能。至少支持三类数据脱敏规则：替换、截取、加密</w:t>
            </w:r>
            <w:r>
              <w:rPr>
                <w:rFonts w:hint="eastAsia" w:ascii="宋体" w:hAnsi="宋体" w:cs="宋体"/>
                <w:strike w:val="0"/>
                <w:dstrike w:val="0"/>
                <w:color w:val="FF0000"/>
                <w:kern w:val="0"/>
                <w:sz w:val="20"/>
                <w:szCs w:val="20"/>
              </w:rPr>
              <w:t>。</w:t>
            </w:r>
            <w:r>
              <w:rPr>
                <w:rFonts w:hint="eastAsia" w:ascii="宋体" w:hAnsi="宋体" w:cs="宋体"/>
                <w:b/>
                <w:bCs/>
                <w:strike w:val="0"/>
                <w:dstrike w:val="0"/>
                <w:color w:val="auto"/>
                <w:kern w:val="0"/>
                <w:sz w:val="20"/>
                <w:szCs w:val="20"/>
              </w:rPr>
              <w:t>提供界面截图证明</w:t>
            </w:r>
            <w:r>
              <w:rPr>
                <w:rFonts w:hint="eastAsia" w:ascii="宋体" w:hAnsi="宋体" w:cs="宋体"/>
                <w:b/>
                <w:bCs/>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16</w:t>
            </w:r>
          </w:p>
        </w:tc>
        <w:tc>
          <w:tcPr>
            <w:tcW w:w="1126"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数据智能</w:t>
            </w:r>
          </w:p>
        </w:tc>
        <w:tc>
          <w:tcPr>
            <w:tcW w:w="3380" w:type="pct"/>
            <w:shd w:val="clear" w:color="auto" w:fill="auto"/>
            <w:vAlign w:val="center"/>
          </w:tcPr>
          <w:p>
            <w:pPr>
              <w:jc w:val="left"/>
              <w:rPr>
                <w:rFonts w:ascii="宋体" w:hAnsi="宋体" w:cs="宋体"/>
                <w:color w:val="auto"/>
                <w:kern w:val="0"/>
                <w:sz w:val="20"/>
                <w:szCs w:val="20"/>
              </w:rPr>
            </w:pPr>
            <w:r>
              <w:rPr>
                <w:rFonts w:hint="eastAsia" w:ascii="宋体" w:hAnsi="宋体" w:cs="宋体"/>
                <w:color w:val="auto"/>
                <w:kern w:val="0"/>
                <w:sz w:val="20"/>
                <w:szCs w:val="20"/>
              </w:rPr>
              <w:t>实现拥堵预警专题：数据中心利用互联网数据、卡口数据和流量数据实现拥堵的预警，支持将拥堵预警数据共享给第三方系统进行处置，支持汇聚第三方系统拥堵处置的过程、结果，及考核，实现拥堵预警的流程贯通。</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请在招标方案中，画出数据流程图，提供设计方案。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vMerge w:val="continue"/>
            <w:shd w:val="clear" w:color="auto" w:fill="auto"/>
            <w:noWrap/>
            <w:vAlign w:val="center"/>
          </w:tcPr>
          <w:p>
            <w:pPr>
              <w:jc w:val="center"/>
              <w:rPr>
                <w:rFonts w:ascii="宋体" w:hAnsi="宋体" w:cs="宋体"/>
                <w:color w:val="auto"/>
                <w:kern w:val="0"/>
                <w:sz w:val="20"/>
                <w:szCs w:val="20"/>
              </w:rPr>
            </w:pPr>
          </w:p>
        </w:tc>
        <w:tc>
          <w:tcPr>
            <w:tcW w:w="1126" w:type="pct"/>
            <w:vMerge w:val="continue"/>
            <w:shd w:val="clear" w:color="auto" w:fill="auto"/>
            <w:vAlign w:val="center"/>
          </w:tcPr>
          <w:p>
            <w:pPr>
              <w:widowControl/>
              <w:jc w:val="left"/>
              <w:rPr>
                <w:rFonts w:ascii="宋体" w:hAnsi="宋体" w:cs="宋体"/>
                <w:color w:val="auto"/>
                <w:kern w:val="0"/>
                <w:sz w:val="20"/>
                <w:szCs w:val="20"/>
              </w:rPr>
            </w:pPr>
          </w:p>
        </w:tc>
        <w:tc>
          <w:tcPr>
            <w:tcW w:w="3380" w:type="pct"/>
            <w:shd w:val="clear" w:color="auto" w:fill="auto"/>
            <w:vAlign w:val="center"/>
          </w:tcPr>
          <w:p>
            <w:pPr>
              <w:jc w:val="left"/>
              <w:rPr>
                <w:rFonts w:ascii="宋体" w:hAnsi="宋体" w:cs="宋体"/>
                <w:color w:val="auto"/>
                <w:kern w:val="0"/>
                <w:sz w:val="20"/>
                <w:szCs w:val="20"/>
              </w:rPr>
            </w:pPr>
            <w:r>
              <w:rPr>
                <w:rFonts w:hint="eastAsia" w:ascii="宋体" w:hAnsi="宋体" w:cs="宋体"/>
                <w:color w:val="auto"/>
                <w:kern w:val="0"/>
                <w:sz w:val="20"/>
                <w:szCs w:val="20"/>
              </w:rPr>
              <w:t>实现安全预警专题：数据中心利用交通管理基础数据建立研判模型对道路、企业、人员和车辆进行安全预警，支持将安全预警数据共享给第三方系统进行管控，支持汇聚第三方系统安全管控的过程、结果，实现安全预警的流程贯通。</w:t>
            </w:r>
          </w:p>
          <w:p>
            <w:pPr>
              <w:jc w:val="left"/>
              <w:rPr>
                <w:rFonts w:ascii="宋体" w:hAnsi="宋体" w:cs="宋体"/>
                <w:color w:val="auto"/>
                <w:kern w:val="0"/>
                <w:sz w:val="20"/>
                <w:szCs w:val="20"/>
              </w:rPr>
            </w:pPr>
            <w:r>
              <w:rPr>
                <w:rFonts w:hint="eastAsia" w:ascii="宋体" w:hAnsi="宋体" w:cs="宋体"/>
                <w:color w:val="auto"/>
                <w:kern w:val="0"/>
                <w:sz w:val="20"/>
                <w:szCs w:val="20"/>
              </w:rPr>
              <w:t>请在招标方案中，画出数据流程图，提供设计方案。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vMerge w:val="continue"/>
            <w:shd w:val="clear" w:color="auto" w:fill="auto"/>
            <w:noWrap/>
            <w:vAlign w:val="center"/>
          </w:tcPr>
          <w:p>
            <w:pPr>
              <w:jc w:val="center"/>
              <w:rPr>
                <w:rFonts w:ascii="宋体" w:hAnsi="宋体" w:cs="宋体"/>
                <w:color w:val="auto"/>
                <w:kern w:val="0"/>
                <w:sz w:val="20"/>
                <w:szCs w:val="20"/>
              </w:rPr>
            </w:pPr>
          </w:p>
        </w:tc>
        <w:tc>
          <w:tcPr>
            <w:tcW w:w="1126" w:type="pct"/>
            <w:vMerge w:val="continue"/>
            <w:shd w:val="clear" w:color="auto" w:fill="auto"/>
            <w:vAlign w:val="center"/>
          </w:tcPr>
          <w:p>
            <w:pPr>
              <w:widowControl/>
              <w:jc w:val="center"/>
              <w:rPr>
                <w:rFonts w:ascii="宋体" w:hAnsi="宋体" w:cs="宋体"/>
                <w:color w:val="auto"/>
                <w:kern w:val="0"/>
                <w:sz w:val="20"/>
                <w:szCs w:val="20"/>
              </w:rPr>
            </w:pPr>
          </w:p>
        </w:tc>
        <w:tc>
          <w:tcPr>
            <w:tcW w:w="3380" w:type="pct"/>
            <w:shd w:val="clear" w:color="auto" w:fill="auto"/>
            <w:vAlign w:val="center"/>
          </w:tcPr>
          <w:p>
            <w:pPr>
              <w:jc w:val="left"/>
              <w:rPr>
                <w:rFonts w:ascii="宋体" w:hAnsi="宋体" w:cs="宋体"/>
                <w:color w:val="auto"/>
                <w:kern w:val="0"/>
                <w:sz w:val="20"/>
                <w:szCs w:val="20"/>
              </w:rPr>
            </w:pPr>
            <w:r>
              <w:rPr>
                <w:rFonts w:hint="eastAsia" w:ascii="宋体" w:hAnsi="宋体" w:cs="宋体"/>
                <w:color w:val="auto"/>
                <w:kern w:val="0"/>
                <w:sz w:val="20"/>
                <w:szCs w:val="20"/>
              </w:rPr>
              <w:t>实现事故黑点治理专题：数据中心基于事故历史数据、互联网数据和卡口数据对经常发生事故的地段进行深入研判，研判出事故黑点，支持将事故黑点数据共享给第三方系统，支持汇聚第三方系统事故黑点管控的方案、过程、结果，实现事故黑点治理的流程贯通。</w:t>
            </w:r>
          </w:p>
          <w:p>
            <w:pPr>
              <w:rPr>
                <w:rFonts w:ascii="宋体" w:hAnsi="宋体" w:cs="宋体"/>
                <w:color w:val="auto"/>
                <w:kern w:val="0"/>
                <w:sz w:val="20"/>
                <w:szCs w:val="20"/>
              </w:rPr>
            </w:pPr>
            <w:r>
              <w:rPr>
                <w:rFonts w:hint="eastAsia" w:ascii="宋体" w:hAnsi="宋体" w:cs="宋体"/>
                <w:color w:val="auto"/>
                <w:kern w:val="0"/>
                <w:sz w:val="20"/>
                <w:szCs w:val="20"/>
              </w:rPr>
              <w:t>请在招标方案中，画出数据流程图，提供设计方案。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vMerge w:val="continue"/>
            <w:shd w:val="clear" w:color="auto" w:fill="auto"/>
            <w:noWrap/>
            <w:vAlign w:val="center"/>
          </w:tcPr>
          <w:p>
            <w:pPr>
              <w:jc w:val="center"/>
              <w:rPr>
                <w:rFonts w:ascii="宋体" w:hAnsi="宋体" w:cs="宋体"/>
                <w:color w:val="auto"/>
                <w:kern w:val="0"/>
                <w:sz w:val="20"/>
                <w:szCs w:val="20"/>
              </w:rPr>
            </w:pPr>
          </w:p>
        </w:tc>
        <w:tc>
          <w:tcPr>
            <w:tcW w:w="1126" w:type="pct"/>
            <w:vMerge w:val="continue"/>
            <w:shd w:val="clear" w:color="auto" w:fill="auto"/>
            <w:vAlign w:val="center"/>
          </w:tcPr>
          <w:p>
            <w:pPr>
              <w:widowControl/>
              <w:jc w:val="center"/>
              <w:rPr>
                <w:rFonts w:ascii="宋体" w:hAnsi="宋体" w:cs="宋体"/>
                <w:color w:val="auto"/>
                <w:kern w:val="0"/>
                <w:sz w:val="20"/>
                <w:szCs w:val="20"/>
              </w:rPr>
            </w:pPr>
          </w:p>
        </w:tc>
        <w:tc>
          <w:tcPr>
            <w:tcW w:w="3380" w:type="pct"/>
            <w:shd w:val="clear" w:color="auto" w:fill="auto"/>
            <w:vAlign w:val="center"/>
          </w:tcPr>
          <w:p>
            <w:pPr>
              <w:jc w:val="left"/>
              <w:rPr>
                <w:rFonts w:ascii="宋体" w:hAnsi="宋体" w:cs="宋体"/>
                <w:color w:val="auto"/>
                <w:kern w:val="0"/>
                <w:sz w:val="20"/>
                <w:szCs w:val="20"/>
              </w:rPr>
            </w:pPr>
            <w:r>
              <w:rPr>
                <w:rFonts w:hint="eastAsia" w:ascii="宋体" w:hAnsi="宋体" w:cs="宋体"/>
                <w:color w:val="auto"/>
                <w:kern w:val="0"/>
                <w:sz w:val="20"/>
                <w:szCs w:val="20"/>
              </w:rPr>
              <w:t>实现事件布控处置专题：数据中心将事件同步给第三方系统进行处置，支持汇聚第三方系统的处置事件相关的事件布控、勤务分配、执法、管理和考核的等全流程数据流，实现布控处置专题。</w:t>
            </w:r>
          </w:p>
          <w:p>
            <w:pPr>
              <w:rPr>
                <w:rFonts w:ascii="宋体" w:hAnsi="宋体" w:cs="宋体"/>
                <w:color w:val="auto"/>
                <w:kern w:val="0"/>
                <w:sz w:val="20"/>
                <w:szCs w:val="20"/>
              </w:rPr>
            </w:pPr>
            <w:r>
              <w:rPr>
                <w:rFonts w:hint="eastAsia" w:ascii="宋体" w:hAnsi="宋体" w:cs="宋体"/>
                <w:color w:val="auto"/>
                <w:kern w:val="0"/>
                <w:sz w:val="20"/>
                <w:szCs w:val="20"/>
              </w:rPr>
              <w:t>请在招标方案中，画出数据流程图，提供设计方案。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vMerge w:val="continue"/>
            <w:shd w:val="clear" w:color="auto" w:fill="auto"/>
            <w:noWrap/>
            <w:vAlign w:val="center"/>
          </w:tcPr>
          <w:p>
            <w:pPr>
              <w:widowControl/>
              <w:jc w:val="center"/>
              <w:rPr>
                <w:rFonts w:ascii="宋体" w:hAnsi="宋体" w:cs="宋体"/>
                <w:color w:val="auto"/>
                <w:kern w:val="0"/>
                <w:sz w:val="20"/>
                <w:szCs w:val="20"/>
              </w:rPr>
            </w:pPr>
          </w:p>
        </w:tc>
        <w:tc>
          <w:tcPr>
            <w:tcW w:w="1126" w:type="pct"/>
            <w:vMerge w:val="continue"/>
            <w:shd w:val="clear" w:color="auto" w:fill="auto"/>
            <w:vAlign w:val="center"/>
          </w:tcPr>
          <w:p>
            <w:pPr>
              <w:widowControl/>
              <w:jc w:val="center"/>
              <w:rPr>
                <w:rFonts w:ascii="宋体" w:hAnsi="宋体" w:cs="宋体"/>
                <w:color w:val="auto"/>
                <w:kern w:val="0"/>
                <w:sz w:val="20"/>
                <w:szCs w:val="20"/>
              </w:rPr>
            </w:pPr>
          </w:p>
        </w:tc>
        <w:tc>
          <w:tcPr>
            <w:tcW w:w="3380" w:type="pct"/>
            <w:shd w:val="clear" w:color="auto" w:fill="auto"/>
            <w:vAlign w:val="center"/>
          </w:tcPr>
          <w:p>
            <w:pPr>
              <w:rPr>
                <w:rFonts w:ascii="宋体" w:hAnsi="宋体" w:cs="宋体"/>
                <w:color w:val="auto"/>
                <w:kern w:val="0"/>
                <w:sz w:val="20"/>
                <w:szCs w:val="20"/>
              </w:rPr>
            </w:pPr>
            <w:r>
              <w:rPr>
                <w:rFonts w:hint="eastAsia" w:ascii="宋体" w:hAnsi="宋体" w:cs="宋体"/>
                <w:color w:val="auto"/>
                <w:kern w:val="0"/>
                <w:sz w:val="20"/>
                <w:szCs w:val="20"/>
              </w:rPr>
              <w:t>实现重点车辆管控专题：数据中心基于对接部省数据，共享给第三方应用系统实现重点车辆尤其是外地重点车辆在台州运营的主动管控，数据中心支持汇聚管控结果形成专题。</w:t>
            </w:r>
          </w:p>
          <w:p>
            <w:pPr>
              <w:rPr>
                <w:rFonts w:ascii="宋体" w:hAnsi="宋体" w:cs="宋体"/>
                <w:color w:val="auto"/>
                <w:kern w:val="0"/>
                <w:sz w:val="20"/>
                <w:szCs w:val="20"/>
              </w:rPr>
            </w:pPr>
            <w:r>
              <w:rPr>
                <w:rFonts w:hint="eastAsia" w:ascii="宋体" w:hAnsi="宋体" w:cs="宋体"/>
                <w:color w:val="auto"/>
                <w:kern w:val="0"/>
                <w:sz w:val="20"/>
                <w:szCs w:val="20"/>
              </w:rPr>
              <w:t>请在招标方案中，画出数据流程图，提供设计方案。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（六）</w:t>
            </w:r>
          </w:p>
        </w:tc>
        <w:tc>
          <w:tcPr>
            <w:tcW w:w="1126" w:type="pct"/>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数据共享交换</w:t>
            </w:r>
          </w:p>
        </w:tc>
        <w:tc>
          <w:tcPr>
            <w:tcW w:w="3380" w:type="pct"/>
            <w:shd w:val="clear" w:color="auto" w:fill="auto"/>
            <w:noWrap/>
            <w:vAlign w:val="center"/>
          </w:tcPr>
          <w:p>
            <w:pPr>
              <w:widowControl/>
              <w:jc w:val="left"/>
              <w:rPr>
                <w:rFonts w:ascii="宋体" w:hAnsi="宋体" w:cs="宋体"/>
                <w:b/>
                <w:bCs/>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接口服务</w:t>
            </w:r>
          </w:p>
        </w:tc>
        <w:tc>
          <w:tcPr>
            <w:tcW w:w="3380"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ascii="宋体" w:hAnsi="宋体" w:cs="宋体"/>
                <w:color w:val="auto"/>
                <w:kern w:val="0"/>
                <w:sz w:val="20"/>
                <w:szCs w:val="20"/>
              </w:rPr>
              <w:t>1）</w:t>
            </w:r>
            <w:r>
              <w:rPr>
                <w:rFonts w:hint="eastAsia" w:ascii="宋体" w:hAnsi="宋体" w:cs="宋体"/>
                <w:color w:val="auto"/>
                <w:kern w:val="0"/>
                <w:sz w:val="20"/>
                <w:szCs w:val="20"/>
              </w:rPr>
              <w:t>应提供接口服务检索功能，展现接口的基本信息，接口序号、接口名称、接口描述、注册时间、分类、状态；接口服务的技术信息包括：接口地址、端口、方法名称、输入参数、返回字段、接口类型，调用服务相关的请求示例、结果返回示例等基本信息。</w:t>
            </w:r>
          </w:p>
          <w:p>
            <w:pPr>
              <w:widowControl/>
              <w:jc w:val="left"/>
              <w:rPr>
                <w:rFonts w:hint="eastAsia" w:ascii="宋体" w:hAnsi="宋体" w:eastAsia="宋体" w:cs="宋体"/>
                <w:color w:val="auto"/>
                <w:kern w:val="0"/>
                <w:sz w:val="20"/>
                <w:szCs w:val="20"/>
                <w:lang w:eastAsia="zh-CN"/>
              </w:rPr>
            </w:pPr>
            <w:r>
              <w:rPr>
                <w:rFonts w:ascii="宋体" w:hAnsi="宋体" w:cs="宋体"/>
                <w:color w:val="auto"/>
                <w:kern w:val="0"/>
                <w:sz w:val="20"/>
                <w:szCs w:val="20"/>
              </w:rPr>
              <w:t>2）</w:t>
            </w:r>
            <w:r>
              <w:rPr>
                <w:rFonts w:hint="eastAsia" w:ascii="宋体" w:hAnsi="宋体" w:cs="宋体"/>
                <w:color w:val="auto"/>
                <w:kern w:val="0"/>
                <w:sz w:val="20"/>
                <w:szCs w:val="20"/>
              </w:rPr>
              <w:t>应提供接口服务更新，平台发布的接口自动注册到数据资产平台，并实现主动获取平台新发布的接口服务。</w:t>
            </w:r>
          </w:p>
          <w:p>
            <w:pPr>
              <w:widowControl/>
              <w:jc w:val="left"/>
              <w:rPr>
                <w:rFonts w:hint="eastAsia" w:ascii="宋体" w:hAnsi="宋体" w:eastAsia="宋体" w:cs="宋体"/>
                <w:color w:val="auto"/>
                <w:kern w:val="0"/>
                <w:sz w:val="20"/>
                <w:szCs w:val="20"/>
                <w:lang w:eastAsia="zh-CN"/>
              </w:rPr>
            </w:pPr>
            <w:r>
              <w:rPr>
                <w:rFonts w:ascii="宋体" w:hAnsi="宋体" w:cs="宋体"/>
                <w:color w:val="auto"/>
                <w:kern w:val="0"/>
                <w:sz w:val="20"/>
                <w:szCs w:val="20"/>
              </w:rPr>
              <w:t>3）接口服务启用、停用与删除，</w:t>
            </w:r>
            <w:r>
              <w:rPr>
                <w:rFonts w:hint="eastAsia" w:ascii="宋体" w:hAnsi="宋体" w:cs="宋体"/>
                <w:color w:val="auto"/>
                <w:kern w:val="0"/>
                <w:sz w:val="20"/>
                <w:szCs w:val="20"/>
              </w:rPr>
              <w:t>需支持接口服务启用、停用与删除功能。</w:t>
            </w:r>
          </w:p>
          <w:p>
            <w:pPr>
              <w:widowControl/>
              <w:jc w:val="left"/>
              <w:rPr>
                <w:rFonts w:ascii="宋体" w:hAnsi="宋体" w:cs="宋体"/>
                <w:color w:val="auto"/>
                <w:kern w:val="0"/>
                <w:sz w:val="20"/>
                <w:szCs w:val="20"/>
              </w:rPr>
            </w:pPr>
            <w:r>
              <w:rPr>
                <w:rFonts w:ascii="宋体" w:hAnsi="宋体" w:cs="宋体"/>
                <w:color w:val="auto"/>
                <w:kern w:val="0"/>
                <w:sz w:val="20"/>
                <w:szCs w:val="20"/>
              </w:rPr>
              <w:t>4）</w:t>
            </w:r>
            <w:r>
              <w:rPr>
                <w:rFonts w:hint="eastAsia" w:ascii="宋体" w:hAnsi="宋体" w:cs="宋体"/>
                <w:color w:val="auto"/>
                <w:kern w:val="0"/>
                <w:sz w:val="20"/>
                <w:szCs w:val="20"/>
              </w:rPr>
              <w:t>应提供接口管理功能，接口开放功能，包括但不限于接口请求单位名称、联系人姓名、联系人电话、电子邮箱、身份证信息，实现接口请求方数据服务资源唯一访问标识。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数据服务</w:t>
            </w:r>
          </w:p>
        </w:tc>
        <w:tc>
          <w:tcPr>
            <w:tcW w:w="3380"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ascii="宋体" w:hAnsi="宋体" w:cs="宋体"/>
                <w:color w:val="auto"/>
                <w:kern w:val="0"/>
                <w:sz w:val="20"/>
                <w:szCs w:val="20"/>
              </w:rPr>
              <w:t>1）</w:t>
            </w:r>
            <w:r>
              <w:rPr>
                <w:rFonts w:hint="eastAsia" w:ascii="宋体" w:hAnsi="宋体" w:cs="宋体"/>
                <w:color w:val="auto"/>
                <w:kern w:val="0"/>
                <w:sz w:val="20"/>
                <w:szCs w:val="20"/>
              </w:rPr>
              <w:t>应提供数据源账户管理功能，对数据库创建的账户进行管理功能，通过数据源账户或数据源类型进行检索，列表方式呈现。</w:t>
            </w:r>
          </w:p>
          <w:p>
            <w:pPr>
              <w:widowControl/>
              <w:jc w:val="left"/>
              <w:rPr>
                <w:rFonts w:hint="eastAsia" w:ascii="宋体" w:hAnsi="宋体" w:eastAsia="宋体" w:cs="宋体"/>
                <w:color w:val="auto"/>
                <w:kern w:val="0"/>
                <w:sz w:val="20"/>
                <w:szCs w:val="20"/>
                <w:lang w:eastAsia="zh-CN"/>
              </w:rPr>
            </w:pPr>
            <w:r>
              <w:rPr>
                <w:rFonts w:ascii="宋体" w:hAnsi="宋体" w:cs="宋体"/>
                <w:color w:val="auto"/>
                <w:kern w:val="0"/>
                <w:sz w:val="20"/>
                <w:szCs w:val="20"/>
              </w:rPr>
              <w:t>2）</w:t>
            </w:r>
            <w:r>
              <w:rPr>
                <w:rFonts w:hint="eastAsia" w:ascii="宋体" w:hAnsi="宋体" w:cs="宋体"/>
                <w:color w:val="auto"/>
                <w:kern w:val="0"/>
                <w:sz w:val="20"/>
                <w:szCs w:val="20"/>
              </w:rPr>
              <w:t>应提供数据使用方管理功能，对数据使用方信息进行管理。允许根据数据请求单位或联系人进行检索。</w:t>
            </w:r>
          </w:p>
          <w:p>
            <w:pPr>
              <w:widowControl/>
              <w:jc w:val="left"/>
              <w:rPr>
                <w:rFonts w:ascii="宋体" w:hAnsi="宋体" w:cs="宋体"/>
                <w:color w:val="auto"/>
                <w:kern w:val="0"/>
                <w:sz w:val="20"/>
                <w:szCs w:val="20"/>
              </w:rPr>
            </w:pPr>
            <w:r>
              <w:rPr>
                <w:rFonts w:ascii="宋体" w:hAnsi="宋体" w:cs="宋体"/>
                <w:color w:val="auto"/>
                <w:kern w:val="0"/>
                <w:sz w:val="20"/>
                <w:szCs w:val="20"/>
              </w:rPr>
              <w:t>3）</w:t>
            </w:r>
            <w:r>
              <w:rPr>
                <w:rFonts w:hint="eastAsia" w:ascii="宋体" w:hAnsi="宋体" w:cs="宋体"/>
                <w:color w:val="auto"/>
                <w:kern w:val="0"/>
                <w:sz w:val="20"/>
                <w:szCs w:val="20"/>
              </w:rPr>
              <w:t>应提供数据服务台账管理功能，对数据使用方申请数据库账户进行记录，包括但不限于按备案单位、信息系统、责任人信息等进行查询。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共享模块</w:t>
            </w:r>
          </w:p>
        </w:tc>
        <w:tc>
          <w:tcPr>
            <w:tcW w:w="3380"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ascii="宋体" w:hAnsi="宋体" w:cs="宋体"/>
                <w:color w:val="auto"/>
                <w:kern w:val="0"/>
                <w:sz w:val="20"/>
                <w:szCs w:val="20"/>
              </w:rPr>
              <w:t>1）</w:t>
            </w:r>
            <w:r>
              <w:rPr>
                <w:rFonts w:hint="eastAsia" w:ascii="宋体" w:hAnsi="宋体" w:cs="宋体"/>
                <w:color w:val="auto"/>
                <w:kern w:val="0"/>
                <w:sz w:val="20"/>
                <w:szCs w:val="20"/>
              </w:rPr>
              <w:t>应提供共享需求管理功能，对内部或外部的数据需求进行管理，应包括增加、删除等操作功能。</w:t>
            </w:r>
          </w:p>
          <w:p>
            <w:pPr>
              <w:widowControl/>
              <w:jc w:val="left"/>
              <w:rPr>
                <w:rFonts w:hint="eastAsia" w:ascii="宋体" w:hAnsi="宋体" w:eastAsia="宋体" w:cs="宋体"/>
                <w:color w:val="auto"/>
                <w:kern w:val="0"/>
                <w:sz w:val="20"/>
                <w:szCs w:val="20"/>
                <w:lang w:eastAsia="zh-CN"/>
              </w:rPr>
            </w:pPr>
            <w:r>
              <w:rPr>
                <w:rFonts w:ascii="宋体" w:hAnsi="宋体" w:cs="宋体"/>
                <w:color w:val="auto"/>
                <w:kern w:val="0"/>
                <w:sz w:val="20"/>
                <w:szCs w:val="20"/>
              </w:rPr>
              <w:t>2）</w:t>
            </w:r>
            <w:r>
              <w:rPr>
                <w:rFonts w:hint="eastAsia" w:ascii="宋体" w:hAnsi="宋体" w:cs="宋体"/>
                <w:color w:val="auto"/>
                <w:kern w:val="0"/>
                <w:sz w:val="20"/>
                <w:szCs w:val="20"/>
              </w:rPr>
              <w:t>应提供共享附件管理功能，在实施、开发过程中产生的文件，签字的文件、接口规范文档等进行管理。</w:t>
            </w:r>
          </w:p>
          <w:p>
            <w:pPr>
              <w:widowControl/>
              <w:jc w:val="left"/>
              <w:rPr>
                <w:rFonts w:ascii="宋体" w:hAnsi="宋体" w:cs="宋体"/>
                <w:color w:val="auto"/>
                <w:kern w:val="0"/>
                <w:sz w:val="20"/>
                <w:szCs w:val="20"/>
              </w:rPr>
            </w:pPr>
            <w:r>
              <w:rPr>
                <w:rFonts w:ascii="宋体" w:hAnsi="宋体" w:cs="宋体"/>
                <w:color w:val="auto"/>
                <w:kern w:val="0"/>
                <w:sz w:val="20"/>
                <w:szCs w:val="20"/>
              </w:rPr>
              <w:t>3）</w:t>
            </w:r>
            <w:r>
              <w:rPr>
                <w:rFonts w:hint="eastAsia" w:ascii="宋体" w:hAnsi="宋体" w:cs="宋体"/>
                <w:color w:val="auto"/>
                <w:kern w:val="0"/>
                <w:sz w:val="20"/>
                <w:szCs w:val="20"/>
              </w:rPr>
              <w:t>应提供共享数据管理功能，从外部获取的数据可与数据集成作业关联，对外部推送的数据可配置数据源等信息。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数据交换安全</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应提供认证授权功能：包括身份认证和授权访问控制；具备传输安全保障：支持加密、签名、过滤、审计等安全功能。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（七）</w:t>
            </w:r>
          </w:p>
        </w:tc>
        <w:tc>
          <w:tcPr>
            <w:tcW w:w="1126"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数据传输交换系统</w:t>
            </w:r>
          </w:p>
        </w:tc>
        <w:tc>
          <w:tcPr>
            <w:tcW w:w="3380" w:type="pct"/>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监控管理</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w:t>
            </w:r>
            <w:r>
              <w:rPr>
                <w:rFonts w:hint="eastAsia" w:ascii="宋体" w:hAnsi="宋体" w:eastAsia="宋体"/>
                <w:color w:val="auto"/>
                <w:kern w:val="0"/>
                <w:sz w:val="20"/>
                <w:szCs w:val="24"/>
              </w:rPr>
              <w:t>接口与数据的日常运行</w:t>
            </w:r>
            <w:r>
              <w:rPr>
                <w:rFonts w:hint="eastAsia" w:ascii="宋体" w:hAnsi="宋体" w:cs="宋体"/>
                <w:color w:val="auto"/>
                <w:kern w:val="0"/>
                <w:sz w:val="20"/>
                <w:szCs w:val="20"/>
              </w:rPr>
              <w:t>监控管理</w:t>
            </w:r>
            <w:r>
              <w:rPr>
                <w:rFonts w:hint="eastAsia" w:ascii="宋体" w:hAnsi="宋体" w:eastAsia="宋体"/>
                <w:color w:val="auto"/>
                <w:kern w:val="0"/>
                <w:sz w:val="20"/>
                <w:szCs w:val="24"/>
              </w:rPr>
              <w:t>和异常报警</w:t>
            </w:r>
            <w:r>
              <w:rPr>
                <w:rFonts w:hint="eastAsia" w:ascii="宋体" w:hAnsi="宋体" w:cs="宋体"/>
                <w:color w:val="auto"/>
                <w:kern w:val="0"/>
                <w:sz w:val="20"/>
                <w:szCs w:val="20"/>
              </w:rPr>
              <w:t>功能，展示数据传输的完整资源状态，包括</w:t>
            </w:r>
            <w:r>
              <w:rPr>
                <w:rFonts w:ascii="宋体" w:hAnsi="宋体" w:cs="宋体"/>
                <w:color w:val="auto"/>
                <w:kern w:val="0"/>
                <w:sz w:val="20"/>
                <w:szCs w:val="20"/>
              </w:rPr>
              <w:t>IP信息、数据传输流量、网络流量、服务器CPU、内存等资源信息，动态的展示数据传输会话信息等可视化状态。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数据通信</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应提供数据通信功能，管理本地数据传输的设备信息以及设备参数的配置，包括服务器的新增、编辑、删除、查询等操作。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3</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集群管理</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应提供数据传输集群管理功能，实现系统负载平衡。配置多个通信模块的支持流量、访问频率、缓存配置。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接入/分发配置</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应提供接入</w:t>
            </w:r>
            <w:r>
              <w:rPr>
                <w:rFonts w:ascii="宋体" w:hAnsi="宋体" w:cs="宋体"/>
                <w:color w:val="auto"/>
                <w:kern w:val="0"/>
                <w:sz w:val="20"/>
                <w:szCs w:val="20"/>
              </w:rPr>
              <w:t>/分发配置</w:t>
            </w:r>
            <w:r>
              <w:rPr>
                <w:rFonts w:hint="eastAsia" w:ascii="宋体" w:hAnsi="宋体" w:cs="宋体"/>
                <w:color w:val="auto"/>
                <w:kern w:val="0"/>
                <w:sz w:val="20"/>
                <w:szCs w:val="20"/>
              </w:rPr>
              <w:t>功能，实现接入</w:t>
            </w:r>
            <w:r>
              <w:rPr>
                <w:rFonts w:ascii="宋体" w:hAnsi="宋体" w:cs="宋体"/>
                <w:color w:val="auto"/>
                <w:kern w:val="0"/>
                <w:sz w:val="20"/>
                <w:szCs w:val="20"/>
              </w:rPr>
              <w:t>/分发配置的新增、删除、修改、查询、查看等操作。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数据对接</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应提供通过数据交换标准定义实现数据接入和数据分发。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文件传输</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应提供具备文件传输功能，跨网传输通过</w:t>
            </w:r>
            <w:r>
              <w:rPr>
                <w:rFonts w:ascii="宋体" w:hAnsi="宋体" w:cs="宋体"/>
                <w:color w:val="auto"/>
                <w:kern w:val="0"/>
                <w:sz w:val="20"/>
                <w:szCs w:val="20"/>
              </w:rPr>
              <w:t>API接口调用接入系统文件资源，且根据公安部安全边界规范进行传输。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color w:val="auto"/>
              </w:rPr>
              <w:t>★</w:t>
            </w:r>
            <w:r>
              <w:rPr>
                <w:rFonts w:hint="eastAsia" w:ascii="宋体" w:hAnsi="宋体" w:cs="宋体"/>
                <w:color w:val="auto"/>
                <w:kern w:val="0"/>
                <w:sz w:val="20"/>
                <w:szCs w:val="20"/>
              </w:rPr>
              <w:t>异常核验</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应提供异常核验功能，检测传输过程中传输失败的数据筛选，并形成失败数据列表展示表格。对失败数据的重传操作、删除操作。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8</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安全审查</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应提供安全审查功能，跨网传输中数据传输的关键字过滤，实现通过自定义关键字，设置审查策略和时间以及关键字的过滤。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9</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日志审计</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应提供系统日志审计功能，操作日志审计、传输日志审计以及技术人员查询完整的系统事件日志。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（八）</w:t>
            </w:r>
          </w:p>
        </w:tc>
        <w:tc>
          <w:tcPr>
            <w:tcW w:w="1126"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数据资产可视化</w:t>
            </w:r>
          </w:p>
        </w:tc>
        <w:tc>
          <w:tcPr>
            <w:tcW w:w="3380" w:type="pct"/>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数据资产检索</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应提供数据资产检索功能。资源目录树展示信息资源详细信息，目录树检索功能，输入分类名称在目录树中检索出匹配的表信息。资源信息检索功能，输入表名称或表中文名称信息后检索出匹配的资源信息。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基础信息可视化</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应提供基础信息可视化功能，包含信息资源名称、信息资源表名、提供单位、更新周期、共享方式、共享范围、数据来源、所属业务分类展示及查询。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字段信息可视化</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应提供字段信息可视化功能，包含查看表结构，包括字段名、字段类型、是否主键、字段描述等字段信息。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血缘关系可视化</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应提供血缘关系可视化功能，包含查看记录数据血缘信息的规则，包括元数据、数据记录、数据属性的数据血缘信息。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5</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可视化数据大屏-数据源管理</w:t>
            </w:r>
          </w:p>
        </w:tc>
        <w:tc>
          <w:tcPr>
            <w:tcW w:w="3380" w:type="pct"/>
            <w:shd w:val="clear" w:color="auto" w:fill="auto"/>
            <w:vAlign w:val="center"/>
          </w:tcPr>
          <w:p>
            <w:pPr>
              <w:widowControl/>
              <w:jc w:val="left"/>
              <w:rPr>
                <w:rFonts w:hint="eastAsia" w:ascii="宋体" w:hAnsi="宋体" w:cs="宋体"/>
                <w:color w:val="auto"/>
                <w:kern w:val="0"/>
                <w:sz w:val="20"/>
                <w:szCs w:val="20"/>
              </w:rPr>
            </w:pPr>
            <w:r>
              <w:rPr>
                <w:rFonts w:hint="eastAsia"/>
                <w:color w:val="auto"/>
              </w:rPr>
              <w:t>应</w:t>
            </w:r>
            <w:r>
              <w:rPr>
                <w:rFonts w:hint="eastAsia" w:ascii="宋体" w:hAnsi="宋体" w:cs="宋体"/>
                <w:color w:val="auto"/>
                <w:kern w:val="0"/>
                <w:sz w:val="20"/>
                <w:szCs w:val="20"/>
              </w:rPr>
              <w:t>提供数据源管理，包含数据来源类别管理和数据来源关键信息预览功能。</w:t>
            </w:r>
          </w:p>
          <w:p>
            <w:pPr>
              <w:widowControl/>
              <w:jc w:val="left"/>
              <w:rPr>
                <w:rFonts w:hint="eastAsia" w:eastAsia="宋体"/>
                <w:color w:val="auto"/>
                <w:lang w:eastAsia="zh-CN"/>
              </w:rPr>
            </w:pPr>
            <w:r>
              <w:rPr>
                <w:rFonts w:hint="eastAsia" w:ascii="宋体" w:hAnsi="宋体" w:cs="宋体"/>
                <w:color w:val="auto"/>
                <w:kern w:val="0"/>
                <w:sz w:val="20"/>
                <w:szCs w:val="20"/>
              </w:rPr>
              <w:t>★</w:t>
            </w:r>
            <w:r>
              <w:rPr>
                <w:rFonts w:hint="eastAsia" w:ascii="宋体" w:hAnsi="宋体" w:cs="宋体"/>
                <w:color w:val="auto"/>
                <w:kern w:val="0"/>
                <w:sz w:val="20"/>
                <w:szCs w:val="20"/>
                <w:lang w:eastAsia="zh-CN"/>
              </w:rPr>
              <w:t>对数据同步异常、数据丢失、数据异常实时预警显示。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6</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可视化数据大屏-可视化分析</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应提供数据报表可视化预览功能，多维分析展示方式实现。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7</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可视化数据大屏-拖拽分析</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应提供拖拽分析功能，可视化图表拖拽方式，包括图标的维度、数值、对比、筛选器、颜色等区域。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8</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可视化数据大屏-图表类型</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应提供丰富的图表类型，至少具备：指标卡、折线图、面积图、折线堆积图、条形图、柱状图、折线柱状图、双轴图、传统饼图、环形图、聚合散点图、大规模散点图、地图、笛卡尔坐标系热力图等类型。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9</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可视化数据大屏-多维分析</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分析生成图表功能，包括自动识别工作表的字段特征，自动归类为度量和维度。针对不同图种展示不同的维度提示与示例，支持计数、求和、最大值、最小值、平均值在内的多种数据聚合方式。包括字段过滤操作以及自由拖拽的操作方式，完全可视化的过滤、筛选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10</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可视化数据大屏-仪表盘</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应提供仪表盘功能，实现仪表盘管理与预览一体化的界面。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11</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可视化数据大屏-数据大屏</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应提供数据大屏可视化模板，实现交通数据展示。包括标题、视频、图片等辅助组件，一键化主题和背景图片替换。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12</w:t>
            </w:r>
          </w:p>
        </w:tc>
        <w:tc>
          <w:tcPr>
            <w:tcW w:w="1126"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可视化数据大屏-图表联动</w:t>
            </w:r>
          </w:p>
        </w:tc>
        <w:tc>
          <w:tcPr>
            <w:tcW w:w="33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应提供图表联动功能，包括单一数据项、数据图联动整体图表功能。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（九）</w:t>
            </w:r>
          </w:p>
        </w:tc>
        <w:tc>
          <w:tcPr>
            <w:tcW w:w="1126"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性能和建设要求</w:t>
            </w:r>
          </w:p>
        </w:tc>
        <w:tc>
          <w:tcPr>
            <w:tcW w:w="3380" w:type="pct"/>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1</w:t>
            </w:r>
          </w:p>
        </w:tc>
        <w:tc>
          <w:tcPr>
            <w:tcW w:w="1126"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★高可用要求</w:t>
            </w:r>
          </w:p>
        </w:tc>
        <w:tc>
          <w:tcPr>
            <w:tcW w:w="3380" w:type="pct"/>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数据治理软件应支持分布式部署、高可用设计。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3" w:type="pct"/>
            <w:shd w:val="clear" w:color="auto" w:fill="auto"/>
            <w:noWrap/>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2</w:t>
            </w:r>
          </w:p>
        </w:tc>
        <w:tc>
          <w:tcPr>
            <w:tcW w:w="1126"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★双网双平台建设要求</w:t>
            </w:r>
          </w:p>
        </w:tc>
        <w:tc>
          <w:tcPr>
            <w:tcW w:w="3380" w:type="pct"/>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本项目</w:t>
            </w:r>
            <w:r>
              <w:rPr>
                <w:rFonts w:hint="eastAsia" w:ascii="宋体" w:hAnsi="宋体" w:cs="宋体"/>
                <w:b/>
                <w:bCs/>
                <w:color w:val="auto"/>
                <w:kern w:val="0"/>
                <w:sz w:val="20"/>
                <w:szCs w:val="20"/>
                <w:lang w:val="en-US" w:eastAsia="zh-CN"/>
              </w:rPr>
              <w:t>在</w:t>
            </w:r>
            <w:r>
              <w:rPr>
                <w:rFonts w:hint="eastAsia" w:ascii="宋体" w:hAnsi="宋体" w:cs="宋体"/>
                <w:b/>
                <w:bCs/>
                <w:color w:val="auto"/>
                <w:kern w:val="0"/>
                <w:sz w:val="20"/>
                <w:szCs w:val="20"/>
              </w:rPr>
              <w:t>视频专网和公安信息网，应分别建设数据中心。</w:t>
            </w:r>
          </w:p>
        </w:tc>
      </w:tr>
    </w:tbl>
    <w:p>
      <w:pPr>
        <w:spacing w:line="240" w:lineRule="auto"/>
        <w:ind w:firstLine="420" w:firstLineChars="0"/>
        <w:rPr>
          <w:rFonts w:hint="eastAsia"/>
          <w:b/>
          <w:color w:val="auto"/>
          <w:kern w:val="0"/>
          <w:sz w:val="24"/>
          <w:szCs w:val="28"/>
        </w:rPr>
      </w:pPr>
      <w:r>
        <w:rPr>
          <w:rFonts w:hint="eastAsia"/>
          <w:b/>
          <w:color w:val="auto"/>
          <w:kern w:val="0"/>
          <w:sz w:val="24"/>
          <w:szCs w:val="28"/>
        </w:rPr>
        <w:t>本次招标的数据中心内容，包含标准、接入、清洗、处理和主题库、专题库、标准库、业务库等，</w:t>
      </w:r>
      <w:r>
        <w:rPr>
          <w:rFonts w:hint="eastAsia"/>
          <w:b/>
          <w:color w:val="auto"/>
          <w:kern w:val="0"/>
          <w:sz w:val="24"/>
          <w:szCs w:val="28"/>
          <w:highlight w:val="none"/>
        </w:rPr>
        <w:t>要和现网台州**大数据平台实现对接</w:t>
      </w:r>
      <w:r>
        <w:rPr>
          <w:rFonts w:hint="eastAsia"/>
          <w:b/>
          <w:color w:val="auto"/>
          <w:kern w:val="0"/>
          <w:sz w:val="24"/>
          <w:szCs w:val="28"/>
        </w:rPr>
        <w:t>，充分融合，形成统一的数据资产体系和数据清洗治理应用授权体系。</w:t>
      </w:r>
    </w:p>
    <w:p>
      <w:pPr>
        <w:pStyle w:val="10"/>
        <w:rPr>
          <w:rFonts w:hint="eastAsia"/>
          <w:lang w:val="en-US" w:eastAsia="zh-CN"/>
        </w:rPr>
      </w:pPr>
    </w:p>
    <w:p>
      <w:pPr>
        <w:pStyle w:val="10"/>
        <w:numPr>
          <w:ilvl w:val="3"/>
          <w:numId w:val="2"/>
        </w:numPr>
        <w:ind w:left="864" w:leftChars="0" w:hanging="864" w:firstLineChars="0"/>
        <w:rPr>
          <w:rFonts w:hint="eastAsia" w:ascii="黑体" w:hAnsi="黑体" w:eastAsia="黑体" w:cs="黑体"/>
          <w:b/>
          <w:bCs/>
          <w:sz w:val="28"/>
          <w:szCs w:val="28"/>
        </w:rPr>
      </w:pPr>
      <w:r>
        <w:rPr>
          <w:rFonts w:hint="eastAsia" w:ascii="黑体" w:hAnsi="黑体" w:eastAsia="黑体" w:cs="黑体"/>
          <w:b/>
          <w:bCs/>
          <w:sz w:val="28"/>
          <w:szCs w:val="28"/>
          <w:lang w:val="en-US" w:eastAsia="zh-CN"/>
        </w:rPr>
        <w:t>赋能中心</w:t>
      </w:r>
    </w:p>
    <w:tbl>
      <w:tblPr>
        <w:tblStyle w:val="22"/>
        <w:tblpPr w:leftFromText="180" w:rightFromText="180" w:vertAnchor="text" w:horzAnchor="page" w:tblpX="1902" w:tblpY="1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43"/>
        <w:gridCol w:w="6"/>
        <w:gridCol w:w="1306"/>
        <w:gridCol w:w="1413"/>
        <w:gridCol w:w="4"/>
        <w:gridCol w:w="4758"/>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868" w:type="dxa"/>
            <w:gridSpan w:val="3"/>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序号</w:t>
            </w:r>
          </w:p>
        </w:tc>
        <w:tc>
          <w:tcPr>
            <w:tcW w:w="1306" w:type="dxa"/>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功能模块</w:t>
            </w:r>
          </w:p>
        </w:tc>
        <w:tc>
          <w:tcPr>
            <w:tcW w:w="1417" w:type="dxa"/>
            <w:gridSpan w:val="2"/>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子模块</w:t>
            </w:r>
          </w:p>
        </w:tc>
        <w:tc>
          <w:tcPr>
            <w:tcW w:w="4763" w:type="dxa"/>
            <w:gridSpan w:val="2"/>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ascii="宋体" w:hAnsi="宋体" w:cs="宋体"/>
                <w:b/>
                <w:bCs/>
                <w:color w:val="auto"/>
                <w:kern w:val="0"/>
                <w:sz w:val="20"/>
                <w:szCs w:val="2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shd w:val="clear" w:color="auto" w:fill="auto"/>
            <w:noWrap/>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（一）</w:t>
            </w:r>
          </w:p>
        </w:tc>
        <w:tc>
          <w:tcPr>
            <w:tcW w:w="1306" w:type="dxa"/>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任务管理</w:t>
            </w:r>
          </w:p>
        </w:tc>
        <w:tc>
          <w:tcPr>
            <w:tcW w:w="1417" w:type="dxa"/>
            <w:gridSpan w:val="2"/>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c>
          <w:tcPr>
            <w:tcW w:w="4763" w:type="dxa"/>
            <w:gridSpan w:val="2"/>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shd w:val="clear" w:color="auto" w:fill="auto"/>
            <w:noWrap/>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c>
          <w:tcPr>
            <w:tcW w:w="1306" w:type="dxa"/>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模型管理</w:t>
            </w:r>
          </w:p>
        </w:tc>
        <w:tc>
          <w:tcPr>
            <w:tcW w:w="1417" w:type="dxa"/>
            <w:gridSpan w:val="2"/>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c>
          <w:tcPr>
            <w:tcW w:w="4763" w:type="dxa"/>
            <w:gridSpan w:val="2"/>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1</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模型注册</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模型注册</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sz w:val="20"/>
                <w:szCs w:val="20"/>
              </w:rPr>
              <w:t>支持通过模型超市的模型注册功能，统一纳入模型超市清单，接受模型超市管理。注册内容主要包括模型名称、版本号、模型用途、入口参数、返回参数、调用方式及调用实例等。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模型标准</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sz w:val="20"/>
                <w:szCs w:val="20"/>
              </w:rPr>
              <w:t xml:space="preserve">需提供统一标准接口及Web配置页面；支持在可视化操作页面中进行API交换及分发配置。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2</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模型监测</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sz w:val="20"/>
                <w:szCs w:val="20"/>
              </w:rPr>
              <w:t>模型评估</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sz w:val="20"/>
                <w:szCs w:val="20"/>
              </w:rPr>
              <w:t>应支持在其他应用系统调度模型超市中的已注册的模型过程中，模型监控模块提供模型评估功能；可查看模型的可用性，以保障其他应用系统调用模型的过程可用。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olor w:val="auto"/>
              </w:rPr>
              <w:t>★</w:t>
            </w:r>
            <w:r>
              <w:rPr>
                <w:rFonts w:hint="eastAsia" w:cs="宋体" w:asciiTheme="minorEastAsia" w:hAnsiTheme="minorEastAsia" w:eastAsiaTheme="minorEastAsia"/>
                <w:color w:val="auto"/>
                <w:sz w:val="20"/>
                <w:szCs w:val="20"/>
              </w:rPr>
              <w:t>模型使用状态</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sz w:val="20"/>
                <w:szCs w:val="20"/>
              </w:rPr>
              <w:t>为保障第三方应用系统的正常使用，支持通过监测功能实时跟踪模型运行状态，监测模型的调用频次，对异常宕机及恶意使用及时发出报警。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sz w:val="20"/>
                <w:szCs w:val="20"/>
              </w:rPr>
              <w:t>模型检索</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sz w:val="20"/>
                <w:szCs w:val="20"/>
              </w:rPr>
              <w:t>支持通过模型检索功能实现快速浏览模型超市中存在的模型，支持对模型名称、版本号、模型用途、入口参数、返回参数、调用方式以及调用实例快速调用，同时亦可模拟调用查看返回结果。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3</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模型授权</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模型使用授权</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sz w:val="20"/>
                <w:szCs w:val="20"/>
              </w:rPr>
              <w:t>支持通过授权功能实现模型功能的开放，同时亦可对模型的使用情况进行全生命周期跟踪，以保证第三方应用系统高效、稳定使用以及模型超市自身的鲁棒性和安全性。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审批流</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sz w:val="20"/>
                <w:szCs w:val="20"/>
              </w:rPr>
              <w:t>应支持模型授权审批流程设计。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4</w:t>
            </w:r>
          </w:p>
        </w:tc>
        <w:tc>
          <w:tcPr>
            <w:tcW w:w="1306" w:type="dxa"/>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统计分析</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统计分析</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sz w:val="20"/>
                <w:szCs w:val="20"/>
              </w:rPr>
              <w:t>应支持生成模型统计分析日志以及日志下载功能。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5</w:t>
            </w:r>
          </w:p>
        </w:tc>
        <w:tc>
          <w:tcPr>
            <w:tcW w:w="1306" w:type="dxa"/>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模型展示</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模型展示</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sz w:val="20"/>
                <w:szCs w:val="20"/>
              </w:rPr>
              <w:t>应支持模型清单展示功能，包括但不限于模型清单展示、模型使用状态展示、模型使用授权展示、模型统计分析展示等功能。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　</w:t>
            </w:r>
          </w:p>
        </w:tc>
        <w:tc>
          <w:tcPr>
            <w:tcW w:w="1306" w:type="dxa"/>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作业管理</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　</w:t>
            </w:r>
          </w:p>
        </w:tc>
        <w:tc>
          <w:tcPr>
            <w:tcW w:w="4763"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1</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作业总览</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任务执行情况总览</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应支持数据中心作业任务执行情况总览功能，包括但不限于作业总数、作业成功数量、作业失败数量、已执行作业、未执行作业等功能展示。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可视化作业调度（24小时）</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应支持作业调度策略条形图、作业实际执行折线图；支持已上线作业的调度周期策略变更、执行节点，执行历史记录的查看；支持任务超时配置：超时时间、超时中断、通知邮箱。支持作业智能化调度，当并发数超过预设值时，后续作业暂时加入堵塞队列，等作业中心压力释放后，再继续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作业执行排名</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应支持作业运行耗时排行、作业运行失败排行、作业运行堆积排行。支持成功或失败的任务直接跳转，方便定位和排查失败等异常任务原因。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调度记录全监控</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应支持作业中心执行历史记录的查看，以及结构化日志展示模块；支持异常任务重新执行功能；支持运维策略配置，并根据任务调度结果提供多种告警方式；支持子任务失败自动重试机制提高系统容错性。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调度依赖配置</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应支持任务上线时配置前置任务作为任务执行依赖条件；支持任务独立性配置，区分两种任务的运行依赖情况。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2</w:t>
            </w:r>
          </w:p>
        </w:tc>
        <w:tc>
          <w:tcPr>
            <w:tcW w:w="1306" w:type="dxa"/>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周期作业</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周期作业</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支持周期作业帮助运维人员管理线上作业。对于已上线的作业可以修改预设的调度周期策略、执行节点，支持节点智能调度，同时每项作业提供最高 30 天的执行历史记录的查看。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3</w:t>
            </w:r>
          </w:p>
        </w:tc>
        <w:tc>
          <w:tcPr>
            <w:tcW w:w="1306" w:type="dxa"/>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队列详情</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队列详情</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支持作业中心作业调度的并发数超过预设的最大并发时，后续作业会暂时加入堵塞队列，等作业中心压力释放后，会继续执行。支持用户主动调整作业优先级，确保高优先级作业能够优先进入队列执行。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4</w:t>
            </w:r>
          </w:p>
        </w:tc>
        <w:tc>
          <w:tcPr>
            <w:tcW w:w="1306" w:type="dxa"/>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实时作业</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实时作业</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实时作业运维提供实时任务的监控运维总览，支持实时作业的状态监控和运维，允许暂停、下线实时任务的操作；支持异常任务的状态查看、错误日志监控。支持对进行中的任务暂停或下线更新等操作，针对有异常的任务，允许开发者查看实时采集日志来检查实时采集任务的运行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shd w:val="clear" w:color="auto" w:fill="auto"/>
            <w:noWrap/>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（二）</w:t>
            </w:r>
          </w:p>
        </w:tc>
        <w:tc>
          <w:tcPr>
            <w:tcW w:w="1306" w:type="dxa"/>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AI能力提升</w:t>
            </w:r>
          </w:p>
        </w:tc>
        <w:tc>
          <w:tcPr>
            <w:tcW w:w="1417" w:type="dxa"/>
            <w:gridSpan w:val="2"/>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c>
          <w:tcPr>
            <w:tcW w:w="4763" w:type="dxa"/>
            <w:gridSpan w:val="2"/>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shd w:val="clear" w:color="auto" w:fill="auto"/>
            <w:noWrap/>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1</w:t>
            </w:r>
          </w:p>
        </w:tc>
        <w:tc>
          <w:tcPr>
            <w:tcW w:w="1306" w:type="dxa"/>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车辆识别算法</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车辆识别算法</w:t>
            </w:r>
          </w:p>
        </w:tc>
        <w:tc>
          <w:tcPr>
            <w:tcW w:w="4763" w:type="dxa"/>
            <w:gridSpan w:val="2"/>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需满足台州辖区所有点位的解析及二次识别进行授权，算法识别能力支持从每日实时处理过车图片量1200万提升到每日实时处理过车图片量3000万。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（三）</w:t>
            </w:r>
          </w:p>
        </w:tc>
        <w:tc>
          <w:tcPr>
            <w:tcW w:w="1306" w:type="dxa"/>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模型超市</w:t>
            </w:r>
          </w:p>
        </w:tc>
        <w:tc>
          <w:tcPr>
            <w:tcW w:w="1417" w:type="dxa"/>
            <w:gridSpan w:val="2"/>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c>
          <w:tcPr>
            <w:tcW w:w="4763" w:type="dxa"/>
            <w:gridSpan w:val="2"/>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1</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交通态势研判专题模型</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负荷突变、阻塞分析预警模型</w:t>
            </w:r>
          </w:p>
        </w:tc>
        <w:tc>
          <w:tcPr>
            <w:tcW w:w="4763" w:type="dxa"/>
            <w:gridSpan w:val="2"/>
            <w:shd w:val="clear" w:color="auto" w:fill="auto"/>
            <w:noWrap/>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提供针对道路常发拥堵路段通行趋势的分析模型。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bookmarkStart w:id="42" w:name="_Hlk103845577"/>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拥堵预测分析模型</w:t>
            </w:r>
          </w:p>
        </w:tc>
        <w:tc>
          <w:tcPr>
            <w:tcW w:w="4763" w:type="dxa"/>
            <w:gridSpan w:val="2"/>
            <w:shd w:val="clear" w:color="auto" w:fill="auto"/>
          </w:tcPr>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系统可展示未来5min、15min、30min处于拥堵路段的拥堵程度路况分颜色显示，同时可展示路段平均车速、延误指数，并且可分别按该两项指标排序；展示各区域的平均车速，按该数值排序。</w:t>
            </w:r>
          </w:p>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长期预测可对未来一周内任意日期、小时的路况进行预测，预测的结果可在地图上以路况分颜色进行显示，展示轻度拥堵以上的路段，易于用户更快辨认即将会出现拥堵的路段。</w:t>
            </w:r>
          </w:p>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可对节假日等特殊日期的路况进行预测（可按日期、小时维度对路况进行预测），预测的结果可在地图上以路况分颜色进行显示，展示轻度拥堵以上的路段，易于用户更快辨认即将会出现拥堵的路段。可展示历史拥堵点、段、拥堵时长等</w:t>
            </w:r>
          </w:p>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可自定义景区等特殊区域，对特殊区域按照不同日期（节日、周末、工作日、旅游淡季、旺季）路况进行预测，预测的结果可在地图上以路况分颜色进行显示，展示轻度拥堵以上的路段，易于用户更快辨认即将会出现拥堵的路段。可展示历史拥堵点、段、拥堵时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路况图分析模型</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短期与长期预测路况，系统地图层显示路况图（轻度拥堵以上路段），可通过预测时间选择支持对未来道路状况的播放，帮助管理部门了解道路运行状态变化即城市路况分布情况，为拥堵缓解决策的制定提供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可变导向车道分析模型</w:t>
            </w:r>
          </w:p>
        </w:tc>
        <w:tc>
          <w:tcPr>
            <w:tcW w:w="4763" w:type="dxa"/>
            <w:gridSpan w:val="2"/>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包含实时转向流量特征分析及可变导向车道研判，实时展示具有可变导向特性的路段，可按程度区分颜色显示，可按时间分流与空间分流特性分别展示路段以及路段的流量不均衡系数，相关管理者可实时查看进口道流量不均衡较为严重的路段，为信号控制以及其他交通组织设计措施提供决策支撑。同时可展示需设置可变导向车道的路段，并展示一个月内路段可变导向特征发生频次，可按频次进行路段排名；支持按区域搜索排序展示。流量不均衡系数可按每</w:t>
            </w:r>
            <w:r>
              <w:rPr>
                <w:rFonts w:hint="eastAsia" w:cs="宋体" w:asciiTheme="minorEastAsia" w:hAnsiTheme="minorEastAsia" w:eastAsiaTheme="minorEastAsia"/>
                <w:color w:val="auto"/>
                <w:kern w:val="0"/>
                <w:sz w:val="20"/>
                <w:szCs w:val="20"/>
                <w:lang w:val="en-US" w:eastAsia="zh-CN"/>
              </w:rPr>
              <w:t>5分钟</w:t>
            </w:r>
            <w:r>
              <w:rPr>
                <w:rFonts w:hint="eastAsia" w:cs="宋体" w:asciiTheme="minorEastAsia" w:hAnsiTheme="minorEastAsia" w:eastAsiaTheme="minorEastAsia"/>
                <w:color w:val="auto"/>
                <w:kern w:val="0"/>
                <w:sz w:val="20"/>
                <w:szCs w:val="20"/>
              </w:rPr>
              <w:t>刷新一次数据。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潮汐车道分析模型</w:t>
            </w:r>
          </w:p>
        </w:tc>
        <w:tc>
          <w:tcPr>
            <w:tcW w:w="4763" w:type="dxa"/>
            <w:gridSpan w:val="2"/>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包含实时车流特性分析及潮汐路段研判，实时展示具有潮汐特性的路段，可按程度区域颜色显示，可按时间分流与空间分流特性分别展示路段以及路段的方向分布系数，相关管理者可实时查看路段方向分布不均衡性较严重的路段，为信号控制以及其他交通组织设计措施提供决策支撑。同时可展示需设置潮汐车道的路段，并展示一个月路段潮汐特征发生频次，可按频次进行路段排名；支持按区域搜索排序展示。方向分布系数可按每</w:t>
            </w:r>
            <w:r>
              <w:rPr>
                <w:rFonts w:hint="eastAsia" w:cs="宋体" w:asciiTheme="minorEastAsia" w:hAnsiTheme="minorEastAsia" w:eastAsiaTheme="minorEastAsia"/>
                <w:color w:val="auto"/>
                <w:kern w:val="0"/>
                <w:sz w:val="20"/>
                <w:szCs w:val="20"/>
                <w:lang w:val="en-US" w:eastAsia="zh-CN"/>
              </w:rPr>
              <w:t>5分钟</w:t>
            </w:r>
            <w:r>
              <w:rPr>
                <w:rFonts w:hint="eastAsia" w:cs="宋体" w:asciiTheme="minorEastAsia" w:hAnsiTheme="minorEastAsia" w:eastAsiaTheme="minorEastAsia"/>
                <w:color w:val="auto"/>
                <w:kern w:val="0"/>
                <w:sz w:val="20"/>
                <w:szCs w:val="20"/>
              </w:rPr>
              <w:t>刷新一次数据。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bookmarkStart w:id="43" w:name="_Hlk103845718"/>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6180" w:type="dxa"/>
            <w:gridSpan w:val="4"/>
            <w:shd w:val="clear" w:color="auto" w:fill="auto"/>
            <w:vAlign w:val="center"/>
          </w:tcPr>
          <w:p>
            <w:pPr>
              <w:widowControl/>
              <w:tabs>
                <w:tab w:val="left" w:pos="2052"/>
              </w:tabs>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b/>
                <w:bCs/>
                <w:color w:val="auto"/>
                <w:kern w:val="0"/>
                <w:sz w:val="20"/>
                <w:szCs w:val="20"/>
                <w:lang w:eastAsia="zh-CN"/>
              </w:rPr>
              <w:t>根据部局、省局、市局等考核或者重点工作需要，提供定制分析模型、数据统计模型的模型建设技术服务，每年不超过</w:t>
            </w:r>
            <w:r>
              <w:rPr>
                <w:rFonts w:hint="eastAsia" w:cs="宋体" w:asciiTheme="minorEastAsia" w:hAnsiTheme="minorEastAsia"/>
                <w:b/>
                <w:bCs/>
                <w:color w:val="auto"/>
                <w:kern w:val="0"/>
                <w:sz w:val="20"/>
                <w:szCs w:val="20"/>
                <w:lang w:val="en-US" w:eastAsia="zh-CN"/>
              </w:rPr>
              <w:t>10个。</w:t>
            </w:r>
          </w:p>
        </w:tc>
      </w:tr>
      <w:bookmark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2</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安全风险防控专题模型</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机动车违法分析模型</w:t>
            </w:r>
          </w:p>
        </w:tc>
        <w:tc>
          <w:tcPr>
            <w:tcW w:w="4763" w:type="dxa"/>
            <w:gridSpan w:val="2"/>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支持基于交通违法数据，关联机动车登记数据，按违法时间、违法地点、违法行为、使用性质等进行分类统计，分析违法多发地、高发类型、高发时段、变化趋势等违法数据分析。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驾驶人违法分析模型</w:t>
            </w:r>
          </w:p>
        </w:tc>
        <w:tc>
          <w:tcPr>
            <w:tcW w:w="4763" w:type="dxa"/>
            <w:gridSpan w:val="2"/>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支持基于交通违法数据，关联驾驶证管理数据，按驾驶人性别、年龄段、驾驶证种类、违法时间、违法地点进行分类统计，分析驾驶人违法规律等违法数据分析。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交通事故分析模型</w:t>
            </w:r>
          </w:p>
        </w:tc>
        <w:tc>
          <w:tcPr>
            <w:tcW w:w="4763" w:type="dxa"/>
            <w:gridSpan w:val="2"/>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支持基于交通事故数据，按事故时间、行政辖区、事故类型、事故原因、事故地点进行分类统计，便于交通管理者及时掌握事故高发时段、高发地点以及事故成因等事故数据分析，并包含逃逸事故数据分析。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交通事件分析模型</w:t>
            </w:r>
          </w:p>
        </w:tc>
        <w:tc>
          <w:tcPr>
            <w:tcW w:w="4763" w:type="dxa"/>
            <w:gridSpan w:val="2"/>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基于交通事件数据（行人闯入、非机动车闯入、异常停车、逆行、拥堵、事故、信号灯故障、排队溢出、二次排队等），按事件发生时间、事件类型、事件发生地点等进行分类统计，分析事件高发时段、高发地点等变化规律等事件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highlight w:val="yellow"/>
              </w:rPr>
            </w:pPr>
            <w:r>
              <w:rPr>
                <w:rFonts w:hint="eastAsia" w:cs="宋体" w:asciiTheme="minorEastAsia" w:hAnsiTheme="minorEastAsia" w:eastAsiaTheme="minorEastAsia"/>
                <w:color w:val="auto"/>
                <w:kern w:val="0"/>
                <w:sz w:val="20"/>
                <w:szCs w:val="20"/>
              </w:rPr>
              <w:t>高危驾驶人分析模型</w:t>
            </w:r>
          </w:p>
        </w:tc>
        <w:tc>
          <w:tcPr>
            <w:tcW w:w="4763" w:type="dxa"/>
            <w:gridSpan w:val="2"/>
            <w:shd w:val="clear" w:color="auto" w:fill="auto"/>
          </w:tcPr>
          <w:p>
            <w:pPr>
              <w:widowControl/>
              <w:jc w:val="both"/>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基于卡口过车人脸识别解析后数据与六合一驾驶人照片解析后数据进行碰撞，比对无证、因醉驾毒驾暂扣等失驾人员分析研判，实现实时预警。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重点企业风险分析模型</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支持针对重点企业（即“两客一危”车辆所属企业）的客货车辆，分析违法、事故的发生情况，对违法、事故的发生数量进行统计排名，以企业为单位有针对性治理。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恶劣天气影响分析模型</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大雾、团雾多发路段、冰雪天气及积雪不易融化路段、雨天（汛期）及积水路段、易坍塌滑坡路段等恶劣天气条件下交通流量的分析，发现恶劣天气对交通影响的规律，便于交管部门采取相应的保障交通的措施。</w:t>
            </w:r>
          </w:p>
        </w:tc>
      </w:tr>
      <w:bookmark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防控漏点分析模型</w:t>
            </w:r>
          </w:p>
        </w:tc>
        <w:tc>
          <w:tcPr>
            <w:tcW w:w="4763" w:type="dxa"/>
            <w:gridSpan w:val="2"/>
            <w:shd w:val="clear" w:color="auto" w:fill="auto"/>
            <w:noWrap/>
            <w:vAlign w:val="bottom"/>
          </w:tcPr>
          <w:p>
            <w:pPr>
              <w:widowControl/>
              <w:jc w:val="left"/>
              <w:rPr>
                <w:rFonts w:cs="宋体" w:asciiTheme="minorEastAsia" w:hAnsiTheme="minorEastAsia" w:eastAsiaTheme="minorEastAsia"/>
                <w:color w:val="auto"/>
                <w:kern w:val="0"/>
                <w:sz w:val="20"/>
                <w:szCs w:val="22"/>
              </w:rPr>
            </w:pPr>
            <w:r>
              <w:rPr>
                <w:rFonts w:hint="eastAsia" w:cs="宋体" w:asciiTheme="minorEastAsia" w:hAnsiTheme="minorEastAsia" w:eastAsiaTheme="minorEastAsia"/>
                <w:color w:val="auto"/>
                <w:kern w:val="0"/>
                <w:sz w:val="20"/>
                <w:szCs w:val="20"/>
              </w:rPr>
              <w:t>基于事故、拥堵和警力及设备配置信息，提供防控漏点的分析模型。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**效能分析模型</w:t>
            </w:r>
          </w:p>
        </w:tc>
        <w:tc>
          <w:tcPr>
            <w:tcW w:w="4763" w:type="dxa"/>
            <w:gridSpan w:val="2"/>
            <w:shd w:val="clear" w:color="auto" w:fill="auto"/>
            <w:noWrap/>
            <w:vAlign w:val="bottom"/>
          </w:tcPr>
          <w:p>
            <w:pPr>
              <w:widowControl/>
              <w:jc w:val="left"/>
              <w:rPr>
                <w:rFonts w:cs="宋体" w:asciiTheme="minorEastAsia" w:hAnsiTheme="minorEastAsia" w:eastAsiaTheme="minorEastAsia"/>
                <w:color w:val="auto"/>
                <w:kern w:val="0"/>
                <w:sz w:val="20"/>
                <w:szCs w:val="22"/>
              </w:rPr>
            </w:pPr>
            <w:r>
              <w:rPr>
                <w:rFonts w:hint="eastAsia" w:cs="宋体" w:asciiTheme="minorEastAsia" w:hAnsiTheme="minorEastAsia" w:eastAsiaTheme="minorEastAsia"/>
                <w:color w:val="auto"/>
                <w:kern w:val="0"/>
                <w:sz w:val="20"/>
                <w:szCs w:val="22"/>
              </w:rPr>
              <w:t>基于警情处置环节信息，提供针对**效能的分析模型。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bookmarkStart w:id="44" w:name="_Hlk103845757"/>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交通违法基本态势分析模型</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基于月度、违法采集、违法行为、道路类别、道路类型、车辆类型、使用性质、交通方式等基本信息；按地域分布、组成结构、变化趋势分类分析违法总量、现场违法数量、非现场违法的总数量、环比量、同比量等基本态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交通违法行为数量排名分析模型</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支持基于区域、月度、信息来源、重点车辆类型、重点车辆子类型、道路类别、道路类型、车辆类型等基本信息，分析每类违法行为的总数量、环比、同比、占比率等交通违法行为数量排名分析。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3</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交通执法管控专题模型</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强制注销车辆分析模型</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支持基于卡口过车数据和机动车登记数据，比对卡口过往车辆信息中的强制注销车辆，针对其中强制注销车辆进行预警分析。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事故未处理车辆分析模型</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支持基于卡口过车数据和事故数据，比对卡口过往车辆信息中的事故未处理车辆，针对其中事故未处理车辆进行预警分析。</w:t>
            </w:r>
          </w:p>
        </w:tc>
      </w:tr>
      <w:bookmark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bookmarkStart w:id="45" w:name="_Hlk103845833"/>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违法未处理车辆上路分析模型</w:t>
            </w:r>
          </w:p>
        </w:tc>
        <w:tc>
          <w:tcPr>
            <w:tcW w:w="4763" w:type="dxa"/>
            <w:gridSpan w:val="2"/>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基于卡口过车数据和违法记录数据，分析比对卡口过往车辆信息中的违法未处理车辆，针对其中违法未处理车辆进行预警。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违法未处理模型</w:t>
            </w:r>
          </w:p>
        </w:tc>
        <w:tc>
          <w:tcPr>
            <w:tcW w:w="4763" w:type="dxa"/>
            <w:gridSpan w:val="2"/>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基于六合一的车辆违法记录进行定时的分析比对，再针对其中违法未处理车辆进行预警。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逾期未年检车辆上路分析模型</w:t>
            </w:r>
          </w:p>
        </w:tc>
        <w:tc>
          <w:tcPr>
            <w:tcW w:w="4763" w:type="dxa"/>
            <w:gridSpan w:val="2"/>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基于卡口过车数据和机动车登记数据，分析比对卡口过往车辆信息中的逾期未年检车辆，针对其中逾期未年检车辆进行预警。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逾期未年检车辆分析模型</w:t>
            </w:r>
          </w:p>
        </w:tc>
        <w:tc>
          <w:tcPr>
            <w:tcW w:w="4763" w:type="dxa"/>
            <w:gridSpan w:val="2"/>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基于六合一的车辆未年检进行定时的分析比对，针对其中违法未年检车辆进行预警。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逾期未报废车辆分析模型</w:t>
            </w:r>
          </w:p>
        </w:tc>
        <w:tc>
          <w:tcPr>
            <w:tcW w:w="4763" w:type="dxa"/>
            <w:gridSpan w:val="2"/>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基于六合一的报废车辆数据进行定时的分析比对，针对其中已报废车辆进行预警。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已报废车辆上路分析模型</w:t>
            </w:r>
          </w:p>
        </w:tc>
        <w:tc>
          <w:tcPr>
            <w:tcW w:w="4763" w:type="dxa"/>
            <w:gridSpan w:val="2"/>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基于卡口过车数据和机动车登记数据，分析比对卡口过往车辆信息中的逾期未报废车辆，针对其中逾期未报废车辆进行预警。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重点驾驶人情况分析模型</w:t>
            </w:r>
          </w:p>
        </w:tc>
        <w:tc>
          <w:tcPr>
            <w:tcW w:w="4763" w:type="dxa"/>
            <w:gridSpan w:val="2"/>
            <w:shd w:val="clear" w:color="auto" w:fill="auto"/>
            <w:vAlign w:val="center"/>
          </w:tcPr>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按驾驶证的准驾车型统计重点驾驶人的审验、换证情况，包括未审验量、审验率、未换证量、换证率等信息。分析结果数据可推送给对应的重点车企业落实整改。</w:t>
            </w:r>
          </w:p>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支持各个部门管辖辖区内持有A\B证驾驶人的数量，逾期未审验、逾期未换证、满分未学习的情况分析。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重点车辆分析模型</w:t>
            </w:r>
          </w:p>
        </w:tc>
        <w:tc>
          <w:tcPr>
            <w:tcW w:w="4763" w:type="dxa"/>
            <w:gridSpan w:val="2"/>
            <w:shd w:val="clear" w:color="auto" w:fill="auto"/>
            <w:vAlign w:val="center"/>
          </w:tcPr>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针对大型公路客运、大型旅游客运、危化品运输车、重型货车、重型挂车、农村面包车、营转非大客车等类型车辆的检验情况进行统计，包括车辆总量、检验数、逾期未检验数、检验率等信息，分析筛选出逾期未检验、违法、报废的车辆信息。</w:t>
            </w:r>
          </w:p>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分析结果数据可推送给对应的重点车企业落实整改，也可共享给精准查控模块的脱检车辆上路分析模型作为基础数据支撑。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危化品运输分析</w:t>
            </w:r>
          </w:p>
        </w:tc>
        <w:tc>
          <w:tcPr>
            <w:tcW w:w="4763" w:type="dxa"/>
            <w:gridSpan w:val="2"/>
            <w:shd w:val="clear" w:color="auto" w:fill="auto"/>
            <w:vAlign w:val="center"/>
          </w:tcPr>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支持对危化品车设立主题分析模块，对危化品车辆的各种维度进行分析，主要分析内容如下：</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（1）危化品车基础信息概览：对危化品车的通行证通行情况、发放情况、通报签收率、运输物品情况等信息进行展示；</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（2）危化品车通行证概览：统计通行证发证的各个机关部门发放情况，通行情况；</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（3）通行证线路审批情况：统计各个机关部门对于通行证通行线路审批的情况；</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（4）征询意见受理反馈情况：统计各个机关部门对推送的征询意见及反馈情况；</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（5）承运单位运输物品情况：统计相关承运单位运输的物品、通行次数、运输量等情况；</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（6）购买单位运输物品情况：统计相关购买单位运输的物品、运输量、购买凭证数等情况；</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（7）地市运输物品情况：统计地市内各个运输物品的通行次数情况；</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（8）始发地运输物品分析：统计始发地运输的次数、运输物品的数量、运输种类的情况；</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（9）目的地运输物品分析：统计目的地运输的次数、运输物品的数量、运输种类的情况；</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（10）市内运输分析：统计始发地、目的地均在台州市内的运输情况；</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（11）跨市、跨省运输分析：统计始发地或目的地在台州，跨省跨市的运输情况；</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（12）通行负载情况分析：统计危化品车经常通行的道路的通行次数，通行的同比及环比分析；</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（13）任意路段运输物品分析：统计危化品车经常通行道路的运输情况；</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（14）危化品车违法分析：统计各个辖区内危化品运输车的违法行为、次数；</w:t>
            </w:r>
          </w:p>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（15）危化品车事故分析：统计各个辖区内危化品运输车的事故次数。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hint="eastAsia" w:cs="宋体" w:asciiTheme="minorEastAsia" w:hAnsiTheme="minorEastAsia" w:eastAsiaTheme="minorEastAsia"/>
                <w:color w:val="auto"/>
                <w:kern w:val="0"/>
                <w:sz w:val="20"/>
                <w:szCs w:val="22"/>
              </w:rPr>
            </w:pPr>
            <w:r>
              <w:rPr>
                <w:rFonts w:hint="eastAsia" w:cs="宋体" w:asciiTheme="minorEastAsia" w:hAnsiTheme="minorEastAsia" w:eastAsiaTheme="minorEastAsia"/>
                <w:color w:val="auto"/>
                <w:kern w:val="0"/>
                <w:sz w:val="20"/>
                <w:szCs w:val="22"/>
              </w:rPr>
              <w:t>区域禁行预警模型</w:t>
            </w:r>
          </w:p>
        </w:tc>
        <w:tc>
          <w:tcPr>
            <w:tcW w:w="4763" w:type="dxa"/>
            <w:gridSpan w:val="2"/>
            <w:shd w:val="clear" w:color="auto" w:fill="auto"/>
            <w:vAlign w:val="center"/>
          </w:tcPr>
          <w:p>
            <w:pPr>
              <w:widowControl/>
              <w:jc w:val="left"/>
              <w:rPr>
                <w:rFonts w:hint="eastAsia" w:cs="宋体" w:asciiTheme="minorEastAsia" w:hAnsiTheme="minorEastAsia" w:eastAsiaTheme="minorEastAsia"/>
                <w:color w:val="auto"/>
                <w:kern w:val="0"/>
                <w:sz w:val="20"/>
                <w:szCs w:val="22"/>
              </w:rPr>
            </w:pPr>
            <w:r>
              <w:rPr>
                <w:rFonts w:hint="eastAsia" w:cs="宋体" w:asciiTheme="minorEastAsia" w:hAnsiTheme="minorEastAsia" w:eastAsiaTheme="minorEastAsia"/>
                <w:color w:val="auto"/>
                <w:kern w:val="0"/>
                <w:sz w:val="20"/>
                <w:szCs w:val="22"/>
              </w:rPr>
              <w:t>在特定时间段、禁行区域，重点车辆如渣土车、危化品车含已审批通行证，但在道路上未按通行证时间、线路通行的进行预警并推送到所属辖区。</w:t>
            </w:r>
          </w:p>
        </w:tc>
      </w:tr>
      <w:bookmark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hint="eastAsia" w:cs="宋体" w:asciiTheme="minorEastAsia" w:hAnsiTheme="minorEastAsia" w:eastAsiaTheme="minorEastAsia"/>
                <w:color w:val="auto"/>
                <w:kern w:val="0"/>
                <w:sz w:val="20"/>
                <w:szCs w:val="22"/>
              </w:rPr>
            </w:pPr>
            <w:r>
              <w:rPr>
                <w:rFonts w:hint="eastAsia" w:cs="宋体" w:asciiTheme="minorEastAsia" w:hAnsiTheme="minorEastAsia" w:eastAsiaTheme="minorEastAsia"/>
                <w:color w:val="auto"/>
                <w:kern w:val="0"/>
                <w:sz w:val="20"/>
                <w:szCs w:val="22"/>
              </w:rPr>
              <w:t>警情分析模型模型</w:t>
            </w:r>
          </w:p>
        </w:tc>
        <w:tc>
          <w:tcPr>
            <w:tcW w:w="4763" w:type="dxa"/>
            <w:gridSpan w:val="2"/>
            <w:shd w:val="clear" w:color="auto" w:fill="auto"/>
            <w:noWrap/>
            <w:vAlign w:val="bottom"/>
          </w:tcPr>
          <w:p>
            <w:pPr>
              <w:widowControl/>
              <w:jc w:val="left"/>
              <w:rPr>
                <w:rFonts w:hint="eastAsia" w:cs="宋体" w:asciiTheme="minorEastAsia" w:hAnsiTheme="minorEastAsia" w:eastAsiaTheme="minorEastAsia"/>
                <w:color w:val="auto"/>
                <w:kern w:val="0"/>
                <w:sz w:val="20"/>
                <w:szCs w:val="22"/>
              </w:rPr>
            </w:pPr>
            <w:r>
              <w:rPr>
                <w:rFonts w:hint="eastAsia" w:cs="宋体" w:asciiTheme="minorEastAsia" w:hAnsiTheme="minorEastAsia" w:eastAsiaTheme="minorEastAsia"/>
                <w:color w:val="auto"/>
                <w:kern w:val="0"/>
                <w:sz w:val="20"/>
                <w:szCs w:val="22"/>
              </w:rPr>
              <w:t>警情监控专题呈现今日警情数据综合状况、实时警情监控、实时警情预警、警情数量变化趋势分析、警情与警力的对比分析、台州交警警情处置数据对比分析、警情热力分布分析。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警力分析模型</w:t>
            </w:r>
          </w:p>
        </w:tc>
        <w:tc>
          <w:tcPr>
            <w:tcW w:w="4763" w:type="dxa"/>
            <w:gridSpan w:val="2"/>
            <w:shd w:val="clear" w:color="auto" w:fill="auto"/>
            <w:noWrap/>
            <w:vAlign w:val="bottom"/>
          </w:tcPr>
          <w:p>
            <w:pPr>
              <w:widowControl/>
              <w:jc w:val="left"/>
              <w:rPr>
                <w:rFonts w:cs="宋体" w:asciiTheme="minorEastAsia" w:hAnsiTheme="minorEastAsia" w:eastAsiaTheme="minorEastAsia"/>
                <w:color w:val="auto"/>
                <w:kern w:val="0"/>
                <w:sz w:val="20"/>
                <w:szCs w:val="22"/>
              </w:rPr>
            </w:pPr>
            <w:r>
              <w:rPr>
                <w:rFonts w:hint="eastAsia" w:cs="宋体" w:asciiTheme="minorEastAsia" w:hAnsiTheme="minorEastAsia" w:eastAsiaTheme="minorEastAsia"/>
                <w:color w:val="auto"/>
                <w:kern w:val="0"/>
                <w:sz w:val="20"/>
                <w:szCs w:val="22"/>
              </w:rPr>
              <w:t>警力分布模型，分析警力分布情况、实时勤务预警、警员离线分析、今日警车离线分析、警力与警情变化趋势分析，警力地图的可视化、警力巡逻里程统计分析、警力执法量统计分析等。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初次入城</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支持依据时间、区域、车型等行车信息，快速检索过车记录，筛选出初次入城车辆的功能。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落脚点分析</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支持通过对目标车辆的历史路径信息进行挖掘，发现车辆可能落脚停留地点的功能。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相似车牌串并</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支持快速检索出与目标车牌相差一位或多位的相似车牌的功能。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频繁过车</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支持检索到目标区域内频繁出现的车辆的功能。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轨迹重现</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支持对车辆在某时段内的过车数据进行汇总分析，重新绘制行车轨迹的功能。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遮挡面部检测</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支持能够识别前排驾乘人员放下遮阳板遮挡面部行为的功能。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同行车辆</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支持通过车牌号查找出与其同行超过设定次数的车辆信息的功能。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多点碰撞</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支持对不同时间、不同区域内相同车辆统计分析的功能。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实时目标车辆追踪</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支持实时检索出选定号牌的车辆信息及过车图片，并结合地图动态展示的功能。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车辆通行频次分析</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支持对指定车牌的车辆在设定时间内统计车辆通行点位情况的功能。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昼伏夜出</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支持通过设定固定的白天时段和夜间时段及其他条件（车型、类别、时段、区域）进行查询，检索出白天隐匿夜间外出车辆的功能。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车辆驾乘人员分析</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支持将车辆卡口和视频监控可识别的驾乘抓拍人脸做分析，结合公安人脸系统落地、确定该车的车主的真实身份及驾乘该车不同人员的身份信息。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隐匿车辆挖掘</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支持通过设置区域与时间，分析在指定时间内车辆轨迹信息，并显示前多后少、差异较大车辆的功能。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高危智能预警</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支持对异常车辆进行车辆实时数据查询，并支持预警车辆二次搜索的功能。异常车辆包括：车主或违法当事人有**记录，车主或其关系人为全国在逃人员等。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4</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业务监管模型</w:t>
            </w:r>
          </w:p>
        </w:tc>
        <w:tc>
          <w:tcPr>
            <w:tcW w:w="1417" w:type="dxa"/>
            <w:gridSpan w:val="2"/>
            <w:vMerge w:val="restar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执勤执法监管-简易程序处罚</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实施简易程序处罚时未使用执法记录仪进行录音录像（在指定时间内未上传）。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同一天、同一地点、同一人当场处罚记录≥N条。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半小时内、同一地点、同一人、不同交通方式当场处罚记录≥N条。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现场处罚驾驶货车载物超过指定范围内核定载质量的违法行为。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restar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执勤执法监管-强制措施处罚</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强制措施凭证（包括违法处理通知书）开具后，未及时裁决（结案），在指定时间内提醒。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机动车未年检、注销、报废状态被处罚后未扣车。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处罚后发现机动车有≥N次非现场违法未处理，未扣留机动车。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超过指定时间逾期未对因酒驾等扣留驾驶证做出暂扣、吊销处理。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采取行政强制措施时未使用执法记录仪进行录音录像（指定时间内未上传）。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采取强制措施未核实当事人信息。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restar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执勤执法监管-案件办理</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采取逮捕强制措施后未在指定时间内移诉。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采取取保候审强制措施后未在指定时间内移诉。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开具醉酒行政强制措施凭证后未在指定时间内作刑事立案处理。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刑事立案后未在指定时间内采取刑事强制措施的。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采取取保候审强制措施后，指定时间无传讯通知书的。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采取刑事拘留强制措施后未在指定时间内办理延长羁押手续（提醒）。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办案区人员未关联警情。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执法办案警情未及时初审(指定时间内)。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执法办案案件未及时初审(指定时间内)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restar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窗口业务监管-窗口违法处理</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非工作时间处理违法（指定时间内）。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一个月内外地（同一地区）驾驶证在同一违法处理点（窗口）多次处理本地车辆非现场违法行为的（N次报警）。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一年内满分学习N次（含）以上，在窗口处理扣分违章。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同一驾驶人指定时间内处理N（含）辆以上非现场非本人车辆有记分违法。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多人处理一车非现场有记分违法（指定时间内N人以上）。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同一驾驶人一天内处理N（含）辆以上非本人车辆有记分违法。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同一车辆一天内有N（含）个以上驾驶人处理违法。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高龄驾驶人AB类驾驶证处理大车的非现场违法（指定年龄驾驶人）。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非现场超速指定范围以上处理。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非现场外地驾驶人处理非本人车辆有记分违法。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一个记分周期内2次以上因超速指定范围以上记满分。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restar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窗口业务监管-违法信息修改</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涉酒涉拘的案件，人员信息的姓名和身份证修改。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非现场处理，N分以后回退。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restar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涉案财物监管-涉案车辆管理</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民警扣留车辆后指定时间内未在涉案财物管理系统内入库。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扣留车辆超过指定时间，每过30日预警1次。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六合一未裁决，停车场已放车N天。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车辆暂扣时间早于强制措施违法时间。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restar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涉案财物监管-涉案证件管理</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强制措施扣留驾驶证超过30日未裁决，每过30日预警1次。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民警扣留证件后N天内未及时将证件信息录入涉案财物管理系统。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restar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涉案财物监管-涉案血样管理</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强制措施开具后3日内未送检。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血样抽取后24小时未打印委托书。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未及时上传血样鉴定报告。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血样鉴定结论接收后24小时内未在执法办案系统立案。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restar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事故处理监督-简易程序事故</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一月内申报遗失道路交通事故认定书（简易程序）N份（含）以上的。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存在明确交通违法行为的道路交通事故中未对交通违法行为进行处罚。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restar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事故处理监督-一般程序事故</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大队未在规定时间作出事故认定。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已经受案的一般程序道路交通事故需要检验鉴定的未在规定时间内委托有资质的单位。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restar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异常数据分析监管</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数字证书查同一个人N次以上。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窗口工作人员非工作时间查询。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shd w:val="clear" w:color="auto" w:fill="auto"/>
            <w:vAlign w:val="center"/>
          </w:tcPr>
          <w:p>
            <w:pPr>
              <w:widowControl/>
              <w:jc w:val="center"/>
              <w:rPr>
                <w:rFonts w:cs="宋体" w:asciiTheme="minorEastAsia" w:hAnsiTheme="minorEastAsia" w:eastAsiaTheme="minorEastAsia"/>
                <w:b/>
                <w:bCs/>
                <w:color w:val="auto"/>
                <w:kern w:val="0"/>
                <w:sz w:val="20"/>
                <w:szCs w:val="20"/>
              </w:rPr>
            </w:pPr>
            <w:bookmarkStart w:id="46" w:name="_Hlk83237544"/>
            <w:r>
              <w:rPr>
                <w:rFonts w:hint="eastAsia" w:cs="宋体" w:asciiTheme="minorEastAsia" w:hAnsiTheme="minorEastAsia" w:eastAsiaTheme="minorEastAsia"/>
                <w:b/>
                <w:bCs/>
                <w:color w:val="auto"/>
                <w:kern w:val="0"/>
                <w:sz w:val="20"/>
                <w:szCs w:val="20"/>
              </w:rPr>
              <w:t>（四）</w:t>
            </w:r>
          </w:p>
        </w:tc>
        <w:tc>
          <w:tcPr>
            <w:tcW w:w="1306" w:type="dxa"/>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模型工具</w:t>
            </w:r>
          </w:p>
        </w:tc>
        <w:tc>
          <w:tcPr>
            <w:tcW w:w="1417" w:type="dxa"/>
            <w:gridSpan w:val="2"/>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c>
          <w:tcPr>
            <w:tcW w:w="4763" w:type="dxa"/>
            <w:gridSpan w:val="2"/>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1</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数据导入导出功能</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数据库接入</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需具备灵活多样的数据接入功能，应支持主流数据库数据接入，包括但不限于MySQL、Oracle、P</w:t>
            </w:r>
            <w:r>
              <w:rPr>
                <w:rFonts w:cs="宋体" w:asciiTheme="minorEastAsia" w:hAnsiTheme="minorEastAsia" w:eastAsiaTheme="minorEastAsia"/>
                <w:color w:val="auto"/>
                <w:kern w:val="0"/>
                <w:sz w:val="20"/>
                <w:szCs w:val="20"/>
              </w:rPr>
              <w:t>G</w:t>
            </w:r>
            <w:r>
              <w:rPr>
                <w:rFonts w:hint="eastAsia" w:cs="宋体" w:asciiTheme="minorEastAsia" w:hAnsiTheme="minorEastAsia" w:eastAsiaTheme="minorEastAsia"/>
                <w:color w:val="auto"/>
                <w:kern w:val="0"/>
                <w:sz w:val="20"/>
                <w:szCs w:val="20"/>
              </w:rPr>
              <w:t>等数据库接入。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文本数据表导入导出</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支持Excel等文件型的数据直接作为数据源进行分析；支持分析结果灵活下载导出。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68" w:type="dxa"/>
            <w:gridSpan w:val="3"/>
            <w:shd w:val="clear" w:color="auto" w:fill="auto"/>
            <w:vAlign w:val="center"/>
          </w:tcPr>
          <w:p>
            <w:pPr>
              <w:widowControl/>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2</w:t>
            </w:r>
          </w:p>
        </w:tc>
        <w:tc>
          <w:tcPr>
            <w:tcW w:w="1306" w:type="dxa"/>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模型数据源目录功能</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数据源目录</w:t>
            </w:r>
          </w:p>
        </w:tc>
        <w:tc>
          <w:tcPr>
            <w:tcW w:w="4763" w:type="dxa"/>
            <w:gridSpan w:val="2"/>
            <w:shd w:val="clear" w:color="auto" w:fill="auto"/>
            <w:vAlign w:val="center"/>
          </w:tcPr>
          <w:p>
            <w:pPr>
              <w:widowControl/>
              <w:jc w:val="left"/>
              <w:rPr>
                <w:rFonts w:cs="宋体" w:asciiTheme="minorEastAsia" w:hAnsiTheme="minorEastAsia" w:eastAsiaTheme="minorEastAsia"/>
                <w:bCs/>
                <w:color w:val="auto"/>
                <w:kern w:val="0"/>
                <w:sz w:val="20"/>
                <w:szCs w:val="20"/>
              </w:rPr>
            </w:pPr>
            <w:r>
              <w:rPr>
                <w:rFonts w:hint="eastAsia" w:cs="宋体" w:asciiTheme="minorEastAsia" w:hAnsiTheme="minorEastAsia" w:eastAsiaTheme="minorEastAsia"/>
                <w:bCs/>
                <w:color w:val="auto"/>
                <w:kern w:val="0"/>
                <w:sz w:val="20"/>
                <w:szCs w:val="20"/>
              </w:rPr>
              <w:t>需提供数据源管理功能，包括提供浏览数据源概况、查询、新增数据源、编辑、删除、测试连接、预览数据源表等功能；需提供数据源详细信息查看功能，需显示数据表的详细信息，包括但不限于创建人、资产类型、数据量、资产目录、数据行数、更新时间、数据来源等，并可显示数据字段明细，同时支持匹配数据标准；需提供样本数据预览功能，需示例展现数据表具体字段内容，方便快速了解浏览数据内容；需提供数据关联功能，需提供数据表关联的创建、编辑与查询，便于查找相关数据，需提供数据剖析功能，需提供数据表的快速探查与质量报告，便于快速理解数据；需提供数据使用情况查看功能，可快速浏览数据表的使用情况，包括但不限于字段的调用次数、调用时间、和调用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3</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数据编辑功能</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数据过滤筛选</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数据过滤筛选操作，包括但不限于数值字段筛选、文本字段筛选、时间字段筛选；支持时间字段筛选，至少包含日期选择和具体时段选择；支持文本字段筛选，需具备通过搜索或者关键字进行选择；支持数值字段筛选，支持设定筛选范围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数据列操作</w:t>
            </w:r>
          </w:p>
        </w:tc>
        <w:tc>
          <w:tcPr>
            <w:tcW w:w="4763" w:type="dxa"/>
            <w:gridSpan w:val="2"/>
            <w:shd w:val="clear" w:color="auto" w:fill="auto"/>
            <w:vAlign w:val="center"/>
          </w:tcPr>
          <w:p>
            <w:pPr>
              <w:widowControl/>
              <w:jc w:val="left"/>
              <w:rPr>
                <w:rFonts w:cs="宋体" w:asciiTheme="minorEastAsia" w:hAnsiTheme="minorEastAsia" w:eastAsiaTheme="minorEastAsia"/>
                <w:bCs/>
                <w:color w:val="auto"/>
                <w:kern w:val="0"/>
                <w:sz w:val="20"/>
                <w:szCs w:val="20"/>
              </w:rPr>
            </w:pPr>
            <w:r>
              <w:rPr>
                <w:rFonts w:hint="eastAsia" w:cs="宋体" w:asciiTheme="minorEastAsia" w:hAnsiTheme="minorEastAsia" w:eastAsiaTheme="minorEastAsia"/>
                <w:bCs/>
                <w:color w:val="auto"/>
                <w:kern w:val="0"/>
                <w:sz w:val="20"/>
                <w:szCs w:val="20"/>
              </w:rPr>
              <w:t>支持数据源数据列操作功能，包括但不限于：支持在原数据集基础上新增列或者表达式列；支持数据公式，使用数值字段进行加减乘除；支持多字段的拼接，使用多个字段进行拼接；支持数据分组，使用数值字段进行分组；支持按照字段排名，选择字段进行排名，包括时间和数值字段排名；支持条件判断，时间类型、文本类型、数值类型、条件组合、复制条件等条件判断；支持时间获取，选择时间字段，获取年月日等；支持隐藏列操作；支持字段拆分，支持按照分割符合字段长度进行拆分；支持列显示，支持字段搜索显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数据表合并</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数据表与表之间进行合并操作，包括但不限于左右合并、上下合并、交集合并等功能，支持数据表左右并集合并形成新表，新表包含两张表的所有字段；支持左右交集合并，新表包含两张表中均有的字段；支持数据表上下合并，自动按照字段对应列关系，将两数据表合并为同一表格，支持手动操作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数据探查</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需具备探查数据规律能力，可展现数据源数据的分布规律，发现异常数据。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olor w:val="auto"/>
              </w:rPr>
              <w:t>★</w:t>
            </w:r>
            <w:r>
              <w:rPr>
                <w:rFonts w:hint="eastAsia" w:cs="宋体" w:asciiTheme="minorEastAsia" w:hAnsiTheme="minorEastAsia" w:eastAsiaTheme="minorEastAsia"/>
                <w:b/>
                <w:bCs/>
                <w:color w:val="auto"/>
                <w:kern w:val="0"/>
                <w:sz w:val="20"/>
                <w:szCs w:val="20"/>
              </w:rPr>
              <w:t>数据血缘</w:t>
            </w:r>
          </w:p>
        </w:tc>
        <w:tc>
          <w:tcPr>
            <w:tcW w:w="4763" w:type="dxa"/>
            <w:gridSpan w:val="2"/>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val="0"/>
                <w:bCs w:val="0"/>
                <w:color w:val="auto"/>
                <w:kern w:val="0"/>
                <w:sz w:val="20"/>
                <w:szCs w:val="20"/>
              </w:rPr>
              <w:t>需具备数据集中数据血缘关系展示功能， 包括但不限于数据血缘更新信息展示、数据血缘关联视图、关联信息展示。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字段设置</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支持字段设置功能，包括但不限于列名称字段设置和表名称字段设置，可在原有字段名称上直接修改名称。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4</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数据分析功能</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数据碰撞</w:t>
            </w:r>
          </w:p>
        </w:tc>
        <w:tc>
          <w:tcPr>
            <w:tcW w:w="4763" w:type="dxa"/>
            <w:gridSpan w:val="2"/>
            <w:shd w:val="clear" w:color="auto" w:fill="auto"/>
            <w:vAlign w:val="center"/>
          </w:tcPr>
          <w:p>
            <w:pPr>
              <w:widowControl/>
              <w:jc w:val="left"/>
              <w:rPr>
                <w:rFonts w:cs="宋体" w:asciiTheme="minorEastAsia" w:hAnsiTheme="minorEastAsia" w:eastAsiaTheme="minorEastAsia"/>
                <w:bCs/>
                <w:color w:val="auto"/>
                <w:kern w:val="0"/>
                <w:sz w:val="20"/>
                <w:szCs w:val="20"/>
              </w:rPr>
            </w:pPr>
            <w:r>
              <w:rPr>
                <w:rFonts w:hint="eastAsia" w:cs="宋体" w:asciiTheme="minorEastAsia" w:hAnsiTheme="minorEastAsia" w:eastAsiaTheme="minorEastAsia"/>
                <w:bCs/>
                <w:color w:val="auto"/>
                <w:kern w:val="0"/>
                <w:sz w:val="20"/>
                <w:szCs w:val="20"/>
              </w:rPr>
              <w:t>支持数据关联碰撞操作，包括数据表的快速选择、拖拽式球形数据集碰撞、碰撞结果预览、碰撞接触操作等。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碰撞条件选择</w:t>
            </w:r>
          </w:p>
        </w:tc>
        <w:tc>
          <w:tcPr>
            <w:tcW w:w="4763" w:type="dxa"/>
            <w:gridSpan w:val="2"/>
            <w:shd w:val="clear" w:color="auto" w:fill="auto"/>
            <w:vAlign w:val="center"/>
          </w:tcPr>
          <w:p>
            <w:pPr>
              <w:widowControl/>
              <w:jc w:val="left"/>
              <w:rPr>
                <w:rFonts w:cs="宋体" w:asciiTheme="minorEastAsia" w:hAnsiTheme="minorEastAsia" w:eastAsiaTheme="minorEastAsia"/>
                <w:bCs/>
                <w:color w:val="auto"/>
                <w:kern w:val="0"/>
                <w:sz w:val="20"/>
                <w:szCs w:val="20"/>
              </w:rPr>
            </w:pPr>
            <w:r>
              <w:rPr>
                <w:rFonts w:hint="eastAsia" w:cs="宋体" w:asciiTheme="minorEastAsia" w:hAnsiTheme="minorEastAsia" w:eastAsiaTheme="minorEastAsia"/>
                <w:bCs/>
                <w:color w:val="auto"/>
                <w:kern w:val="0"/>
                <w:sz w:val="20"/>
                <w:szCs w:val="20"/>
              </w:rPr>
              <w:t>支持碰撞条件自动推荐，根据交通管理场景，自动推荐大概率需要选择的碰撞条件，辅助民警完成数据碰撞，提高分析效率。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碰撞结果展示</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支持碰撞后多种结果选择，包括但不限于并集、交集操作，交集表示取两张表均有的数据，并集表示取两张表的合集。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排序分类统计</w:t>
            </w:r>
          </w:p>
        </w:tc>
        <w:tc>
          <w:tcPr>
            <w:tcW w:w="4763" w:type="dxa"/>
            <w:gridSpan w:val="2"/>
            <w:shd w:val="clear" w:color="auto" w:fill="auto"/>
            <w:vAlign w:val="center"/>
          </w:tcPr>
          <w:p>
            <w:pPr>
              <w:widowControl/>
              <w:jc w:val="left"/>
              <w:rPr>
                <w:rFonts w:cs="宋体" w:asciiTheme="minorEastAsia" w:hAnsiTheme="minorEastAsia" w:eastAsiaTheme="minorEastAsia"/>
                <w:bCs/>
                <w:color w:val="auto"/>
                <w:kern w:val="0"/>
                <w:sz w:val="20"/>
                <w:szCs w:val="20"/>
              </w:rPr>
            </w:pPr>
            <w:r>
              <w:rPr>
                <w:rFonts w:hint="eastAsia" w:cs="宋体" w:asciiTheme="minorEastAsia" w:hAnsiTheme="minorEastAsia" w:eastAsiaTheme="minorEastAsia"/>
                <w:bCs/>
                <w:color w:val="auto"/>
                <w:kern w:val="0"/>
                <w:sz w:val="20"/>
                <w:szCs w:val="20"/>
              </w:rPr>
              <w:t>支持排序分类统计功能，包括但不限于对数据进行升序或降序操作、对某字段进行分类统计、选择分类汇总参数（求和、求平均、去重计数）、字段可在分类和汇总间进行切换等。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条件判断</w:t>
            </w:r>
          </w:p>
        </w:tc>
        <w:tc>
          <w:tcPr>
            <w:tcW w:w="4763" w:type="dxa"/>
            <w:gridSpan w:val="2"/>
            <w:shd w:val="clear" w:color="auto" w:fill="auto"/>
            <w:vAlign w:val="center"/>
          </w:tcPr>
          <w:p>
            <w:pPr>
              <w:widowControl/>
              <w:jc w:val="left"/>
              <w:rPr>
                <w:rFonts w:cs="宋体" w:asciiTheme="minorEastAsia" w:hAnsiTheme="minorEastAsia" w:eastAsiaTheme="minorEastAsia"/>
                <w:bCs/>
                <w:color w:val="auto"/>
                <w:kern w:val="0"/>
                <w:sz w:val="20"/>
                <w:szCs w:val="20"/>
              </w:rPr>
            </w:pPr>
            <w:r>
              <w:rPr>
                <w:rFonts w:hint="eastAsia" w:cs="宋体" w:asciiTheme="minorEastAsia" w:hAnsiTheme="minorEastAsia" w:eastAsiaTheme="minorEastAsia"/>
                <w:bCs/>
                <w:color w:val="auto"/>
                <w:kern w:val="0"/>
                <w:sz w:val="20"/>
                <w:szCs w:val="20"/>
              </w:rPr>
              <w:t>支持条件判断功能，可通过数据条件设置，对不同字段进行标签化，形成相应标签，如根据频率划分中频、高频通行等。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数据集复制删除</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支持数据集复制，支持快捷键复制和点击复制；应支持删除数据集，删除当前数据集等。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公式计算</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支持公式计算功能，包括但不限于数字加减乘除计算、数据精度切换等。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5</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图表报表功能</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图表生成</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支持图表饼图、曲线图、柱状图、柱状堆积图、分组表格、明细表格、折线图、折线+柱状等形式展示数据功能。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仪表盘布局</w:t>
            </w:r>
          </w:p>
        </w:tc>
        <w:tc>
          <w:tcPr>
            <w:tcW w:w="4763" w:type="dxa"/>
            <w:gridSpan w:val="2"/>
            <w:shd w:val="clear" w:color="auto" w:fill="auto"/>
            <w:vAlign w:val="center"/>
          </w:tcPr>
          <w:p>
            <w:pPr>
              <w:widowControl/>
              <w:jc w:val="left"/>
              <w:rPr>
                <w:rFonts w:cs="宋体" w:asciiTheme="minorEastAsia" w:hAnsiTheme="minorEastAsia" w:eastAsiaTheme="minorEastAsia"/>
                <w:bCs/>
                <w:color w:val="auto"/>
                <w:kern w:val="0"/>
                <w:sz w:val="20"/>
                <w:szCs w:val="20"/>
              </w:rPr>
            </w:pPr>
            <w:r>
              <w:rPr>
                <w:rFonts w:hint="eastAsia" w:cs="宋体" w:asciiTheme="minorEastAsia" w:hAnsiTheme="minorEastAsia" w:eastAsiaTheme="minorEastAsia"/>
                <w:bCs/>
                <w:color w:val="auto"/>
                <w:kern w:val="0"/>
                <w:sz w:val="20"/>
                <w:szCs w:val="20"/>
              </w:rPr>
              <w:t>支持仪表盘灵活布置美化，包括但不限于：拖拽报表图表灵活布局、大小自定义、多组件添加、组件间隙自动优化、组件悬浮等。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报表过滤</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支持数据分析结果数据可通过时间、数值、文本条件过滤功能；可通过不同方式让用户在查看仪表板时支持自由筛选，查看不同数据。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图表报表编辑</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支持数据报表行列互转；支持截图、下载数据，图表演示设置；支持对比编辑操作，可进行同比、环比操作。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对比编辑</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支持图表同比、环比操作。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图表自定义</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支持图表自定义设置，包括颜色、标签、元素大小等。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报表导出</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支持将数据报表和图表导出为Excel，存至本地，以为便于日常报告使用，数据的二次加工。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报表分享</w:t>
            </w:r>
          </w:p>
        </w:tc>
        <w:tc>
          <w:tcPr>
            <w:tcW w:w="4763" w:type="dxa"/>
            <w:gridSpan w:val="2"/>
            <w:shd w:val="clear" w:color="auto" w:fill="auto"/>
            <w:vAlign w:val="center"/>
          </w:tcPr>
          <w:p>
            <w:pPr>
              <w:widowControl/>
              <w:jc w:val="left"/>
              <w:rPr>
                <w:rFonts w:cs="宋体" w:asciiTheme="minorEastAsia" w:hAnsiTheme="minorEastAsia" w:eastAsiaTheme="minorEastAsia"/>
                <w:bCs/>
                <w:color w:val="auto"/>
                <w:kern w:val="0"/>
                <w:sz w:val="20"/>
                <w:szCs w:val="20"/>
              </w:rPr>
            </w:pPr>
            <w:r>
              <w:rPr>
                <w:rFonts w:hint="eastAsia" w:cs="宋体" w:asciiTheme="minorEastAsia" w:hAnsiTheme="minorEastAsia" w:eastAsiaTheme="minorEastAsia"/>
                <w:bCs/>
                <w:color w:val="auto"/>
                <w:kern w:val="0"/>
                <w:sz w:val="20"/>
                <w:szCs w:val="20"/>
              </w:rPr>
              <w:t>支持报表分享，可设置分享范围，包括但不限于完全公开、指定用户公开、私密等多种分享模式。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6</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模型共享共建功能</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模型共享</w:t>
            </w:r>
          </w:p>
        </w:tc>
        <w:tc>
          <w:tcPr>
            <w:tcW w:w="4763" w:type="dxa"/>
            <w:gridSpan w:val="2"/>
            <w:shd w:val="clear" w:color="auto" w:fill="auto"/>
            <w:vAlign w:val="center"/>
          </w:tcPr>
          <w:p>
            <w:pPr>
              <w:widowControl/>
              <w:jc w:val="left"/>
              <w:rPr>
                <w:rFonts w:cs="宋体" w:asciiTheme="minorEastAsia" w:hAnsiTheme="minorEastAsia" w:eastAsiaTheme="minorEastAsia"/>
                <w:bCs/>
                <w:color w:val="auto"/>
                <w:kern w:val="0"/>
                <w:sz w:val="20"/>
                <w:szCs w:val="20"/>
              </w:rPr>
            </w:pPr>
            <w:r>
              <w:rPr>
                <w:rFonts w:hint="eastAsia" w:cs="宋体" w:asciiTheme="minorEastAsia" w:hAnsiTheme="minorEastAsia" w:eastAsiaTheme="minorEastAsia"/>
                <w:bCs/>
                <w:color w:val="auto"/>
                <w:kern w:val="0"/>
                <w:sz w:val="20"/>
                <w:szCs w:val="20"/>
              </w:rPr>
              <w:t>需具备模型市场能力，包括但不限于：模型上传、模型归集、模型查看、模型分类、模型筛选、模型排序（热度、更新时间）等能力。支持各业务民警或部门将应用效果较好的模型进行上传，供其他民警或部门查看借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模型共建</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需具备模型协同共建能力，在权限允许的情况下，支持在他人模型基础上进行协同创作；支持灵活自由组建，支持发布组合模型。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68" w:type="dxa"/>
            <w:gridSpan w:val="3"/>
            <w:vMerge w:val="restart"/>
            <w:shd w:val="clear" w:color="auto" w:fill="auto"/>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7</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模型更新设置功能</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定时更新设置</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支持模型定时更新功能，可通过设置定时更新任务，设定后会在指定时间定期自动完成设定的更新任务，更新模型数据，保证模型数据时效性。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前置数据触发更新管理</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需具备模型前置数据触发更新管理功能，当该模型依赖的上游数据更新后，自动触发该模型的更新任务。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手动更新设置</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支持手动更新设置功能，根据业务需要，支持灵活的手动触发更新。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更新任务管理</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支持快速查看当日任务执行情况，包括但不限于任务数总量、执行中任务数量、调度失败数量、任务列表、任务详情等。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restart"/>
            <w:shd w:val="clear" w:color="auto" w:fill="auto"/>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8</w:t>
            </w:r>
          </w:p>
        </w:tc>
        <w:tc>
          <w:tcPr>
            <w:tcW w:w="1306" w:type="dxa"/>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工具权限管理</w:t>
            </w: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用户角色管理</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需具备用户角色管理能力，包括但不限于：创建角色、角色分配、角色名称编辑、与外部账号如**通账号打通。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306" w:type="dxa"/>
            <w:vMerge w:val="continue"/>
            <w:shd w:val="clear" w:color="auto" w:fill="auto"/>
            <w:vAlign w:val="center"/>
          </w:tcPr>
          <w:p>
            <w:pPr>
              <w:widowControl/>
              <w:jc w:val="center"/>
              <w:rPr>
                <w:rFonts w:cs="宋体" w:asciiTheme="minorEastAsia" w:hAnsiTheme="minorEastAsia" w:eastAsiaTheme="minorEastAsia"/>
                <w:color w:val="auto"/>
                <w:kern w:val="0"/>
                <w:sz w:val="20"/>
                <w:szCs w:val="20"/>
              </w:rPr>
            </w:pPr>
          </w:p>
        </w:tc>
        <w:tc>
          <w:tcPr>
            <w:tcW w:w="1417" w:type="dxa"/>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数据源权限管理</w:t>
            </w:r>
          </w:p>
        </w:tc>
        <w:tc>
          <w:tcPr>
            <w:tcW w:w="4763" w:type="dxa"/>
            <w:gridSpan w:val="2"/>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需具备数据源权限管理能力，包括但不限于数据连接管理、系统数据文件夹管理、系统数据表管理等，其中系统数据包管理支持使用、编辑、行列权限设置等。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8" w:type="dxa"/>
            <w:gridSpan w:val="3"/>
            <w:shd w:val="clear" w:color="auto" w:fill="auto"/>
            <w:vAlign w:val="center"/>
          </w:tcPr>
          <w:p>
            <w:pPr>
              <w:widowControl/>
              <w:jc w:val="center"/>
              <w:rPr>
                <w:rFonts w:hint="eastAsia" w:cs="宋体" w:asciiTheme="minorEastAsia" w:hAnsiTheme="minorEastAsia" w:eastAsiaTheme="minorEastAsia"/>
                <w:b/>
                <w:bCs/>
                <w:color w:val="auto"/>
                <w:kern w:val="0"/>
                <w:sz w:val="20"/>
                <w:szCs w:val="20"/>
                <w:lang w:eastAsia="zh-CN"/>
              </w:rPr>
            </w:pPr>
            <w:r>
              <w:rPr>
                <w:rFonts w:hint="eastAsia" w:cs="宋体" w:asciiTheme="minorEastAsia" w:hAnsiTheme="minorEastAsia" w:eastAsiaTheme="minorEastAsia"/>
                <w:b/>
                <w:bCs/>
                <w:color w:val="auto"/>
                <w:kern w:val="0"/>
                <w:sz w:val="20"/>
                <w:szCs w:val="20"/>
                <w:lang w:eastAsia="zh-CN"/>
              </w:rPr>
              <w:t>（五）</w:t>
            </w:r>
          </w:p>
        </w:tc>
        <w:tc>
          <w:tcPr>
            <w:tcW w:w="2723" w:type="dxa"/>
            <w:gridSpan w:val="3"/>
            <w:shd w:val="clear" w:color="auto" w:fill="auto"/>
            <w:vAlign w:val="center"/>
          </w:tcPr>
          <w:p>
            <w:pPr>
              <w:widowControl/>
              <w:tabs>
                <w:tab w:val="left" w:pos="618"/>
              </w:tabs>
              <w:jc w:val="left"/>
              <w:rPr>
                <w:rFonts w:hint="eastAsia" w:cs="宋体" w:asciiTheme="minorEastAsia" w:hAnsiTheme="minorEastAsia" w:eastAsiaTheme="minorEastAsia"/>
                <w:b/>
                <w:bCs/>
                <w:color w:val="auto"/>
                <w:kern w:val="0"/>
                <w:sz w:val="20"/>
                <w:szCs w:val="20"/>
                <w:lang w:eastAsia="zh-CN"/>
              </w:rPr>
            </w:pPr>
            <w:r>
              <w:rPr>
                <w:rFonts w:hint="eastAsia" w:cs="宋体" w:asciiTheme="minorEastAsia" w:hAnsiTheme="minorEastAsia" w:eastAsiaTheme="minorEastAsia"/>
                <w:b/>
                <w:bCs/>
                <w:color w:val="auto"/>
                <w:kern w:val="0"/>
                <w:sz w:val="20"/>
                <w:szCs w:val="20"/>
                <w:lang w:eastAsia="zh-CN"/>
              </w:rPr>
              <w:tab/>
            </w:r>
            <w:r>
              <w:rPr>
                <w:rFonts w:hint="eastAsia" w:cs="宋体" w:asciiTheme="minorEastAsia" w:hAnsiTheme="minorEastAsia" w:eastAsiaTheme="minorEastAsia"/>
                <w:b/>
                <w:bCs/>
                <w:color w:val="auto"/>
                <w:kern w:val="0"/>
                <w:sz w:val="20"/>
                <w:szCs w:val="20"/>
                <w:lang w:eastAsia="zh-CN"/>
              </w:rPr>
              <w:t>高速数据赋能实战</w:t>
            </w:r>
          </w:p>
        </w:tc>
        <w:tc>
          <w:tcPr>
            <w:tcW w:w="4763" w:type="dxa"/>
            <w:gridSpan w:val="2"/>
            <w:shd w:val="clear" w:color="auto" w:fill="auto"/>
            <w:vAlign w:val="center"/>
          </w:tcPr>
          <w:p>
            <w:pPr>
              <w:widowControl/>
              <w:jc w:val="left"/>
              <w:rPr>
                <w:rFonts w:hint="eastAsia" w:cs="宋体" w:asciiTheme="minorEastAsia" w:hAnsiTheme="minorEastAsia" w:eastAsiaTheme="minorEastAsia"/>
                <w:b/>
                <w:bCs/>
                <w:color w:val="auto"/>
                <w:kern w:val="0"/>
                <w:sz w:val="20"/>
                <w:szCs w:val="20"/>
              </w:rPr>
            </w:pPr>
          </w:p>
        </w:tc>
      </w:tr>
      <w:bookmarkEnd w:id="46"/>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8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3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数据同步抽取</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本单位数据</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卡口信息数据、过车数据、前端设备采集数据、互联网数据等。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120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省交管局数据</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①省局自有：原高总**通数据、国省干道交界卡口数据、全省卡口数据、全省六合一(车驾管、事故数据、违法数据等)、重点车辆数据等。</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②省局外部交换：电子运单、两客一危GPS数据、企业挂靠数据等。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8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其他部门数据</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根据实际需求确定的高速业主、交通运输局及公安市局数据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120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数据时效</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数据时效</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提供数据同步服务，设置同步周期，支持全量同步和增量同步等多种方式，对于新接入数据库，通过数据全量同步方式，实现数据的全量同步，对于已接入新增数据，通过增量数据同步方式，并定期做数据校验，保障数据的时效性和有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168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数据质量</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数据质量</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数据进行统一格式的转换处理和归一化处理，解决数据完整性、有效性和合法性等问题。实现不同来源的数据，进行统一格式的转换，维度整合和数据归集，对异常数据、不完整数据、冗余数据和无效数据进行过滤，形成对于系统最有效的数据存储格式，提升数据价值密度，为后续数据的存储、入库、索引、检索和挖掘做好准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6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3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数据主题库</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过车记录表</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根据过车库的一次识别过车表、二次识别过车表、卡口设备信息表以及字典表清洗获得，主要包含过车车辆信息、设备信息、位置信息、数据录入更新等相关信息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8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高速违法信息表</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高速违法信息表整合了现场、非现场违法信息，可以针对高速违法信息表进行高速违法相关的统计和分析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8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事故信息记录表</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高速事故信息表整合了来源于12123及**通两种事故数据，可用于进行事故数据方面的统计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72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检查登记记录表</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检查登记表整合了车辆状态、检查时间、使用性质、交通方式及驾驶员信息，记录车辆行驶信息，包括始发地目的地等，可统计车辆检查情况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8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卡口设备基础信息表</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卡口设备基础信息表主要包含设备基础信息表、所属信息、位置信息、数据录入更新等相关信息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8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电子运单记录表</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电子运单表整合了企业信息、载货地址、卸货地址、驾驶员和押运员信息以及托运单号、货物信息等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72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机动车信息表</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机动车信息表包含了机动车所有人信息以及车辆详细信息，可结合其他数据表碰撞关联分析，得到目标车辆的所有人信息及联系方式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8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警员基础信息表</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警员基础信息表主要包含警员基础信息表、部门信息、联系方式、数据录入更新等相关信息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8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部门信息表</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部门信息表主要包含部门基础信息表、联系信息、所属信息、编制信息、数据录入更新等相关信息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72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简易程序处罚记录表</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简易程序处罚记录表主要包含处罚基础信息、车辆信息、当事人信息、违法地点信息、违法行为地点信息、违法处理信息、数据录入更新等相关信息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6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一般程序处罚记录表</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一般程序处罚记录表（强制措施）主要包含强制措施基础信息、车辆信息、当事人信息、违法地点信息、执勤执法信息、强制措施信息、数据录入更新等相关信息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6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3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业务模型库</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卡口流量类模型</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含出入台高速总流量模型、重点卡口过车流量模型、收费站流量统计模型、高频车统计模型、卡口异常设备模型、重点车辆出入台统计模型和断面流量及枢纽流量统计模型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5" w:type="dxa"/>
          <w:trHeight w:val="72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秩序管理类模型</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含疲劳驾驶嫌疑车辆统计模型、重点车辆违法查询统计模型、重点违法行为统计模型、非现场违法已处理情况统计模型和、非现场违法未处理情况统计模型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72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执法监督类模型</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含台州高速设备非现场抓拍量统计模型、非现场采集不规范-同车同设备违法异常采集模型和虚增工作量嫌疑-民警连续开具简易处罚决定书模型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8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事故对策类模型</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含简易/一般事故统计模型、高速伤亡人数统计模型和事故成因分析模型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8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匝道测速类模型</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含匝道测速超速统计及排名模型、匝道超速卡口排名统计模型和匝道超速车辆占比模型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8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勤务管理类模型</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含12122接警量统计模型和**通高速支队日工作量模型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144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3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对象标签库</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标签指标设计及实现</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于台州高速的客观现状，结合创新交通管理模式，充分利用科技手段，开展基于多源数据的重点对象分析研判业务，实现高速重点对象标签化管理，有效提升在隐患车辆、企业、路段风险研判与违法打击方面的能力，结合历史经验梳理出事实标签、模型标签和预策标签共计34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72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标签数据库设计及实现</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为保证数据的可维护性和前后端一致性，将标签库数据在数据库中划分为三个表，分别为：标签表、标签字典表、色码表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5" w:type="dxa"/>
          <w:trHeight w:val="72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标签赋值赋色规则设计及实现</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设计并实现标签库四色码业务规则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60" w:hRule="atLeast"/>
        </w:trPr>
        <w:tc>
          <w:tcPr>
            <w:tcW w:w="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数据开放</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数据开放</w:t>
            </w:r>
          </w:p>
        </w:tc>
        <w:tc>
          <w:tcPr>
            <w:tcW w:w="4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面向上层应用或外部单位数据需求，提供主题数据、标签数据、模型数据共享开放，生成API接口文档，协助客户实现数据的开放交换，提高跨警种跨部门的业务协同和资源共享能力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0" w:hRule="atLeast"/>
        </w:trPr>
        <w:tc>
          <w:tcPr>
            <w:tcW w:w="819" w:type="dxa"/>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w:t>
            </w:r>
            <w:r>
              <w:rPr>
                <w:rFonts w:hint="eastAsia" w:ascii="宋体" w:hAnsi="宋体" w:cs="宋体"/>
                <w:b/>
                <w:bCs/>
                <w:color w:val="auto"/>
                <w:kern w:val="0"/>
                <w:sz w:val="20"/>
                <w:szCs w:val="20"/>
                <w:lang w:eastAsia="zh-CN"/>
              </w:rPr>
              <w:t>六</w:t>
            </w:r>
            <w:r>
              <w:rPr>
                <w:rFonts w:hint="eastAsia" w:ascii="宋体" w:hAnsi="宋体" w:cs="宋体"/>
                <w:b/>
                <w:bCs/>
                <w:color w:val="auto"/>
                <w:kern w:val="0"/>
                <w:sz w:val="20"/>
                <w:szCs w:val="20"/>
              </w:rPr>
              <w:t>）</w:t>
            </w:r>
          </w:p>
        </w:tc>
        <w:tc>
          <w:tcPr>
            <w:tcW w:w="2768" w:type="dxa"/>
            <w:gridSpan w:val="4"/>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性能和建设要求</w:t>
            </w:r>
          </w:p>
        </w:tc>
        <w:tc>
          <w:tcPr>
            <w:tcW w:w="4762" w:type="dxa"/>
            <w:gridSpan w:val="2"/>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0" w:hRule="atLeast"/>
        </w:trPr>
        <w:tc>
          <w:tcPr>
            <w:tcW w:w="819" w:type="dxa"/>
            <w:shd w:val="clear" w:color="auto" w:fill="auto"/>
            <w:noWrap/>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1</w:t>
            </w:r>
          </w:p>
        </w:tc>
        <w:tc>
          <w:tcPr>
            <w:tcW w:w="2768" w:type="dxa"/>
            <w:gridSpan w:val="4"/>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★高可用要求</w:t>
            </w:r>
          </w:p>
        </w:tc>
        <w:tc>
          <w:tcPr>
            <w:tcW w:w="4762" w:type="dxa"/>
            <w:gridSpan w:val="2"/>
            <w:shd w:val="clear" w:color="auto" w:fill="auto"/>
            <w:vAlign w:val="center"/>
          </w:tcPr>
          <w:p>
            <w:pPr>
              <w:widowControl/>
              <w:jc w:val="left"/>
              <w:rPr>
                <w:rFonts w:ascii="宋体" w:hAnsi="宋体" w:cs="宋体"/>
                <w:b/>
                <w:bCs/>
                <w:color w:val="auto"/>
                <w:kern w:val="0"/>
                <w:sz w:val="20"/>
                <w:szCs w:val="20"/>
              </w:rPr>
            </w:pPr>
            <w:r>
              <w:rPr>
                <w:rFonts w:hint="eastAsia" w:cs="宋体" w:asciiTheme="minorEastAsia" w:hAnsiTheme="minorEastAsia" w:eastAsiaTheme="minorEastAsia"/>
                <w:b/>
                <w:bCs/>
                <w:color w:val="auto"/>
                <w:kern w:val="0"/>
                <w:sz w:val="20"/>
                <w:szCs w:val="20"/>
              </w:rPr>
              <w:t>任务管理</w:t>
            </w:r>
            <w:r>
              <w:rPr>
                <w:rFonts w:hint="eastAsia" w:ascii="宋体" w:hAnsi="宋体" w:cs="宋体"/>
                <w:b/>
                <w:bCs/>
                <w:color w:val="auto"/>
                <w:kern w:val="0"/>
                <w:sz w:val="20"/>
                <w:szCs w:val="20"/>
              </w:rPr>
              <w:t>应支持分布式部署、高可用设计。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899" w:hRule="atLeast"/>
        </w:trPr>
        <w:tc>
          <w:tcPr>
            <w:tcW w:w="819" w:type="dxa"/>
            <w:shd w:val="clear" w:color="auto" w:fill="auto"/>
            <w:noWrap/>
            <w:vAlign w:val="center"/>
          </w:tcPr>
          <w:p>
            <w:pPr>
              <w:widowControl/>
              <w:jc w:val="center"/>
              <w:rPr>
                <w:rFonts w:ascii="仿宋" w:hAnsi="仿宋" w:eastAsia="仿宋" w:cs="宋体"/>
                <w:b/>
                <w:bCs/>
                <w:color w:val="auto"/>
                <w:kern w:val="0"/>
                <w:sz w:val="20"/>
                <w:szCs w:val="20"/>
              </w:rPr>
            </w:pPr>
            <w:r>
              <w:rPr>
                <w:rFonts w:hint="eastAsia" w:ascii="仿宋" w:hAnsi="仿宋" w:eastAsia="仿宋" w:cs="宋体"/>
                <w:b/>
                <w:bCs/>
                <w:color w:val="auto"/>
                <w:kern w:val="0"/>
                <w:sz w:val="20"/>
                <w:szCs w:val="20"/>
              </w:rPr>
              <w:t>2</w:t>
            </w:r>
          </w:p>
        </w:tc>
        <w:tc>
          <w:tcPr>
            <w:tcW w:w="2768" w:type="dxa"/>
            <w:gridSpan w:val="4"/>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★双网双平台建设要求</w:t>
            </w:r>
          </w:p>
        </w:tc>
        <w:tc>
          <w:tcPr>
            <w:tcW w:w="4762" w:type="dxa"/>
            <w:gridSpan w:val="2"/>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本项目</w:t>
            </w:r>
            <w:r>
              <w:rPr>
                <w:rFonts w:hint="eastAsia" w:ascii="宋体" w:hAnsi="宋体" w:cs="宋体"/>
                <w:b/>
                <w:bCs/>
                <w:color w:val="auto"/>
                <w:kern w:val="0"/>
                <w:sz w:val="20"/>
                <w:szCs w:val="20"/>
                <w:lang w:val="en-US" w:eastAsia="zh-CN"/>
              </w:rPr>
              <w:t>在</w:t>
            </w:r>
            <w:r>
              <w:rPr>
                <w:rFonts w:hint="eastAsia" w:ascii="宋体" w:hAnsi="宋体" w:cs="宋体"/>
                <w:b/>
                <w:bCs/>
                <w:color w:val="auto"/>
                <w:kern w:val="0"/>
                <w:sz w:val="20"/>
                <w:szCs w:val="20"/>
              </w:rPr>
              <w:t>视频专网和公安信息网，应分别建设</w:t>
            </w:r>
            <w:r>
              <w:rPr>
                <w:rFonts w:hint="eastAsia" w:ascii="宋体" w:hAnsi="宋体" w:cs="宋体"/>
                <w:b/>
                <w:bCs/>
                <w:color w:val="auto"/>
                <w:kern w:val="0"/>
                <w:sz w:val="20"/>
                <w:szCs w:val="20"/>
                <w:lang w:eastAsia="zh-CN"/>
              </w:rPr>
              <w:t>赋能</w:t>
            </w:r>
            <w:r>
              <w:rPr>
                <w:rFonts w:hint="eastAsia" w:ascii="宋体" w:hAnsi="宋体" w:cs="宋体"/>
                <w:b/>
                <w:bCs/>
                <w:color w:val="auto"/>
                <w:kern w:val="0"/>
                <w:sz w:val="20"/>
                <w:szCs w:val="20"/>
              </w:rPr>
              <w:t>中心</w:t>
            </w:r>
            <w:r>
              <w:rPr>
                <w:rFonts w:hint="eastAsia" w:ascii="宋体" w:hAnsi="宋体" w:cs="宋体"/>
                <w:b/>
                <w:bCs/>
                <w:color w:val="auto"/>
                <w:kern w:val="0"/>
                <w:sz w:val="20"/>
                <w:szCs w:val="20"/>
                <w:lang w:eastAsia="zh-CN"/>
              </w:rPr>
              <w:t>，根据不同网络上的不同模型分别进行管理</w:t>
            </w:r>
            <w:r>
              <w:rPr>
                <w:rFonts w:hint="eastAsia" w:ascii="宋体" w:hAnsi="宋体" w:cs="宋体"/>
                <w:b/>
                <w:bCs/>
                <w:color w:val="auto"/>
                <w:kern w:val="0"/>
                <w:sz w:val="20"/>
                <w:szCs w:val="20"/>
              </w:rPr>
              <w:t>。</w:t>
            </w:r>
          </w:p>
        </w:tc>
      </w:tr>
    </w:tbl>
    <w:p>
      <w:pPr>
        <w:pStyle w:val="10"/>
        <w:numPr>
          <w:ilvl w:val="3"/>
          <w:numId w:val="2"/>
        </w:numPr>
        <w:ind w:left="864" w:leftChars="0" w:hanging="864" w:firstLineChars="0"/>
        <w:rPr>
          <w:rFonts w:hint="eastAsia" w:ascii="黑体" w:hAnsi="黑体" w:eastAsia="黑体" w:cs="黑体"/>
          <w:b/>
          <w:bCs/>
          <w:sz w:val="28"/>
          <w:szCs w:val="28"/>
        </w:rPr>
      </w:pPr>
      <w:r>
        <w:rPr>
          <w:rFonts w:hint="eastAsia" w:ascii="黑体" w:hAnsi="黑体" w:eastAsia="黑体" w:cs="黑体"/>
          <w:b/>
          <w:bCs/>
          <w:sz w:val="28"/>
          <w:szCs w:val="28"/>
          <w:lang w:val="en-US" w:eastAsia="zh-CN"/>
        </w:rPr>
        <w:t>协同应用体系</w:t>
      </w:r>
    </w:p>
    <w:bookmarkEnd w:id="40"/>
    <w:p>
      <w:pPr>
        <w:keepNext/>
        <w:keepLines/>
        <w:numPr>
          <w:ilvl w:val="0"/>
          <w:numId w:val="0"/>
        </w:numPr>
        <w:tabs>
          <w:tab w:val="left" w:pos="142"/>
          <w:tab w:val="left" w:pos="360"/>
        </w:tabs>
        <w:adjustRightInd w:val="0"/>
        <w:spacing w:line="360" w:lineRule="auto"/>
        <w:ind w:leftChars="0"/>
        <w:outlineLvl w:val="3"/>
        <w:rPr>
          <w:rFonts w:ascii="黑体" w:hAnsi="黑体" w:eastAsia="黑体" w:cs="仿宋"/>
          <w:b/>
          <w:bCs/>
          <w:color w:val="auto"/>
          <w:sz w:val="28"/>
          <w:szCs w:val="28"/>
        </w:rPr>
        <w:sectPr>
          <w:headerReference r:id="rId5" w:type="default"/>
          <w:footerReference r:id="rId6" w:type="default"/>
          <w:type w:val="continuous"/>
          <w:pgSz w:w="11906" w:h="16838"/>
          <w:pgMar w:top="1440" w:right="1797" w:bottom="1440" w:left="1797" w:header="851" w:footer="992" w:gutter="0"/>
          <w:cols w:space="425" w:num="1"/>
          <w:docGrid w:type="linesAndChars" w:linePitch="312" w:charSpace="0"/>
        </w:sectPr>
      </w:pPr>
    </w:p>
    <w:p>
      <w:pPr>
        <w:pStyle w:val="6"/>
        <w:rPr>
          <w:color w:val="auto"/>
        </w:rPr>
      </w:pPr>
      <w:r>
        <w:rPr>
          <w:rFonts w:hint="eastAsia"/>
          <w:color w:val="auto"/>
        </w:rPr>
        <w:t>应用融合管理模块</w:t>
      </w:r>
    </w:p>
    <w:tbl>
      <w:tblPr>
        <w:tblStyle w:val="22"/>
        <w:tblW w:w="5000" w:type="pct"/>
        <w:tblInd w:w="0" w:type="dxa"/>
        <w:tblLayout w:type="autofit"/>
        <w:tblCellMar>
          <w:top w:w="0" w:type="dxa"/>
          <w:left w:w="108" w:type="dxa"/>
          <w:bottom w:w="0" w:type="dxa"/>
          <w:right w:w="108" w:type="dxa"/>
        </w:tblCellMar>
      </w:tblPr>
      <w:tblGrid>
        <w:gridCol w:w="722"/>
        <w:gridCol w:w="1165"/>
        <w:gridCol w:w="1155"/>
        <w:gridCol w:w="5486"/>
      </w:tblGrid>
      <w:tr>
        <w:tblPrEx>
          <w:tblCellMar>
            <w:top w:w="0" w:type="dxa"/>
            <w:left w:w="108" w:type="dxa"/>
            <w:bottom w:w="0" w:type="dxa"/>
            <w:right w:w="108" w:type="dxa"/>
          </w:tblCellMar>
        </w:tblPrEx>
        <w:trPr>
          <w:trHeight w:val="20" w:hRule="atLeast"/>
        </w:trPr>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序号</w:t>
            </w:r>
          </w:p>
        </w:tc>
        <w:tc>
          <w:tcPr>
            <w:tcW w:w="68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功能模块</w:t>
            </w:r>
          </w:p>
        </w:tc>
        <w:tc>
          <w:tcPr>
            <w:tcW w:w="6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子模块</w:t>
            </w:r>
          </w:p>
        </w:tc>
        <w:tc>
          <w:tcPr>
            <w:tcW w:w="32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技术要求</w:t>
            </w:r>
          </w:p>
        </w:tc>
      </w:tr>
      <w:tr>
        <w:tblPrEx>
          <w:tblCellMar>
            <w:top w:w="0" w:type="dxa"/>
            <w:left w:w="108" w:type="dxa"/>
            <w:bottom w:w="0" w:type="dxa"/>
            <w:right w:w="108" w:type="dxa"/>
          </w:tblCellMar>
        </w:tblPrEx>
        <w:trPr>
          <w:trHeight w:val="20" w:hRule="atLeast"/>
        </w:trPr>
        <w:tc>
          <w:tcPr>
            <w:tcW w:w="423" w:type="pct"/>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auto"/>
                <w:kern w:val="0"/>
                <w:sz w:val="20"/>
                <w:szCs w:val="20"/>
              </w:rPr>
            </w:pPr>
            <w:r>
              <w:rPr>
                <w:rFonts w:ascii="宋体" w:hAnsi="宋体" w:cs="宋体"/>
                <w:color w:val="auto"/>
                <w:kern w:val="0"/>
                <w:sz w:val="20"/>
                <w:szCs w:val="20"/>
              </w:rPr>
              <w:t>1</w:t>
            </w:r>
          </w:p>
        </w:tc>
        <w:tc>
          <w:tcPr>
            <w:tcW w:w="683"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应用融合子模块</w:t>
            </w: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我的桌面</w:t>
            </w:r>
          </w:p>
        </w:tc>
        <w:tc>
          <w:tcPr>
            <w:tcW w:w="321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lang w:eastAsia="zh-CN"/>
              </w:rPr>
            </w:pPr>
            <w:r>
              <w:rPr>
                <w:rFonts w:hint="eastAsia" w:ascii="宋体" w:hAnsi="宋体" w:cs="宋体"/>
                <w:color w:val="auto"/>
                <w:kern w:val="0"/>
                <w:sz w:val="20"/>
                <w:szCs w:val="20"/>
              </w:rPr>
              <w:t>按照用户权限体系构建用户个性化登录桌面，并且支持用户个性化设置，需支持按照应用类型分组</w:t>
            </w:r>
            <w:r>
              <w:rPr>
                <w:rFonts w:hint="eastAsia" w:ascii="宋体" w:hAnsi="宋体" w:cs="宋体"/>
                <w:color w:val="auto"/>
                <w:kern w:val="0"/>
                <w:sz w:val="20"/>
                <w:szCs w:val="20"/>
                <w:lang w:eastAsia="zh-CN"/>
              </w:rPr>
              <w:t>。</w:t>
            </w:r>
          </w:p>
        </w:tc>
      </w:tr>
      <w:tr>
        <w:tblPrEx>
          <w:tblCellMar>
            <w:top w:w="0" w:type="dxa"/>
            <w:left w:w="108" w:type="dxa"/>
            <w:bottom w:w="0" w:type="dxa"/>
            <w:right w:w="108" w:type="dxa"/>
          </w:tblCellMar>
        </w:tblPrEx>
        <w:trPr>
          <w:trHeight w:val="20" w:hRule="atLeast"/>
        </w:trPr>
        <w:tc>
          <w:tcPr>
            <w:tcW w:w="423" w:type="pct"/>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0"/>
                <w:szCs w:val="20"/>
              </w:rPr>
            </w:pPr>
          </w:p>
        </w:tc>
        <w:tc>
          <w:tcPr>
            <w:tcW w:w="683" w:type="pct"/>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应用市场</w:t>
            </w:r>
          </w:p>
        </w:tc>
        <w:tc>
          <w:tcPr>
            <w:tcW w:w="321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lang w:eastAsia="zh-CN"/>
              </w:rPr>
            </w:pPr>
            <w:r>
              <w:rPr>
                <w:rFonts w:hint="eastAsia" w:ascii="宋体" w:hAnsi="宋体" w:cs="宋体"/>
                <w:color w:val="auto"/>
                <w:kern w:val="0"/>
                <w:sz w:val="20"/>
                <w:szCs w:val="20"/>
              </w:rPr>
              <w:t>在应用市场中将各种应用类型按照部-省-市-县部门层级分类显示，并按照不同用户权限显示不用应用。可支持将应用添加至我的桌面</w:t>
            </w:r>
            <w:r>
              <w:rPr>
                <w:rFonts w:hint="eastAsia" w:ascii="宋体" w:hAnsi="宋体" w:cs="宋体"/>
                <w:color w:val="auto"/>
                <w:kern w:val="0"/>
                <w:sz w:val="20"/>
                <w:szCs w:val="20"/>
                <w:lang w:eastAsia="zh-CN"/>
              </w:rPr>
              <w:t>。</w:t>
            </w:r>
          </w:p>
          <w:p>
            <w:pPr>
              <w:widowControl/>
              <w:jc w:val="left"/>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具有权限的操作人员支持提交应用上架申请，申请的应用审批完成后可对全局用户发布展示。</w:t>
            </w:r>
          </w:p>
        </w:tc>
      </w:tr>
      <w:tr>
        <w:tblPrEx>
          <w:tblCellMar>
            <w:top w:w="0" w:type="dxa"/>
            <w:left w:w="108" w:type="dxa"/>
            <w:bottom w:w="0" w:type="dxa"/>
            <w:right w:w="108" w:type="dxa"/>
          </w:tblCellMar>
        </w:tblPrEx>
        <w:trPr>
          <w:trHeight w:val="20" w:hRule="atLeast"/>
        </w:trPr>
        <w:tc>
          <w:tcPr>
            <w:tcW w:w="423" w:type="pct"/>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0"/>
                <w:szCs w:val="20"/>
              </w:rPr>
            </w:pPr>
          </w:p>
        </w:tc>
        <w:tc>
          <w:tcPr>
            <w:tcW w:w="683" w:type="pct"/>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rPr>
              <w:t>统一认证管理</w:t>
            </w:r>
          </w:p>
        </w:tc>
        <w:tc>
          <w:tcPr>
            <w:tcW w:w="321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同一用户访问不同应用中的受保护资源，只需要登录一次，即通过一个应用中的安全验证后，再访问其他应用中的受保护资源时，不再需要重新登录验证。单点登录设计，支持用户只需要登录一次，即可访问所有相互信任的应用系统。登录方式支持证书登录、手机验证码登录、手势登录（大屏展示时使用）。</w:t>
            </w:r>
          </w:p>
          <w:p>
            <w:pPr>
              <w:widowControl/>
              <w:jc w:val="left"/>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制定相应的应用规范及上架规范，实现与市县级以下新建设系统及应用的统一认证。部省级系统只以超链接的方式接入到门户。</w:t>
            </w:r>
          </w:p>
        </w:tc>
      </w:tr>
      <w:tr>
        <w:tblPrEx>
          <w:tblCellMar>
            <w:top w:w="0" w:type="dxa"/>
            <w:left w:w="108" w:type="dxa"/>
            <w:bottom w:w="0" w:type="dxa"/>
            <w:right w:w="108" w:type="dxa"/>
          </w:tblCellMar>
        </w:tblPrEx>
        <w:trPr>
          <w:trHeight w:val="20" w:hRule="atLeast"/>
        </w:trPr>
        <w:tc>
          <w:tcPr>
            <w:tcW w:w="423" w:type="pct"/>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0"/>
                <w:szCs w:val="20"/>
              </w:rPr>
            </w:pPr>
          </w:p>
        </w:tc>
        <w:tc>
          <w:tcPr>
            <w:tcW w:w="683"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统一门户集成</w:t>
            </w:r>
          </w:p>
        </w:tc>
        <w:tc>
          <w:tcPr>
            <w:tcW w:w="321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统一门户以单点登录为核心，将本标的应用模块及现网应用模块进行业务功能统一门户集成，形成统一的工作平台，避免民警面对多个系统，在不同的工作界面之间反复切换，工作效率不高等问题，实现一次登录，千人千面。</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Logo及系统名称可以自定义，系统背景可以自定义。</w:t>
            </w:r>
          </w:p>
        </w:tc>
      </w:tr>
      <w:tr>
        <w:tblPrEx>
          <w:tblCellMar>
            <w:top w:w="0" w:type="dxa"/>
            <w:left w:w="108" w:type="dxa"/>
            <w:bottom w:w="0" w:type="dxa"/>
            <w:right w:w="108" w:type="dxa"/>
          </w:tblCellMar>
        </w:tblPrEx>
        <w:trPr>
          <w:trHeight w:val="20" w:hRule="atLeast"/>
        </w:trPr>
        <w:tc>
          <w:tcPr>
            <w:tcW w:w="423" w:type="pct"/>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0"/>
                <w:szCs w:val="20"/>
              </w:rPr>
            </w:pPr>
          </w:p>
        </w:tc>
        <w:tc>
          <w:tcPr>
            <w:tcW w:w="683"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统一用户管理</w:t>
            </w:r>
          </w:p>
        </w:tc>
        <w:tc>
          <w:tcPr>
            <w:tcW w:w="321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对接“浙政钉”用户体系，同时结合可提供的第三方平台用户体系（政法委四平台、省厅警综、公安交通管理综合应用平台等），基于交警业务系统的用户信息、组织信息，建立支持台州公安应用的用户体系，支持在本模块中新增用户和组织</w:t>
            </w:r>
            <w:r>
              <w:rPr>
                <w:rFonts w:hint="eastAsia" w:ascii="宋体" w:hAnsi="宋体" w:cs="宋体"/>
                <w:color w:val="auto"/>
                <w:kern w:val="0"/>
                <w:sz w:val="20"/>
                <w:szCs w:val="20"/>
                <w:lang w:eastAsia="zh-CN"/>
              </w:rPr>
              <w:t>，在门户中对用户进行统一管理。</w:t>
            </w:r>
            <w:r>
              <w:rPr>
                <w:rFonts w:hint="eastAsia" w:ascii="宋体" w:hAnsi="宋体" w:cs="宋体"/>
                <w:color w:val="auto"/>
                <w:kern w:val="0"/>
                <w:sz w:val="20"/>
                <w:szCs w:val="20"/>
              </w:rPr>
              <w:t>用户体系要和新一代公安信息网的安全访问平台对接，实现基于安全访问平台的应用访问。</w:t>
            </w:r>
          </w:p>
        </w:tc>
      </w:tr>
      <w:tr>
        <w:tblPrEx>
          <w:tblCellMar>
            <w:top w:w="0" w:type="dxa"/>
            <w:left w:w="108" w:type="dxa"/>
            <w:bottom w:w="0" w:type="dxa"/>
            <w:right w:w="108" w:type="dxa"/>
          </w:tblCellMar>
        </w:tblPrEx>
        <w:trPr>
          <w:trHeight w:val="20" w:hRule="atLeast"/>
        </w:trPr>
        <w:tc>
          <w:tcPr>
            <w:tcW w:w="423" w:type="pct"/>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0"/>
                <w:szCs w:val="20"/>
              </w:rPr>
            </w:pPr>
          </w:p>
        </w:tc>
        <w:tc>
          <w:tcPr>
            <w:tcW w:w="683"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统一授权管理</w:t>
            </w:r>
          </w:p>
        </w:tc>
        <w:tc>
          <w:tcPr>
            <w:tcW w:w="321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支持应用功能管理，对用户访问资源的请求开展鉴权，并开展权限的管理。</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对于市县级以下新建高系统的权限管理，统一由门户进行管理。</w:t>
            </w:r>
          </w:p>
        </w:tc>
      </w:tr>
      <w:tr>
        <w:tblPrEx>
          <w:tblCellMar>
            <w:top w:w="0" w:type="dxa"/>
            <w:left w:w="108" w:type="dxa"/>
            <w:bottom w:w="0" w:type="dxa"/>
            <w:right w:w="108" w:type="dxa"/>
          </w:tblCellMar>
        </w:tblPrEx>
        <w:trPr>
          <w:trHeight w:val="20" w:hRule="atLeast"/>
        </w:trPr>
        <w:tc>
          <w:tcPr>
            <w:tcW w:w="423"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p>
        </w:tc>
        <w:tc>
          <w:tcPr>
            <w:tcW w:w="683"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统一接入管理</w:t>
            </w:r>
          </w:p>
        </w:tc>
        <w:tc>
          <w:tcPr>
            <w:tcW w:w="321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本模块需设计应用融合技术规范和标准，应用融合提供统一接入规范，包括接入标准、统一UI规范、消息推送标准，作为应用模块统一接入的规范依据，本期接入新建应用。各应用模块按照标准要求接入，确保各大业务应用能高效运行，以支撑各单位部门日常作业所需。</w:t>
            </w:r>
          </w:p>
        </w:tc>
      </w:tr>
      <w:tr>
        <w:tblPrEx>
          <w:tblCellMar>
            <w:top w:w="0" w:type="dxa"/>
            <w:left w:w="108" w:type="dxa"/>
            <w:bottom w:w="0" w:type="dxa"/>
            <w:right w:w="108" w:type="dxa"/>
          </w:tblCellMar>
        </w:tblPrEx>
        <w:trPr>
          <w:trHeight w:val="20" w:hRule="atLeast"/>
        </w:trPr>
        <w:tc>
          <w:tcPr>
            <w:tcW w:w="423" w:type="pct"/>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auto"/>
                <w:kern w:val="0"/>
                <w:sz w:val="20"/>
                <w:szCs w:val="20"/>
              </w:rPr>
            </w:pPr>
            <w:r>
              <w:rPr>
                <w:rFonts w:ascii="宋体" w:hAnsi="宋体" w:cs="宋体"/>
                <w:color w:val="auto"/>
                <w:kern w:val="0"/>
                <w:sz w:val="20"/>
                <w:szCs w:val="20"/>
              </w:rPr>
              <w:t>2</w:t>
            </w:r>
          </w:p>
        </w:tc>
        <w:tc>
          <w:tcPr>
            <w:tcW w:w="683"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通用能力子模块</w:t>
            </w: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微服务功能</w:t>
            </w:r>
          </w:p>
        </w:tc>
        <w:tc>
          <w:tcPr>
            <w:tcW w:w="321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微服务体系能力包括注册功能、配置功能、应用网关、微服务监控管理四部分。</w:t>
            </w:r>
          </w:p>
        </w:tc>
      </w:tr>
      <w:tr>
        <w:tblPrEx>
          <w:tblCellMar>
            <w:top w:w="0" w:type="dxa"/>
            <w:left w:w="108" w:type="dxa"/>
            <w:bottom w:w="0" w:type="dxa"/>
            <w:right w:w="108" w:type="dxa"/>
          </w:tblCellMar>
        </w:tblPrEx>
        <w:trPr>
          <w:trHeight w:val="20" w:hRule="atLeast"/>
        </w:trPr>
        <w:tc>
          <w:tcPr>
            <w:tcW w:w="423" w:type="pct"/>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0"/>
                <w:szCs w:val="20"/>
              </w:rPr>
            </w:pPr>
          </w:p>
        </w:tc>
        <w:tc>
          <w:tcPr>
            <w:tcW w:w="683"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鉴权功能</w:t>
            </w:r>
          </w:p>
        </w:tc>
        <w:tc>
          <w:tcPr>
            <w:tcW w:w="321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基于令牌安全，使用oauth标准嵌入网关，支持所有服务、登录、访问、资源等的鉴权处理。</w:t>
            </w:r>
          </w:p>
        </w:tc>
      </w:tr>
      <w:tr>
        <w:tblPrEx>
          <w:tblCellMar>
            <w:top w:w="0" w:type="dxa"/>
            <w:left w:w="108" w:type="dxa"/>
            <w:bottom w:w="0" w:type="dxa"/>
            <w:right w:w="108" w:type="dxa"/>
          </w:tblCellMar>
        </w:tblPrEx>
        <w:trPr>
          <w:trHeight w:val="20" w:hRule="atLeast"/>
        </w:trPr>
        <w:tc>
          <w:tcPr>
            <w:tcW w:w="423" w:type="pct"/>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0"/>
                <w:szCs w:val="20"/>
              </w:rPr>
            </w:pPr>
          </w:p>
        </w:tc>
        <w:tc>
          <w:tcPr>
            <w:tcW w:w="683"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日志功能</w:t>
            </w:r>
          </w:p>
        </w:tc>
        <w:tc>
          <w:tcPr>
            <w:tcW w:w="321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构建统一的日志采集和管理平台。针对各系统的系统日志和能力调用日志进行集中的管理和分析，系统可以对所有的系统操作记录日志、保留痕迹。民警可查询相关系统操作日志。</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对于市县级以下新建设系统的日志，要定时向门户进行推送，在门户进行汇聚管理。</w:t>
            </w:r>
          </w:p>
        </w:tc>
      </w:tr>
      <w:tr>
        <w:tblPrEx>
          <w:tblCellMar>
            <w:top w:w="0" w:type="dxa"/>
            <w:left w:w="108" w:type="dxa"/>
            <w:bottom w:w="0" w:type="dxa"/>
            <w:right w:w="108" w:type="dxa"/>
          </w:tblCellMar>
        </w:tblPrEx>
        <w:trPr>
          <w:trHeight w:val="20" w:hRule="atLeast"/>
        </w:trPr>
        <w:tc>
          <w:tcPr>
            <w:tcW w:w="423" w:type="pct"/>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0"/>
                <w:szCs w:val="20"/>
              </w:rPr>
            </w:pPr>
          </w:p>
        </w:tc>
        <w:tc>
          <w:tcPr>
            <w:tcW w:w="683"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任务功能</w:t>
            </w:r>
          </w:p>
        </w:tc>
        <w:tc>
          <w:tcPr>
            <w:tcW w:w="321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集中化管理任务调度，支持可视化设置任务调度的方式和周期，同时对每一次调度进行日志记录方便追溯排查。系统支持集群部署可同时支撑多任务调度管理。</w:t>
            </w:r>
          </w:p>
        </w:tc>
      </w:tr>
      <w:tr>
        <w:tblPrEx>
          <w:tblCellMar>
            <w:top w:w="0" w:type="dxa"/>
            <w:left w:w="108" w:type="dxa"/>
            <w:bottom w:w="0" w:type="dxa"/>
            <w:right w:w="108" w:type="dxa"/>
          </w:tblCellMar>
        </w:tblPrEx>
        <w:trPr>
          <w:trHeight w:val="20" w:hRule="atLeast"/>
        </w:trPr>
        <w:tc>
          <w:tcPr>
            <w:tcW w:w="423" w:type="pct"/>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0"/>
                <w:szCs w:val="20"/>
              </w:rPr>
            </w:pPr>
          </w:p>
        </w:tc>
        <w:tc>
          <w:tcPr>
            <w:tcW w:w="683"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排名及通知公告</w:t>
            </w:r>
          </w:p>
        </w:tc>
        <w:tc>
          <w:tcPr>
            <w:tcW w:w="321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lang w:eastAsia="zh-CN"/>
              </w:rPr>
            </w:pPr>
            <w:r>
              <w:rPr>
                <w:rFonts w:hint="eastAsia" w:ascii="宋体" w:hAnsi="宋体" w:cs="宋体"/>
                <w:color w:val="auto"/>
                <w:kern w:val="0"/>
                <w:sz w:val="20"/>
                <w:szCs w:val="20"/>
              </w:rPr>
              <w:t>常用应用按用户点击量排名</w:t>
            </w:r>
            <w:r>
              <w:rPr>
                <w:rFonts w:hint="eastAsia" w:ascii="宋体" w:hAnsi="宋体" w:cs="宋体"/>
                <w:color w:val="auto"/>
                <w:kern w:val="0"/>
                <w:sz w:val="20"/>
                <w:szCs w:val="20"/>
                <w:lang w:eastAsia="zh-CN"/>
              </w:rPr>
              <w:t>。</w:t>
            </w:r>
          </w:p>
          <w:p>
            <w:pPr>
              <w:widowControl/>
              <w:jc w:val="left"/>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热门应用下载按搜索量排名。</w:t>
            </w:r>
          </w:p>
          <w:p>
            <w:pPr>
              <w:widowControl/>
              <w:jc w:val="left"/>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通知公告推送。</w:t>
            </w:r>
          </w:p>
        </w:tc>
      </w:tr>
      <w:tr>
        <w:tblPrEx>
          <w:tblCellMar>
            <w:top w:w="0" w:type="dxa"/>
            <w:left w:w="108" w:type="dxa"/>
            <w:bottom w:w="0" w:type="dxa"/>
            <w:right w:w="108" w:type="dxa"/>
          </w:tblCellMar>
        </w:tblPrEx>
        <w:trPr>
          <w:trHeight w:val="20" w:hRule="atLeast"/>
        </w:trPr>
        <w:tc>
          <w:tcPr>
            <w:tcW w:w="423"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p>
        </w:tc>
        <w:tc>
          <w:tcPr>
            <w:tcW w:w="68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6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消息功能</w:t>
            </w:r>
          </w:p>
        </w:tc>
        <w:tc>
          <w:tcPr>
            <w:tcW w:w="321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构建统一的消息总线，集中对系统中涉及消息推送的模块进行管理。</w:t>
            </w:r>
          </w:p>
        </w:tc>
      </w:tr>
      <w:tr>
        <w:tblPrEx>
          <w:tblCellMar>
            <w:top w:w="0" w:type="dxa"/>
            <w:left w:w="108" w:type="dxa"/>
            <w:bottom w:w="0" w:type="dxa"/>
            <w:right w:w="108" w:type="dxa"/>
          </w:tblCellMar>
        </w:tblPrEx>
        <w:trPr>
          <w:trHeight w:val="20" w:hRule="atLeast"/>
        </w:trPr>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3</w:t>
            </w:r>
          </w:p>
        </w:tc>
        <w:tc>
          <w:tcPr>
            <w:tcW w:w="136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统一资源</w:t>
            </w:r>
          </w:p>
        </w:tc>
        <w:tc>
          <w:tcPr>
            <w:tcW w:w="321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模块需要复用资源中心提供的关系型数据库及分布式数据库，统一使用资源中心提供的大数据能力。</w:t>
            </w:r>
          </w:p>
        </w:tc>
      </w:tr>
    </w:tbl>
    <w:p>
      <w:pPr>
        <w:widowControl/>
        <w:autoSpaceDE w:val="0"/>
        <w:autoSpaceDN w:val="0"/>
        <w:adjustRightInd w:val="0"/>
        <w:spacing w:line="360" w:lineRule="auto"/>
        <w:ind w:firstLine="460" w:firstLineChars="192"/>
        <w:jc w:val="left"/>
        <w:rPr>
          <w:rFonts w:hint="eastAsia"/>
          <w:b/>
          <w:color w:val="auto"/>
          <w:kern w:val="0"/>
          <w:sz w:val="24"/>
          <w:szCs w:val="28"/>
        </w:rPr>
      </w:pPr>
    </w:p>
    <w:p>
      <w:pPr>
        <w:pStyle w:val="10"/>
        <w:rPr>
          <w:rFonts w:hint="eastAsia"/>
          <w:color w:val="auto"/>
        </w:rPr>
      </w:pPr>
    </w:p>
    <w:p>
      <w:pPr>
        <w:pStyle w:val="56"/>
        <w:rPr>
          <w:color w:val="auto"/>
        </w:rPr>
      </w:pPr>
    </w:p>
    <w:p>
      <w:pPr>
        <w:pStyle w:val="6"/>
        <w:rPr>
          <w:color w:val="auto"/>
        </w:rPr>
      </w:pPr>
      <w:r>
        <w:rPr>
          <w:rFonts w:hint="eastAsia"/>
          <w:color w:val="auto"/>
        </w:rPr>
        <w:t>数智实战模块</w:t>
      </w:r>
    </w:p>
    <w:p>
      <w:pPr>
        <w:keepNext/>
        <w:jc w:val="center"/>
        <w:rPr>
          <w:color w:val="auto"/>
        </w:rPr>
      </w:pPr>
      <w:r>
        <w:rPr>
          <w:color w:val="auto"/>
        </w:rPr>
        <w:drawing>
          <wp:inline distT="0" distB="0" distL="0" distR="0">
            <wp:extent cx="5599430" cy="2574925"/>
            <wp:effectExtent l="0" t="0" r="1270" b="1587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15"/>
                    <a:stretch>
                      <a:fillRect/>
                    </a:stretch>
                  </pic:blipFill>
                  <pic:spPr>
                    <a:xfrm>
                      <a:off x="0" y="0"/>
                      <a:ext cx="5607015" cy="2578757"/>
                    </a:xfrm>
                    <a:prstGeom prst="rect">
                      <a:avLst/>
                    </a:prstGeom>
                  </pic:spPr>
                </pic:pic>
              </a:graphicData>
            </a:graphic>
          </wp:inline>
        </w:drawing>
      </w:r>
    </w:p>
    <w:p>
      <w:pPr>
        <w:spacing w:before="152" w:after="160"/>
        <w:jc w:val="center"/>
        <w:rPr>
          <w:rFonts w:hint="eastAsia" w:ascii="Arial" w:hAnsi="Arial" w:eastAsia="黑体" w:cs="Arial"/>
          <w:color w:val="auto"/>
          <w:sz w:val="20"/>
          <w:szCs w:val="20"/>
          <w:lang w:eastAsia="zh-CN"/>
        </w:rPr>
      </w:pPr>
      <w:r>
        <w:rPr>
          <w:rFonts w:hint="eastAsia" w:ascii="Arial" w:hAnsi="Arial" w:eastAsia="黑体" w:cs="Arial"/>
          <w:color w:val="auto"/>
          <w:sz w:val="20"/>
          <w:szCs w:val="20"/>
        </w:rPr>
        <w:t>图</w:t>
      </w:r>
      <w:r>
        <w:rPr>
          <w:rFonts w:ascii="Arial" w:hAnsi="Arial" w:eastAsia="黑体" w:cs="Arial"/>
          <w:color w:val="auto"/>
          <w:sz w:val="20"/>
          <w:szCs w:val="20"/>
        </w:rPr>
        <w:fldChar w:fldCharType="begin"/>
      </w:r>
      <w:r>
        <w:rPr>
          <w:rFonts w:ascii="Arial" w:hAnsi="Arial" w:eastAsia="黑体" w:cs="Arial"/>
          <w:color w:val="auto"/>
          <w:sz w:val="20"/>
          <w:szCs w:val="20"/>
        </w:rPr>
        <w:instrText xml:space="preserve"> </w:instrText>
      </w:r>
      <w:r>
        <w:rPr>
          <w:rFonts w:hint="eastAsia" w:ascii="Arial" w:hAnsi="Arial" w:eastAsia="黑体" w:cs="Arial"/>
          <w:color w:val="auto"/>
          <w:sz w:val="20"/>
          <w:szCs w:val="20"/>
        </w:rPr>
        <w:instrText xml:space="preserve">SEQ 图 \* ARABIC</w:instrText>
      </w:r>
      <w:r>
        <w:rPr>
          <w:rFonts w:ascii="Arial" w:hAnsi="Arial" w:eastAsia="黑体" w:cs="Arial"/>
          <w:color w:val="auto"/>
          <w:sz w:val="20"/>
          <w:szCs w:val="20"/>
        </w:rPr>
        <w:instrText xml:space="preserve"> </w:instrText>
      </w:r>
      <w:r>
        <w:rPr>
          <w:rFonts w:ascii="Arial" w:hAnsi="Arial" w:eastAsia="黑体" w:cs="Arial"/>
          <w:color w:val="auto"/>
          <w:sz w:val="20"/>
          <w:szCs w:val="20"/>
        </w:rPr>
        <w:fldChar w:fldCharType="separate"/>
      </w:r>
      <w:r>
        <w:rPr>
          <w:rFonts w:ascii="Arial" w:hAnsi="Arial" w:eastAsia="黑体" w:cs="Arial"/>
          <w:color w:val="auto"/>
          <w:sz w:val="20"/>
          <w:szCs w:val="20"/>
        </w:rPr>
        <w:t>1</w:t>
      </w:r>
      <w:r>
        <w:rPr>
          <w:rFonts w:ascii="Arial" w:hAnsi="Arial" w:eastAsia="黑体" w:cs="Arial"/>
          <w:color w:val="auto"/>
          <w:sz w:val="20"/>
          <w:szCs w:val="20"/>
        </w:rPr>
        <w:fldChar w:fldCharType="end"/>
      </w:r>
      <w:r>
        <w:rPr>
          <w:rFonts w:ascii="Arial" w:hAnsi="Arial" w:eastAsia="黑体" w:cs="Arial"/>
          <w:color w:val="auto"/>
          <w:sz w:val="20"/>
          <w:szCs w:val="20"/>
        </w:rPr>
        <w:t>总体流程图</w:t>
      </w:r>
      <w:r>
        <w:rPr>
          <w:rFonts w:hint="eastAsia" w:ascii="Arial" w:hAnsi="Arial" w:eastAsia="黑体" w:cs="Arial"/>
          <w:color w:val="auto"/>
          <w:sz w:val="20"/>
          <w:szCs w:val="20"/>
          <w:lang w:eastAsia="zh-CN"/>
        </w:rPr>
        <w:t>（仅供参考）</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流程说明：</w:t>
      </w:r>
    </w:p>
    <w:p>
      <w:pPr>
        <w:widowControl/>
        <w:autoSpaceDE w:val="0"/>
        <w:autoSpaceDN w:val="0"/>
        <w:adjustRightInd w:val="0"/>
        <w:spacing w:line="360" w:lineRule="auto"/>
        <w:ind w:firstLine="460" w:firstLineChars="192"/>
        <w:jc w:val="left"/>
        <w:rPr>
          <w:bCs/>
          <w:color w:val="auto"/>
          <w:kern w:val="0"/>
          <w:sz w:val="24"/>
          <w:szCs w:val="28"/>
        </w:rPr>
      </w:pPr>
      <w:r>
        <w:rPr>
          <w:rFonts w:hint="eastAsia" w:ascii="宋体" w:hAnsi="宋体"/>
          <w:bCs/>
          <w:color w:val="auto"/>
          <w:kern w:val="0"/>
          <w:sz w:val="24"/>
          <w:szCs w:val="28"/>
        </w:rPr>
        <w:t>1</w:t>
      </w:r>
      <w:r>
        <w:rPr>
          <w:rFonts w:hint="eastAsia"/>
          <w:bCs/>
          <w:color w:val="auto"/>
          <w:kern w:val="0"/>
          <w:sz w:val="24"/>
          <w:szCs w:val="28"/>
        </w:rPr>
        <w:t>）</w:t>
      </w:r>
      <w:r>
        <w:rPr>
          <w:bCs/>
          <w:color w:val="auto"/>
          <w:kern w:val="0"/>
          <w:sz w:val="24"/>
          <w:szCs w:val="28"/>
        </w:rPr>
        <w:t>情报支撑</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系统接收各类情报信息，包括前端感知设备的事件检测信息</w:t>
      </w:r>
      <w:r>
        <w:rPr>
          <w:rFonts w:hint="eastAsia"/>
          <w:color w:val="auto"/>
          <w:kern w:val="0"/>
          <w:sz w:val="24"/>
          <w:szCs w:val="28"/>
        </w:rPr>
        <w:t>，</w:t>
      </w:r>
      <w:r>
        <w:rPr>
          <w:color w:val="auto"/>
          <w:kern w:val="0"/>
          <w:sz w:val="24"/>
          <w:szCs w:val="28"/>
        </w:rPr>
        <w:t>支</w:t>
      </w:r>
      <w:r>
        <w:rPr>
          <w:rFonts w:hint="eastAsia"/>
          <w:color w:val="auto"/>
          <w:kern w:val="0"/>
          <w:sz w:val="24"/>
          <w:szCs w:val="28"/>
        </w:rPr>
        <w:t>\</w:t>
      </w:r>
      <w:r>
        <w:rPr>
          <w:color w:val="auto"/>
          <w:kern w:val="0"/>
          <w:sz w:val="24"/>
          <w:szCs w:val="28"/>
        </w:rPr>
        <w:t>大队通过大数据研判</w:t>
      </w:r>
      <w:r>
        <w:rPr>
          <w:rFonts w:hint="eastAsia"/>
          <w:color w:val="auto"/>
          <w:kern w:val="0"/>
          <w:sz w:val="24"/>
          <w:szCs w:val="28"/>
        </w:rPr>
        <w:t>产生情报信息</w:t>
      </w:r>
      <w:r>
        <w:rPr>
          <w:color w:val="auto"/>
          <w:kern w:val="0"/>
          <w:sz w:val="24"/>
          <w:szCs w:val="28"/>
        </w:rPr>
        <w:t>、人工采集</w:t>
      </w:r>
      <w:r>
        <w:rPr>
          <w:rFonts w:hint="eastAsia"/>
          <w:color w:val="auto"/>
          <w:kern w:val="0"/>
          <w:sz w:val="24"/>
          <w:szCs w:val="28"/>
        </w:rPr>
        <w:t>情报信息</w:t>
      </w:r>
      <w:r>
        <w:rPr>
          <w:color w:val="auto"/>
          <w:kern w:val="0"/>
          <w:sz w:val="24"/>
          <w:szCs w:val="28"/>
        </w:rPr>
        <w:t>、互联网</w:t>
      </w:r>
      <w:r>
        <w:rPr>
          <w:rFonts w:hint="eastAsia"/>
          <w:color w:val="auto"/>
          <w:kern w:val="0"/>
          <w:sz w:val="24"/>
          <w:szCs w:val="28"/>
        </w:rPr>
        <w:t>警情</w:t>
      </w:r>
      <w:r>
        <w:rPr>
          <w:color w:val="auto"/>
          <w:kern w:val="0"/>
          <w:sz w:val="24"/>
          <w:szCs w:val="28"/>
        </w:rPr>
        <w:t>和市局</w:t>
      </w:r>
      <w:r>
        <w:rPr>
          <w:rFonts w:ascii="宋体" w:hAnsi="宋体"/>
          <w:color w:val="auto"/>
          <w:kern w:val="0"/>
          <w:sz w:val="24"/>
          <w:szCs w:val="28"/>
        </w:rPr>
        <w:t>110</w:t>
      </w:r>
      <w:r>
        <w:rPr>
          <w:color w:val="auto"/>
          <w:kern w:val="0"/>
          <w:sz w:val="24"/>
          <w:szCs w:val="28"/>
        </w:rPr>
        <w:t>警情，其中市局</w:t>
      </w:r>
      <w:r>
        <w:rPr>
          <w:rFonts w:ascii="宋体" w:hAnsi="宋体"/>
          <w:color w:val="auto"/>
          <w:kern w:val="0"/>
          <w:sz w:val="24"/>
          <w:szCs w:val="28"/>
        </w:rPr>
        <w:t>110</w:t>
      </w:r>
      <w:r>
        <w:rPr>
          <w:color w:val="auto"/>
          <w:kern w:val="0"/>
          <w:sz w:val="24"/>
          <w:szCs w:val="28"/>
        </w:rPr>
        <w:t>警情只进行可视化展示，不派警。</w:t>
      </w:r>
    </w:p>
    <w:p>
      <w:pPr>
        <w:widowControl/>
        <w:autoSpaceDE w:val="0"/>
        <w:autoSpaceDN w:val="0"/>
        <w:adjustRightInd w:val="0"/>
        <w:spacing w:line="360" w:lineRule="auto"/>
        <w:ind w:firstLine="460" w:firstLineChars="192"/>
        <w:jc w:val="left"/>
        <w:rPr>
          <w:color w:val="auto"/>
          <w:kern w:val="0"/>
          <w:sz w:val="24"/>
          <w:szCs w:val="28"/>
        </w:rPr>
      </w:pPr>
      <w:r>
        <w:rPr>
          <w:rFonts w:hint="eastAsia" w:ascii="宋体" w:hAnsi="宋体"/>
          <w:color w:val="auto"/>
          <w:kern w:val="0"/>
          <w:sz w:val="24"/>
          <w:szCs w:val="28"/>
        </w:rPr>
        <w:t>（1）</w:t>
      </w:r>
      <w:r>
        <w:rPr>
          <w:color w:val="auto"/>
          <w:kern w:val="0"/>
          <w:sz w:val="24"/>
          <w:szCs w:val="28"/>
        </w:rPr>
        <w:t>情报确认</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a）系统对接入的各类情报进行重复警情筛选，并根据警情发生地属地、机动车、驾驶人管理属地、情报研判</w:t>
      </w:r>
      <w:r>
        <w:rPr>
          <w:rFonts w:hint="eastAsia"/>
          <w:color w:val="auto"/>
          <w:kern w:val="0"/>
          <w:sz w:val="24"/>
          <w:szCs w:val="28"/>
        </w:rPr>
        <w:t>所属</w:t>
      </w:r>
      <w:r>
        <w:rPr>
          <w:color w:val="auto"/>
          <w:kern w:val="0"/>
          <w:sz w:val="24"/>
          <w:szCs w:val="28"/>
        </w:rPr>
        <w:t>部门、情报类型进行分级分类</w:t>
      </w:r>
      <w:r>
        <w:rPr>
          <w:rFonts w:hint="eastAsia"/>
          <w:color w:val="auto"/>
          <w:kern w:val="0"/>
          <w:sz w:val="24"/>
          <w:szCs w:val="28"/>
        </w:rPr>
        <w:t>标签化处置</w:t>
      </w:r>
      <w:r>
        <w:rPr>
          <w:color w:val="auto"/>
          <w:kern w:val="0"/>
          <w:sz w:val="24"/>
          <w:szCs w:val="28"/>
        </w:rPr>
        <w:t>，形成事件类</w:t>
      </w:r>
      <w:r>
        <w:rPr>
          <w:rFonts w:hint="eastAsia"/>
          <w:color w:val="auto"/>
          <w:kern w:val="0"/>
          <w:sz w:val="24"/>
          <w:szCs w:val="28"/>
        </w:rPr>
        <w:t>、</w:t>
      </w:r>
      <w:r>
        <w:rPr>
          <w:color w:val="auto"/>
          <w:kern w:val="0"/>
          <w:sz w:val="24"/>
          <w:szCs w:val="28"/>
        </w:rPr>
        <w:t>治理类</w:t>
      </w:r>
      <w:r>
        <w:rPr>
          <w:rFonts w:hint="eastAsia"/>
          <w:color w:val="auto"/>
          <w:kern w:val="0"/>
          <w:sz w:val="24"/>
          <w:szCs w:val="28"/>
        </w:rPr>
        <w:t>、布控类三种</w:t>
      </w:r>
      <w:r>
        <w:rPr>
          <w:color w:val="auto"/>
          <w:kern w:val="0"/>
          <w:sz w:val="24"/>
          <w:szCs w:val="28"/>
        </w:rPr>
        <w:t>警情。</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b）</w:t>
      </w:r>
      <w:r>
        <w:rPr>
          <w:rFonts w:hint="eastAsia"/>
          <w:color w:val="auto"/>
          <w:kern w:val="0"/>
          <w:sz w:val="24"/>
          <w:szCs w:val="28"/>
        </w:rPr>
        <w:t>情报研判</w:t>
      </w:r>
      <w:r>
        <w:rPr>
          <w:color w:val="auto"/>
          <w:kern w:val="0"/>
          <w:sz w:val="24"/>
          <w:szCs w:val="28"/>
        </w:rPr>
        <w:t>人员进行情报有效性和情报内容分类确认。</w:t>
      </w:r>
    </w:p>
    <w:p>
      <w:pPr>
        <w:widowControl/>
        <w:autoSpaceDE w:val="0"/>
        <w:autoSpaceDN w:val="0"/>
        <w:adjustRightInd w:val="0"/>
        <w:spacing w:line="360" w:lineRule="auto"/>
        <w:ind w:firstLine="460" w:firstLineChars="192"/>
        <w:jc w:val="left"/>
        <w:rPr>
          <w:color w:val="auto"/>
          <w:kern w:val="0"/>
          <w:sz w:val="24"/>
          <w:szCs w:val="28"/>
        </w:rPr>
      </w:pPr>
      <w:r>
        <w:rPr>
          <w:color w:val="auto"/>
          <w:kern w:val="0"/>
          <w:sz w:val="24"/>
          <w:szCs w:val="28"/>
        </w:rPr>
        <w:t>c）对各辖区确认的情报</w:t>
      </w:r>
      <w:r>
        <w:rPr>
          <w:rFonts w:hint="eastAsia"/>
          <w:color w:val="auto"/>
          <w:kern w:val="0"/>
          <w:sz w:val="24"/>
          <w:szCs w:val="28"/>
          <w:lang w:eastAsia="zh-CN"/>
        </w:rPr>
        <w:t>、处置结果等</w:t>
      </w:r>
      <w:r>
        <w:rPr>
          <w:color w:val="auto"/>
          <w:kern w:val="0"/>
          <w:sz w:val="24"/>
          <w:szCs w:val="28"/>
        </w:rPr>
        <w:t>进行分类分析，发现高频发生的警情，形成辖区勤务新需求，辅助各辖区勤务部署。</w:t>
      </w:r>
    </w:p>
    <w:p>
      <w:pPr>
        <w:widowControl/>
        <w:autoSpaceDE w:val="0"/>
        <w:autoSpaceDN w:val="0"/>
        <w:adjustRightInd w:val="0"/>
        <w:spacing w:line="360" w:lineRule="auto"/>
        <w:ind w:firstLine="460" w:firstLineChars="192"/>
        <w:jc w:val="left"/>
        <w:rPr>
          <w:color w:val="auto"/>
          <w:kern w:val="0"/>
          <w:sz w:val="24"/>
          <w:szCs w:val="28"/>
        </w:rPr>
      </w:pPr>
      <w:r>
        <w:rPr>
          <w:rFonts w:hint="eastAsia" w:ascii="宋体" w:hAnsi="宋体"/>
          <w:color w:val="auto"/>
          <w:kern w:val="0"/>
          <w:sz w:val="24"/>
          <w:szCs w:val="28"/>
        </w:rPr>
        <w:t>2</w:t>
      </w:r>
      <w:r>
        <w:rPr>
          <w:rFonts w:hint="eastAsia"/>
          <w:color w:val="auto"/>
          <w:kern w:val="0"/>
          <w:sz w:val="24"/>
          <w:szCs w:val="28"/>
        </w:rPr>
        <w:t>）</w:t>
      </w:r>
      <w:r>
        <w:rPr>
          <w:color w:val="auto"/>
          <w:kern w:val="0"/>
          <w:sz w:val="24"/>
          <w:szCs w:val="28"/>
        </w:rPr>
        <w:t>任务调度</w:t>
      </w:r>
    </w:p>
    <w:p>
      <w:pPr>
        <w:widowControl/>
        <w:autoSpaceDE w:val="0"/>
        <w:autoSpaceDN w:val="0"/>
        <w:adjustRightInd w:val="0"/>
        <w:spacing w:line="360" w:lineRule="auto"/>
        <w:ind w:firstLine="460" w:firstLineChars="192"/>
        <w:jc w:val="left"/>
        <w:rPr>
          <w:color w:val="auto"/>
          <w:kern w:val="0"/>
          <w:sz w:val="24"/>
          <w:szCs w:val="28"/>
        </w:rPr>
      </w:pPr>
      <w:r>
        <w:rPr>
          <w:rFonts w:hint="eastAsia" w:ascii="宋体" w:hAnsi="宋体"/>
          <w:color w:val="auto"/>
          <w:kern w:val="0"/>
          <w:sz w:val="24"/>
          <w:szCs w:val="28"/>
        </w:rPr>
        <w:t>（1）</w:t>
      </w:r>
      <w:r>
        <w:rPr>
          <w:color w:val="auto"/>
          <w:kern w:val="0"/>
          <w:sz w:val="24"/>
          <w:szCs w:val="28"/>
        </w:rPr>
        <w:t>事件类：</w:t>
      </w:r>
      <w:r>
        <w:rPr>
          <w:rFonts w:hint="eastAsia"/>
          <w:color w:val="auto"/>
          <w:kern w:val="0"/>
          <w:sz w:val="24"/>
          <w:szCs w:val="28"/>
        </w:rPr>
        <w:t>首先对事件类警情进行三级分类并进行分级标签化处置，一、二级警情可推送至指挥中心或大队指挥室，由指挥中心或大队指挥室直接进行处置指挥，三级警情直接推送至中队数字勤务室或现场执勤民警移动终端，由中队或现场执勤民警直接处置。指挥中心或大队指挥室处置指令可直接推送至民警移动**终端由民警直接到达现场进行事件处置；也可将处置指令发送至中队数字勤务室，再由中队指挥人员将处置指令推送至一个或多个民警移动**终端执行现场处置任务。</w:t>
      </w:r>
    </w:p>
    <w:p>
      <w:pPr>
        <w:widowControl/>
        <w:autoSpaceDE w:val="0"/>
        <w:autoSpaceDN w:val="0"/>
        <w:adjustRightInd w:val="0"/>
        <w:spacing w:line="360" w:lineRule="auto"/>
        <w:ind w:firstLine="460" w:firstLineChars="192"/>
        <w:jc w:val="left"/>
        <w:rPr>
          <w:color w:val="auto"/>
          <w:kern w:val="0"/>
          <w:sz w:val="24"/>
          <w:szCs w:val="28"/>
        </w:rPr>
      </w:pPr>
      <w:r>
        <w:rPr>
          <w:rFonts w:hint="eastAsia" w:ascii="宋体" w:hAnsi="宋体"/>
          <w:color w:val="auto"/>
          <w:kern w:val="0"/>
          <w:sz w:val="24"/>
          <w:szCs w:val="28"/>
        </w:rPr>
        <w:t>（2）</w:t>
      </w:r>
      <w:r>
        <w:rPr>
          <w:color w:val="auto"/>
          <w:kern w:val="0"/>
          <w:sz w:val="24"/>
          <w:szCs w:val="28"/>
        </w:rPr>
        <w:t>治理类：</w:t>
      </w:r>
      <w:r>
        <w:rPr>
          <w:rFonts w:hint="eastAsia"/>
          <w:color w:val="auto"/>
          <w:kern w:val="0"/>
          <w:sz w:val="24"/>
          <w:szCs w:val="28"/>
        </w:rPr>
        <w:t>台州交警</w:t>
      </w:r>
      <w:r>
        <w:rPr>
          <w:color w:val="auto"/>
          <w:kern w:val="0"/>
          <w:sz w:val="24"/>
          <w:szCs w:val="28"/>
        </w:rPr>
        <w:t>针对情报信息存在的安全隐患，制定相应的治理措施、治理需达成的成效、完成时间等任务要求，经领导审核通过后下达任务，由大中队进行任务签收。</w:t>
      </w:r>
    </w:p>
    <w:p>
      <w:pPr>
        <w:widowControl/>
        <w:autoSpaceDE w:val="0"/>
        <w:autoSpaceDN w:val="0"/>
        <w:adjustRightInd w:val="0"/>
        <w:spacing w:line="360" w:lineRule="auto"/>
        <w:ind w:firstLine="460" w:firstLineChars="192"/>
        <w:jc w:val="left"/>
        <w:rPr>
          <w:color w:val="auto"/>
          <w:kern w:val="0"/>
          <w:sz w:val="24"/>
          <w:szCs w:val="28"/>
        </w:rPr>
      </w:pPr>
      <w:r>
        <w:rPr>
          <w:rFonts w:hint="eastAsia" w:ascii="宋体" w:hAnsi="宋体"/>
          <w:color w:val="auto"/>
          <w:kern w:val="0"/>
          <w:sz w:val="24"/>
          <w:szCs w:val="28"/>
        </w:rPr>
        <w:t>（3）</w:t>
      </w:r>
      <w:r>
        <w:rPr>
          <w:rFonts w:hint="eastAsia"/>
          <w:color w:val="auto"/>
          <w:kern w:val="0"/>
          <w:sz w:val="24"/>
          <w:szCs w:val="28"/>
        </w:rPr>
        <w:t>布控类</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情报研判结果分为待确认情报和确认警情（报废车行驶、逾期未检验车辆等），确认警情通过布控中心给部版集指平台和自建管控平台布控，该布控中心后续作为全局统一的布控入口，可对全局所有布控平台下发布控任务，接收布控结果；前端感知产生预警信息，通过事件检测经过情报确认形成事件类警情，进入任务调度处置流程。</w:t>
      </w:r>
    </w:p>
    <w:p>
      <w:pPr>
        <w:widowControl/>
        <w:autoSpaceDE w:val="0"/>
        <w:autoSpaceDN w:val="0"/>
        <w:adjustRightInd w:val="0"/>
        <w:spacing w:line="360" w:lineRule="auto"/>
        <w:ind w:firstLine="460" w:firstLineChars="192"/>
        <w:jc w:val="left"/>
        <w:rPr>
          <w:color w:val="auto"/>
          <w:kern w:val="0"/>
          <w:sz w:val="24"/>
          <w:szCs w:val="28"/>
        </w:rPr>
      </w:pPr>
      <w:r>
        <w:rPr>
          <w:rFonts w:hint="eastAsia" w:ascii="宋体" w:hAnsi="宋体"/>
          <w:color w:val="auto"/>
          <w:kern w:val="0"/>
          <w:sz w:val="24"/>
          <w:szCs w:val="28"/>
        </w:rPr>
        <w:t>3</w:t>
      </w:r>
      <w:r>
        <w:rPr>
          <w:rFonts w:hint="eastAsia"/>
          <w:color w:val="auto"/>
          <w:kern w:val="0"/>
          <w:sz w:val="24"/>
          <w:szCs w:val="28"/>
        </w:rPr>
        <w:t>）</w:t>
      </w:r>
      <w:r>
        <w:rPr>
          <w:color w:val="auto"/>
          <w:kern w:val="0"/>
          <w:sz w:val="24"/>
          <w:szCs w:val="28"/>
        </w:rPr>
        <w:t>勤务管理</w:t>
      </w:r>
    </w:p>
    <w:p>
      <w:pPr>
        <w:widowControl/>
        <w:autoSpaceDE w:val="0"/>
        <w:autoSpaceDN w:val="0"/>
        <w:adjustRightInd w:val="0"/>
        <w:spacing w:line="360" w:lineRule="auto"/>
        <w:ind w:firstLine="460" w:firstLineChars="192"/>
        <w:jc w:val="left"/>
        <w:rPr>
          <w:color w:val="auto"/>
          <w:kern w:val="0"/>
          <w:sz w:val="24"/>
          <w:szCs w:val="28"/>
        </w:rPr>
      </w:pPr>
      <w:r>
        <w:rPr>
          <w:rFonts w:hint="eastAsia"/>
          <w:color w:val="auto"/>
          <w:kern w:val="0"/>
          <w:sz w:val="24"/>
          <w:szCs w:val="28"/>
        </w:rPr>
        <w:t>大中队接收到上级下达的治理类任务后或者根据本辖区勤务管理工作需求，进行勤务部署、岗位设置、岗位排班，民警根据勤务部署要求上岗执勤，任务调度时可根据民警轨迹查看警情周边可用的警力资源。</w:t>
      </w:r>
    </w:p>
    <w:p>
      <w:pPr>
        <w:widowControl/>
        <w:autoSpaceDE w:val="0"/>
        <w:autoSpaceDN w:val="0"/>
        <w:adjustRightInd w:val="0"/>
        <w:spacing w:line="360" w:lineRule="auto"/>
        <w:ind w:firstLine="460" w:firstLineChars="192"/>
        <w:jc w:val="left"/>
        <w:rPr>
          <w:color w:val="auto"/>
          <w:kern w:val="0"/>
          <w:sz w:val="24"/>
          <w:szCs w:val="28"/>
        </w:rPr>
      </w:pPr>
      <w:r>
        <w:rPr>
          <w:rFonts w:hint="eastAsia" w:ascii="宋体" w:hAnsi="宋体"/>
          <w:color w:val="auto"/>
          <w:kern w:val="0"/>
          <w:sz w:val="24"/>
          <w:szCs w:val="28"/>
        </w:rPr>
        <w:t>4</w:t>
      </w:r>
      <w:r>
        <w:rPr>
          <w:rFonts w:hint="eastAsia"/>
          <w:color w:val="auto"/>
          <w:kern w:val="0"/>
          <w:sz w:val="24"/>
          <w:szCs w:val="28"/>
        </w:rPr>
        <w:t>）</w:t>
      </w:r>
      <w:r>
        <w:rPr>
          <w:color w:val="auto"/>
          <w:kern w:val="0"/>
          <w:sz w:val="24"/>
          <w:szCs w:val="28"/>
        </w:rPr>
        <w:t>督查监管</w:t>
      </w:r>
    </w:p>
    <w:p>
      <w:pPr>
        <w:widowControl/>
        <w:autoSpaceDE w:val="0"/>
        <w:autoSpaceDN w:val="0"/>
        <w:adjustRightInd w:val="0"/>
        <w:spacing w:line="360" w:lineRule="auto"/>
        <w:ind w:firstLine="460" w:firstLineChars="192"/>
        <w:jc w:val="left"/>
        <w:rPr>
          <w:color w:val="auto"/>
          <w:kern w:val="0"/>
          <w:sz w:val="24"/>
          <w:szCs w:val="28"/>
        </w:rPr>
      </w:pPr>
      <w:r>
        <w:rPr>
          <w:rFonts w:hint="eastAsia" w:ascii="宋体" w:hAnsi="宋体"/>
          <w:color w:val="auto"/>
          <w:kern w:val="0"/>
          <w:sz w:val="24"/>
          <w:szCs w:val="28"/>
        </w:rPr>
        <w:t>（1）</w:t>
      </w:r>
      <w:r>
        <w:rPr>
          <w:color w:val="auto"/>
          <w:kern w:val="0"/>
          <w:sz w:val="24"/>
          <w:szCs w:val="28"/>
        </w:rPr>
        <w:t>实时督查：系统根据勤务排班信息和民警移动**终端GPS信息，结合勤务网格化电子围栏，对民警上岗、在岗情况进行实时督查，发现异常情况及时预警并将异常信息推送至移动**终端。</w:t>
      </w:r>
    </w:p>
    <w:p>
      <w:pPr>
        <w:widowControl/>
        <w:autoSpaceDE w:val="0"/>
        <w:autoSpaceDN w:val="0"/>
        <w:adjustRightInd w:val="0"/>
        <w:spacing w:line="360" w:lineRule="auto"/>
        <w:ind w:firstLine="460" w:firstLineChars="192"/>
        <w:jc w:val="left"/>
        <w:rPr>
          <w:color w:val="auto"/>
          <w:kern w:val="0"/>
          <w:sz w:val="24"/>
          <w:szCs w:val="28"/>
        </w:rPr>
      </w:pPr>
      <w:r>
        <w:rPr>
          <w:rFonts w:hint="eastAsia" w:ascii="宋体" w:hAnsi="宋体"/>
          <w:color w:val="auto"/>
          <w:kern w:val="0"/>
          <w:sz w:val="24"/>
          <w:szCs w:val="28"/>
        </w:rPr>
        <w:t>（2）</w:t>
      </w:r>
      <w:r>
        <w:rPr>
          <w:color w:val="auto"/>
          <w:kern w:val="0"/>
          <w:sz w:val="24"/>
          <w:szCs w:val="28"/>
        </w:rPr>
        <w:t>**督查：任务调度结果反馈作为**事后督查的基础数据来源，可对民警的巡逻里程、执法量等进行统计分析。</w:t>
      </w:r>
    </w:p>
    <w:p>
      <w:pPr>
        <w:widowControl/>
        <w:autoSpaceDE w:val="0"/>
        <w:autoSpaceDN w:val="0"/>
        <w:adjustRightInd w:val="0"/>
        <w:spacing w:line="360" w:lineRule="auto"/>
        <w:ind w:firstLine="460" w:firstLineChars="192"/>
        <w:jc w:val="left"/>
        <w:rPr>
          <w:color w:val="auto"/>
          <w:kern w:val="0"/>
          <w:sz w:val="24"/>
          <w:szCs w:val="28"/>
        </w:rPr>
      </w:pPr>
      <w:r>
        <w:rPr>
          <w:rFonts w:hint="eastAsia" w:ascii="宋体" w:hAnsi="宋体"/>
          <w:color w:val="auto"/>
          <w:kern w:val="0"/>
          <w:sz w:val="24"/>
          <w:szCs w:val="28"/>
        </w:rPr>
        <w:t>（</w:t>
      </w:r>
      <w:r>
        <w:rPr>
          <w:rFonts w:hint="eastAsia" w:ascii="宋体" w:hAnsi="宋体"/>
          <w:color w:val="auto"/>
          <w:kern w:val="0"/>
          <w:sz w:val="24"/>
          <w:szCs w:val="28"/>
          <w:lang w:val="en-US" w:eastAsia="zh-CN"/>
        </w:rPr>
        <w:t>3</w:t>
      </w:r>
      <w:r>
        <w:rPr>
          <w:rFonts w:hint="eastAsia" w:ascii="宋体" w:hAnsi="宋体"/>
          <w:color w:val="auto"/>
          <w:kern w:val="0"/>
          <w:sz w:val="24"/>
          <w:szCs w:val="28"/>
        </w:rPr>
        <w:t>）</w:t>
      </w:r>
      <w:r>
        <w:rPr>
          <w:rFonts w:hint="eastAsia"/>
          <w:color w:val="auto"/>
          <w:kern w:val="0"/>
          <w:sz w:val="24"/>
          <w:szCs w:val="28"/>
        </w:rPr>
        <w:t>勤务评估：按辖区对发生的各类情报态势、警情处置过程等进行分析，结合辖区勤务岗位设置、警力资源安排信息，对辖区勤务部署进行评估，发现辖区勤务部署的薄弱环节，辖区根据评估结果对勤务部署进行调整、优化，使勤务部署不断趋于合理。</w:t>
      </w:r>
    </w:p>
    <w:p>
      <w:pPr>
        <w:rPr>
          <w:color w:val="auto"/>
        </w:rPr>
      </w:pP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028"/>
        <w:gridCol w:w="2194"/>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序号</w:t>
            </w:r>
          </w:p>
        </w:tc>
        <w:tc>
          <w:tcPr>
            <w:tcW w:w="603" w:type="pct"/>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功能模块</w:t>
            </w:r>
          </w:p>
        </w:tc>
        <w:tc>
          <w:tcPr>
            <w:tcW w:w="1286" w:type="pct"/>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子模块</w:t>
            </w:r>
          </w:p>
        </w:tc>
        <w:tc>
          <w:tcPr>
            <w:tcW w:w="2630" w:type="pct"/>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ascii="宋体" w:hAnsi="宋体" w:cs="宋体"/>
                <w:b/>
                <w:bCs/>
                <w:color w:val="auto"/>
                <w:kern w:val="0"/>
                <w:sz w:val="20"/>
                <w:szCs w:val="2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（一）</w:t>
            </w:r>
          </w:p>
        </w:tc>
        <w:tc>
          <w:tcPr>
            <w:tcW w:w="603" w:type="pct"/>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情报支撑</w:t>
            </w:r>
          </w:p>
        </w:tc>
        <w:tc>
          <w:tcPr>
            <w:tcW w:w="1286" w:type="pct"/>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c>
          <w:tcPr>
            <w:tcW w:w="2630" w:type="pct"/>
            <w:shd w:val="clear" w:color="auto" w:fill="auto"/>
            <w:vAlign w:val="center"/>
          </w:tcPr>
          <w:p>
            <w:pPr>
              <w:widowControl/>
              <w:jc w:val="center"/>
              <w:rPr>
                <w:rFonts w:cs="宋体" w:asciiTheme="minorEastAsia" w:hAnsiTheme="minorEastAsia" w:eastAsiaTheme="minorEastAsia"/>
                <w:b/>
                <w:bCs/>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1</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情报获取</w:t>
            </w: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情报信息接入</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接数据中心，建立情报信息接入机制，支持公安交通基础数据、感知类事件信息、各类模型研判分析结果、互联网警情信息的接入并进行预警展示，同时需将交通事故、异常拥堵警情通过共享服务推送至市局大公安任务调度系统</w:t>
            </w:r>
            <w:r>
              <w:rPr>
                <w:rFonts w:hint="eastAsia" w:cs="宋体" w:asciiTheme="minorEastAsia" w:hAnsiTheme="minorEastAsia" w:eastAsiaTheme="minorEastAsia"/>
                <w:color w:val="auto"/>
                <w:kern w:val="0"/>
                <w:sz w:val="20"/>
                <w:szCs w:val="20"/>
                <w:lang w:eastAsia="zh-CN"/>
              </w:rPr>
              <w:t>，</w:t>
            </w:r>
            <w:r>
              <w:rPr>
                <w:rFonts w:hint="eastAsia" w:cs="宋体" w:asciiTheme="minorEastAsia" w:hAnsiTheme="minorEastAsia"/>
                <w:color w:val="auto"/>
                <w:kern w:val="0"/>
                <w:sz w:val="20"/>
                <w:szCs w:val="20"/>
                <w:lang w:eastAsia="zh-CN"/>
              </w:rPr>
              <w:t>实现地图按需求分等级预警</w:t>
            </w:r>
            <w:r>
              <w:rPr>
                <w:rFonts w:hint="eastAsia" w:cs="宋体" w:asciiTheme="minorEastAsia" w:hAnsiTheme="minorEastAsia" w:eastAsiaTheme="minorEastAsia"/>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情报信息录入-民警上报</w:t>
            </w:r>
          </w:p>
        </w:tc>
        <w:tc>
          <w:tcPr>
            <w:tcW w:w="2630" w:type="pct"/>
            <w:vMerge w:val="restar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支持民警上报、领导交办、舆情发现等情报信息采集。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情报信息录入-领导交办</w:t>
            </w:r>
          </w:p>
        </w:tc>
        <w:tc>
          <w:tcPr>
            <w:tcW w:w="2630"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情报信息录入-舆情发现</w:t>
            </w:r>
          </w:p>
        </w:tc>
        <w:tc>
          <w:tcPr>
            <w:tcW w:w="2630"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2</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情报管理</w:t>
            </w: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情报识别</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支持对各类情报的有效性识别，并根据识别结果进行任务部署，包含自动识别和人工识别。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情报流转</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支持各类情报信息的情报流转机制，并可对情报流转的状态进行跟踪。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情报综合查询</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支持情报信息的</w:t>
            </w:r>
            <w:r>
              <w:rPr>
                <w:rFonts w:hint="eastAsia" w:cs="宋体" w:asciiTheme="minorEastAsia" w:hAnsiTheme="minorEastAsia"/>
                <w:color w:val="auto"/>
                <w:kern w:val="0"/>
                <w:sz w:val="20"/>
                <w:szCs w:val="20"/>
                <w:lang w:eastAsia="zh-CN"/>
              </w:rPr>
              <w:t>多维度</w:t>
            </w:r>
            <w:r>
              <w:rPr>
                <w:rFonts w:hint="eastAsia" w:cs="宋体" w:asciiTheme="minorEastAsia" w:hAnsiTheme="minorEastAsia" w:eastAsiaTheme="minorEastAsia"/>
                <w:color w:val="auto"/>
                <w:kern w:val="0"/>
                <w:sz w:val="20"/>
                <w:szCs w:val="20"/>
              </w:rPr>
              <w:t>综合查询，查询结果以图表的形式展示</w:t>
            </w:r>
            <w:r>
              <w:rPr>
                <w:rFonts w:hint="eastAsia" w:cs="宋体" w:asciiTheme="minorEastAsia" w:hAnsiTheme="minorEastAsia" w:eastAsiaTheme="minorEastAsia"/>
                <w:color w:val="auto"/>
                <w:kern w:val="0"/>
                <w:sz w:val="20"/>
                <w:szCs w:val="20"/>
                <w:lang w:eastAsia="zh-CN"/>
              </w:rPr>
              <w:t>，</w:t>
            </w:r>
            <w:r>
              <w:rPr>
                <w:rFonts w:hint="eastAsia" w:cs="宋体" w:asciiTheme="minorEastAsia" w:hAnsiTheme="minorEastAsia"/>
                <w:color w:val="auto"/>
                <w:kern w:val="0"/>
                <w:sz w:val="20"/>
                <w:szCs w:val="20"/>
                <w:lang w:eastAsia="zh-CN"/>
              </w:rPr>
              <w:t>支持查询、统计数据导出功能</w:t>
            </w:r>
            <w:r>
              <w:rPr>
                <w:rFonts w:hint="eastAsia" w:cs="宋体" w:asciiTheme="minorEastAsia" w:hAnsiTheme="minorEastAsia" w:eastAsiaTheme="minorEastAsia"/>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情报撤销</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对于确认录用的情报信息，可根据实际情况对情报信息进行撤销，包含自动撤销和手动撤销。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3</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情报预警</w:t>
            </w: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配置管理</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支持情报的分级分类预警和情报预警关键指标项和指标阈值的设定。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 xml:space="preserve"> 情报比对</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本功能对接数据中心，支持布控嫌疑车辆比对，根据情报的分级分类进行分色预警并基于GIS地图实时跟踪车辆行驶轨迹。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事故预警</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本功能支持对辖区内超过预警值的</w:t>
            </w:r>
            <w:r>
              <w:rPr>
                <w:rFonts w:hint="eastAsia" w:cs="宋体" w:asciiTheme="minorEastAsia" w:hAnsiTheme="minorEastAsia"/>
                <w:color w:val="auto"/>
                <w:kern w:val="0"/>
                <w:sz w:val="20"/>
                <w:szCs w:val="20"/>
                <w:lang w:eastAsia="zh-CN"/>
              </w:rPr>
              <w:t>重大、敏感</w:t>
            </w:r>
            <w:r>
              <w:rPr>
                <w:rFonts w:hint="eastAsia" w:cs="宋体" w:asciiTheme="minorEastAsia" w:hAnsiTheme="minorEastAsia" w:eastAsiaTheme="minorEastAsia"/>
                <w:color w:val="auto"/>
                <w:kern w:val="0"/>
                <w:sz w:val="20"/>
                <w:szCs w:val="20"/>
              </w:rPr>
              <w:t>事故类警情进行预警。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态势预警</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本功能对重点片区、重点路段、重点时段及整体道路拥堵、道路流量、道路安全交通拥堵状况进行分析评估；并对重大节假日和重大活动日的交通拥堵状态进行分析及预测，当分析结果严重偏离指标值时则基于GIS地图进行分级分色预警，分析结果在指挥中心大屏上展示。同时根据系统设置的预警信息刷新参数，实时刷新预警信息。</w:t>
            </w:r>
            <w:r>
              <w:rPr>
                <w:rFonts w:hint="eastAsia" w:cs="宋体" w:asciiTheme="minorEastAsia" w:hAnsiTheme="minorEastAsia"/>
                <w:color w:val="auto"/>
                <w:kern w:val="0"/>
                <w:sz w:val="20"/>
                <w:szCs w:val="20"/>
                <w:lang w:eastAsia="zh-CN"/>
              </w:rPr>
              <w:t>支持对以上的拥</w:t>
            </w:r>
            <w:r>
              <w:rPr>
                <w:rFonts w:hint="eastAsia" w:cs="宋体" w:asciiTheme="minorEastAsia" w:hAnsiTheme="minorEastAsia" w:eastAsiaTheme="minorEastAsia"/>
                <w:color w:val="auto"/>
                <w:kern w:val="0"/>
                <w:sz w:val="20"/>
                <w:szCs w:val="20"/>
                <w:lang w:eastAsia="zh-CN"/>
              </w:rPr>
              <w:t>堵、流量等历史数据查询（可按照时间节点快进回放），对分析及预测详情支持导出。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预警推送</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支持预警方式管理，支持自动预警和手工预警方式。系统根据设定的预警方式自动将获取的各类情报信息推送至指挥模块并展示或直接推送至移动终端。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4</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情报分析</w:t>
            </w: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警情辖区分布分析</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支持对辖区范围内各类警情的分布分析，针对事故类警情，支持对事故发生时段、事发地点管辖区域、</w:t>
            </w:r>
            <w:r>
              <w:rPr>
                <w:rFonts w:hint="eastAsia" w:cs="宋体" w:asciiTheme="minorEastAsia" w:hAnsiTheme="minorEastAsia"/>
                <w:color w:val="auto"/>
                <w:kern w:val="0"/>
                <w:sz w:val="20"/>
                <w:szCs w:val="20"/>
                <w:lang w:eastAsia="zh-CN"/>
              </w:rPr>
              <w:t>路段</w:t>
            </w:r>
            <w:r>
              <w:rPr>
                <w:rFonts w:hint="eastAsia" w:cs="宋体" w:asciiTheme="minorEastAsia" w:hAnsiTheme="minorEastAsia" w:eastAsiaTheme="minorEastAsia"/>
                <w:color w:val="auto"/>
                <w:kern w:val="0"/>
                <w:sz w:val="20"/>
                <w:szCs w:val="20"/>
              </w:rPr>
              <w:t>、事故原因、违法行为、当事人通行方式、当事人年龄段等维度的分布分析，可叠加同比、环比数据并以图表方式展示。</w:t>
            </w:r>
            <w:r>
              <w:rPr>
                <w:rFonts w:hint="eastAsia" w:cs="宋体" w:asciiTheme="minorEastAsia" w:hAnsiTheme="minorEastAsia"/>
                <w:color w:val="auto"/>
                <w:kern w:val="0"/>
                <w:sz w:val="20"/>
                <w:szCs w:val="20"/>
                <w:lang w:eastAsia="zh-CN"/>
              </w:rPr>
              <w:t>支持数据导出（支持警情热力图含数据值等参数查询、导出）。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警情时段分布分析</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支持对各时段各类警情的分布分析，可叠加同比、环比数据并以图表方式展示。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警情警力分布分析</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支持对各时段各类警情、警力配比分析，可叠加同比、环比数据并以图表方式展示。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（二）</w:t>
            </w:r>
          </w:p>
        </w:tc>
        <w:tc>
          <w:tcPr>
            <w:tcW w:w="603" w:type="pct"/>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任务调度</w:t>
            </w:r>
          </w:p>
        </w:tc>
        <w:tc>
          <w:tcPr>
            <w:tcW w:w="1286" w:type="pct"/>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1</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接处警指挥</w:t>
            </w: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图上指挥</w:t>
            </w:r>
          </w:p>
        </w:tc>
        <w:tc>
          <w:tcPr>
            <w:tcW w:w="2630" w:type="pct"/>
            <w:shd w:val="clear" w:color="auto" w:fill="auto"/>
            <w:vAlign w:val="center"/>
          </w:tcPr>
          <w:p>
            <w:pPr>
              <w:widowControl/>
              <w:jc w:val="left"/>
              <w:rPr>
                <w:rFonts w:cs="宋体" w:asciiTheme="minorEastAsia" w:hAnsiTheme="minorEastAsia"/>
                <w:color w:val="auto"/>
                <w:kern w:val="0"/>
                <w:sz w:val="20"/>
                <w:szCs w:val="20"/>
              </w:rPr>
            </w:pPr>
            <w:r>
              <w:rPr>
                <w:rFonts w:hint="eastAsia" w:cs="宋体" w:asciiTheme="minorEastAsia" w:hAnsiTheme="minorEastAsia" w:eastAsiaTheme="minorEastAsia"/>
                <w:color w:val="auto"/>
                <w:kern w:val="0"/>
                <w:sz w:val="20"/>
                <w:szCs w:val="20"/>
              </w:rPr>
              <w:t>支持任务调度的可视化指挥，基于GIS地图一图展示事件、警力、视频、卡口等交通资源，可对资源进行标签化管理；支持图层管理、图上圈图统计、执法记录仪调阅等；同时可以对**通、辅警通和对讲机、4G执法记录仪等所有时段实时在线数量自定义统计、查看，可查看某个设备信息，4G记录仪实时图像，支持多维度的统计。针对警情的内容提取关键词，根据关键词进行分级，对于所有警情的关键处置签收、到场、反馈、最终反馈等节点逾期进行预警提</w:t>
            </w:r>
            <w:r>
              <w:rPr>
                <w:rFonts w:hint="eastAsia" w:ascii="宋体" w:hAnsi="宋体" w:cs="宋体"/>
                <w:color w:val="auto"/>
                <w:sz w:val="20"/>
                <w:szCs w:val="20"/>
              </w:rPr>
              <w:t>醒。可实时展示交警局购买第三方服务的施救力量（拖车、铲车、吊车）、业主单位（道路主管部门、高速业主、指挥部业主等）力量、车辆定位。</w:t>
            </w:r>
            <w:r>
              <w:rPr>
                <w:rFonts w:hint="eastAsia" w:ascii="宋体" w:hAnsi="宋体" w:cs="宋体"/>
                <w:color w:val="auto"/>
                <w:sz w:val="20"/>
                <w:szCs w:val="20"/>
                <w:lang w:eastAsia="zh-CN"/>
              </w:rPr>
              <w:t>可在地图对历史轨迹查询、回放。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移动APP接处警模块升级</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对移动APP接处警模块进行升级，包括移动终端车牌识别系统、地图应用、移动APP接处警界面提升和反馈抄送提醒、照片后台上传、拍照功能优化。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查询统计</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接处警指挥各类查询功能，包括受理记录查询、处警查询、指令单查询、反馈单查询、回访单查询、电话库查询、上下岗纪录查询、警情查询、重点路段查询、公告查询、通知查询、操作记录查询和组合查询，查询结果可以打印和导出excel或者word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警情类统计</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支持接处警指挥各类警情统计功能，包括警情数量统计、 各巡区各类警情数量统计、 报警处理结果统计、 各类警情案发地点数量统计、接警员工作量统计、单位出警量、反馈量统计、 各单位接处警反馈情况统计</w:t>
            </w:r>
            <w:r>
              <w:rPr>
                <w:rFonts w:hint="eastAsia" w:cs="宋体" w:asciiTheme="minorEastAsia" w:hAnsiTheme="minorEastAsia" w:eastAsiaTheme="minorEastAsia"/>
                <w:color w:val="auto"/>
                <w:kern w:val="0"/>
                <w:sz w:val="20"/>
                <w:szCs w:val="20"/>
                <w:lang w:eastAsia="zh-CN"/>
              </w:rPr>
              <w:t>、</w:t>
            </w:r>
            <w:r>
              <w:rPr>
                <w:rFonts w:hint="eastAsia" w:cs="宋体" w:asciiTheme="minorEastAsia" w:hAnsiTheme="minorEastAsia"/>
                <w:color w:val="auto"/>
                <w:kern w:val="0"/>
                <w:sz w:val="20"/>
                <w:szCs w:val="20"/>
                <w:lang w:eastAsia="zh-CN"/>
              </w:rPr>
              <w:t>同环比</w:t>
            </w:r>
            <w:r>
              <w:rPr>
                <w:rFonts w:hint="eastAsia" w:cs="宋体" w:asciiTheme="minorEastAsia" w:hAnsiTheme="minorEastAsia" w:eastAsiaTheme="minorEastAsia"/>
                <w:color w:val="auto"/>
                <w:kern w:val="0"/>
                <w:sz w:val="20"/>
                <w:szCs w:val="20"/>
              </w:rPr>
              <w:t>和自定义统计模块。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快处快撤</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快处快撤时视频调阅、视频抓拍图片合成，形成证据图片，周边视频管理，支持视频的快进/快退，视频的抓拍、截取，保存作为现场证据。证据合成，从不同视角抓取的证据图片，支持合成为证据链。同时与事故处理系统对接，将现场证据信息实时推送至事故处理系统，便于事故处理部门（含快处中心）调阅、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数据同步</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支持单兵装备绑定数据、警情数据、GPS数据、勤务排班、绩效数据以及数据中心的公安交通基础数据双向同步。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2</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专项行动</w:t>
            </w:r>
          </w:p>
        </w:tc>
        <w:tc>
          <w:tcPr>
            <w:tcW w:w="1286"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方案制定</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支持对支队执行的专项行动指挥方案基本信息录入功能，包括文档材料上传。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在专项行动方案任务要素设置时，可调取方案模板、可视化设置和具体审核要求。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方案审核</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方案制定完成进入审核环节，系统需审核人员进行方案审核。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支持对已编制完成的方案进行审核功能。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方案发布/签收</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支持通过审核的方案发布、方案所涉及部门签收功能。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勤务部署/检查</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根据专项行动制定的方案要求，各参加部门进行警力部署，系统同时提供勤务部署检查功能。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方案启动</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根据方案的执行时间，在专项行动执行前进行方案的启动提醒、岗位警力检查和正式启动。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80" w:type="pct"/>
            <w:vMerge w:val="continue"/>
            <w:tcBorders>
              <w:bottom w:val="single" w:color="auto" w:sz="4" w:space="0"/>
            </w:tcBorders>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tcBorders>
              <w:bottom w:val="single" w:color="auto" w:sz="4" w:space="0"/>
            </w:tcBorders>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tcBorders>
              <w:bottom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专项行动指挥</w:t>
            </w:r>
          </w:p>
        </w:tc>
        <w:tc>
          <w:tcPr>
            <w:tcW w:w="2630" w:type="pct"/>
            <w:tcBorders>
              <w:bottom w:val="single" w:color="auto" w:sz="4" w:space="0"/>
            </w:tcBorders>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GIS地图，实时展示本次行动所涉及的所有岗位、线路、区域、警力资源，在行动过程中，实时接收执勤警员上传的战果情况，对反馈的现场照片、处罚凭证照片等进行查看，可实时调阅与活动相关的视频监控设备，指挥员可实时掌握现场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战果总结</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专项行动执行完成后，对专项行动的结果进行总结，可根据模板生成战果报告。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方案查询</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支持对专项行动方案的查询功能。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3</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应急处置</w:t>
            </w:r>
          </w:p>
        </w:tc>
        <w:tc>
          <w:tcPr>
            <w:tcW w:w="1286"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预案管理</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提供根据突发事件的类型（突发灾害天气、重大交通事故等）编制各类突发事件处置预案功能，根据预案执行方式可分为文本型预案和任务型预案的编制。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支持预案评审结果信息录入功能。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支持预案修正、完善功能。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支持预案发布功能，相关人员可调阅预案，查看预案具体内容。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支持预案培训/演练结果信息录入功能。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支持已发布预案查询功能。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应急响应指挥</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预案调取：支持预案调取功能，包括人工调取和系统自动调取。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预案启动：人工或自动调取的预案经预案处置员确认后，预案正式启动。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应急处置：应急响应指挥根据应急预案进行实时指挥，可分为文本型预案处置指挥和任务型预案处置指挥，针对任务型预案，系统根据预案设定的突发事件处置任务步骤打开数字化应急处置预案，指挥员按步骤进行处置任务的指挥调度，并完整记录指挥人员的操作、处置指令、信息报送等信息。</w:t>
            </w:r>
            <w:r>
              <w:rPr>
                <w:rFonts w:hint="eastAsia" w:cs="宋体" w:asciiTheme="minorEastAsia" w:hAnsiTheme="minorEastAsia"/>
                <w:color w:val="auto"/>
                <w:kern w:val="0"/>
                <w:sz w:val="20"/>
                <w:szCs w:val="20"/>
                <w:lang w:eastAsia="zh-CN"/>
              </w:rPr>
              <w:t>可对每个处置进度中注意事项、处置关键要点进行提示；支持支队、大队、中队的应急事件信息采集、上报，支队向上级部门信息报送等全流程记录。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应急处置响应关闭：应急事件处置完成后，需及时关闭应急响应处置任务。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可视化展示：在应急响应指挥过程中，指挥中心大屏可实时展示突发事件现场的警力资源、视频监控设备等。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应急响应评估</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预案评估：应急事件处置完成后，需根据处置操作记录和处置措施步骤对方案进行评估。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处置评估：应急事件处置完成后，需根据处置操作记录和处置措施步骤对处置过程进行评估。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应急资源管理</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提供对应急资源统筹管理功能，包括对应急机构、应急队伍、社会救援力量、应急专家和应急物资等资源的维护，当发生重大警情时，系统可根据警情自动关联应急资源并在电子地图上进行展示。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4</w:t>
            </w:r>
          </w:p>
        </w:tc>
        <w:tc>
          <w:tcPr>
            <w:tcW w:w="603" w:type="pct"/>
            <w:vMerge w:val="restart"/>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缉查布控</w:t>
            </w: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批量车牌搜车</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通过提供的模板，将车牌号码填入excel模板导入系统，支持批量车牌的搜索功能</w:t>
            </w:r>
            <w:r>
              <w:rPr>
                <w:rFonts w:hint="eastAsia" w:cs="宋体" w:asciiTheme="minorEastAsia" w:hAnsiTheme="minorEastAsia" w:eastAsiaTheme="minorEastAsia"/>
                <w:color w:val="auto"/>
                <w:kern w:val="0"/>
                <w:sz w:val="20"/>
                <w:szCs w:val="20"/>
                <w:lang w:eastAsia="zh-CN"/>
              </w:rPr>
              <w:t>，也支持人工多辆车输入搜索功能</w:t>
            </w:r>
            <w:r>
              <w:rPr>
                <w:rFonts w:hint="eastAsia" w:cs="宋体" w:asciiTheme="minorEastAsia" w:hAnsiTheme="minorEastAsia" w:eastAsiaTheme="minorEastAsia"/>
                <w:color w:val="auto"/>
                <w:kern w:val="0"/>
                <w:sz w:val="20"/>
                <w:szCs w:val="20"/>
              </w:rPr>
              <w:t>。支持对结果的二次搜索功能，搜索结果可支持万级数量的下载。</w:t>
            </w:r>
            <w:r>
              <w:rPr>
                <w:rFonts w:hint="eastAsia" w:cs="宋体" w:asciiTheme="minorEastAsia" w:hAnsiTheme="minorEastAsia"/>
                <w:color w:val="auto"/>
                <w:kern w:val="0"/>
                <w:sz w:val="20"/>
                <w:szCs w:val="20"/>
                <w:lang w:eastAsia="zh-CN"/>
              </w:rPr>
              <w:t>支持地图轨迹展现。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特种车辆搜索</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识别校车、集装箱车、油罐车、搅拌车、出租车、消防车、公检法车、工程抢险车、渣土车、公交车、教练车、救护车、运钞车、殡仪车、行政执法车等15种特种车辆或特殊车辆，并进行对应车辆搜索的功能。</w:t>
            </w:r>
            <w:r>
              <w:rPr>
                <w:rFonts w:hint="eastAsia" w:cs="宋体" w:asciiTheme="minorEastAsia" w:hAnsiTheme="minorEastAsia" w:eastAsiaTheme="minorEastAsia"/>
                <w:b/>
                <w:bCs/>
                <w:color w:val="auto"/>
                <w:kern w:val="0"/>
                <w:sz w:val="20"/>
                <w:szCs w:val="20"/>
              </w:rPr>
              <w:t>支持对结果的二次搜索功能，搜索结果可支持万级数量的下载。</w:t>
            </w:r>
            <w:r>
              <w:rPr>
                <w:rFonts w:hint="eastAsia" w:cs="宋体" w:asciiTheme="minorEastAsia" w:hAnsiTheme="minorEastAsia"/>
                <w:b/>
                <w:bCs/>
                <w:color w:val="auto"/>
                <w:kern w:val="0"/>
                <w:sz w:val="20"/>
                <w:szCs w:val="20"/>
                <w:lang w:eastAsia="zh-CN"/>
              </w:rPr>
              <w:t>支持搜索结果导出功能。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模糊特征搜车</w:t>
            </w:r>
          </w:p>
        </w:tc>
        <w:tc>
          <w:tcPr>
            <w:tcW w:w="2630" w:type="pct"/>
            <w:shd w:val="clear" w:color="auto" w:fill="auto"/>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★支持选择车辆的车头或车尾特征（年检标数量、是否有摆件、挂件、纸巾盒、天窗、行李架、车身喷字等），检索出指定位置、时间段内有指定局部特征车辆的功能。</w:t>
            </w:r>
          </w:p>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对实际在线系统的千亿数据规模，根据条件过滤的结果，进行模糊特征搜车，平均查询时间不超过1秒。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危险品车辆搜索（升级）</w:t>
            </w:r>
          </w:p>
        </w:tc>
        <w:tc>
          <w:tcPr>
            <w:tcW w:w="2630" w:type="pct"/>
            <w:shd w:val="clear" w:color="auto" w:fill="auto"/>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支持识别车头、车顶部分有‘危险’标示特征的车辆，并根据时间段、区域等条件，检索出所有过车记录中符合条件的危险品车信息，支持对结果的二次搜索功能，搜索结果可支持万级数量的下载。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自定义特征搜车（升级）</w:t>
            </w:r>
          </w:p>
        </w:tc>
        <w:tc>
          <w:tcPr>
            <w:tcW w:w="2630" w:type="pct"/>
            <w:shd w:val="clear" w:color="auto" w:fill="auto"/>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★支持在上传场景图片中可识别车辆进行识别分析，对照片上车辆目标划选一个或多个局部特征，根据所选标识的特征检索具有相同或相似特征的车辆，并按相似度排序的功能。</w:t>
            </w:r>
          </w:p>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对实际在线系统的千亿数据规模，根据条件过滤的结果，进行自定义特征搜车，平均查询时间不超过1秒。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人脸搜车</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支持通过上传一张人脸照片与车辆卡口抓拍图片中的人脸进行比对，显示人脸比对结果及车辆二次分析识别结果，支持人脸搜车的功能。</w:t>
            </w:r>
            <w:r>
              <w:rPr>
                <w:rFonts w:hint="eastAsia" w:cs="宋体" w:asciiTheme="minorEastAsia" w:hAnsiTheme="minorEastAsia"/>
                <w:color w:val="auto"/>
                <w:kern w:val="0"/>
                <w:sz w:val="20"/>
                <w:szCs w:val="20"/>
                <w:lang w:eastAsia="zh-CN"/>
              </w:rPr>
              <w:t>应支持上传人脸照片实时布控预警。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离线数据分析</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支持上传车辆图片的压缩包进行品牌、型号、年款、车身颜色等信息的识别，并可对识别的信息进行二次检索的功能。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双胞胎车搜索</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支持对同车型，同车牌车辆，对车辆信息进行比对分析，利用时空分析短时间较大距离移动的同车辆信息，筛选出克隆车辆（双胞胎车）的功能。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外地车辆分布矩阵</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展示外地车辆数量的比值关系，要求分为三级，可按照缩放等级逐级进行查看，支持三级矩阵，一级矩阵代表省份简称；二级矩阵代表省份简称加首字母；三级矩阵代表详细车辆号码，并可链接到该车牌的按车牌搜车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三轮车违法载人</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支持能够识别三轮车是否载人，对结果按照辖区进行统计汇总。</w:t>
            </w:r>
            <w:r>
              <w:rPr>
                <w:rFonts w:hint="eastAsia" w:cs="宋体" w:asciiTheme="minorEastAsia" w:hAnsiTheme="minorEastAsia"/>
                <w:color w:val="auto"/>
                <w:kern w:val="0"/>
                <w:sz w:val="20"/>
                <w:szCs w:val="20"/>
                <w:lang w:eastAsia="zh-CN"/>
              </w:rPr>
              <w:t>通过驾驶人人脸识别，自动关联该驾驶人人员信息（名字、住址、电话、工作单位、暂住地等信息）。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接打电话检测（升级）</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支持对主驾驶人员是否打电话进行检测，并支持按照车牌号码、抓拍时间、视频监控位置、车牌颜色和车辆颜色进行检索的功能。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实时预警平台</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今日抓拍车辆、今日上路车辆、系统使用状况、实时过车、重点车辆、初次入区车辆、历史过车、昨日外省车辆入区情况做统计，并通过高危预警方式对过车数据中的重点车辆做智能分析，并筛选其中危险指数较高，需及时重点管控的车辆进行预警和展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按精确车牌布控</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支持在自定义布控的时限、区域内对一个或多个精确车牌布控的功能。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批量车牌布控</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 xml:space="preserve">支持在自定义布控的时限、区域内对导入的批量精确车牌进行布控的功能。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按模糊车牌布控</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支持在自定义布控的时限、区域内对一个或多个模糊车牌布控的功能。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按车型布控</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支持在自定义布控的时限、区域内对按品牌、型号、年款等车型信息进行布控的功能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按类别布控</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支持在自定义布控的时限、区域内对轿车、越野车、商务车、面包车、皮卡车、小型货车、大型货车、小型客车、大型客车等车辆类别及细化品牌进行布控的功能。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布控明细</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支持可查看当前用户申请的待审批布控项目、布控中项目和已关闭项目的功能，并可进行撤销、查看等操作。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布控告警台</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支持在布控告警实时展示界面，当过车数据符合布控条件时，通过列表及地图弹框展示布控告警的功能。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以图布控</w:t>
            </w:r>
          </w:p>
        </w:tc>
        <w:tc>
          <w:tcPr>
            <w:tcW w:w="2630" w:type="pct"/>
            <w:shd w:val="clear" w:color="auto" w:fill="auto"/>
          </w:tcPr>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支持一键上传车辆图片，识别图片中车辆并对与之相似车辆进行布控。支持上传重点人员、重点车辆驾驶人等人脸进行布控，比对卡口人脸自动预警，可根据不同类型需求单选或多选驾驶人人脸、乘坐人人脸进行预警</w:t>
            </w:r>
            <w:r>
              <w:rPr>
                <w:rFonts w:hint="eastAsia" w:cs="宋体" w:asciiTheme="minorEastAsia" w:hAnsiTheme="minorEastAsia" w:eastAsiaTheme="minorEastAsia"/>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档案信息管理</w:t>
            </w:r>
          </w:p>
        </w:tc>
        <w:tc>
          <w:tcPr>
            <w:tcW w:w="2630" w:type="pct"/>
            <w:shd w:val="clear" w:color="auto" w:fill="auto"/>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记录和展示设备的厂商ID、设备名称、IP地址、端口号、管辖单位、关联卡口、关联车道等信息，支持对设备信息进行修改、删除操作，支持以所属区域、管辖单位、卡口名称、设备名称作为搜索条件对设备的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纠错管理</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记录纠错信息的上报时间、上报人、卡口名称、所属区域、错误类别、详细错误内容、是否修复等信息，支持选择纠错信息，支持修复操作，支持查看错误图片，支持以所属区域、类别、是否修复、卡口组名称作为搜索条件对纠错进行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白名单管理</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支持将车牌号设置成白名单（白名单车辆不在前台检索范围内）的功能。</w:t>
            </w:r>
            <w:r>
              <w:rPr>
                <w:rFonts w:hint="eastAsia" w:cs="宋体" w:asciiTheme="minorEastAsia" w:hAnsiTheme="minorEastAsia" w:eastAsiaTheme="minorEastAsia"/>
                <w:color w:val="auto"/>
                <w:kern w:val="0"/>
                <w:sz w:val="20"/>
                <w:szCs w:val="20"/>
                <w:lang w:eastAsia="zh-CN"/>
              </w:rPr>
              <w:t>白名单不影响上级权限检索。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高危预警参数设置</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支持展示不同预警方式的名称、预警积分值、授权是否预警、预警项简称及标识颜色，支持修改预警各项参数。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暂存架</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支持建立暂存架，将查询、研判结果中的图片数据转存到暂存架中进行收藏，并支持轨迹查询重现等功能。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外地车筛选</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支持通过选择数据来源、时间段等相应的筛选条件信息，即可检索出满足条件的所有外地车辆。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大客车触网预警</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支持建立大客车白名单，当白名单以外大客车未在指定路段内行驶，当被前端卡口抓拍后实时推送到系统进行预警。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非机动车违法行为统计</w:t>
            </w:r>
          </w:p>
        </w:tc>
        <w:tc>
          <w:tcPr>
            <w:tcW w:w="2630" w:type="pct"/>
            <w:shd w:val="clear" w:color="auto" w:fill="auto"/>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路段、交叉口的图像过车数据进行自动识别、智能分析，利用AI图像识别技术对图像中的非机动车违法载人，未佩戴安全头盔行为进行实时监测，并根据点位违法数据量统计排行。可精准到大队、中队，或者按照行政区划全市、县市区排行统计并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地图对接</w:t>
            </w:r>
          </w:p>
        </w:tc>
        <w:tc>
          <w:tcPr>
            <w:tcW w:w="2630" w:type="pct"/>
            <w:shd w:val="clear" w:color="auto" w:fill="auto"/>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支持对接采购方指定地图，并且地图能显示区县轮廓。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视频非机动车违法行为分析</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支持通过对路段、交叉口的视频数据进行自动识别、智能分析，利用AI图像识别技术对图像中的非机动车违法载人，未佩戴安全头盔行为进行实时监测，并根据点位违法数据量统计排行。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特种车辆布控</w:t>
            </w:r>
          </w:p>
        </w:tc>
        <w:tc>
          <w:tcPr>
            <w:tcW w:w="2630" w:type="pct"/>
            <w:shd w:val="clear" w:color="auto" w:fill="auto"/>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支持在自定义布控的时限、区域内，对渣土车，危化品车等特种车辆进行布控预警。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（三）</w:t>
            </w:r>
          </w:p>
        </w:tc>
        <w:tc>
          <w:tcPr>
            <w:tcW w:w="603" w:type="pct"/>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勤务管理</w:t>
            </w:r>
          </w:p>
        </w:tc>
        <w:tc>
          <w:tcPr>
            <w:tcW w:w="1286" w:type="pct"/>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c>
          <w:tcPr>
            <w:tcW w:w="2630" w:type="pct"/>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1</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规划管理</w:t>
            </w: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区域规划</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地理信息服务平台在GIS电子地图上直接划分各大队、中队、警组的责任区域，需采集责任区的各责任区边界的道路路口路段名称、经纬度、责任人、创建时间等信息。主要功能包括警区设置、岗位设置、班次设置、岗位级别设置及任务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勤务模式管理</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根据用户勤务管理要求，制定相应的勤务模式，主要包括：勤务名称、执勤任务、适用部门、创建时间、创建人等信息，完成后在系统中发布，各大中队根据勤务模式的执勤要求编制勤务部署方案。勤务模式管理包括勤务模式编制、领导审核、勤务模式下发、勤务模式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2</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勤务部署</w:t>
            </w: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岗位管理</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系统支持路面执勤岗位设定功能，设立各个执勤工作岗位，主要包括岗位的名称、岗位类型（路口、路段、区域等）、执勤时间段、执勤区域、所属中队、负责人、执勤类型（定点、巡逻等），并结合GIS地图绘制标注岗位具体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部署方案管理</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用户可以根据具体的勤务工作要求，在系统中编制详细的勤务部署方案，通过填写或选择部署方案名称、执勤岗位、执勤时间、执勤警力人数、执勤任务等编制要素，建立勤务岗位对应勤务模式的要求，完成方案编制工作。主要功能包含部署方案编制、部署方案审核、部署方案查询、部署方案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勤务智能推荐</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对各种应用场景下的勤务部署方案进行定义（方案标签化），为各类警情的处置自动生成合适的勤务方案。功能需包含标签化定义、建立匹配规则，匹配方式包含自动匹配和手工匹配。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3</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勤务排班管理</w:t>
            </w: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勤务排班</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根据勤务部署方案设置的勤务执勤要求，各中（大）队可以针对本辖区的交通状况和部门警力，制定相对应的路面警力排班方案。功能需包含星期模式排班、日模式排班信息查询、复制排班、合理性校验、排班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请假管理</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民警或辅警可通过移动终端或本系统提供的请假申请功能模块进行请假申请，主要功能包含请假申请和修改、补请假、请假申请审核、请假信息查询。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勤务报审</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各单位完成勤务排班后，以报备的形式向指挥中心提交勤务排班数据，包括排班方案上报、排班方案审核及审核结果反馈功能。同时与市局110接处警平台对接，将审核通过的勤务安排数据推送至市局110接处警平台，使想110平台派警时更精准、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勤务报备</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实时接收民辅警通过移动**终端上报的勤务到岗报备信息；同时需支持数字勤务室的签到和未签到的预警功能。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4</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铁骑勤务管理</w:t>
            </w: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铁骑巡逻路线规划</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提供铁骑巡逻路线规划功能，在GIS电子地图上进行铁骑巡逻路线的勾画，形成各铁骑勤务巡逻路线。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铁骑勤务部署</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提供铁骑勤务部署功能，铁骑中队根据本部门铁骑人数进行铁骑勤务部署操作。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铁骑执勤专题图</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实时接收铁骑执勤民警和辅警通过移动终端GPS信息，并结合GIS电子地图实时展示，形成铁骑勤务可视化专题图。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5</w:t>
            </w:r>
          </w:p>
        </w:tc>
        <w:tc>
          <w:tcPr>
            <w:tcW w:w="1889" w:type="pct"/>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移动**对接</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与“浙政钉”对接，支持执勤人员日常打卡、请假报备信息的接收以及警情、勤务排班信息的推送。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（四）</w:t>
            </w:r>
          </w:p>
        </w:tc>
        <w:tc>
          <w:tcPr>
            <w:tcW w:w="603" w:type="pct"/>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督查监管</w:t>
            </w:r>
          </w:p>
        </w:tc>
        <w:tc>
          <w:tcPr>
            <w:tcW w:w="1286" w:type="pct"/>
            <w:shd w:val="clear" w:color="auto" w:fill="auto"/>
            <w:vAlign w:val="center"/>
          </w:tcPr>
          <w:p>
            <w:pPr>
              <w:widowControl/>
              <w:jc w:val="left"/>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　</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1</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**督查</w:t>
            </w: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岗位督查-基础督查</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提供勤务执勤上岗督查功能，以执勤上岗勤务排班信息、移动终端勤务报备信息和实时接收的移动终端GPS数据，实时计算执勤人员在岗执勤轨迹，包含督查信息查看、督查信息推送、自动督查服务三个功能。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岗位督查-轨迹查询</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轨迹查询根据警员警车的GPS轨迹数据，在电子地图上展示运行轨迹，具体功能包含警员轨迹查询、警车轨迹查询、历史轨迹查询。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执法督查-现场执法督查</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督查人员通过视频查看等方法或采取明查暗访和不定期随机抽查的方式可对路面民警执法过程进行现场督查结果的采集、维护、查询统计功能，主要支持督查的方式有现场执法督查、执法记录仪督查；同时把督查结果自动推送给所属的领导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执法督查-执法记录仪督查</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与数据中心对接，获取执法记录仪平台相关数据，支持勤务督查人员对民警使用执法记录仪的情况进行有效监督。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督查结果干预</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提供督查监管结果修正功能。对督查结果进行修正，再由督查员审核确认后消除督查异常结果。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督查信息查询和统计-督查信息查询</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系统记录勤务督查信息后，支持对民警勤务时段内事件可追溯。主要检索条件支持按警员查询、按部门查询、按区域查询、按处警类型查询、按类型查询等。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督查信息查询和统计-督查信息统计</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支持按照组织机构、警区、警员或特定区域路段对勤务督查结果进行统计，主要功能包括按警员统计、按区域统计、按组织机构统计、按类型统计、图形化显示、统计导出、推送配置等。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督查信息推送</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督查信息推送支持**督查数据推送给相关的**人员，包括推送查看及日志查看功能。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hint="eastAsia" w:cs="宋体" w:asciiTheme="minorEastAsia" w:hAnsiTheme="minorEastAsia" w:eastAsiaTheme="minorEastAsia"/>
                <w:color w:val="auto"/>
                <w:kern w:val="0"/>
                <w:sz w:val="20"/>
                <w:szCs w:val="20"/>
                <w:lang w:val="en-US" w:eastAsia="zh-CN"/>
              </w:rPr>
            </w:pPr>
            <w:r>
              <w:rPr>
                <w:rFonts w:hint="eastAsia" w:cs="宋体" w:asciiTheme="minorEastAsia" w:hAnsiTheme="minorEastAsia" w:eastAsiaTheme="minorEastAsia"/>
                <w:color w:val="auto"/>
                <w:kern w:val="0"/>
                <w:sz w:val="20"/>
                <w:szCs w:val="20"/>
                <w:lang w:val="en-US" w:eastAsia="zh-CN"/>
              </w:rPr>
              <w:t>2</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勤务评估</w:t>
            </w: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评估数据接入</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对接数据中心，支持勤务评估所需数据的接入功能。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勤务评估分析</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根据勤务部署评估的各类要素 ，建立勤务部署评估分析模型，支持对各辖区的**效能、交通态势和勤务部署进行综合分析，形成各辖区勤务部署评估报告并发布。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评估结果查询</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支持对勤务评估结果的查询功能，查询结果需具备同比、环比功能，同时需支持跟同期内交通态势、警情分布、警力部署等关联，通过可视化方式综合展示勤务部署前后变化趋势。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评估管理</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支持对勤务评估要素、评估频率、评估结果发布方式的设置和评估模型优化功能。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restart"/>
            <w:shd w:val="clear" w:color="auto" w:fill="auto"/>
            <w:noWrap/>
            <w:vAlign w:val="center"/>
          </w:tcPr>
          <w:p>
            <w:pPr>
              <w:jc w:val="center"/>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lang w:val="en-US" w:eastAsia="zh-CN"/>
              </w:rPr>
              <w:t>3</w:t>
            </w:r>
          </w:p>
        </w:tc>
        <w:tc>
          <w:tcPr>
            <w:tcW w:w="603"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业务监管</w:t>
            </w:r>
          </w:p>
        </w:tc>
        <w:tc>
          <w:tcPr>
            <w:tcW w:w="1286"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预警处置中心</w:t>
            </w: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待办任务管理：在模块中可进行个人待处理、待审核任务的总览和详情查看处理等管理操作。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已办任务管理：在模块中可进行个人已办任务的总览和详情查看等管理操作。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手工报警：支持对无法通过数据规则预警的风险信息进行手工报警录入。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预警处理：用户登录平台后查看对应警情的详情证据信息，并可在有权限的情况下支持警情处理、上报、退办、审核等操作功能。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预警提醒：对预警信息的处理进行通知提醒。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综合查询</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综合查询：对风险预警信息、处理信息的综合查询。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预警详情：对接机动车、驾驶人、违法、强制措施等详情页面；展示用户操作日志。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效能评估</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按部门统计：针对各模块预警按部门进行多维统计报表输出。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按风险类型统计：针对各模块预警按风险类型进行多维统计报表输出。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按人员统计：针对各模块预警按人员进行多维统计报表输出。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执法记录</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执法量统计：执法量包含一般事故、简易事故、简单处罚、强制措施；统计各执法量数据情况。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执法总览：以柱状图的形式统计部门/警员执法量TOP5。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执法列表：以列表的形式，展示各部门/警员各类型执法量的统计结果。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参数设置</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风险点管理：通过可视化页面配置风险点的配置项和可变参数阈值。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风险点白名单管理：对每个风险点可分别配置对应时间范围的对应人员的白名单，提高预警的容错性。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非工作日管理：非工作日管理是对一年以来特殊日期（节假日等）对“假期类型”进行补充定义的。定义的日期一般为节假日前后，以此来确定该日期为“休息”还是“上班”。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系统监控</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运行报表：运行报表提供可视化的调度报表的统计（任务数量、调度次数、执行器数量、比例图），可以让用户快速了解到执行器在系统中的运行状态。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任务管理：任务管理用来控制各风险点的开关，来保证系统能够每天自动生成对应风险点的预警。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调度日志：提供自动生成风险点的执行日志（包括：调度时间、任务ID、调度结果、执行时间）。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执行器管理：在此页面中可以查看系统中注册的执行器列表。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警员管理</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警员管理：可以对预警到的警员进行新增、删除、修改操作。支持同步其他平台警员数据。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03"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1286"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民警画像：展示民警个人基本信息，以及个人执法量和风险量统计结果。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shd w:val="clear" w:color="auto" w:fill="auto"/>
            <w:noWrap/>
            <w:vAlign w:val="center"/>
          </w:tcPr>
          <w:p>
            <w:pPr>
              <w:widowControl/>
              <w:jc w:val="center"/>
              <w:rPr>
                <w:rFonts w:cs="宋体" w:asciiTheme="minorEastAsia" w:hAnsiTheme="minorEastAsia" w:eastAsiaTheme="minorEastAsia"/>
                <w:b/>
                <w:color w:val="auto"/>
                <w:kern w:val="0"/>
                <w:sz w:val="20"/>
                <w:szCs w:val="20"/>
              </w:rPr>
            </w:pPr>
            <w:r>
              <w:rPr>
                <w:rFonts w:hint="eastAsia" w:cs="宋体" w:asciiTheme="minorEastAsia" w:hAnsiTheme="minorEastAsia" w:eastAsiaTheme="minorEastAsia"/>
                <w:b/>
                <w:color w:val="auto"/>
                <w:kern w:val="0"/>
                <w:sz w:val="20"/>
                <w:szCs w:val="20"/>
              </w:rPr>
              <w:t>（五）</w:t>
            </w:r>
          </w:p>
        </w:tc>
        <w:tc>
          <w:tcPr>
            <w:tcW w:w="603" w:type="pct"/>
            <w:shd w:val="clear" w:color="auto" w:fill="auto"/>
            <w:vAlign w:val="center"/>
          </w:tcPr>
          <w:p>
            <w:pPr>
              <w:widowControl/>
              <w:jc w:val="center"/>
              <w:rPr>
                <w:rFonts w:cs="宋体" w:asciiTheme="minorEastAsia" w:hAnsiTheme="minorEastAsia" w:eastAsiaTheme="minorEastAsia"/>
                <w:b/>
                <w:color w:val="auto"/>
                <w:kern w:val="0"/>
                <w:sz w:val="20"/>
                <w:szCs w:val="20"/>
              </w:rPr>
            </w:pPr>
            <w:r>
              <w:rPr>
                <w:rFonts w:hint="eastAsia" w:cs="宋体" w:asciiTheme="minorEastAsia" w:hAnsiTheme="minorEastAsia" w:eastAsiaTheme="minorEastAsia"/>
                <w:b/>
                <w:color w:val="auto"/>
                <w:kern w:val="0"/>
                <w:sz w:val="20"/>
                <w:szCs w:val="20"/>
              </w:rPr>
              <w:t>统一资源</w:t>
            </w:r>
          </w:p>
        </w:tc>
        <w:tc>
          <w:tcPr>
            <w:tcW w:w="1286" w:type="pct"/>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0" w:type="pct"/>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ascii="宋体" w:hAnsi="宋体" w:cs="宋体"/>
                <w:color w:val="auto"/>
                <w:kern w:val="0"/>
                <w:sz w:val="20"/>
                <w:szCs w:val="20"/>
              </w:rPr>
              <w:t>1</w:t>
            </w:r>
          </w:p>
        </w:tc>
        <w:tc>
          <w:tcPr>
            <w:tcW w:w="1889" w:type="pct"/>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统一资源</w:t>
            </w:r>
          </w:p>
        </w:tc>
        <w:tc>
          <w:tcPr>
            <w:tcW w:w="2630"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ascii="宋体" w:hAnsi="宋体"/>
                <w:color w:val="auto"/>
              </w:rPr>
              <w:t>模块需要复用资源中心提供的关系型数据库及分布式数据库，统一使用资源中心提供的大数据能力。</w:t>
            </w:r>
          </w:p>
        </w:tc>
      </w:tr>
    </w:tbl>
    <w:p>
      <w:pPr>
        <w:pStyle w:val="10"/>
        <w:rPr>
          <w:color w:val="auto"/>
        </w:rPr>
      </w:pPr>
    </w:p>
    <w:p>
      <w:pPr>
        <w:pStyle w:val="6"/>
        <w:rPr>
          <w:color w:val="auto"/>
        </w:rPr>
      </w:pPr>
      <w:r>
        <w:rPr>
          <w:rFonts w:hint="eastAsia"/>
          <w:color w:val="auto"/>
        </w:rPr>
        <w:t>数智决策模块</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1163"/>
        <w:gridCol w:w="1458"/>
        <w:gridCol w:w="5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序号</w:t>
            </w:r>
          </w:p>
        </w:tc>
        <w:tc>
          <w:tcPr>
            <w:tcW w:w="682" w:type="pct"/>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功能模块</w:t>
            </w:r>
          </w:p>
        </w:tc>
        <w:tc>
          <w:tcPr>
            <w:tcW w:w="855" w:type="pct"/>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cs="宋体" w:asciiTheme="minorEastAsia" w:hAnsiTheme="minorEastAsia" w:eastAsiaTheme="minorEastAsia"/>
                <w:b/>
                <w:bCs/>
                <w:color w:val="auto"/>
                <w:kern w:val="0"/>
                <w:sz w:val="20"/>
                <w:szCs w:val="20"/>
              </w:rPr>
              <w:t>子模块</w:t>
            </w:r>
          </w:p>
        </w:tc>
        <w:tc>
          <w:tcPr>
            <w:tcW w:w="2953" w:type="pct"/>
            <w:shd w:val="clear" w:color="auto" w:fill="auto"/>
            <w:vAlign w:val="center"/>
          </w:tcPr>
          <w:p>
            <w:pPr>
              <w:widowControl/>
              <w:jc w:val="center"/>
              <w:rPr>
                <w:rFonts w:cs="宋体" w:asciiTheme="minorEastAsia" w:hAnsiTheme="minorEastAsia" w:eastAsiaTheme="minorEastAsia"/>
                <w:b/>
                <w:bCs/>
                <w:color w:val="auto"/>
                <w:kern w:val="0"/>
                <w:sz w:val="20"/>
                <w:szCs w:val="20"/>
              </w:rPr>
            </w:pPr>
            <w:r>
              <w:rPr>
                <w:rFonts w:hint="eastAsia" w:ascii="宋体" w:hAnsi="宋体" w:cs="宋体"/>
                <w:b/>
                <w:bCs/>
                <w:color w:val="auto"/>
                <w:kern w:val="0"/>
                <w:sz w:val="20"/>
                <w:szCs w:val="2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1</w:t>
            </w:r>
          </w:p>
        </w:tc>
        <w:tc>
          <w:tcPr>
            <w:tcW w:w="682"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交通态势看板</w:t>
            </w: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交通态势看板-交通看板</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基于GIS地图，提供各辖区宏观掌握管辖区的交通态势的交通看板，根据权限配置管理层级不同，向不同层级单位提供不同范围的数据。综合展示</w:t>
            </w:r>
            <w:r>
              <w:rPr>
                <w:rFonts w:hint="eastAsia" w:cs="宋体" w:asciiTheme="minorEastAsia" w:hAnsiTheme="minorEastAsia"/>
                <w:color w:val="auto"/>
                <w:kern w:val="0"/>
                <w:sz w:val="20"/>
                <w:szCs w:val="20"/>
                <w:lang w:eastAsia="zh-CN"/>
              </w:rPr>
              <w:t>全市、市区、</w:t>
            </w:r>
            <w:r>
              <w:rPr>
                <w:rFonts w:hint="eastAsia" w:cs="宋体" w:asciiTheme="minorEastAsia" w:hAnsiTheme="minorEastAsia" w:eastAsiaTheme="minorEastAsia"/>
                <w:color w:val="auto"/>
                <w:kern w:val="0"/>
                <w:sz w:val="20"/>
                <w:szCs w:val="20"/>
              </w:rPr>
              <w:t>各辖区管辖区县</w:t>
            </w:r>
            <w:r>
              <w:rPr>
                <w:rFonts w:hint="eastAsia" w:cs="宋体" w:asciiTheme="minorEastAsia" w:hAnsiTheme="minorEastAsia"/>
                <w:color w:val="auto"/>
                <w:kern w:val="0"/>
                <w:sz w:val="20"/>
                <w:szCs w:val="20"/>
                <w:lang w:eastAsia="zh-CN"/>
              </w:rPr>
              <w:t>、中队、乡镇</w:t>
            </w:r>
            <w:r>
              <w:rPr>
                <w:rFonts w:hint="eastAsia" w:cs="宋体" w:asciiTheme="minorEastAsia" w:hAnsiTheme="minorEastAsia" w:eastAsiaTheme="minorEastAsia"/>
                <w:color w:val="auto"/>
                <w:kern w:val="0"/>
                <w:sz w:val="20"/>
                <w:szCs w:val="20"/>
              </w:rPr>
              <w:t>图层、路网结构图层、路况情况，动态展示实施道路交通流量情况、</w:t>
            </w:r>
            <w:r>
              <w:rPr>
                <w:rFonts w:hint="eastAsia" w:cs="宋体" w:asciiTheme="minorEastAsia" w:hAnsiTheme="minorEastAsia"/>
                <w:color w:val="auto"/>
                <w:kern w:val="0"/>
                <w:sz w:val="20"/>
                <w:szCs w:val="20"/>
                <w:lang w:eastAsia="zh-CN"/>
              </w:rPr>
              <w:t>在途量、</w:t>
            </w:r>
            <w:r>
              <w:rPr>
                <w:rFonts w:hint="eastAsia" w:cs="宋体" w:asciiTheme="minorEastAsia" w:hAnsiTheme="minorEastAsia" w:eastAsiaTheme="minorEastAsia"/>
                <w:color w:val="auto"/>
                <w:kern w:val="0"/>
                <w:sz w:val="20"/>
                <w:szCs w:val="20"/>
              </w:rPr>
              <w:t>城市道路拥堵路段排名、宏观拥堵指数、实时动态警情情况（例如：警情分布、警情状态、警情总数、警情处置情况等）、实时警力分布情况，实时警员勤务状态（单兵的岗位情况等）</w:t>
            </w:r>
            <w:r>
              <w:rPr>
                <w:rFonts w:hint="eastAsia" w:cs="宋体" w:asciiTheme="minorEastAsia" w:hAnsiTheme="minorEastAsia"/>
                <w:color w:val="auto"/>
                <w:kern w:val="0"/>
                <w:sz w:val="20"/>
                <w:szCs w:val="20"/>
                <w:lang w:eastAsia="zh-CN"/>
              </w:rPr>
              <w:t>、当前图层交警部门值班领导等信息</w:t>
            </w:r>
            <w:r>
              <w:rPr>
                <w:rFonts w:hint="eastAsia" w:cs="宋体" w:asciiTheme="minorEastAsia" w:hAnsiTheme="minorEastAsia" w:eastAsiaTheme="minorEastAsia"/>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交通态势看板-早晚高峰看板</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基于GIS地图，提供各辖区早晚高峰管辖区域内整体交通态势的早晚高峰看板，根据权限配置管理层级不同，向不同层级单位提供不同范围的数据。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交通态势看板-平峰看板</w:t>
            </w:r>
          </w:p>
        </w:tc>
        <w:tc>
          <w:tcPr>
            <w:tcW w:w="2953"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提供平峰看板功能，展示平峰期动态交通态势情况，并提供道路整治工作进展及成果信息。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交通态势看板-夜间看板</w:t>
            </w:r>
          </w:p>
        </w:tc>
        <w:tc>
          <w:tcPr>
            <w:tcW w:w="2953"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基于GIS地图，提供夜间交通态势的夜间看板，展示夜间各类勤务及执法情况。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交通态势看板-节假日看板</w:t>
            </w:r>
          </w:p>
        </w:tc>
        <w:tc>
          <w:tcPr>
            <w:tcW w:w="2953"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针对法定节假日，提供节假日勤务模式的动态监管动态信息。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交通态势看板-恶劣气象看板</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提供展示气象情况的恶劣气象看板功能。显示气象对道路安全影响，并叠加气象风云图。</w:t>
            </w:r>
            <w:r>
              <w:rPr>
                <w:rFonts w:hint="eastAsia" w:cs="宋体" w:asciiTheme="minorEastAsia" w:hAnsiTheme="minorEastAsia"/>
                <w:color w:val="auto"/>
                <w:kern w:val="0"/>
                <w:sz w:val="20"/>
                <w:szCs w:val="20"/>
                <w:lang w:eastAsia="zh-CN"/>
              </w:rPr>
              <w:t>可查看至少</w:t>
            </w:r>
            <w:r>
              <w:rPr>
                <w:rFonts w:hint="eastAsia" w:cs="宋体" w:asciiTheme="minorEastAsia" w:hAnsiTheme="minorEastAsia"/>
                <w:color w:val="auto"/>
                <w:kern w:val="0"/>
                <w:sz w:val="20"/>
                <w:szCs w:val="20"/>
                <w:lang w:val="en-US" w:eastAsia="zh-CN"/>
              </w:rPr>
              <w:t>7日气象预报信息。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2</w:t>
            </w:r>
          </w:p>
        </w:tc>
        <w:tc>
          <w:tcPr>
            <w:tcW w:w="682"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指挥看板</w:t>
            </w: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指挥看板-指挥中心工作台</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向用户提供各类信息概览和工作清单的工作台功能。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指挥看板-电子地图可视化</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基于GIS平台，提供基础地图功能及路网态势。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指挥看板-到岗整体情况</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基于GIS平台，展示各辖区警员勤务到岗情况及出勤信息。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指挥看板-重点岗勤情况</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对于当前勤务管理信息，展示重点岗勤情况，并提供异常显示功能。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指挥看板-常堵、敏感监视</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基于交通流信息，展示敏感区域内相关流量及拥堵信息。</w:t>
            </w:r>
            <w:r>
              <w:rPr>
                <w:rFonts w:hint="eastAsia" w:cs="宋体" w:asciiTheme="minorEastAsia" w:hAnsiTheme="minorEastAsia"/>
                <w:color w:val="auto"/>
                <w:kern w:val="0"/>
                <w:sz w:val="20"/>
                <w:szCs w:val="20"/>
                <w:lang w:eastAsia="zh-CN"/>
              </w:rPr>
              <w:t>应对当前流量及流量增、减趋势提供预测的拥堵加剧或者缓减判断信息。流量异常增加、减少（含百分比）信息。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指挥看板-干线通行监视</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基于GIS平台，分色展示干线路网实时路况，并可进行视频查看。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1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指挥看板-事件关键节点处置督导</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监控警情处置过程，并提供异常提醒功能。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指挥看板-交通警情</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基于GIS平台，显示当前重要警情点位、处置进度信息（当天）；按辖区显示实时未派警、未签收、未反馈等警情点位，按照影响等级三色显示</w:t>
            </w:r>
            <w:r>
              <w:rPr>
                <w:rFonts w:hint="eastAsia" w:cs="宋体" w:asciiTheme="minorEastAsia" w:hAnsiTheme="minorEastAsia" w:eastAsiaTheme="minorEastAsia"/>
                <w:color w:val="auto"/>
                <w:kern w:val="0"/>
                <w:sz w:val="20"/>
                <w:szCs w:val="20"/>
                <w:lang w:eastAsia="zh-CN"/>
              </w:rPr>
              <w:t>；</w:t>
            </w:r>
            <w:r>
              <w:rPr>
                <w:rFonts w:hint="eastAsia" w:cs="宋体" w:asciiTheme="minorEastAsia" w:hAnsiTheme="minorEastAsia"/>
                <w:color w:val="auto"/>
                <w:kern w:val="0"/>
                <w:sz w:val="20"/>
                <w:szCs w:val="20"/>
                <w:lang w:eastAsia="zh-CN"/>
              </w:rPr>
              <w:t>重大、敏感警情独立展示处置进度，可一键调取出警警车、</w:t>
            </w:r>
            <w:r>
              <w:rPr>
                <w:rFonts w:hint="eastAsia" w:cs="宋体" w:asciiTheme="minorEastAsia" w:hAnsiTheme="minorEastAsia"/>
                <w:color w:val="auto"/>
                <w:kern w:val="0"/>
                <w:sz w:val="20"/>
                <w:szCs w:val="20"/>
                <w:lang w:val="en-US" w:eastAsia="zh-CN"/>
              </w:rPr>
              <w:t>4G执法记录仪信息。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指挥看板-施工管制</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基于GIS平台，显示目前正管制、施工地点，并展示详细信息等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3</w:t>
            </w:r>
          </w:p>
        </w:tc>
        <w:tc>
          <w:tcPr>
            <w:tcW w:w="682"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情报看板</w:t>
            </w: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情报看板-交通流量</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基于GIS平台，展示交通流量信息及异常拥堵相关路段状况。呈现城市通行车辆综合状况、异常拥堵路段及交通状况、常堵路段及交通状况、敏感路段及交通状况、今日交通态势趋势的统计分析、交通路况。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情报看板-路面防控数据</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针对交通违法信息进行各类统计，提供路面防控类信息展示。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情报看板-交通情报数据</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提供机驾、路况等专题看板，展示交通情报相关数据。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4</w:t>
            </w:r>
          </w:p>
        </w:tc>
        <w:tc>
          <w:tcPr>
            <w:tcW w:w="682"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勤务看板</w:t>
            </w: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勤务看板-勤务部署专题展示</w:t>
            </w:r>
          </w:p>
        </w:tc>
        <w:tc>
          <w:tcPr>
            <w:tcW w:w="2953"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基于GIS平台，展示交通治理、勤务岗位部署及勤务排班等各类勤务部署专题内容展示，重点展示交通堵点、乱点、黑点、盲点，重点区域等，同时，通过调整时间轴，可以查看在不同时间段内勤务岗位排班情况。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勤务看板-实时勤务专题展示</w:t>
            </w:r>
          </w:p>
        </w:tc>
        <w:tc>
          <w:tcPr>
            <w:tcW w:w="2953"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绩效、勤务部署及勤务动态等信息，通过实时勤务专题展示功能进行展示包括警情处置成果、主动发现成果、巡逻盘查成果、专项打击成果、警情处置成果等，同时将展示最新警情动态，并对警情进行分类统计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勤务看板-绩效评价专题展示</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在绩效评价专题展示界面，将展示民警的**工作全息记录，客观展示民警的工作经历和表现，全面掌握民警政治业务素质和履职情况。</w:t>
            </w:r>
          </w:p>
          <w:p>
            <w:pPr>
              <w:widowControl/>
              <w:jc w:val="left"/>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rPr>
              <w:t>基本信息展示：基本信息展示模块，将详细展示当前民警信息，包括个人基本信息、休假信息、装备信息等。</w:t>
            </w:r>
          </w:p>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政工考评展示：在政工考评展示模块，将详细展示警员的**工作情况，包括执法任务、主动**、战力分析、政务执行等。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5</w:t>
            </w:r>
          </w:p>
        </w:tc>
        <w:tc>
          <w:tcPr>
            <w:tcW w:w="682" w:type="pct"/>
            <w:vMerge w:val="restart"/>
            <w:shd w:val="clear" w:color="auto" w:fill="auto"/>
            <w:vAlign w:val="center"/>
          </w:tcPr>
          <w:p>
            <w:pPr>
              <w:widowControl/>
              <w:jc w:val="center"/>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基础看板</w:t>
            </w: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基础通览-人员分布</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展示辖区内人员分布情况，包括常住人口、暂住人口、60岁老人、**人员等人员类型分布，以图表或者表格的形式展示。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基础通览-驾驶人</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通过各维度展示辖区内驾驶人情况，包括驾驶人年龄段分布、准驾车型结构、男女比例、失驾毒驾</w:t>
            </w:r>
            <w:r>
              <w:rPr>
                <w:rFonts w:hint="eastAsia" w:cs="宋体" w:asciiTheme="minorEastAsia" w:hAnsiTheme="minorEastAsia"/>
                <w:color w:val="auto"/>
                <w:kern w:val="0"/>
                <w:sz w:val="20"/>
                <w:szCs w:val="20"/>
                <w:lang w:eastAsia="zh-CN"/>
              </w:rPr>
              <w:t>酒驾</w:t>
            </w:r>
            <w:r>
              <w:rPr>
                <w:rFonts w:hint="eastAsia" w:cs="宋体" w:asciiTheme="minorEastAsia" w:hAnsiTheme="minorEastAsia" w:eastAsiaTheme="minorEastAsia"/>
                <w:color w:val="auto"/>
                <w:kern w:val="0"/>
                <w:sz w:val="20"/>
                <w:szCs w:val="20"/>
              </w:rPr>
              <w:t>人员分布、驾驶证异常状态总数等，以图表或者表格的形式展示。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基础通览-车辆保有量</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通过各维度展示辖区内车辆情况，包括机动车保有量、电动二轮自行车保有量、三轮自行车、共享单车、机动车使用性质分类、重点机动车分类、状态异常总数等，以图表或者表格的形式展示。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基础通览-辖区信息汇总</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通过各维度汇总展示辖区交通信息，包括道路平均流量、事故黑点、社会停车场、小区停车场、学校、医院、道路施工路段、交通设施、教育培训点等。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基础通览-重点企业管理</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通过各维度展示辖区内重点企业信息，包括大型商超等企业，包括重点企业分布、重点机动车信息及重点驾驶人信息，以图表或者表格的形式展示。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基础通览-**执法成效</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通过各维度展示辖区**执法成效，包括违法执法数、接处警处置数、主动发现警情数。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基础通览-中队业务评价</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基于GIS平台，展示中队网格，计算并分色展示中队各业务指标评价信息。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研判预警-拥堵预警</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提供对辖区内拥堵的预警功能，包括拥堵路段预测预警、突发拥堵实时预警、交通流失衡状态预警等，以图表或者表格的形式展示。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研判预警-事故预警</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提供对辖区内事故类信息的预警功能，包含重点车辆事故预警、重点驾驶人事故预警、60岁老人事故预警、中小学生事故预警并以图表或者表格的形式展示。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研判预警-安全隐患预警</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提供对辖区内安全隐患类的预警功能，包括未检车辆上路行驶预警、报废车辆上路行驶预警、失驾人员车辆上路行驶预警、**人员车辆上路行驶预警并以图表或者表格的形式展示。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工作助理-工作任务提醒</w:t>
            </w:r>
          </w:p>
        </w:tc>
        <w:tc>
          <w:tcPr>
            <w:tcW w:w="2953"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接入数智实战应用模块中，需要本辖区完成的工作任务，并进行提醒和展示。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工作助理-未完成任务提醒</w:t>
            </w:r>
          </w:p>
        </w:tc>
        <w:tc>
          <w:tcPr>
            <w:tcW w:w="2953"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接入数智实战应用模块中，本辖区尚未完成的工作任务提醒，包括缉查任务未执行提醒及接处警超时提醒，在统一应用门户中提醒，用户点击可直接进入处理功能界面。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工作助理-队伍管理</w:t>
            </w:r>
          </w:p>
        </w:tc>
        <w:tc>
          <w:tcPr>
            <w:tcW w:w="2953"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对队伍管理谈话过程进行录入等管理操作，并提供谈话记录查询功能。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工作助理-工作成效</w:t>
            </w:r>
          </w:p>
        </w:tc>
        <w:tc>
          <w:tcPr>
            <w:tcW w:w="2953"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提供辖区内工作成效功能，包括告知信息处置登记及工作成效分析等并以图表或者表格的形式展示。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公众服务-安全出行提示</w:t>
            </w:r>
          </w:p>
        </w:tc>
        <w:tc>
          <w:tcPr>
            <w:tcW w:w="2953"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提供对辖区内公众出行提示服务，并提供安全出行提示数据汇总、发送短信确认、短信发送清单、短信回执接收等功能。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公众服务-短信模板管理</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对发送的公众服务短信提供短信模板定制、修订、停用功能，并可设置每月发送短信数量。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信息维护-小区信息维护</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对辖区内小区信息进行维护，包括数据接入、补充采集和停车位采集。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信息维护-停车场信息维护</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对辖区内停车场信息进行维护，包括对社会停车场和路边停车场的数据接入及数据采集功能，能够显示停车位总数、已用数、可用数等；显示绿色配送车辆专用停车位数及使用情况。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信息维护-业务参数管理</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对中队分色预警的指标项和指标值提供参数管理功能。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信息维护-信息录入</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对中队缺失的信息，提供人工录入功能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widowControl/>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6</w:t>
            </w:r>
          </w:p>
        </w:tc>
        <w:tc>
          <w:tcPr>
            <w:tcW w:w="682" w:type="pct"/>
            <w:vMerge w:val="restar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事故看板</w:t>
            </w:r>
          </w:p>
        </w:tc>
        <w:tc>
          <w:tcPr>
            <w:tcW w:w="855" w:type="pct"/>
            <w:vMerge w:val="restar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事故可视化展示</w:t>
            </w: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黑点黑段分析：</w:t>
            </w:r>
            <w:r>
              <w:rPr>
                <w:rFonts w:hint="eastAsia" w:cs="宋体" w:asciiTheme="minorEastAsia" w:hAnsiTheme="minorEastAsia" w:eastAsiaTheme="minorEastAsia"/>
                <w:color w:val="auto"/>
                <w:kern w:val="0"/>
                <w:sz w:val="20"/>
                <w:szCs w:val="20"/>
                <w:lang w:eastAsia="zh-Hans"/>
              </w:rPr>
              <w:t>可以查询高发时间段、高发单位、高发年龄段、高发违法行为、事故高发路段等的事故发生情况，并且可以自定义条件以黑点、黑段、事故数形式在地图上展示，并且点击可以查看事故详情以及成因内容。也支持从机动车、道路、环境、当事人等多维条件，自定义组合查询事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动态多维分析：</w:t>
            </w:r>
            <w:r>
              <w:rPr>
                <w:rFonts w:hint="eastAsia" w:cs="宋体" w:asciiTheme="minorEastAsia" w:hAnsiTheme="minorEastAsia" w:eastAsiaTheme="minorEastAsia"/>
                <w:color w:val="auto"/>
                <w:kern w:val="0"/>
                <w:sz w:val="20"/>
                <w:szCs w:val="20"/>
                <w:lang w:eastAsia="zh-Hans"/>
              </w:rPr>
              <w:t>对高发时间段、高发单位、高发年龄段、高发违法行为、事故高发路段等的事故发生情况进行具体的深度下钻分析，例如分析某个高发时段中是具体哪个年龄段,这个年龄段下高发在哪个路段的哪种违法行为或交通方式等，可以自由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热力图：</w:t>
            </w:r>
            <w:r>
              <w:rPr>
                <w:rFonts w:hint="eastAsia" w:cs="宋体" w:asciiTheme="minorEastAsia" w:hAnsiTheme="minorEastAsia" w:eastAsiaTheme="minorEastAsia"/>
                <w:color w:val="auto"/>
                <w:kern w:val="0"/>
                <w:sz w:val="20"/>
                <w:szCs w:val="20"/>
                <w:lang w:eastAsia="zh-Hans"/>
              </w:rPr>
              <w:t>可以查询根据查询时间查询不同事故类型以及接警信息的情况，在地图上以热力图的形式展现。</w:t>
            </w:r>
            <w:r>
              <w:rPr>
                <w:rFonts w:hint="eastAsia" w:cs="宋体" w:asciiTheme="minorEastAsia" w:hAnsiTheme="minorEastAsia" w:eastAsiaTheme="minorEastAsia"/>
                <w:color w:val="auto"/>
                <w:kern w:val="0"/>
                <w:sz w:val="20"/>
                <w:szCs w:val="20"/>
              </w:rPr>
              <w:t>按照辖区、时间段显示事故多发点、段。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953" w:type="pct"/>
            <w:shd w:val="clear" w:color="auto" w:fill="auto"/>
            <w:vAlign w:val="center"/>
          </w:tcPr>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事故黑点自动展示：能够根据后台配置的条件，显示默认事故黑点信息。</w:t>
            </w:r>
          </w:p>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1）黑点自动化展示</w:t>
            </w:r>
          </w:p>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系统对大队或中队任意时间段内所发生的不同类型的事故，根据单位面积事故密度从高到底列表展示，并可生成列表导出，展示数量可自由设定。</w:t>
            </w:r>
          </w:p>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系统根据道路名称或道路类型、事故时间段、所属大队或中队、车辆类型、人员类型、违法行为、天气、照明等组合条件，展示发案点位。</w:t>
            </w:r>
          </w:p>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能够根据后台设置的事故黑点生成条件，自动显示符合条件的事故黑点。</w:t>
            </w:r>
          </w:p>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同时，事故查询条件保留，可以结合实际需求进行定制化查询。</w:t>
            </w:r>
          </w:p>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2）参数配置</w:t>
            </w:r>
          </w:p>
          <w:p>
            <w:pPr>
              <w:widowControl/>
              <w:jc w:val="left"/>
              <w:rPr>
                <w:rFonts w:hint="eastAsia"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在后台提供参数配置功能，可以设置事故黑点展现的默认条件。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682"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855" w:type="pct"/>
            <w:vMerge w:val="continue"/>
            <w:shd w:val="clear" w:color="auto" w:fill="auto"/>
            <w:vAlign w:val="center"/>
          </w:tcPr>
          <w:p>
            <w:pPr>
              <w:widowControl/>
              <w:jc w:val="left"/>
              <w:rPr>
                <w:rFonts w:cs="宋体" w:asciiTheme="minorEastAsia" w:hAnsiTheme="minorEastAsia" w:eastAsiaTheme="minorEastAsia"/>
                <w:color w:val="auto"/>
                <w:kern w:val="0"/>
                <w:sz w:val="20"/>
                <w:szCs w:val="20"/>
              </w:rPr>
            </w:pPr>
          </w:p>
        </w:tc>
        <w:tc>
          <w:tcPr>
            <w:tcW w:w="2953" w:type="pct"/>
            <w:shd w:val="clear" w:color="auto" w:fill="auto"/>
            <w:vAlign w:val="center"/>
          </w:tcPr>
          <w:p>
            <w:pP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事故黑点整改效果：</w:t>
            </w:r>
          </w:p>
          <w:p>
            <w:pPr>
              <w:rPr>
                <w:rFonts w:ascii="宋体" w:hAnsi="宋体" w:cs="宋体"/>
                <w:color w:val="auto"/>
                <w:sz w:val="20"/>
                <w:szCs w:val="20"/>
              </w:rPr>
            </w:pPr>
            <w:r>
              <w:rPr>
                <w:rFonts w:ascii="宋体" w:hAnsi="宋体" w:cs="宋体"/>
                <w:color w:val="auto"/>
                <w:sz w:val="20"/>
                <w:szCs w:val="20"/>
              </w:rPr>
              <w:t>1</w:t>
            </w:r>
            <w:r>
              <w:rPr>
                <w:rFonts w:hint="eastAsia" w:ascii="宋体" w:hAnsi="宋体" w:cs="宋体"/>
                <w:color w:val="auto"/>
                <w:sz w:val="20"/>
                <w:szCs w:val="20"/>
              </w:rPr>
              <w:t>）整治效果录入</w:t>
            </w:r>
          </w:p>
          <w:p>
            <w:pPr>
              <w:rPr>
                <w:rFonts w:ascii="宋体" w:hAnsi="宋体" w:cs="宋体"/>
                <w:color w:val="auto"/>
                <w:sz w:val="20"/>
                <w:szCs w:val="20"/>
              </w:rPr>
            </w:pPr>
            <w:r>
              <w:rPr>
                <w:rFonts w:hint="eastAsia" w:ascii="宋体" w:hAnsi="宋体" w:cs="宋体"/>
                <w:color w:val="auto"/>
                <w:sz w:val="20"/>
                <w:szCs w:val="20"/>
              </w:rPr>
              <w:t>提供整治效果录入功能，可以录入整治前后事故现场照片、视频，以及添加文字补充描述等。</w:t>
            </w:r>
          </w:p>
          <w:p>
            <w:pPr>
              <w:rPr>
                <w:rFonts w:ascii="宋体" w:hAnsi="宋体" w:cs="宋体"/>
                <w:color w:val="auto"/>
                <w:sz w:val="20"/>
                <w:szCs w:val="20"/>
              </w:rPr>
            </w:pPr>
            <w:r>
              <w:rPr>
                <w:rFonts w:ascii="宋体" w:hAnsi="宋体" w:cs="宋体"/>
                <w:color w:val="auto"/>
                <w:sz w:val="20"/>
                <w:szCs w:val="20"/>
              </w:rPr>
              <w:t>2</w:t>
            </w:r>
            <w:r>
              <w:rPr>
                <w:rFonts w:hint="eastAsia" w:ascii="宋体" w:hAnsi="宋体" w:cs="宋体"/>
                <w:color w:val="auto"/>
                <w:sz w:val="20"/>
                <w:szCs w:val="20"/>
              </w:rPr>
              <w:t>）整治效果共享</w:t>
            </w:r>
          </w:p>
          <w:p>
            <w:pPr>
              <w:rPr>
                <w:rFonts w:ascii="宋体" w:hAnsi="宋体" w:cs="宋体"/>
                <w:color w:val="auto"/>
                <w:sz w:val="20"/>
                <w:szCs w:val="20"/>
              </w:rPr>
            </w:pPr>
            <w:r>
              <w:rPr>
                <w:rFonts w:hint="eastAsia" w:ascii="宋体" w:hAnsi="宋体" w:cs="宋体"/>
                <w:color w:val="auto"/>
                <w:sz w:val="20"/>
                <w:szCs w:val="20"/>
              </w:rPr>
              <w:t>交通事故处理完毕后，可以通过设立的专栏将事故处理过程中发现的安全隐患报送秩序部门，达到及时整改目的。</w:t>
            </w:r>
          </w:p>
          <w:p>
            <w:pPr>
              <w:rPr>
                <w:rFonts w:ascii="宋体" w:hAnsi="宋体" w:cs="宋体"/>
                <w:color w:val="auto"/>
                <w:sz w:val="20"/>
                <w:szCs w:val="20"/>
              </w:rPr>
            </w:pPr>
            <w:r>
              <w:rPr>
                <w:rFonts w:ascii="宋体" w:hAnsi="宋体" w:cs="宋体"/>
                <w:color w:val="auto"/>
                <w:sz w:val="20"/>
                <w:szCs w:val="20"/>
              </w:rPr>
              <w:t>3</w:t>
            </w:r>
            <w:r>
              <w:rPr>
                <w:rFonts w:hint="eastAsia" w:ascii="宋体" w:hAnsi="宋体" w:cs="宋体"/>
                <w:color w:val="auto"/>
                <w:sz w:val="20"/>
                <w:szCs w:val="20"/>
              </w:rPr>
              <w:t>）整治效果展示</w:t>
            </w:r>
          </w:p>
          <w:p>
            <w:pPr>
              <w:widowControl/>
              <w:jc w:val="left"/>
              <w:rPr>
                <w:rFonts w:cs="宋体" w:asciiTheme="minorEastAsia" w:hAnsiTheme="minorEastAsia" w:eastAsiaTheme="minorEastAsia"/>
                <w:color w:val="auto"/>
                <w:kern w:val="0"/>
                <w:sz w:val="20"/>
                <w:szCs w:val="20"/>
              </w:rPr>
            </w:pPr>
            <w:r>
              <w:rPr>
                <w:rFonts w:hint="eastAsia" w:ascii="宋体" w:hAnsi="宋体" w:cs="宋体"/>
                <w:color w:val="auto"/>
                <w:sz w:val="20"/>
                <w:szCs w:val="20"/>
              </w:rPr>
              <w:t>可直观展示事故黑点整治情况、整治方案、目前已采取的临时安全措施、整治前后事故数量及效果对比情况等。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vAlign w:val="center"/>
          </w:tcPr>
          <w:p>
            <w:pPr>
              <w:widowControl/>
              <w:jc w:val="center"/>
              <w:rPr>
                <w:rFonts w:cs="宋体"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7</w:t>
            </w:r>
          </w:p>
        </w:tc>
        <w:tc>
          <w:tcPr>
            <w:tcW w:w="1537" w:type="pct"/>
            <w:gridSpan w:val="2"/>
            <w:shd w:val="clear" w:color="auto" w:fill="auto"/>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统一资源</w:t>
            </w:r>
          </w:p>
        </w:tc>
        <w:tc>
          <w:tcPr>
            <w:tcW w:w="2953" w:type="pct"/>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ascii="宋体" w:hAnsi="宋体"/>
                <w:color w:val="auto"/>
                <w:sz w:val="20"/>
                <w:szCs w:val="20"/>
              </w:rPr>
              <w:t>模块需要复用资源中心提供的关系型数据库及分布式数据库，统一使用资源中心提供的大数据能力。</w:t>
            </w:r>
          </w:p>
        </w:tc>
      </w:tr>
    </w:tbl>
    <w:p>
      <w:pPr>
        <w:pStyle w:val="56"/>
        <w:rPr>
          <w:color w:val="auto"/>
        </w:rPr>
      </w:pPr>
    </w:p>
    <w:p>
      <w:pPr>
        <w:pStyle w:val="6"/>
        <w:rPr>
          <w:color w:val="auto"/>
        </w:rPr>
      </w:pPr>
      <w:r>
        <w:rPr>
          <w:rFonts w:hint="eastAsia"/>
          <w:color w:val="auto"/>
        </w:rPr>
        <w:t>高地一体化模块</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1085"/>
        <w:gridCol w:w="2172"/>
        <w:gridCol w:w="4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序号</w:t>
            </w:r>
          </w:p>
        </w:tc>
        <w:tc>
          <w:tcPr>
            <w:tcW w:w="636"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功能模块</w:t>
            </w:r>
          </w:p>
        </w:tc>
        <w:tc>
          <w:tcPr>
            <w:tcW w:w="1273"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子模块</w:t>
            </w:r>
          </w:p>
        </w:tc>
        <w:tc>
          <w:tcPr>
            <w:tcW w:w="2580"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1</w:t>
            </w:r>
          </w:p>
        </w:tc>
        <w:tc>
          <w:tcPr>
            <w:tcW w:w="636"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图层数据管理与展示</w:t>
            </w: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交通状况上图</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接入流量、实时速度等交通指标，生成台州城区、高速实时交通状况，并上图展示。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交通事件上图</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接入12122警情、设备智能检测事件、恶劣天气等数据，连同模块研判的交通拥堵、重点人车轨迹、人工上报等事件进行实时预警并上图展示。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交通分析上图</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统计分析台州城区、高速历史拥堵事件、交通事故、交通事件的发生频次，得出每小时常发性拥堵路段、交通事故黑点以及交通事件黑点的分析结果，支持多个连续小时分析结果查询。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警力设备上图</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接入警员**通、警车4G车载台、联勤车辆、对讲机、执法记录仪等设备的基本信息和实时定位信息，支持民警、警车、联勤车辆、对讲机、执法记录仪等警力设备的上图展示。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智能设备上图</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接入视频监控、电子警察、智能卡口、信号机、无人机、诱导屏、雷视检测设备等智能设备的点位、状态信息并上图展示，支持视频监控、电子警察、智能卡口、雷视检测设备等在线状态设备实时视频调阅。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2</w:t>
            </w:r>
          </w:p>
        </w:tc>
        <w:tc>
          <w:tcPr>
            <w:tcW w:w="636"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高速事件预警与处置</w:t>
            </w: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信息推送_事件短信推送</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通过短信自动群发的方式向高速业主发布高速实时交通事件信息。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信息推送_事件接口推送</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通过接口向数据中心推送台州城区、高速实时交通事件信息。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设备智控_雷球联动控制</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根据雷视设备预警交通事件的类型、点位信息，自动筛选附近球形视频监控并上图展示，支持事发现场视频实时调阅，辅助用户进行事件复核。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高速预警中心</w:t>
            </w:r>
          </w:p>
        </w:tc>
        <w:tc>
          <w:tcPr>
            <w:tcW w:w="2580" w:type="pct"/>
            <w:shd w:val="clear" w:color="auto" w:fill="auto"/>
            <w:vAlign w:val="center"/>
          </w:tcPr>
          <w:p>
            <w:pPr>
              <w:widowControl/>
              <w:tabs>
                <w:tab w:val="left" w:pos="1560"/>
              </w:tabs>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以一个工作台账的形式，根据各大队管辖范围，向各大队指挥室展示四色车辆经过点位的预警信息、高速雷达事件信息、警情信息、即时违法信息，并且实时调取车辆当前违法情况进行比对，确保数据准确；车辆下台州高速时精准预警，违法事件闭环处置，违法实时转入六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预警推送移动终端</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结合预警中心预警的信息和路面警力执勤点，将预警信息精准推送至高速移动**上，完成违法车辆当场处罚，违法数据智能判断不上传非现场，直接进入六合一系统。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3</w:t>
            </w:r>
          </w:p>
        </w:tc>
        <w:tc>
          <w:tcPr>
            <w:tcW w:w="636"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高速车辆标签画像</w:t>
            </w: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标签获取</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针对高速车辆基本信息、违法类型、每月通行频次、通行主要时段途径台州辖区类型、目的地、上下高速状态、事故处理情况等特征状态进行标签化描述。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一车一档</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接入省高速总队卡口过车、事故、违法数据，提供高速车辆基础信息展示、积分分析、标签分析、过车记录查询、违法记录查询、事故记录查询、四色码管理功能。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配置管理</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提供高速车辆积分和重点车辆库的查询、管理功能。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积分四色码查询</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搭建浙政钉和浙里办互联网入口，向公众提供车辆积分情况、四色码颜色等信息的查询。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高频车管理</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接入卡口过车数据，提供一定时间内高频经过同一个卡口的车辆查询，进一步统计分析高频车辆周、月变化趋势等；积分分值变化致使色码改变的车辆，将通过短信等方式向车主推送相关信息。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移动服务</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提供高频车管理、加分操作证明材料的上传、指定数据推送、色码查询等功能。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4</w:t>
            </w:r>
          </w:p>
        </w:tc>
        <w:tc>
          <w:tcPr>
            <w:tcW w:w="636"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多源数据分析与展示</w:t>
            </w:r>
          </w:p>
        </w:tc>
        <w:tc>
          <w:tcPr>
            <w:tcW w:w="1273"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多源数据分析_路口流量计算模型</w:t>
            </w:r>
          </w:p>
        </w:tc>
        <w:tc>
          <w:tcPr>
            <w:tcW w:w="25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从数据中心获取台州城区电子警察、微波雷达采集的车道流量，以5分钟为单位汇集为检测路口各进（出）口的流向流量。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多源数据分析_高速流量计算模型</w:t>
            </w:r>
          </w:p>
        </w:tc>
        <w:tc>
          <w:tcPr>
            <w:tcW w:w="25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获取高速路卡口、雷视检测设备采集的车道流量，以1小时为单位汇集成台州高速路段断面流量。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多源数据分析_出入高速匹配模型</w:t>
            </w:r>
          </w:p>
        </w:tc>
        <w:tc>
          <w:tcPr>
            <w:tcW w:w="25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获取所有高速路出入口卡口设备采集的车道流量，以1小时为单位汇集成高速出、入口流量。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数据查询展示_城市路口流量分析</w:t>
            </w:r>
          </w:p>
        </w:tc>
        <w:tc>
          <w:tcPr>
            <w:tcW w:w="25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指定日期、指定时段（至少能以半小时为单位）台州城区路口流量统计查询并以图、表形式展示，支持日期对比和路口对比。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数据查询展示_高速公路流量分析</w:t>
            </w:r>
          </w:p>
        </w:tc>
        <w:tc>
          <w:tcPr>
            <w:tcW w:w="25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指定日期、指定时段（至少能以半小时为单位）台州高速路段断面流量统计查询并以图、表形式展示，支持日期对比和路段对比。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数据查询展示_高速公路车速分析</w:t>
            </w:r>
          </w:p>
        </w:tc>
        <w:tc>
          <w:tcPr>
            <w:tcW w:w="25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指定日期、指定时段台州高速路段断面、区间平均车速统计查询并以图、表形式展示，支持日期对比和路段对比。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数据查询展示_高速公路车型结构分析</w:t>
            </w:r>
          </w:p>
        </w:tc>
        <w:tc>
          <w:tcPr>
            <w:tcW w:w="25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指定日期、指定时段台州高速路段断面、区间车型结构统计查询并以图、表形式展示，支持日期对比和路段对比。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5</w:t>
            </w:r>
          </w:p>
        </w:tc>
        <w:tc>
          <w:tcPr>
            <w:tcW w:w="636"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地图数据融合与处理</w:t>
            </w:r>
          </w:p>
        </w:tc>
        <w:tc>
          <w:tcPr>
            <w:tcW w:w="1273"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采购方指定地图数据处理_web端</w:t>
            </w:r>
          </w:p>
        </w:tc>
        <w:tc>
          <w:tcPr>
            <w:tcW w:w="258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接入采购方指定地图Web端数据，包括基础地图、高精度地图、卫星地图、路网数据、实时路况数据等。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采购方指定地图数据处理_移动端</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接入采购方指定地图移动端数据，包括基础地图、路网数据、实时路况数据等。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采购方指定地图数据高地融合处理</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采取坐标转换、图层拼接、上下层关系设置、配色统一等处理手段，使台州高速与台州城区精细化地图数据在一张图上和谐展示。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高速出入口交通渠化处理</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台州全市域范围12个高速出入口交通组织精细化地图的配置。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636" w:type="pct"/>
            <w:vMerge w:val="continue"/>
            <w:vAlign w:val="center"/>
          </w:tcPr>
          <w:p>
            <w:pPr>
              <w:widowControl/>
              <w:jc w:val="left"/>
              <w:rPr>
                <w:rFonts w:ascii="宋体" w:hAnsi="宋体" w:cs="宋体"/>
                <w:color w:val="auto"/>
                <w:kern w:val="0"/>
                <w:sz w:val="20"/>
                <w:szCs w:val="20"/>
              </w:rPr>
            </w:pPr>
          </w:p>
        </w:tc>
        <w:tc>
          <w:tcPr>
            <w:tcW w:w="127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高速路三维渲染引擎</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加载各种符合标准的地图图层，支持瓦片图、矢量图，支持3DMax等建模软件生成的obj文件，支持通用的GIS计算。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noWrap/>
            <w:vAlign w:val="center"/>
          </w:tcPr>
          <w:p>
            <w:pPr>
              <w:widowControl/>
              <w:jc w:val="center"/>
              <w:rPr>
                <w:rFonts w:ascii="宋体" w:hAnsi="宋体" w:cs="宋体"/>
                <w:color w:val="auto"/>
                <w:kern w:val="0"/>
                <w:sz w:val="20"/>
                <w:szCs w:val="20"/>
              </w:rPr>
            </w:pPr>
            <w:r>
              <w:rPr>
                <w:rFonts w:cs="宋体" w:asciiTheme="minorEastAsia" w:hAnsiTheme="minorEastAsia" w:eastAsiaTheme="minorEastAsia"/>
                <w:color w:val="auto"/>
                <w:kern w:val="0"/>
                <w:sz w:val="20"/>
                <w:szCs w:val="20"/>
              </w:rPr>
              <w:t>6</w:t>
            </w:r>
          </w:p>
        </w:tc>
        <w:tc>
          <w:tcPr>
            <w:tcW w:w="1909" w:type="pct"/>
            <w:gridSpan w:val="2"/>
            <w:vAlign w:val="center"/>
          </w:tcPr>
          <w:p>
            <w:pPr>
              <w:widowControl/>
              <w:jc w:val="center"/>
              <w:rPr>
                <w:rFonts w:ascii="宋体" w:hAnsi="宋体" w:cs="宋体"/>
                <w:color w:val="auto"/>
                <w:kern w:val="0"/>
                <w:sz w:val="20"/>
                <w:szCs w:val="20"/>
              </w:rPr>
            </w:pPr>
            <w:r>
              <w:rPr>
                <w:rFonts w:hint="eastAsia" w:cs="宋体" w:asciiTheme="minorEastAsia" w:hAnsiTheme="minorEastAsia" w:eastAsiaTheme="minorEastAsia"/>
                <w:color w:val="auto"/>
                <w:kern w:val="0"/>
                <w:sz w:val="20"/>
                <w:szCs w:val="20"/>
              </w:rPr>
              <w:t>统一资源</w:t>
            </w:r>
          </w:p>
        </w:tc>
        <w:tc>
          <w:tcPr>
            <w:tcW w:w="2580" w:type="pct"/>
            <w:shd w:val="clear" w:color="auto" w:fill="auto"/>
            <w:vAlign w:val="center"/>
          </w:tcPr>
          <w:p>
            <w:pPr>
              <w:widowControl/>
              <w:jc w:val="left"/>
              <w:rPr>
                <w:rFonts w:ascii="宋体" w:hAnsi="宋体" w:cs="宋体"/>
                <w:color w:val="auto"/>
                <w:kern w:val="0"/>
                <w:sz w:val="20"/>
                <w:szCs w:val="20"/>
              </w:rPr>
            </w:pPr>
            <w:r>
              <w:rPr>
                <w:rFonts w:hint="eastAsia" w:ascii="宋体" w:hAnsi="宋体"/>
                <w:color w:val="auto"/>
              </w:rPr>
              <w:t>模块需要复用资源中心提供的关系型数据库及分布式数据库，统一使用资源中心提供的大数据能力。</w:t>
            </w:r>
          </w:p>
        </w:tc>
      </w:tr>
    </w:tbl>
    <w:p>
      <w:pPr>
        <w:pStyle w:val="10"/>
        <w:rPr>
          <w:color w:val="auto"/>
        </w:rPr>
      </w:pPr>
    </w:p>
    <w:p>
      <w:pPr>
        <w:pStyle w:val="6"/>
        <w:rPr>
          <w:color w:val="auto"/>
        </w:rPr>
      </w:pPr>
      <w:r>
        <w:rPr>
          <w:rFonts w:hint="eastAsia"/>
          <w:color w:val="auto"/>
        </w:rPr>
        <w:t>信号控制提升模块</w:t>
      </w:r>
    </w:p>
    <w:tbl>
      <w:tblPr>
        <w:tblStyle w:val="22"/>
        <w:tblW w:w="4991" w:type="pct"/>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25"/>
        <w:gridCol w:w="2078"/>
        <w:gridCol w:w="4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序号</w:t>
            </w:r>
          </w:p>
        </w:tc>
        <w:tc>
          <w:tcPr>
            <w:tcW w:w="543"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功能模块</w:t>
            </w:r>
          </w:p>
        </w:tc>
        <w:tc>
          <w:tcPr>
            <w:tcW w:w="1219"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子模块</w:t>
            </w:r>
          </w:p>
        </w:tc>
        <w:tc>
          <w:tcPr>
            <w:tcW w:w="2738"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1</w:t>
            </w:r>
          </w:p>
        </w:tc>
        <w:tc>
          <w:tcPr>
            <w:tcW w:w="543"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信号控制提质升档</w:t>
            </w: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自适应控制提质升档_倒计时策略优化</w:t>
            </w:r>
          </w:p>
        </w:tc>
        <w:tc>
          <w:tcPr>
            <w:tcW w:w="2738"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优化工作日高峰期路口单点自适应倒计时策略，减少高峰期倒计时阶段绿时空放，进一步挖掘路口高峰期间通行能力。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自适应控制提质升档_路口联动自适应</w:t>
            </w:r>
          </w:p>
        </w:tc>
        <w:tc>
          <w:tcPr>
            <w:tcW w:w="2738"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当路口即将发生排队溢出现象时，联动上游相邻路口同步进行自适应调控，使溢出流向缓进快出，保障路口正常通行秩序。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自适应控制提质升档_短路段协调联动</w:t>
            </w:r>
          </w:p>
        </w:tc>
        <w:tc>
          <w:tcPr>
            <w:tcW w:w="2738"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短路段相邻路口协调方向配时和相位差联动调控，达到短路段不停车通过、排队短等目的。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自适应控制提质升档_绿波带宽自适应</w:t>
            </w:r>
          </w:p>
        </w:tc>
        <w:tc>
          <w:tcPr>
            <w:tcW w:w="2738"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绿波实施路口设置满足绿波运行的单点自适应策略，使绿波稳定运行的基础上，适时增加绿波带带宽，提升绿波运行效果。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新购信号机平台接入服务_信号机协议对接</w:t>
            </w:r>
          </w:p>
        </w:tc>
        <w:tc>
          <w:tcPr>
            <w:tcW w:w="2738"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对接新购信号机品牌厂商协议，调通新品牌信号机的功能运行和数据读写。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新购信号机平台接入服务_信号机运行测试</w:t>
            </w:r>
          </w:p>
        </w:tc>
        <w:tc>
          <w:tcPr>
            <w:tcW w:w="2738"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平台配置路口渠化、信号灯组等信息；并在平台上对信号机实际运行、参数读写等功能进行评估。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新购信号机平台接入服务_自适应功能测试</w:t>
            </w:r>
          </w:p>
        </w:tc>
        <w:tc>
          <w:tcPr>
            <w:tcW w:w="2738"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平台配置检测器信息，接入前端检测数据，测试平台自适应信号控制功能与新购信号机的匹配效果。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widowControl/>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全市域信控方案对外开放服务</w:t>
            </w:r>
          </w:p>
        </w:tc>
        <w:tc>
          <w:tcPr>
            <w:tcW w:w="2738"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向数据中心定期推送全市域信控路口配时方案、调度计划等信息，支持上述信息在“台州市公共出行数据开放平台”的定期发布。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498"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2</w:t>
            </w:r>
          </w:p>
        </w:tc>
        <w:tc>
          <w:tcPr>
            <w:tcW w:w="543"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交通信号人工优化服务</w:t>
            </w: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路口信号调优</w:t>
            </w:r>
          </w:p>
        </w:tc>
        <w:tc>
          <w:tcPr>
            <w:tcW w:w="2738"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融合多源数据，优化路口时段划分个数、时段范围和配时方案。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辅助管控服务</w:t>
            </w:r>
          </w:p>
        </w:tc>
        <w:tc>
          <w:tcPr>
            <w:tcW w:w="2738"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早、晚高峰期、节假日高峰期驻场辅助态势监管、信号调控；协助完成警卫路线信号优先保障；上报信号机脱机、车检器数据异常、灯组乱线、路面警情等异常事件；结合路面交通态势调优信控平台事件预警、自适应控制、溢出控制研判参数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交通管控预案咨询服务</w:t>
            </w:r>
          </w:p>
        </w:tc>
        <w:tc>
          <w:tcPr>
            <w:tcW w:w="2738"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根据重大活动或道路管制的地点、时间、日期、规模等信息，预测车辆出行特征，结合现状交通态势分析交通管控范围、交通组织方案、交通管控措施、信号调优方案。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1219" w:type="pct"/>
            <w:shd w:val="clear" w:color="auto" w:fill="auto"/>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管控舆情处理_交通拥堵分析</w:t>
            </w:r>
          </w:p>
        </w:tc>
        <w:tc>
          <w:tcPr>
            <w:tcW w:w="2738"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历史视频、检测器数据、态势指标等多元数据融合，还原拥堵过程，分析路口交通组织问题，提供信号调优、组织优化、管控措施建议；以回执单、报告、电话等方式回复来自12345、110、大队内部等信控相关舆情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widowControl/>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3958" w:type="pct"/>
            <w:gridSpan w:val="2"/>
            <w:shd w:val="clear" w:color="auto" w:fill="auto"/>
            <w:vAlign w:val="center"/>
          </w:tcPr>
          <w:p>
            <w:pPr>
              <w:widowControl/>
              <w:tabs>
                <w:tab w:val="left" w:pos="727"/>
              </w:tabs>
              <w:jc w:val="left"/>
              <w:rPr>
                <w:rFonts w:hint="default" w:ascii="宋体" w:hAnsi="宋体" w:eastAsia="宋体" w:cs="宋体"/>
                <w:color w:val="auto"/>
                <w:kern w:val="0"/>
                <w:sz w:val="20"/>
                <w:szCs w:val="20"/>
                <w:lang w:val="en-US" w:eastAsia="zh-CN"/>
              </w:rPr>
            </w:pPr>
            <w:r>
              <w:rPr>
                <w:rFonts w:hint="eastAsia" w:ascii="宋体" w:hAnsi="宋体" w:cs="宋体"/>
                <w:color w:val="auto"/>
                <w:sz w:val="24"/>
              </w:rPr>
              <w:t>★</w:t>
            </w:r>
            <w:r>
              <w:rPr>
                <w:rFonts w:hint="eastAsia" w:ascii="宋体" w:hAnsi="宋体" w:cs="宋体"/>
                <w:b/>
                <w:bCs/>
                <w:color w:val="auto"/>
                <w:kern w:val="0"/>
                <w:sz w:val="20"/>
                <w:szCs w:val="20"/>
                <w:lang w:eastAsia="zh-CN"/>
              </w:rPr>
              <w:t>至少提供</w:t>
            </w:r>
            <w:r>
              <w:rPr>
                <w:rFonts w:hint="eastAsia" w:ascii="宋体" w:hAnsi="宋体" w:cs="宋体"/>
                <w:b/>
                <w:bCs/>
                <w:color w:val="auto"/>
                <w:kern w:val="0"/>
                <w:sz w:val="20"/>
                <w:szCs w:val="20"/>
                <w:lang w:val="en-US" w:eastAsia="zh-CN"/>
              </w:rPr>
              <w:t>7个熟悉招标方信号管控系统，并有着丰富实际操作经验的人员驻场服务，驻场时间1年，从本项目合同签订之日算起。驻场期间，参与指挥中心值班，接受指挥中心、秩序、科技等业务部门交代的任务。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3</w:t>
            </w:r>
          </w:p>
        </w:tc>
        <w:tc>
          <w:tcPr>
            <w:tcW w:w="543"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智慧交管协同应用改造</w:t>
            </w: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统一认证用户登录</w:t>
            </w:r>
          </w:p>
        </w:tc>
        <w:tc>
          <w:tcPr>
            <w:tcW w:w="2738"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对接上级系统统一认证服务和用户体系，便于上级应用对系统用户的登录进行统一认证管理。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统一UI风格改造</w:t>
            </w:r>
          </w:p>
        </w:tc>
        <w:tc>
          <w:tcPr>
            <w:tcW w:w="2738"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基于台州交管信息化建设的软件页面风格标准，调整现有模块的配色、按钮位置等页面风格。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功能嵌入其它平台</w:t>
            </w:r>
          </w:p>
        </w:tc>
        <w:tc>
          <w:tcPr>
            <w:tcW w:w="2738"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平台整体或部分功能作为一个子模块或功能整合至上级平台，支撑上级平台的协同应用。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noWrap/>
            <w:vAlign w:val="center"/>
          </w:tcPr>
          <w:p>
            <w:pPr>
              <w:widowControl/>
              <w:jc w:val="center"/>
              <w:rPr>
                <w:rFonts w:ascii="宋体" w:hAnsi="宋体" w:cs="宋体"/>
                <w:color w:val="auto"/>
                <w:kern w:val="0"/>
                <w:sz w:val="20"/>
                <w:szCs w:val="20"/>
              </w:rPr>
            </w:pPr>
          </w:p>
        </w:tc>
        <w:tc>
          <w:tcPr>
            <w:tcW w:w="543" w:type="pct"/>
            <w:vMerge w:val="continue"/>
            <w:vAlign w:val="center"/>
          </w:tcPr>
          <w:p>
            <w:pPr>
              <w:widowControl/>
              <w:jc w:val="left"/>
              <w:rPr>
                <w:rFonts w:ascii="宋体" w:hAnsi="宋体" w:cs="宋体"/>
                <w:color w:val="auto"/>
                <w:kern w:val="0"/>
                <w:sz w:val="20"/>
                <w:szCs w:val="20"/>
              </w:rPr>
            </w:pPr>
          </w:p>
        </w:tc>
        <w:tc>
          <w:tcPr>
            <w:tcW w:w="1219"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信创国产化改造</w:t>
            </w:r>
          </w:p>
        </w:tc>
        <w:tc>
          <w:tcPr>
            <w:tcW w:w="2738"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前、后端软件代码、软件配置等改造，适配国产化操作系统、数据库、中间件等基础软件。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shd w:val="clear" w:color="auto" w:fill="auto"/>
            <w:noWrap/>
            <w:vAlign w:val="center"/>
          </w:tcPr>
          <w:p>
            <w:pPr>
              <w:widowControl/>
              <w:jc w:val="center"/>
              <w:rPr>
                <w:rFonts w:ascii="宋体" w:hAnsi="宋体" w:cs="宋体"/>
                <w:color w:val="auto"/>
                <w:kern w:val="0"/>
                <w:sz w:val="20"/>
                <w:szCs w:val="20"/>
              </w:rPr>
            </w:pPr>
            <w:r>
              <w:rPr>
                <w:rFonts w:cs="宋体" w:asciiTheme="minorEastAsia" w:hAnsiTheme="minorEastAsia" w:eastAsiaTheme="minorEastAsia"/>
                <w:color w:val="auto"/>
                <w:kern w:val="0"/>
                <w:sz w:val="20"/>
                <w:szCs w:val="20"/>
              </w:rPr>
              <w:t>4</w:t>
            </w:r>
          </w:p>
        </w:tc>
        <w:tc>
          <w:tcPr>
            <w:tcW w:w="1763" w:type="pct"/>
            <w:gridSpan w:val="2"/>
            <w:vAlign w:val="center"/>
          </w:tcPr>
          <w:p>
            <w:pPr>
              <w:widowControl/>
              <w:jc w:val="center"/>
              <w:rPr>
                <w:rFonts w:ascii="宋体" w:hAnsi="宋体" w:cs="宋体"/>
                <w:color w:val="auto"/>
                <w:kern w:val="0"/>
                <w:sz w:val="20"/>
                <w:szCs w:val="20"/>
              </w:rPr>
            </w:pPr>
            <w:r>
              <w:rPr>
                <w:rFonts w:hint="eastAsia" w:cs="宋体" w:asciiTheme="minorEastAsia" w:hAnsiTheme="minorEastAsia" w:eastAsiaTheme="minorEastAsia"/>
                <w:color w:val="auto"/>
                <w:kern w:val="0"/>
                <w:sz w:val="20"/>
                <w:szCs w:val="20"/>
              </w:rPr>
              <w:t>统一资源</w:t>
            </w:r>
          </w:p>
        </w:tc>
        <w:tc>
          <w:tcPr>
            <w:tcW w:w="2738" w:type="pct"/>
            <w:shd w:val="clear" w:color="auto" w:fill="auto"/>
            <w:vAlign w:val="center"/>
          </w:tcPr>
          <w:p>
            <w:pPr>
              <w:widowControl/>
              <w:jc w:val="left"/>
              <w:rPr>
                <w:rFonts w:ascii="宋体" w:hAnsi="宋体" w:cs="宋体"/>
                <w:color w:val="auto"/>
                <w:kern w:val="0"/>
                <w:sz w:val="20"/>
                <w:szCs w:val="20"/>
              </w:rPr>
            </w:pPr>
            <w:r>
              <w:rPr>
                <w:rFonts w:hint="eastAsia" w:ascii="宋体" w:hAnsi="宋体"/>
                <w:color w:val="auto"/>
              </w:rPr>
              <w:t>模块需要复用资源中心提供的关系型数据库及分布式数据库，统一使用资源中心提供的大数据能力。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shd w:val="clear" w:color="auto" w:fill="auto"/>
            <w:noWrap/>
            <w:vAlign w:val="center"/>
          </w:tcPr>
          <w:p>
            <w:pPr>
              <w:widowControl/>
              <w:jc w:val="center"/>
              <w:rPr>
                <w:rFonts w:hint="eastAsia" w:cs="宋体" w:asciiTheme="minorEastAsia" w:hAnsiTheme="minorEastAsia" w:eastAsiaTheme="minorEastAsia"/>
                <w:color w:val="auto"/>
                <w:kern w:val="0"/>
                <w:sz w:val="20"/>
                <w:szCs w:val="20"/>
                <w:lang w:val="en-US" w:eastAsia="zh-CN"/>
              </w:rPr>
            </w:pPr>
            <w:r>
              <w:rPr>
                <w:rFonts w:hint="eastAsia" w:cs="宋体" w:asciiTheme="minorEastAsia" w:hAnsiTheme="minorEastAsia" w:eastAsiaTheme="minorEastAsia"/>
                <w:color w:val="auto"/>
                <w:kern w:val="0"/>
                <w:sz w:val="20"/>
                <w:szCs w:val="20"/>
                <w:lang w:val="en-US" w:eastAsia="zh-CN"/>
              </w:rPr>
              <w:t>5</w:t>
            </w:r>
          </w:p>
        </w:tc>
        <w:tc>
          <w:tcPr>
            <w:tcW w:w="1763" w:type="pct"/>
            <w:gridSpan w:val="2"/>
            <w:vAlign w:val="center"/>
          </w:tcPr>
          <w:p>
            <w:pPr>
              <w:widowControl/>
              <w:jc w:val="center"/>
              <w:rPr>
                <w:rFonts w:hint="eastAsia" w:cs="宋体" w:asciiTheme="minorEastAsia" w:hAnsiTheme="minorEastAsia" w:eastAsiaTheme="minorEastAsia"/>
                <w:color w:val="auto"/>
                <w:kern w:val="0"/>
                <w:sz w:val="20"/>
                <w:szCs w:val="20"/>
              </w:rPr>
            </w:pPr>
            <w:r>
              <w:rPr>
                <w:rFonts w:hint="eastAsia" w:ascii="宋体" w:hAnsi="宋体" w:cs="宋体"/>
                <w:color w:val="auto"/>
                <w:kern w:val="0"/>
                <w:sz w:val="20"/>
                <w:szCs w:val="20"/>
              </w:rPr>
              <w:t>干线绿波调优</w:t>
            </w:r>
          </w:p>
        </w:tc>
        <w:tc>
          <w:tcPr>
            <w:tcW w:w="2738" w:type="pct"/>
            <w:shd w:val="clear" w:color="auto" w:fill="auto"/>
            <w:vAlign w:val="center"/>
          </w:tcPr>
          <w:p>
            <w:pPr>
              <w:widowControl/>
              <w:jc w:val="left"/>
              <w:rPr>
                <w:rFonts w:hint="eastAsia" w:ascii="宋体" w:hAnsi="宋体"/>
                <w:color w:val="auto"/>
              </w:rPr>
            </w:pPr>
            <w:r>
              <w:rPr>
                <w:rFonts w:hint="eastAsia" w:ascii="宋体" w:hAnsi="宋体" w:cs="宋体"/>
                <w:color w:val="auto"/>
                <w:kern w:val="0"/>
                <w:sz w:val="20"/>
                <w:szCs w:val="20"/>
              </w:rPr>
              <w:t>结合道路条件、路口间距、流向流量、限速、历史数据，节假日，天气等因素优化绿波路线、绿波时段，协调方案并通过实地测试、过车数据统计、视频追踪等方式评估绿波效果。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干线监控</w:t>
            </w:r>
          </w:p>
        </w:tc>
        <w:tc>
          <w:tcPr>
            <w:tcW w:w="1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干线一张图监控</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地图可视化监控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干线详情监控</w:t>
            </w:r>
          </w:p>
        </w:tc>
        <w:tc>
          <w:tcPr>
            <w:tcW w:w="2738" w:type="pct"/>
            <w:tcBorders>
              <w:top w:val="single" w:color="000000" w:sz="4" w:space="0"/>
              <w:left w:val="single" w:color="000000" w:sz="4" w:space="0"/>
              <w:bottom w:val="single" w:color="000000" w:sz="4" w:space="0"/>
              <w:right w:val="single" w:color="000000" w:sz="4" w:space="0"/>
            </w:tcBorders>
            <w:shd w:val="clear" w:color="auto" w:fill="C6E0B4"/>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干线基础信息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日计划运行方案展示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通行状态时变特征图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动态协调日志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干线高峰预警</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干线高峰期预警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干线管理</w:t>
            </w:r>
          </w:p>
        </w:tc>
        <w:tc>
          <w:tcPr>
            <w:tcW w:w="1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干线详情管理</w:t>
            </w:r>
          </w:p>
        </w:tc>
        <w:tc>
          <w:tcPr>
            <w:tcW w:w="2738" w:type="pct"/>
            <w:tcBorders>
              <w:top w:val="single" w:color="000000" w:sz="4" w:space="0"/>
              <w:left w:val="single" w:color="000000" w:sz="4" w:space="0"/>
              <w:bottom w:val="single" w:color="000000" w:sz="4" w:space="0"/>
              <w:right w:val="single" w:color="000000" w:sz="4" w:space="0"/>
            </w:tcBorders>
            <w:shd w:val="clear" w:color="auto" w:fill="C6E0B4"/>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干线基础信息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干线调度计划概览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协调路口详情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5.10</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干线配置管理</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新建管控干线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5.11</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新建简易干线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5.12</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管控干线基础信息配置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5.13</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简易干线基础信息配置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5.14</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干线方案管理</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方案列表管理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5.15</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日计划时段编辑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5.16</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日计划时段优化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5.17</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干线动态协调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5.18</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一般日计划管理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5.19</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恶劣天气场景管理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5.20</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特殊日计划管理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5.21</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协调方案详情展示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5.22</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协调方案手动优化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5.23</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协调方案自动优化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5.24</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方案下发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5.25</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color w:val="auto"/>
              </w:rPr>
              <w:t>★</w:t>
            </w:r>
            <w:r>
              <w:rPr>
                <w:rFonts w:hint="eastAsia" w:ascii="宋体" w:hAnsi="宋体" w:eastAsia="宋体" w:cs="宋体"/>
                <w:i w:val="0"/>
                <w:iCs w:val="0"/>
                <w:color w:val="auto"/>
                <w:kern w:val="0"/>
                <w:sz w:val="20"/>
                <w:szCs w:val="20"/>
                <w:u w:val="none"/>
                <w:lang w:val="en-US" w:eastAsia="zh-CN" w:bidi="ar"/>
              </w:rPr>
              <w:t>效果评价</w:t>
            </w:r>
          </w:p>
        </w:tc>
        <w:tc>
          <w:tcPr>
            <w:tcW w:w="1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路网指数</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全路网指数日历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5.26</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干线通行状态</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路口时变趋势分析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5.27</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路口间对比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5.28</w:t>
            </w:r>
          </w:p>
        </w:tc>
        <w:tc>
          <w:tcPr>
            <w:tcW w:w="543"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路口正反向对比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5.29</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路口优化前后对比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5.30</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干线控制效益</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低平峰对比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5.31</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高峰期对比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5.32</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系统配置</w:t>
            </w:r>
          </w:p>
        </w:tc>
        <w:tc>
          <w:tcPr>
            <w:tcW w:w="1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数据源配置</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数据源动态配置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5.33</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计划应用配置</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应用场景动态配置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5.34</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特殊场景配置</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恶劣天气场景动态配置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5.35</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color w:val="auto"/>
              </w:rPr>
              <w:t>★</w:t>
            </w:r>
            <w:r>
              <w:rPr>
                <w:rFonts w:hint="eastAsia" w:ascii="宋体" w:hAnsi="宋体" w:eastAsia="宋体" w:cs="宋体"/>
                <w:i w:val="0"/>
                <w:iCs w:val="0"/>
                <w:color w:val="auto"/>
                <w:kern w:val="0"/>
                <w:sz w:val="20"/>
                <w:szCs w:val="20"/>
                <w:u w:val="none"/>
                <w:lang w:val="en-US" w:eastAsia="zh-CN" w:bidi="ar"/>
              </w:rPr>
              <w:t>算法服务</w:t>
            </w:r>
          </w:p>
        </w:tc>
        <w:tc>
          <w:tcPr>
            <w:tcW w:w="1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指标提取算法</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路段运行指标提取算法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5.36</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方案优化算法</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协调方案自动优化算法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5.37</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动态协调算法</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实时方案动态协调算法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5.38</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方案生成算法</w:t>
            </w:r>
          </w:p>
        </w:tc>
        <w:tc>
          <w:tcPr>
            <w:tcW w:w="2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干线方案自动生成算法</w:t>
            </w:r>
          </w:p>
        </w:tc>
      </w:tr>
    </w:tbl>
    <w:p>
      <w:pPr>
        <w:widowControl/>
        <w:autoSpaceDE w:val="0"/>
        <w:autoSpaceDN w:val="0"/>
        <w:adjustRightInd w:val="0"/>
        <w:spacing w:line="360" w:lineRule="auto"/>
        <w:ind w:firstLine="420" w:firstLineChars="0"/>
        <w:jc w:val="left"/>
        <w:rPr>
          <w:rFonts w:hint="eastAsia"/>
          <w:b/>
          <w:color w:val="auto"/>
          <w:kern w:val="0"/>
          <w:sz w:val="24"/>
          <w:szCs w:val="28"/>
        </w:rPr>
      </w:pPr>
      <w:r>
        <w:rPr>
          <w:rFonts w:hint="eastAsia" w:ascii="宋体" w:hAnsi="宋体"/>
          <w:b/>
          <w:color w:val="auto"/>
          <w:kern w:val="0"/>
          <w:sz w:val="24"/>
          <w:szCs w:val="28"/>
        </w:rPr>
        <w:t>▲本模块需</w:t>
      </w:r>
      <w:r>
        <w:rPr>
          <w:rFonts w:hint="eastAsia"/>
          <w:b/>
          <w:color w:val="auto"/>
          <w:kern w:val="0"/>
          <w:sz w:val="24"/>
          <w:szCs w:val="28"/>
        </w:rPr>
        <w:t>支持对现有地图数据的处理和融合，支持与现网信号控制系统</w:t>
      </w:r>
      <w:r>
        <w:rPr>
          <w:rFonts w:hint="eastAsia"/>
          <w:b/>
          <w:color w:val="auto"/>
          <w:kern w:val="0"/>
          <w:sz w:val="24"/>
          <w:szCs w:val="28"/>
          <w:lang w:val="en-US" w:eastAsia="zh-CN"/>
        </w:rPr>
        <w:t>有效</w:t>
      </w:r>
      <w:r>
        <w:rPr>
          <w:rFonts w:hint="eastAsia"/>
          <w:b/>
          <w:color w:val="auto"/>
          <w:kern w:val="0"/>
          <w:sz w:val="24"/>
          <w:szCs w:val="28"/>
        </w:rPr>
        <w:t>对接，并提供承诺函。</w:t>
      </w:r>
    </w:p>
    <w:p>
      <w:pPr>
        <w:pStyle w:val="56"/>
        <w:rPr>
          <w:color w:val="auto"/>
        </w:rPr>
      </w:pPr>
    </w:p>
    <w:p>
      <w:pPr>
        <w:pStyle w:val="6"/>
        <w:rPr>
          <w:color w:val="auto"/>
        </w:rPr>
      </w:pPr>
      <w:r>
        <w:rPr>
          <w:rFonts w:hint="eastAsia"/>
          <w:color w:val="auto"/>
        </w:rPr>
        <w:t>事故可视化模块</w:t>
      </w:r>
    </w:p>
    <w:tbl>
      <w:tblPr>
        <w:tblStyle w:val="22"/>
        <w:tblW w:w="4991" w:type="pct"/>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221"/>
        <w:gridCol w:w="1284"/>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序号</w:t>
            </w:r>
          </w:p>
        </w:tc>
        <w:tc>
          <w:tcPr>
            <w:tcW w:w="717"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功能模块</w:t>
            </w:r>
          </w:p>
        </w:tc>
        <w:tc>
          <w:tcPr>
            <w:tcW w:w="754"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子模块</w:t>
            </w:r>
          </w:p>
        </w:tc>
        <w:tc>
          <w:tcPr>
            <w:tcW w:w="3030"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717"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功能设计开发</w:t>
            </w:r>
          </w:p>
        </w:tc>
        <w:tc>
          <w:tcPr>
            <w:tcW w:w="754"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首页设计</w:t>
            </w: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事故概览：要求展示本月、本周、本年度的事故数据、死亡人数，同比环比等指标，以及月度趋势，并且可以自定义选择事故类型进行展示，自由组合条件进行查询分析。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事故多发道路：要求按照分类的道路（县道、省道、国道、路口）事故总数进行排名；按照所有的道路的事故数进行排名。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本月车辆类型分析要求展示小型普通客车、小型货车、大中型货车、两三轮摩托车、大中型客车的事故数、万车死亡率、万车事故率，并且可以选择（所有事故、亡人事故、伤人事故、财损事故）进行展示，并且可以跳转查看详情，自由组合条件进行查询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本月24小时变化趋势：要求以2小时分段，分别展示本月每天的每2小时段，发生的所有事故、亡人事故、伤人事故、财损事故的情况，并且可以跳转查看详情，自由组合条件进行查询分析。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地图展示:要求各大队区域事故数量可在地图上展示，用万车事故率或者万车死亡率标记区域颜色，用来区分事故预警等级。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风险隐患排名:要求以单位维度展示各大队万车事故率、事故数、受伤人数、死亡人数等，并且可以根据某一项进行排序展示，同时展示事故高发的时间段、年龄段、交通方式、违法行为的情况，并且支持跳转查看详情，自由组合条件进行查询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预警信息:要求首页新增事故黑点、接处警、事故黑段的预警信息，同时可以根据查询时间进行查询，并且后台可以自定义相关阈值。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事故审核管理</w:t>
            </w: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事故审核管理:要求支持对分析表的录入、修改、提交、审核的全流程管理，并支持对分析表进行数据导出和打印。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事故地图管理</w:t>
            </w: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地图更换:要求本次更换事故系统原有PGIS地图，完成与新地图的对接。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坐标转换:要求利用坐标转换工具将地图坐标系进行转换，将两个地图坐标系达成一致。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点位标注调整:要求将已标注在原有PGIS地图的事故警惕、事故点位、事故黑点、基础设施等重新标注到新版本地图，可以根据选择条件进行展示。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功能测试:要求对地图功能进行测试，包括地图缩放、地图平移、地图区域选择、地图基础操作、地图鹰眼等功能。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事故地图管理:要求在事故展示的地图中，能进行死亡事故信息的查看，能对地图图标和列表展示进行信息管理。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事故基本情况</w:t>
            </w:r>
          </w:p>
        </w:tc>
        <w:tc>
          <w:tcPr>
            <w:tcW w:w="3030"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需包含：事故变化趋势分析、事故经办工作量分析、事故历史数据统计分析。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事故规律分析挖掘</w:t>
            </w:r>
          </w:p>
        </w:tc>
        <w:tc>
          <w:tcPr>
            <w:tcW w:w="303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需包含：事故时间统计分析、交通方式/事故形态分布分析、事故道路环境分析、机动车事故分析、事故地域分析、涉事人员分析、不同事故类型下的事故情况统计分析、不同事故原因下的事故情况统计分析。(支持不同时段同环比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事故关联</w:t>
            </w:r>
          </w:p>
        </w:tc>
        <w:tc>
          <w:tcPr>
            <w:tcW w:w="3030" w:type="pct"/>
            <w:shd w:val="clear" w:color="auto" w:fill="auto"/>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同一分类中多种特征因素的交叉分析，并且可以跳转查看详情。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不同分类之间的特征因素交叉分析，并且可以跳转查看详情。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特定主题事故</w:t>
            </w:r>
          </w:p>
        </w:tc>
        <w:tc>
          <w:tcPr>
            <w:tcW w:w="303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需包含：摩托车事故专题分析、工程车事故专题分析、夜间事故专题分析、涉及重伤及死亡事故专题分析、酒驾事故专题分析、无证驾驶专题分析、重点车事故分析、重点企业排名、两客一危车辆重点排名、重点村庄排名、城市道路死亡人数及同比增幅最多的路段、一级二级三级公路死亡人数及同比增幅最多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事故研判报告</w:t>
            </w:r>
          </w:p>
        </w:tc>
        <w:tc>
          <w:tcPr>
            <w:tcW w:w="303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全市支队、大队、中队事故月报、季报、年报。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模板自动生成。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事故预警</w:t>
            </w:r>
          </w:p>
        </w:tc>
        <w:tc>
          <w:tcPr>
            <w:tcW w:w="303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需包含：预警条件设置、事故预警、预警信息推送。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隐患排查</w:t>
            </w:r>
          </w:p>
        </w:tc>
        <w:tc>
          <w:tcPr>
            <w:tcW w:w="3030" w:type="pct"/>
            <w:shd w:val="clear" w:color="auto" w:fill="auto"/>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隐患点位排查，可以对单位长度内的具体道路事故量自动排名，并支持在地图上标注点段。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center"/>
              <w:rPr>
                <w:rFonts w:ascii="宋体" w:hAnsi="宋体" w:cs="宋体"/>
                <w:color w:val="auto"/>
                <w:kern w:val="0"/>
                <w:sz w:val="20"/>
                <w:szCs w:val="20"/>
              </w:rPr>
            </w:pPr>
          </w:p>
        </w:tc>
        <w:tc>
          <w:tcPr>
            <w:tcW w:w="3030" w:type="pct"/>
            <w:shd w:val="clear" w:color="auto" w:fill="auto"/>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隐患点位录入:可以对隐患点位的内容包括时间、原因、类型、上传图片等进行新增，修改操作，并支持在地图上标注点位。自动导入死亡事故点位及案件信息，并开展分析整改。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隐患点位审核:对有审批权限角色的用户，可以对录入的隐患点位信息需要进行审核确认。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vMerge w:val="continue"/>
            <w:shd w:val="clear" w:color="auto" w:fill="auto"/>
            <w:vAlign w:val="center"/>
          </w:tcPr>
          <w:p>
            <w:pPr>
              <w:widowControl/>
              <w:jc w:val="left"/>
              <w:rPr>
                <w:rFonts w:ascii="宋体" w:hAnsi="宋体" w:cs="宋体"/>
                <w:color w:val="auto"/>
                <w:kern w:val="0"/>
                <w:sz w:val="20"/>
                <w:szCs w:val="20"/>
              </w:rPr>
            </w:pPr>
          </w:p>
        </w:tc>
        <w:tc>
          <w:tcPr>
            <w:tcW w:w="3030" w:type="pct"/>
            <w:shd w:val="clear" w:color="auto" w:fill="auto"/>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隐患整改:可以对隐患点位信息进行整改，包括填写相关内容，上传整改前后照片，最后完成整改，对整改月结后事故案发进行对比评估。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vMerge w:val="continue"/>
            <w:shd w:val="clear" w:color="auto" w:fill="auto"/>
            <w:vAlign w:val="center"/>
          </w:tcPr>
          <w:p>
            <w:pPr>
              <w:widowControl/>
              <w:jc w:val="left"/>
              <w:rPr>
                <w:rFonts w:ascii="宋体" w:hAnsi="宋体" w:cs="宋体"/>
                <w:color w:val="auto"/>
                <w:kern w:val="0"/>
                <w:sz w:val="20"/>
                <w:szCs w:val="20"/>
              </w:rPr>
            </w:pPr>
          </w:p>
        </w:tc>
        <w:tc>
          <w:tcPr>
            <w:tcW w:w="717" w:type="pct"/>
            <w:vMerge w:val="continue"/>
            <w:shd w:val="clear" w:color="auto" w:fill="auto"/>
            <w:vAlign w:val="center"/>
          </w:tcPr>
          <w:p>
            <w:pPr>
              <w:widowControl/>
              <w:jc w:val="left"/>
              <w:rPr>
                <w:rFonts w:ascii="宋体" w:hAnsi="宋体" w:cs="宋体"/>
                <w:color w:val="auto"/>
                <w:kern w:val="0"/>
                <w:sz w:val="20"/>
                <w:szCs w:val="20"/>
              </w:rPr>
            </w:pPr>
          </w:p>
        </w:tc>
        <w:tc>
          <w:tcPr>
            <w:tcW w:w="75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路长维护</w:t>
            </w:r>
          </w:p>
        </w:tc>
        <w:tc>
          <w:tcPr>
            <w:tcW w:w="3030"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通过将道路路段与民警进行关联，支持道路管理责任划分机制。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98"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717"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数据对接整合</w:t>
            </w:r>
          </w:p>
        </w:tc>
        <w:tc>
          <w:tcPr>
            <w:tcW w:w="3784" w:type="pct"/>
            <w:gridSpan w:val="2"/>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1）对接数据中心，获取六合一一般事故、简易事故数据。</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2）对接数据中心，获取网上办案系统历史数据，六合一一般事故与简易事故与网上办案系统一般事故、简易事故数据进行整合。</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3）对接数据中心，获取接处警信息。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数据可视化引擎</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数据源：支持JDBC、ODBC、JNDI等数据连接方式；支持ORACLE 、SYBASE、DB2、MYSQL、SQLSERVER等主流关系型数据库；支持NOSQL，如MongoDB等非结构化数据库；支持从excel、TXT、xml等文件中取数进行报表分析；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报表展现：多种展现方式；支持主子报表；支持报表分栏；支持表头冻结，支持行列同时冻结；支持通过条件属性动态控制单元格的字体、背景、前景、缩进、形态、控件、超链、新值、宽高等，满足各种使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可视化图表：提供基于最新HTML5技术研发的动态图表，支持数据图表，图形和表格共用一个分类轴；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7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大屏</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事故概览大屏，可以自定义选择时间对事故各类情况概览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事故人员大屏，可以自定义选择时间对事故发生人员情况的概览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事故车辆大屏，可以自定义选择时间对事故各类车辆情况概览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事故道路环境大屏，可以自定义选择时间对事故各类道路环境情况概览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事故辖区大屏，可以自定义选择时间对各个辖区下事故情况概览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7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警情分析</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地图分析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多维分析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事故黑点</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新增亡人事故统计模块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7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隐患排查升级</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地图展示隐患点位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隐患情况查询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对接**通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7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专题分析</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数据质量统计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同一人多次事故分析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事故分析资源管理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7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事故数据维护</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警情与事故关联、标注与修改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事故新增当事人村居（社区）字段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12123 来源的事故数据完善补充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通过警情数据同步乡镇街道，关联事故新增街道字段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7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信息查询</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违法查询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违法查处数据上图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非机动车查询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老年人查询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工程车事故查询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工程车违法查询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黑名单查询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警情查询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多条件查询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标签查询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7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隐患排查多端适配</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流程跟踪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适配微信小程序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适配浙政钉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7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隐患可区分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待办提醒</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超时审核、待办提醒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系统管理</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登录情况统计</w:t>
            </w:r>
          </w:p>
        </w:tc>
      </w:tr>
    </w:tbl>
    <w:p>
      <w:pPr>
        <w:pStyle w:val="10"/>
        <w:rPr>
          <w:color w:val="auto"/>
        </w:rPr>
      </w:pPr>
    </w:p>
    <w:p>
      <w:pPr>
        <w:pStyle w:val="6"/>
        <w:rPr>
          <w:color w:val="auto"/>
        </w:rPr>
      </w:pPr>
      <w:r>
        <w:rPr>
          <w:rFonts w:hint="eastAsia"/>
          <w:color w:val="auto"/>
        </w:rPr>
        <w:t>交通态势分析模块</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1096"/>
        <w:gridCol w:w="1416"/>
        <w:gridCol w:w="5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4"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序号</w:t>
            </w:r>
          </w:p>
        </w:tc>
        <w:tc>
          <w:tcPr>
            <w:tcW w:w="683"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功能模块</w:t>
            </w:r>
          </w:p>
        </w:tc>
        <w:tc>
          <w:tcPr>
            <w:tcW w:w="708"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子模块</w:t>
            </w:r>
          </w:p>
        </w:tc>
        <w:tc>
          <w:tcPr>
            <w:tcW w:w="3185"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4" w:type="pct"/>
            <w:vMerge w:val="restart"/>
            <w:shd w:val="clear" w:color="auto" w:fill="auto"/>
            <w:noWrap/>
            <w:vAlign w:val="center"/>
          </w:tcPr>
          <w:p>
            <w:pPr>
              <w:jc w:val="center"/>
              <w:rPr>
                <w:rFonts w:cs="Courier New" w:asciiTheme="minorEastAsia" w:hAnsiTheme="minorEastAsia" w:eastAsiaTheme="minorEastAsia"/>
                <w:color w:val="auto"/>
                <w:kern w:val="0"/>
                <w:sz w:val="20"/>
                <w:szCs w:val="20"/>
              </w:rPr>
            </w:pPr>
            <w:r>
              <w:rPr>
                <w:rFonts w:cs="Courier New" w:asciiTheme="minorEastAsia" w:hAnsiTheme="minorEastAsia" w:eastAsiaTheme="minorEastAsia"/>
                <w:color w:val="auto"/>
                <w:kern w:val="0"/>
                <w:sz w:val="20"/>
                <w:szCs w:val="20"/>
              </w:rPr>
              <w:t>1</w:t>
            </w:r>
          </w:p>
        </w:tc>
        <w:tc>
          <w:tcPr>
            <w:tcW w:w="683"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交通运行监测与评估</w:t>
            </w:r>
          </w:p>
        </w:tc>
        <w:tc>
          <w:tcPr>
            <w:tcW w:w="708"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实时监测</w:t>
            </w:r>
          </w:p>
        </w:tc>
        <w:tc>
          <w:tcPr>
            <w:tcW w:w="3185"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模块展示区域（中队、大队）、路段（按照采购方指定地图）、路口（方向）及报警情况 ；可以列表的形式展示路段的平均车速，支持自定义选择路段；可根据区域、路段、路口名称搜索相关信息；选择路口可展示路口的饱和度、延误指数、服务水平。在界面的中心展示道路拥堵情况，按照畅通、基本畅通、轻度拥堵、中度拥堵、重度拥堵的不同颜色展示。（5分钟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4" w:type="pct"/>
            <w:vMerge w:val="continue"/>
            <w:shd w:val="clear" w:color="auto" w:fill="auto"/>
            <w:noWrap/>
            <w:vAlign w:val="center"/>
          </w:tcPr>
          <w:p>
            <w:pPr>
              <w:jc w:val="center"/>
              <w:rPr>
                <w:rFonts w:cs="Courier New" w:asciiTheme="minorEastAsia" w:hAnsiTheme="minorEastAsia" w:eastAsiaTheme="minorEastAsia"/>
                <w:color w:val="auto"/>
                <w:kern w:val="0"/>
                <w:sz w:val="20"/>
                <w:szCs w:val="20"/>
              </w:rPr>
            </w:pPr>
          </w:p>
        </w:tc>
        <w:tc>
          <w:tcPr>
            <w:tcW w:w="683" w:type="pct"/>
            <w:vMerge w:val="continue"/>
            <w:shd w:val="clear" w:color="auto" w:fill="auto"/>
            <w:vAlign w:val="center"/>
          </w:tcPr>
          <w:p>
            <w:pPr>
              <w:widowControl/>
              <w:jc w:val="left"/>
              <w:rPr>
                <w:rFonts w:ascii="宋体" w:hAnsi="宋体" w:cs="宋体"/>
                <w:color w:val="auto"/>
                <w:kern w:val="0"/>
                <w:sz w:val="20"/>
                <w:szCs w:val="20"/>
              </w:rPr>
            </w:pPr>
          </w:p>
        </w:tc>
        <w:tc>
          <w:tcPr>
            <w:tcW w:w="708"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城市/区域交通运行监测与评估</w:t>
            </w:r>
          </w:p>
        </w:tc>
        <w:tc>
          <w:tcPr>
            <w:tcW w:w="3185"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系统以城市/区域的交通运行进行实时监测与评估，包括拥堵指数、拥堵里程、平均车速三项指标</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展示区域各拥堵指标、拥堵情况排名、实时拥堵里程占比以及今日和七天前该区域的拥堵指数的趋势对比图。（5分钟计算一次）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4" w:type="pct"/>
            <w:vMerge w:val="continue"/>
            <w:shd w:val="clear" w:color="auto" w:fill="auto"/>
            <w:noWrap/>
            <w:vAlign w:val="center"/>
          </w:tcPr>
          <w:p>
            <w:pPr>
              <w:jc w:val="center"/>
              <w:rPr>
                <w:rFonts w:cs="Courier New" w:asciiTheme="minorEastAsia" w:hAnsiTheme="minorEastAsia" w:eastAsiaTheme="minorEastAsia"/>
                <w:color w:val="auto"/>
                <w:kern w:val="0"/>
                <w:sz w:val="20"/>
                <w:szCs w:val="20"/>
              </w:rPr>
            </w:pPr>
          </w:p>
        </w:tc>
        <w:tc>
          <w:tcPr>
            <w:tcW w:w="683" w:type="pct"/>
            <w:vMerge w:val="continue"/>
            <w:shd w:val="clear" w:color="auto" w:fill="auto"/>
            <w:vAlign w:val="center"/>
          </w:tcPr>
          <w:p>
            <w:pPr>
              <w:widowControl/>
              <w:jc w:val="left"/>
              <w:rPr>
                <w:rFonts w:ascii="宋体" w:hAnsi="宋体" w:cs="宋体"/>
                <w:color w:val="auto"/>
                <w:kern w:val="0"/>
                <w:sz w:val="20"/>
                <w:szCs w:val="20"/>
              </w:rPr>
            </w:pPr>
          </w:p>
        </w:tc>
        <w:tc>
          <w:tcPr>
            <w:tcW w:w="708"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路段交通运行监测与评估</w:t>
            </w:r>
          </w:p>
        </w:tc>
        <w:tc>
          <w:tcPr>
            <w:tcW w:w="3185"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系统可对路段交通运行状态实时监测，评价的指标包括流量、行程时间、饱和度、平均速度、拥堵延时指数。</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展示路段各拥堵指标、拥堵情况排名、关联路口指标以及今日和七天前该路段的平均车速的趋势对比图。（5分钟计算一次）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4" w:type="pct"/>
            <w:vMerge w:val="continue"/>
            <w:shd w:val="clear" w:color="auto" w:fill="auto"/>
            <w:noWrap/>
            <w:vAlign w:val="center"/>
          </w:tcPr>
          <w:p>
            <w:pPr>
              <w:widowControl/>
              <w:jc w:val="center"/>
              <w:rPr>
                <w:rFonts w:cs="Courier New" w:asciiTheme="minorEastAsia" w:hAnsiTheme="minorEastAsia" w:eastAsiaTheme="minorEastAsia"/>
                <w:color w:val="auto"/>
                <w:kern w:val="0"/>
                <w:sz w:val="20"/>
                <w:szCs w:val="20"/>
              </w:rPr>
            </w:pPr>
          </w:p>
        </w:tc>
        <w:tc>
          <w:tcPr>
            <w:tcW w:w="683" w:type="pct"/>
            <w:vMerge w:val="continue"/>
            <w:shd w:val="clear" w:color="auto" w:fill="auto"/>
            <w:vAlign w:val="center"/>
          </w:tcPr>
          <w:p>
            <w:pPr>
              <w:widowControl/>
              <w:jc w:val="left"/>
              <w:rPr>
                <w:rFonts w:ascii="宋体" w:hAnsi="宋体" w:cs="宋体"/>
                <w:color w:val="auto"/>
                <w:kern w:val="0"/>
                <w:sz w:val="20"/>
                <w:szCs w:val="20"/>
              </w:rPr>
            </w:pPr>
          </w:p>
        </w:tc>
        <w:tc>
          <w:tcPr>
            <w:tcW w:w="708"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路口交通运行监测与评估</w:t>
            </w:r>
          </w:p>
        </w:tc>
        <w:tc>
          <w:tcPr>
            <w:tcW w:w="3185"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系统可对路口交通运行进行实时监测与评估，包括饱和度、延误、服务水平等指标。</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展示路口各拥堵指标、拥堵情况排名、关联路段指标、进口转向指标以及今日和七天前该路口的平均延误的趋势对比图。（5分钟计算一次）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4" w:type="pct"/>
            <w:vMerge w:val="restart"/>
            <w:shd w:val="clear" w:color="auto" w:fill="auto"/>
            <w:noWrap/>
            <w:vAlign w:val="center"/>
          </w:tcPr>
          <w:p>
            <w:pPr>
              <w:jc w:val="center"/>
              <w:rPr>
                <w:rFonts w:cs="Courier New" w:asciiTheme="minorEastAsia" w:hAnsiTheme="minorEastAsia" w:eastAsiaTheme="minorEastAsia"/>
                <w:color w:val="auto"/>
                <w:kern w:val="0"/>
                <w:sz w:val="20"/>
                <w:szCs w:val="20"/>
              </w:rPr>
            </w:pPr>
            <w:r>
              <w:rPr>
                <w:rFonts w:cs="Courier New" w:asciiTheme="minorEastAsia" w:hAnsiTheme="minorEastAsia" w:eastAsiaTheme="minorEastAsia"/>
                <w:color w:val="auto"/>
                <w:kern w:val="0"/>
                <w:sz w:val="20"/>
                <w:szCs w:val="20"/>
              </w:rPr>
              <w:t>2</w:t>
            </w:r>
          </w:p>
        </w:tc>
        <w:tc>
          <w:tcPr>
            <w:tcW w:w="683"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智能报警与研判</w:t>
            </w:r>
          </w:p>
        </w:tc>
        <w:tc>
          <w:tcPr>
            <w:tcW w:w="708"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路口报警</w:t>
            </w:r>
          </w:p>
        </w:tc>
        <w:tc>
          <w:tcPr>
            <w:tcW w:w="3185"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路口报警类型分为失衡、溢流、空放、饱和，报警信息的展示流程如下：</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①当日首次报警在左侧顶端报警信息窗内显示路口名称、报警类型、报警次数以及持续时间；</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②报警信息在左侧报警列表中实时更新，显示最新一次报警的持续时间，支持按持续时间以及今日报警次数排序。</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点击路口可展示路口渠化图和路口指标信息，路口在地图上的具体位置。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4" w:type="pct"/>
            <w:vMerge w:val="continue"/>
            <w:shd w:val="clear" w:color="auto" w:fill="auto"/>
            <w:noWrap/>
            <w:vAlign w:val="center"/>
          </w:tcPr>
          <w:p>
            <w:pPr>
              <w:jc w:val="center"/>
              <w:rPr>
                <w:rFonts w:cs="Courier New" w:asciiTheme="minorEastAsia" w:hAnsiTheme="minorEastAsia" w:eastAsiaTheme="minorEastAsia"/>
                <w:color w:val="auto"/>
                <w:kern w:val="0"/>
                <w:sz w:val="20"/>
                <w:szCs w:val="20"/>
              </w:rPr>
            </w:pPr>
          </w:p>
        </w:tc>
        <w:tc>
          <w:tcPr>
            <w:tcW w:w="683" w:type="pct"/>
            <w:vMerge w:val="continue"/>
            <w:shd w:val="clear" w:color="auto" w:fill="auto"/>
            <w:vAlign w:val="center"/>
          </w:tcPr>
          <w:p>
            <w:pPr>
              <w:widowControl/>
              <w:jc w:val="left"/>
              <w:rPr>
                <w:rFonts w:ascii="宋体" w:hAnsi="宋体" w:cs="宋体"/>
                <w:color w:val="auto"/>
                <w:kern w:val="0"/>
                <w:sz w:val="20"/>
                <w:szCs w:val="20"/>
              </w:rPr>
            </w:pPr>
          </w:p>
        </w:tc>
        <w:tc>
          <w:tcPr>
            <w:tcW w:w="708"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路段报警</w:t>
            </w:r>
          </w:p>
        </w:tc>
        <w:tc>
          <w:tcPr>
            <w:tcW w:w="3185"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路段报警为拥堵持续性报警，报警信息的展示流程如下所示：</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①当日首次报警在左侧顶端报警信息窗内显示路段名称，拥堵持续时间。</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②报警信息在左侧报警列表中实时更新，显示最新一些报警的持续时间，支持按持续时间以及今日报警次数排序。</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点击路段可展示路口渠化图和路段指标信息，路段在地图上的具体位置。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4" w:type="pct"/>
            <w:vMerge w:val="continue"/>
            <w:shd w:val="clear" w:color="auto" w:fill="auto"/>
            <w:noWrap/>
            <w:vAlign w:val="center"/>
          </w:tcPr>
          <w:p>
            <w:pPr>
              <w:widowControl/>
              <w:jc w:val="center"/>
              <w:rPr>
                <w:rFonts w:cs="Courier New" w:asciiTheme="minorEastAsia" w:hAnsiTheme="minorEastAsia" w:eastAsiaTheme="minorEastAsia"/>
                <w:color w:val="auto"/>
                <w:kern w:val="0"/>
                <w:sz w:val="20"/>
                <w:szCs w:val="20"/>
              </w:rPr>
            </w:pPr>
          </w:p>
        </w:tc>
        <w:tc>
          <w:tcPr>
            <w:tcW w:w="683" w:type="pct"/>
            <w:vMerge w:val="continue"/>
            <w:shd w:val="clear" w:color="auto" w:fill="auto"/>
            <w:vAlign w:val="center"/>
          </w:tcPr>
          <w:p>
            <w:pPr>
              <w:widowControl/>
              <w:jc w:val="left"/>
              <w:rPr>
                <w:rFonts w:ascii="宋体" w:hAnsi="宋体" w:cs="宋体"/>
                <w:color w:val="auto"/>
                <w:kern w:val="0"/>
                <w:sz w:val="20"/>
                <w:szCs w:val="20"/>
              </w:rPr>
            </w:pPr>
          </w:p>
        </w:tc>
        <w:tc>
          <w:tcPr>
            <w:tcW w:w="708"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报警研判分析</w:t>
            </w:r>
          </w:p>
        </w:tc>
        <w:tc>
          <w:tcPr>
            <w:tcW w:w="3185" w:type="pct"/>
            <w:shd w:val="clear" w:color="auto" w:fill="auto"/>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针对常发性问题路段进行定义，系统可展示周、月、年问题路段拥堵均值，可通过时间或路段检索历史路段拥堵的报警详情；针对常发性问题路口进行定义，系统可展示周、月、年问题路口拥堵均值，近一周/月/年的失衡、溢流、空放路口按问题出现天数的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4" w:type="pct"/>
            <w:shd w:val="clear" w:color="auto" w:fill="auto"/>
            <w:noWrap/>
            <w:vAlign w:val="center"/>
          </w:tcPr>
          <w:p>
            <w:pPr>
              <w:widowControl/>
              <w:jc w:val="center"/>
              <w:rPr>
                <w:rFonts w:cs="Courier New" w:asciiTheme="minorEastAsia" w:hAnsiTheme="minorEastAsia" w:eastAsiaTheme="minorEastAsia"/>
                <w:color w:val="auto"/>
                <w:kern w:val="0"/>
                <w:sz w:val="20"/>
                <w:szCs w:val="20"/>
              </w:rPr>
            </w:pPr>
            <w:r>
              <w:rPr>
                <w:rFonts w:cs="Courier New" w:asciiTheme="minorEastAsia" w:hAnsiTheme="minorEastAsia" w:eastAsiaTheme="minorEastAsia"/>
                <w:color w:val="auto"/>
                <w:kern w:val="0"/>
                <w:sz w:val="20"/>
                <w:szCs w:val="20"/>
              </w:rPr>
              <w:t>3</w:t>
            </w:r>
          </w:p>
        </w:tc>
        <w:tc>
          <w:tcPr>
            <w:tcW w:w="68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交通信息发布应用</w:t>
            </w:r>
          </w:p>
        </w:tc>
        <w:tc>
          <w:tcPr>
            <w:tcW w:w="708"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交通信息发布</w:t>
            </w:r>
          </w:p>
        </w:tc>
        <w:tc>
          <w:tcPr>
            <w:tcW w:w="3185" w:type="pct"/>
            <w:shd w:val="clear" w:color="auto" w:fill="auto"/>
            <w:vAlign w:val="center"/>
          </w:tcPr>
          <w:p>
            <w:pPr>
              <w:widowControl/>
              <w:rPr>
                <w:rFonts w:hint="eastAsia" w:ascii="宋体" w:hAnsi="宋体" w:cs="宋体"/>
                <w:color w:val="auto"/>
                <w:kern w:val="0"/>
                <w:sz w:val="20"/>
                <w:szCs w:val="20"/>
              </w:rPr>
            </w:pPr>
            <w:r>
              <w:rPr>
                <w:rFonts w:hint="eastAsia" w:ascii="宋体" w:hAnsi="宋体" w:cs="宋体"/>
                <w:color w:val="auto"/>
                <w:kern w:val="0"/>
                <w:sz w:val="20"/>
                <w:szCs w:val="20"/>
              </w:rPr>
              <w:t>具备各个路口或路段的数据接口信息，可提供道路拥堵数据接口，在交通情报板系统可通过接口获取数据上展示提醒。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4" w:type="pct"/>
            <w:vMerge w:val="restart"/>
            <w:shd w:val="clear" w:color="auto" w:fill="auto"/>
            <w:noWrap/>
            <w:vAlign w:val="center"/>
          </w:tcPr>
          <w:p>
            <w:pPr>
              <w:jc w:val="center"/>
              <w:rPr>
                <w:rFonts w:cs="Courier New" w:asciiTheme="minorEastAsia" w:hAnsiTheme="minorEastAsia" w:eastAsiaTheme="minorEastAsia"/>
                <w:color w:val="auto"/>
                <w:kern w:val="0"/>
                <w:sz w:val="20"/>
                <w:szCs w:val="20"/>
              </w:rPr>
            </w:pPr>
            <w:r>
              <w:rPr>
                <w:rFonts w:cs="Courier New" w:asciiTheme="minorEastAsia" w:hAnsiTheme="minorEastAsia" w:eastAsiaTheme="minorEastAsia"/>
                <w:color w:val="auto"/>
                <w:kern w:val="0"/>
                <w:sz w:val="20"/>
                <w:szCs w:val="20"/>
              </w:rPr>
              <w:t>4</w:t>
            </w:r>
          </w:p>
        </w:tc>
        <w:tc>
          <w:tcPr>
            <w:tcW w:w="683"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历史评价</w:t>
            </w:r>
          </w:p>
        </w:tc>
        <w:tc>
          <w:tcPr>
            <w:tcW w:w="708"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热力图回溯</w:t>
            </w:r>
          </w:p>
        </w:tc>
        <w:tc>
          <w:tcPr>
            <w:tcW w:w="3185" w:type="pct"/>
            <w:shd w:val="clear" w:color="auto" w:fill="auto"/>
            <w:vAlign w:val="center"/>
          </w:tcPr>
          <w:p>
            <w:pPr>
              <w:widowControl/>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通过交通路况图显示区域交通情况，时间维度可选择，播放周期为24小时，播放天数可自定义，每帧支持15/30/45/60分钟；</w:t>
            </w:r>
          </w:p>
          <w:p>
            <w:pPr>
              <w:widowControl/>
              <w:rPr>
                <w:rFonts w:hint="eastAsia" w:ascii="宋体" w:hAnsi="宋体" w:cs="宋体"/>
                <w:color w:val="auto"/>
                <w:kern w:val="0"/>
                <w:sz w:val="20"/>
                <w:szCs w:val="20"/>
              </w:rPr>
            </w:pPr>
            <w:r>
              <w:rPr>
                <w:rFonts w:hint="eastAsia" w:ascii="宋体" w:hAnsi="宋体" w:cs="宋体"/>
                <w:color w:val="auto"/>
                <w:kern w:val="0"/>
                <w:sz w:val="20"/>
                <w:szCs w:val="20"/>
              </w:rPr>
              <w:t>支持端午、国庆、春节等节假如日期查询历时的交通路况图。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4" w:type="pct"/>
            <w:vMerge w:val="continue"/>
            <w:shd w:val="clear" w:color="auto" w:fill="auto"/>
            <w:noWrap/>
            <w:vAlign w:val="center"/>
          </w:tcPr>
          <w:p>
            <w:pPr>
              <w:widowControl/>
              <w:jc w:val="center"/>
              <w:rPr>
                <w:rFonts w:cs="Courier New" w:asciiTheme="minorEastAsia" w:hAnsiTheme="minorEastAsia" w:eastAsiaTheme="minorEastAsia"/>
                <w:color w:val="auto"/>
                <w:kern w:val="0"/>
                <w:sz w:val="20"/>
                <w:szCs w:val="20"/>
              </w:rPr>
            </w:pPr>
          </w:p>
        </w:tc>
        <w:tc>
          <w:tcPr>
            <w:tcW w:w="683" w:type="pct"/>
            <w:vMerge w:val="continue"/>
            <w:shd w:val="clear" w:color="auto" w:fill="auto"/>
            <w:vAlign w:val="center"/>
          </w:tcPr>
          <w:p>
            <w:pPr>
              <w:widowControl/>
              <w:jc w:val="left"/>
              <w:rPr>
                <w:rFonts w:ascii="宋体" w:hAnsi="宋体" w:cs="宋体"/>
                <w:color w:val="auto"/>
                <w:kern w:val="0"/>
                <w:sz w:val="20"/>
                <w:szCs w:val="20"/>
              </w:rPr>
            </w:pPr>
          </w:p>
        </w:tc>
        <w:tc>
          <w:tcPr>
            <w:tcW w:w="708"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历史指标查询</w:t>
            </w:r>
          </w:p>
        </w:tc>
        <w:tc>
          <w:tcPr>
            <w:tcW w:w="3185" w:type="pct"/>
            <w:shd w:val="clear" w:color="auto" w:fill="auto"/>
            <w:vAlign w:val="center"/>
          </w:tcPr>
          <w:p>
            <w:pPr>
              <w:widowControl/>
              <w:rPr>
                <w:rFonts w:hint="eastAsia" w:ascii="宋体" w:hAnsi="宋体" w:cs="宋体"/>
                <w:color w:val="auto"/>
                <w:kern w:val="0"/>
                <w:sz w:val="20"/>
                <w:szCs w:val="20"/>
              </w:rPr>
            </w:pPr>
            <w:r>
              <w:rPr>
                <w:rFonts w:hint="eastAsia" w:ascii="宋体" w:hAnsi="宋体" w:cs="宋体"/>
                <w:color w:val="auto"/>
                <w:kern w:val="0"/>
                <w:sz w:val="20"/>
                <w:szCs w:val="20"/>
              </w:rPr>
              <w:t>按区域查询时可基于拥堵指数、拥堵里程、平均车速指标的历史查询。</w:t>
            </w:r>
          </w:p>
          <w:p>
            <w:pPr>
              <w:widowControl/>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按路段查询时，可基于流量、行程时间、饱和度、平均车速、延误指标的历史查询。</w:t>
            </w:r>
          </w:p>
          <w:p>
            <w:pPr>
              <w:widowControl/>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按路口查询时可基于饱和度、延误、服务水平指标的历史查询。</w:t>
            </w:r>
          </w:p>
          <w:p>
            <w:pPr>
              <w:widowControl/>
              <w:rPr>
                <w:rFonts w:hint="eastAsia" w:ascii="宋体" w:hAnsi="宋体" w:cs="宋体"/>
                <w:color w:val="auto"/>
                <w:kern w:val="0"/>
                <w:sz w:val="20"/>
                <w:szCs w:val="20"/>
              </w:rPr>
            </w:pPr>
            <w:r>
              <w:rPr>
                <w:rFonts w:hint="eastAsia" w:ascii="宋体" w:hAnsi="宋体" w:cs="宋体"/>
                <w:color w:val="auto"/>
                <w:kern w:val="0"/>
                <w:sz w:val="20"/>
                <w:szCs w:val="20"/>
              </w:rPr>
              <w:t>时间可选择任意历史时间，展示时间维度可选小时、天。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4" w:type="pct"/>
            <w:shd w:val="clear" w:color="auto" w:fill="auto"/>
            <w:noWrap/>
            <w:vAlign w:val="center"/>
          </w:tcPr>
          <w:p>
            <w:pPr>
              <w:widowControl/>
              <w:jc w:val="center"/>
              <w:rPr>
                <w:rFonts w:cs="Courier New" w:asciiTheme="minorEastAsia" w:hAnsiTheme="minorEastAsia" w:eastAsiaTheme="minorEastAsia"/>
                <w:color w:val="auto"/>
                <w:kern w:val="0"/>
                <w:sz w:val="20"/>
                <w:szCs w:val="20"/>
              </w:rPr>
            </w:pPr>
            <w:r>
              <w:rPr>
                <w:rFonts w:cs="宋体" w:asciiTheme="minorEastAsia" w:hAnsiTheme="minorEastAsia" w:eastAsiaTheme="minorEastAsia"/>
                <w:color w:val="auto"/>
                <w:kern w:val="0"/>
                <w:sz w:val="20"/>
                <w:szCs w:val="20"/>
              </w:rPr>
              <w:t>5</w:t>
            </w:r>
          </w:p>
        </w:tc>
        <w:tc>
          <w:tcPr>
            <w:tcW w:w="1391" w:type="pct"/>
            <w:gridSpan w:val="2"/>
            <w:shd w:val="clear" w:color="auto" w:fill="auto"/>
            <w:vAlign w:val="center"/>
          </w:tcPr>
          <w:p>
            <w:pPr>
              <w:widowControl/>
              <w:jc w:val="center"/>
              <w:rPr>
                <w:rFonts w:ascii="宋体" w:hAnsi="宋体" w:cs="宋体"/>
                <w:color w:val="auto"/>
                <w:kern w:val="0"/>
                <w:sz w:val="20"/>
                <w:szCs w:val="20"/>
              </w:rPr>
            </w:pPr>
            <w:r>
              <w:rPr>
                <w:rFonts w:hint="eastAsia" w:cs="宋体" w:asciiTheme="minorEastAsia" w:hAnsiTheme="minorEastAsia" w:eastAsiaTheme="minorEastAsia"/>
                <w:color w:val="auto"/>
                <w:kern w:val="0"/>
                <w:sz w:val="20"/>
                <w:szCs w:val="20"/>
              </w:rPr>
              <w:t>统一资源</w:t>
            </w:r>
          </w:p>
        </w:tc>
        <w:tc>
          <w:tcPr>
            <w:tcW w:w="3185" w:type="pct"/>
            <w:shd w:val="clear" w:color="auto" w:fill="auto"/>
            <w:vAlign w:val="center"/>
          </w:tcPr>
          <w:p>
            <w:pPr>
              <w:widowControl/>
              <w:jc w:val="left"/>
              <w:rPr>
                <w:rFonts w:ascii="宋体" w:hAnsi="宋体" w:cs="宋体"/>
                <w:color w:val="auto"/>
                <w:kern w:val="0"/>
                <w:sz w:val="20"/>
                <w:szCs w:val="20"/>
              </w:rPr>
            </w:pPr>
            <w:r>
              <w:rPr>
                <w:rFonts w:hint="eastAsia" w:ascii="宋体" w:hAnsi="宋体"/>
                <w:color w:val="auto"/>
                <w:sz w:val="20"/>
                <w:szCs w:val="20"/>
              </w:rPr>
              <w:t>模块需要复用资源中心提供的关系型数据库及分布式数据库，统一使用资源中心提供的大数据能力。</w:t>
            </w:r>
          </w:p>
        </w:tc>
      </w:tr>
    </w:tbl>
    <w:p>
      <w:pPr>
        <w:pStyle w:val="56"/>
        <w:rPr>
          <w:color w:val="auto"/>
        </w:rPr>
      </w:pPr>
    </w:p>
    <w:p>
      <w:pPr>
        <w:pStyle w:val="6"/>
        <w:rPr>
          <w:color w:val="auto"/>
        </w:rPr>
      </w:pPr>
      <w:r>
        <w:rPr>
          <w:rFonts w:hint="eastAsia"/>
          <w:color w:val="auto"/>
        </w:rPr>
        <w:t>驾驶人学习防范模块</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225"/>
        <w:gridCol w:w="1962"/>
        <w:gridCol w:w="2"/>
        <w:gridCol w:w="4614"/>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shd w:val="clear" w:color="auto" w:fill="auto"/>
            <w:vAlign w:val="center"/>
          </w:tcPr>
          <w:p>
            <w:pPr>
              <w:widowControl/>
              <w:jc w:val="center"/>
              <w:rPr>
                <w:rFonts w:ascii="宋体" w:hAnsi="宋体" w:cs="宋体"/>
                <w:b/>
                <w:bCs/>
                <w:color w:val="auto"/>
                <w:kern w:val="0"/>
                <w:sz w:val="20"/>
                <w:szCs w:val="20"/>
              </w:rPr>
            </w:pPr>
            <w:bookmarkStart w:id="47" w:name="_Hlk83828672"/>
            <w:r>
              <w:rPr>
                <w:rFonts w:hint="eastAsia" w:ascii="宋体" w:hAnsi="宋体" w:cs="宋体"/>
                <w:b/>
                <w:bCs/>
                <w:color w:val="auto"/>
                <w:kern w:val="0"/>
                <w:sz w:val="20"/>
                <w:szCs w:val="20"/>
              </w:rPr>
              <w:t>序号</w:t>
            </w:r>
          </w:p>
        </w:tc>
        <w:tc>
          <w:tcPr>
            <w:tcW w:w="718"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功能模块</w:t>
            </w:r>
          </w:p>
        </w:tc>
        <w:tc>
          <w:tcPr>
            <w:tcW w:w="1151" w:type="pct"/>
            <w:gridSpan w:val="2"/>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子模块</w:t>
            </w:r>
          </w:p>
        </w:tc>
        <w:tc>
          <w:tcPr>
            <w:tcW w:w="2706" w:type="pct"/>
            <w:gridSpan w:val="2"/>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869" w:type="pct"/>
            <w:gridSpan w:val="3"/>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color w:val="auto"/>
                <w:kern w:val="0"/>
                <w:szCs w:val="21"/>
              </w:rPr>
              <w:t>用户体系对接</w:t>
            </w:r>
          </w:p>
        </w:tc>
        <w:tc>
          <w:tcPr>
            <w:tcW w:w="2706" w:type="pct"/>
            <w:gridSpan w:val="2"/>
            <w:shd w:val="clear" w:color="auto" w:fill="auto"/>
            <w:vAlign w:val="center"/>
          </w:tcPr>
          <w:p>
            <w:pPr>
              <w:widowControl/>
              <w:rPr>
                <w:rFonts w:ascii="宋体" w:hAnsi="宋体" w:cs="宋体"/>
                <w:b/>
                <w:bCs/>
                <w:color w:val="auto"/>
                <w:kern w:val="0"/>
                <w:sz w:val="20"/>
                <w:szCs w:val="20"/>
              </w:rPr>
            </w:pPr>
            <w:r>
              <w:rPr>
                <w:rFonts w:hint="eastAsia" w:ascii="宋体" w:hAnsi="宋体" w:cs="宋体"/>
                <w:color w:val="auto"/>
                <w:kern w:val="0"/>
                <w:szCs w:val="21"/>
              </w:rPr>
              <w:t>各模块需要对接微信或浙里办用户体系，调用人脸识别服务，进行实名认证。</w:t>
            </w:r>
          </w:p>
        </w:tc>
      </w:tr>
      <w:bookmarkEnd w:id="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restart"/>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val="en-US" w:eastAsia="zh-CN"/>
              </w:rPr>
              <w:t>2</w:t>
            </w:r>
          </w:p>
        </w:tc>
        <w:tc>
          <w:tcPr>
            <w:tcW w:w="718" w:type="pct"/>
            <w:vMerge w:val="restart"/>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公益活动（站岗）（台州交警微信端）</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交安设施故障上报（台州交警微信端）</w:t>
            </w:r>
          </w:p>
          <w:p>
            <w:pPr>
              <w:widowControl/>
              <w:jc w:val="center"/>
              <w:rPr>
                <w:rFonts w:ascii="宋体" w:hAnsi="宋体" w:cs="宋体"/>
                <w:color w:val="auto"/>
                <w:kern w:val="0"/>
                <w:szCs w:val="21"/>
              </w:rPr>
            </w:pPr>
            <w:r>
              <w:rPr>
                <w:rFonts w:hint="eastAsia" w:ascii="宋体" w:hAnsi="宋体" w:cs="宋体"/>
                <w:color w:val="auto"/>
                <w:kern w:val="0"/>
                <w:sz w:val="20"/>
                <w:szCs w:val="20"/>
              </w:rPr>
              <w:t>全民违法举报升级改造（台州交警微信端）</w:t>
            </w: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Cs w:val="21"/>
              </w:rPr>
              <w:t>动态违法举报</w:t>
            </w:r>
          </w:p>
        </w:tc>
        <w:tc>
          <w:tcPr>
            <w:tcW w:w="2706" w:type="pct"/>
            <w:gridSpan w:val="2"/>
            <w:vAlign w:val="center"/>
          </w:tcPr>
          <w:p>
            <w:pPr>
              <w:rPr>
                <w:rFonts w:ascii="宋体" w:hAnsi="宋体" w:cs="宋体"/>
                <w:color w:val="auto"/>
                <w:kern w:val="0"/>
                <w:szCs w:val="21"/>
              </w:rPr>
            </w:pPr>
            <w:r>
              <w:rPr>
                <w:rFonts w:hint="eastAsia" w:ascii="宋体" w:hAnsi="宋体" w:cs="宋体"/>
                <w:color w:val="auto"/>
                <w:kern w:val="0"/>
                <w:sz w:val="20"/>
                <w:szCs w:val="20"/>
              </w:rPr>
              <w:t>对现有违法举报系统进行升级改造，需要实现动态违法举报功能。系统能够自动定位，手动输入或调整定位信息，并上传违法视频进行动态违法举报。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widowControl/>
              <w:jc w:val="center"/>
              <w:rPr>
                <w:rFonts w:ascii="宋体" w:hAnsi="宋体" w:cs="宋体"/>
                <w:color w:val="auto"/>
                <w:kern w:val="0"/>
                <w:szCs w:val="21"/>
              </w:rPr>
            </w:pP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Cs w:val="21"/>
              </w:rPr>
              <w:t>受理情况查询</w:t>
            </w:r>
          </w:p>
        </w:tc>
        <w:tc>
          <w:tcPr>
            <w:tcW w:w="2706" w:type="pct"/>
            <w:gridSpan w:val="2"/>
            <w:vAlign w:val="center"/>
          </w:tcPr>
          <w:p>
            <w:pPr>
              <w:rPr>
                <w:color w:val="auto"/>
                <w:szCs w:val="21"/>
              </w:rPr>
            </w:pPr>
            <w:r>
              <w:rPr>
                <w:rFonts w:hint="eastAsia" w:ascii="宋体" w:hAnsi="宋体" w:cs="宋体"/>
                <w:color w:val="auto"/>
                <w:kern w:val="0"/>
                <w:sz w:val="20"/>
                <w:szCs w:val="20"/>
              </w:rPr>
              <w:t>提供举报次数以及交警受理情况的展示。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widowControl/>
              <w:jc w:val="center"/>
              <w:rPr>
                <w:rFonts w:ascii="宋体" w:hAnsi="宋体" w:cs="宋体"/>
                <w:color w:val="auto"/>
                <w:kern w:val="0"/>
                <w:szCs w:val="21"/>
              </w:rPr>
            </w:pP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Cs w:val="21"/>
              </w:rPr>
              <w:t>动态违法审核</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对采集上传的动态违法举报数据进行校对，分发到指定的中队，由中队对动态违法举报信息进行处理，并将处理结果进行上传。</w:t>
            </w:r>
          </w:p>
          <w:p>
            <w:pPr>
              <w:rPr>
                <w:color w:val="auto"/>
                <w:szCs w:val="21"/>
              </w:rPr>
            </w:pPr>
            <w:r>
              <w:rPr>
                <w:rFonts w:hint="eastAsia" w:ascii="宋体" w:hAnsi="宋体" w:cs="宋体"/>
                <w:color w:val="auto"/>
                <w:kern w:val="0"/>
                <w:sz w:val="20"/>
                <w:szCs w:val="20"/>
              </w:rPr>
              <w:t>可通过留言的方式与举报人员进行交流。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widowControl/>
              <w:jc w:val="center"/>
              <w:rPr>
                <w:rFonts w:ascii="宋体" w:hAnsi="宋体" w:cs="宋体"/>
                <w:color w:val="auto"/>
                <w:kern w:val="0"/>
                <w:szCs w:val="21"/>
              </w:rPr>
            </w:pP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Cs w:val="21"/>
              </w:rPr>
              <w:t>动态违法数据管理</w:t>
            </w:r>
          </w:p>
        </w:tc>
        <w:tc>
          <w:tcPr>
            <w:tcW w:w="2706" w:type="pct"/>
            <w:gridSpan w:val="2"/>
            <w:vAlign w:val="center"/>
          </w:tcPr>
          <w:p>
            <w:pPr>
              <w:rPr>
                <w:color w:val="auto"/>
                <w:szCs w:val="21"/>
              </w:rPr>
            </w:pPr>
            <w:r>
              <w:rPr>
                <w:rFonts w:hint="eastAsia" w:ascii="宋体" w:hAnsi="宋体" w:cs="宋体"/>
                <w:color w:val="auto"/>
                <w:kern w:val="0"/>
                <w:sz w:val="20"/>
                <w:szCs w:val="20"/>
              </w:rPr>
              <w:t>提供违法举报上传数据以及审核结果的统计，包括车辆类型、号牌号码、违法时间等统计条件。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widowControl/>
              <w:jc w:val="center"/>
              <w:rPr>
                <w:rFonts w:ascii="宋体" w:hAnsi="宋体" w:cs="宋体"/>
                <w:color w:val="auto"/>
                <w:kern w:val="0"/>
                <w:szCs w:val="21"/>
              </w:rPr>
            </w:pP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 w:val="20"/>
                <w:szCs w:val="20"/>
              </w:rPr>
              <w:t>基础数据管理</w:t>
            </w:r>
          </w:p>
        </w:tc>
        <w:tc>
          <w:tcPr>
            <w:tcW w:w="2706" w:type="pct"/>
            <w:gridSpan w:val="2"/>
            <w:vAlign w:val="center"/>
          </w:tcPr>
          <w:p>
            <w:pPr>
              <w:rPr>
                <w:color w:val="auto"/>
                <w:szCs w:val="21"/>
              </w:rPr>
            </w:pPr>
            <w:r>
              <w:rPr>
                <w:rFonts w:hint="eastAsia" w:ascii="宋体" w:hAnsi="宋体" w:cs="宋体"/>
                <w:color w:val="auto"/>
                <w:kern w:val="0"/>
                <w:sz w:val="20"/>
                <w:szCs w:val="20"/>
              </w:rPr>
              <w:t>支持在后台配置号牌类型、车身颜色、违法类型、行驶方向等数据参数。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widowControl/>
              <w:jc w:val="center"/>
              <w:rPr>
                <w:rFonts w:ascii="宋体" w:hAnsi="宋体" w:cs="宋体"/>
                <w:color w:val="auto"/>
                <w:kern w:val="0"/>
                <w:szCs w:val="21"/>
              </w:rPr>
            </w:pP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 w:val="20"/>
                <w:szCs w:val="20"/>
              </w:rPr>
              <w:t>故障上报</w:t>
            </w:r>
          </w:p>
        </w:tc>
        <w:tc>
          <w:tcPr>
            <w:tcW w:w="2706" w:type="pct"/>
            <w:gridSpan w:val="2"/>
            <w:vAlign w:val="center"/>
          </w:tcPr>
          <w:p>
            <w:pPr>
              <w:rPr>
                <w:color w:val="auto"/>
                <w:szCs w:val="21"/>
              </w:rPr>
            </w:pPr>
            <w:r>
              <w:rPr>
                <w:rFonts w:hint="eastAsia" w:ascii="宋体" w:hAnsi="宋体" w:cs="宋体"/>
                <w:color w:val="auto"/>
                <w:kern w:val="0"/>
                <w:sz w:val="20"/>
                <w:szCs w:val="20"/>
              </w:rPr>
              <w:t>提供故障上报功能，通过故障情况说明的选择，系统自动定位以及故障照片的上传实现故障上报。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widowControl/>
              <w:jc w:val="center"/>
              <w:rPr>
                <w:rFonts w:ascii="宋体" w:hAnsi="宋体" w:cs="宋体"/>
                <w:color w:val="auto"/>
                <w:kern w:val="0"/>
                <w:szCs w:val="21"/>
              </w:rPr>
            </w:pP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 w:val="20"/>
                <w:szCs w:val="20"/>
              </w:rPr>
              <w:t>上报信息查询</w:t>
            </w:r>
          </w:p>
        </w:tc>
        <w:tc>
          <w:tcPr>
            <w:tcW w:w="2706" w:type="pct"/>
            <w:gridSpan w:val="2"/>
            <w:vAlign w:val="center"/>
          </w:tcPr>
          <w:p>
            <w:pPr>
              <w:rPr>
                <w:color w:val="auto"/>
                <w:szCs w:val="21"/>
              </w:rPr>
            </w:pPr>
            <w:r>
              <w:rPr>
                <w:rFonts w:hint="eastAsia" w:ascii="宋体" w:hAnsi="宋体" w:cs="宋体"/>
                <w:color w:val="auto"/>
                <w:kern w:val="0"/>
                <w:sz w:val="20"/>
                <w:szCs w:val="20"/>
              </w:rPr>
              <w:t>用户可以查看自己提交的交通设施故障上报信息。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widowControl/>
              <w:jc w:val="center"/>
              <w:rPr>
                <w:rFonts w:ascii="宋体" w:hAnsi="宋体" w:cs="宋体"/>
                <w:color w:val="auto"/>
                <w:kern w:val="0"/>
                <w:szCs w:val="21"/>
              </w:rPr>
            </w:pP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 w:val="20"/>
                <w:szCs w:val="20"/>
              </w:rPr>
              <w:t>整改情况上传</w:t>
            </w:r>
          </w:p>
        </w:tc>
        <w:tc>
          <w:tcPr>
            <w:tcW w:w="2706" w:type="pct"/>
            <w:gridSpan w:val="2"/>
            <w:vAlign w:val="center"/>
          </w:tcPr>
          <w:p>
            <w:pPr>
              <w:rPr>
                <w:color w:val="auto"/>
                <w:szCs w:val="21"/>
              </w:rPr>
            </w:pPr>
            <w:r>
              <w:rPr>
                <w:rFonts w:hint="eastAsia" w:ascii="宋体" w:hAnsi="宋体" w:cs="宋体"/>
                <w:color w:val="auto"/>
                <w:kern w:val="0"/>
                <w:sz w:val="20"/>
                <w:szCs w:val="20"/>
              </w:rPr>
              <w:t>系统支持中队可将整改后的交安设施情况进行上传。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jc w:val="center"/>
              <w:rPr>
                <w:rFonts w:ascii="宋体" w:hAnsi="宋体" w:cs="宋体"/>
                <w:color w:val="auto"/>
                <w:kern w:val="0"/>
                <w:szCs w:val="21"/>
              </w:rPr>
            </w:pP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 w:val="20"/>
                <w:szCs w:val="20"/>
              </w:rPr>
              <w:t>用户认证</w:t>
            </w:r>
          </w:p>
        </w:tc>
        <w:tc>
          <w:tcPr>
            <w:tcW w:w="2706" w:type="pct"/>
            <w:gridSpan w:val="2"/>
            <w:vAlign w:val="center"/>
          </w:tcPr>
          <w:p>
            <w:pPr>
              <w:rPr>
                <w:color w:val="auto"/>
                <w:szCs w:val="21"/>
              </w:rPr>
            </w:pPr>
            <w:r>
              <w:rPr>
                <w:rFonts w:hint="eastAsia" w:ascii="宋体" w:hAnsi="宋体" w:cs="宋体"/>
                <w:color w:val="auto"/>
                <w:kern w:val="0"/>
                <w:sz w:val="20"/>
                <w:szCs w:val="20"/>
              </w:rPr>
              <w:t>对群众的学员身份进行核查认证，若不是学员可以作为志愿者身份参加公益活动。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widowControl/>
              <w:jc w:val="center"/>
              <w:rPr>
                <w:rFonts w:ascii="宋体" w:hAnsi="宋体" w:cs="宋体"/>
                <w:color w:val="auto"/>
                <w:kern w:val="0"/>
                <w:szCs w:val="21"/>
              </w:rPr>
            </w:pP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 w:val="20"/>
                <w:szCs w:val="20"/>
              </w:rPr>
              <w:t>站岗预约</w:t>
            </w:r>
          </w:p>
        </w:tc>
        <w:tc>
          <w:tcPr>
            <w:tcW w:w="2706" w:type="pct"/>
            <w:gridSpan w:val="2"/>
            <w:vAlign w:val="center"/>
          </w:tcPr>
          <w:p>
            <w:pPr>
              <w:rPr>
                <w:color w:val="auto"/>
                <w:szCs w:val="21"/>
              </w:rPr>
            </w:pPr>
            <w:r>
              <w:rPr>
                <w:rFonts w:hint="eastAsia" w:ascii="宋体" w:hAnsi="宋体" w:cs="宋体"/>
                <w:color w:val="auto"/>
                <w:kern w:val="0"/>
                <w:sz w:val="20"/>
                <w:szCs w:val="20"/>
              </w:rPr>
              <w:t>管理员可对预约时间，位置等进行配置；群众提交预约信息后可进行站岗预约。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widowControl/>
              <w:jc w:val="center"/>
              <w:rPr>
                <w:rFonts w:ascii="宋体" w:hAnsi="宋体" w:cs="宋体"/>
                <w:color w:val="auto"/>
                <w:kern w:val="0"/>
                <w:szCs w:val="21"/>
              </w:rPr>
            </w:pP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 w:val="20"/>
                <w:szCs w:val="20"/>
              </w:rPr>
              <w:t>站岗签到/签退</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提供限定时间内的站岗签到/签退功能。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 w:val="20"/>
                <w:szCs w:val="20"/>
              </w:rPr>
              <w:t>站岗比对</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调用扫脸实名验证接口，确保该用户为本人操作。并记录当前位置及当前时间；提供站岗过程照片上传功能，通过签到、过程图片上传、签退进行三次定位位置与岗亭位置比对。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 w:val="20"/>
                <w:szCs w:val="20"/>
              </w:rPr>
              <w:t>工作人员核查</w:t>
            </w:r>
          </w:p>
        </w:tc>
        <w:tc>
          <w:tcPr>
            <w:tcW w:w="2706" w:type="pct"/>
            <w:gridSpan w:val="2"/>
            <w:vAlign w:val="center"/>
          </w:tcPr>
          <w:p>
            <w:pPr>
              <w:rPr>
                <w:color w:val="auto"/>
              </w:rPr>
            </w:pPr>
            <w:r>
              <w:rPr>
                <w:rFonts w:hint="eastAsia" w:ascii="宋体" w:hAnsi="宋体" w:cs="宋体"/>
                <w:color w:val="auto"/>
                <w:kern w:val="0"/>
                <w:sz w:val="20"/>
                <w:szCs w:val="20"/>
              </w:rPr>
              <w:t>支持民警将站岗记录进行无效认证。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Cs w:val="21"/>
              </w:rPr>
            </w:pPr>
            <w:r>
              <w:rPr>
                <w:rFonts w:hint="eastAsia" w:ascii="宋体" w:hAnsi="宋体" w:cs="宋体"/>
                <w:color w:val="auto"/>
                <w:kern w:val="0"/>
                <w:sz w:val="20"/>
                <w:szCs w:val="20"/>
              </w:rPr>
              <w:t>站岗计划管理</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将站岗计划信息，提供给民警进行维护。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jc w:val="center"/>
              <w:rPr>
                <w:rFonts w:ascii="宋体" w:hAnsi="宋体" w:cs="宋体"/>
                <w:color w:val="auto"/>
                <w:kern w:val="0"/>
                <w:sz w:val="20"/>
                <w:szCs w:val="20"/>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b/>
                <w:bCs/>
                <w:color w:val="auto"/>
                <w:kern w:val="0"/>
                <w:szCs w:val="21"/>
              </w:rPr>
            </w:pPr>
            <w:r>
              <w:rPr>
                <w:rFonts w:hint="eastAsia" w:ascii="宋体" w:hAnsi="宋体" w:cs="宋体"/>
                <w:color w:val="auto"/>
                <w:kern w:val="0"/>
                <w:sz w:val="20"/>
                <w:szCs w:val="20"/>
              </w:rPr>
              <w:t>系统管理</w:t>
            </w:r>
          </w:p>
        </w:tc>
        <w:tc>
          <w:tcPr>
            <w:tcW w:w="2706" w:type="pct"/>
            <w:gridSpan w:val="2"/>
            <w:vAlign w:val="center"/>
          </w:tcPr>
          <w:p>
            <w:pPr>
              <w:rPr>
                <w:rFonts w:ascii="宋体" w:hAnsi="宋体"/>
                <w:color w:val="auto"/>
                <w:szCs w:val="20"/>
              </w:rPr>
            </w:pPr>
            <w:r>
              <w:rPr>
                <w:rFonts w:hint="eastAsia" w:ascii="宋体" w:hAnsi="宋体" w:cs="宋体"/>
                <w:color w:val="auto"/>
                <w:kern w:val="0"/>
                <w:sz w:val="20"/>
                <w:szCs w:val="20"/>
              </w:rPr>
              <w:t>提供后台用户，权限，部门等信息维护管理。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restart"/>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3</w:t>
            </w:r>
          </w:p>
        </w:tc>
        <w:tc>
          <w:tcPr>
            <w:tcW w:w="718" w:type="pct"/>
            <w:vMerge w:val="restart"/>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重点驾驶人学习中心（台州交警微信端）</w:t>
            </w: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非机动车管控重点教育任务完成情况查询</w:t>
            </w:r>
          </w:p>
        </w:tc>
        <w:tc>
          <w:tcPr>
            <w:tcW w:w="2706" w:type="pct"/>
            <w:gridSpan w:val="2"/>
            <w:vAlign w:val="center"/>
          </w:tcPr>
          <w:p>
            <w:pPr>
              <w:spacing w:after="120"/>
              <w:rPr>
                <w:rFonts w:ascii="宋体" w:hAnsi="宋体" w:cs="宋体"/>
                <w:color w:val="auto"/>
                <w:kern w:val="0"/>
                <w:sz w:val="20"/>
                <w:szCs w:val="20"/>
              </w:rPr>
            </w:pPr>
            <w:r>
              <w:rPr>
                <w:rFonts w:hint="eastAsia" w:ascii="宋体" w:hAnsi="宋体" w:cs="宋体"/>
                <w:color w:val="auto"/>
                <w:kern w:val="0"/>
                <w:sz w:val="20"/>
                <w:szCs w:val="20"/>
              </w:rPr>
              <w:t>提供对非机动车管控重点教育任务完成情况进行查询。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数据对接</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与数据中心对接，获取非机动车管控系统数据，如未带安全头盔的老年人村落信息、人像图片等数据。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jc w:val="center"/>
              <w:rPr>
                <w:rFonts w:ascii="宋体" w:hAnsi="宋体" w:cs="宋体"/>
                <w:color w:val="auto"/>
                <w:kern w:val="0"/>
                <w:sz w:val="20"/>
                <w:szCs w:val="20"/>
              </w:rPr>
            </w:pPr>
            <w:r>
              <w:rPr>
                <w:rFonts w:hint="eastAsia" w:ascii="宋体" w:hAnsi="宋体" w:cs="宋体"/>
                <w:color w:val="auto"/>
                <w:kern w:val="0"/>
                <w:sz w:val="20"/>
                <w:szCs w:val="20"/>
              </w:rPr>
              <w:t>学习模块用户管理</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民警可以通过新增或名单导入的方式维护学习模块中特定人员名单，对特定人员的学习成果进行监管。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jc w:val="center"/>
              <w:rPr>
                <w:rFonts w:ascii="宋体" w:hAnsi="宋体" w:cs="宋体"/>
                <w:color w:val="auto"/>
                <w:kern w:val="0"/>
                <w:sz w:val="20"/>
                <w:szCs w:val="20"/>
              </w:rPr>
            </w:pPr>
            <w:r>
              <w:rPr>
                <w:rFonts w:hint="eastAsia" w:ascii="宋体" w:hAnsi="宋体" w:cs="宋体"/>
                <w:color w:val="auto"/>
                <w:kern w:val="0"/>
                <w:sz w:val="20"/>
                <w:szCs w:val="20"/>
              </w:rPr>
              <w:t>用户认证</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对学习人员的身份进行核查认证，若不是特定人员可以作为游客的身份参加学习。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jc w:val="center"/>
              <w:rPr>
                <w:rFonts w:ascii="宋体" w:hAnsi="宋体" w:cs="宋体"/>
                <w:color w:val="auto"/>
                <w:kern w:val="0"/>
                <w:sz w:val="20"/>
                <w:szCs w:val="20"/>
              </w:rPr>
            </w:pPr>
            <w:r>
              <w:rPr>
                <w:rFonts w:hint="eastAsia" w:ascii="宋体" w:hAnsi="宋体" w:cs="宋体"/>
                <w:color w:val="auto"/>
                <w:kern w:val="0"/>
                <w:sz w:val="20"/>
                <w:szCs w:val="20"/>
              </w:rPr>
              <w:t>学习资源分类</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提供道路安全教育、违法学习教育、交通法律法规学习、实时新闻资讯等几大学习类别。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jc w:val="center"/>
              <w:rPr>
                <w:rFonts w:ascii="宋体" w:hAnsi="宋体" w:cs="宋体"/>
                <w:color w:val="auto"/>
                <w:kern w:val="0"/>
                <w:sz w:val="20"/>
                <w:szCs w:val="20"/>
              </w:rPr>
            </w:pPr>
            <w:r>
              <w:rPr>
                <w:rFonts w:hint="eastAsia" w:ascii="宋体" w:hAnsi="宋体" w:cs="宋体"/>
                <w:color w:val="auto"/>
                <w:kern w:val="0"/>
                <w:sz w:val="20"/>
                <w:szCs w:val="20"/>
              </w:rPr>
              <w:t>安全教育学习</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支持视频学习、学习验证、学习进度保存、视频定位播放等功能；</w:t>
            </w:r>
          </w:p>
          <w:p>
            <w:pPr>
              <w:spacing w:after="120"/>
              <w:rPr>
                <w:rFonts w:ascii="宋体" w:hAnsi="宋体" w:cs="宋体"/>
                <w:color w:val="auto"/>
                <w:kern w:val="0"/>
                <w:sz w:val="20"/>
                <w:szCs w:val="20"/>
              </w:rPr>
            </w:pPr>
            <w:r>
              <w:rPr>
                <w:rFonts w:hint="eastAsia" w:ascii="宋体" w:hAnsi="宋体" w:cs="宋体"/>
                <w:color w:val="auto"/>
                <w:kern w:val="0"/>
                <w:sz w:val="20"/>
                <w:szCs w:val="20"/>
              </w:rPr>
              <w:t>支持图文学习、图文材料点赞、图文材料评论等功能；</w:t>
            </w:r>
          </w:p>
          <w:p>
            <w:pPr>
              <w:spacing w:after="120"/>
              <w:rPr>
                <w:rFonts w:ascii="宋体" w:hAnsi="宋体" w:cs="宋体"/>
                <w:color w:val="auto"/>
                <w:kern w:val="0"/>
                <w:sz w:val="20"/>
                <w:szCs w:val="20"/>
              </w:rPr>
            </w:pPr>
            <w:r>
              <w:rPr>
                <w:rFonts w:hint="eastAsia" w:ascii="宋体" w:hAnsi="宋体" w:cs="宋体"/>
                <w:color w:val="auto"/>
                <w:kern w:val="0"/>
                <w:sz w:val="20"/>
                <w:szCs w:val="20"/>
              </w:rPr>
              <w:t>支持文章评论、统计以及收藏。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答题训练</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每日答题训练：需支持出题以及答题功能。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挑战答题</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挑战答题：需要支持出题、答题、评分、错误题目点评等功能。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重点驾驶人考试</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系统对重点驾驶人进行筛选，为重点驾驶人设置考试任务。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学习记录</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对当日以及近一周的学习情况进行统计。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个人中心</w:t>
            </w:r>
          </w:p>
        </w:tc>
        <w:tc>
          <w:tcPr>
            <w:tcW w:w="2706" w:type="pct"/>
            <w:gridSpan w:val="2"/>
            <w:vAlign w:val="center"/>
          </w:tcPr>
          <w:p>
            <w:pPr>
              <w:rPr>
                <w:color w:val="auto"/>
              </w:rPr>
            </w:pPr>
            <w:r>
              <w:rPr>
                <w:rFonts w:hint="eastAsia" w:ascii="宋体" w:hAnsi="宋体" w:cs="宋体"/>
                <w:color w:val="auto"/>
                <w:kern w:val="0"/>
                <w:sz w:val="20"/>
                <w:szCs w:val="20"/>
              </w:rPr>
              <w:t>驾驶人可以在用户个人信息配置模块中更换头像，更换手机号码等。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学习主题配置</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系统需提供道路交通安全主题、违法学习教育主题、交通法律法规主题、新闻资讯类等学习主题配置。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学习主题管理</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管理可以通过主题的分类对主题管理。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题库管理</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题库配置：需要支持题库导入以及题库列表管理功能。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学习资源管理</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学习视频管理：支持学习视频导入、视频列表管理、视频评论管理等功能。</w:t>
            </w:r>
          </w:p>
          <w:p>
            <w:pPr>
              <w:spacing w:after="120"/>
              <w:rPr>
                <w:rFonts w:ascii="宋体" w:hAnsi="宋体" w:cs="宋体"/>
                <w:color w:val="auto"/>
                <w:kern w:val="0"/>
                <w:sz w:val="20"/>
                <w:szCs w:val="20"/>
              </w:rPr>
            </w:pPr>
            <w:r>
              <w:rPr>
                <w:rFonts w:hint="eastAsia" w:ascii="宋体" w:hAnsi="宋体" w:cs="宋体"/>
                <w:color w:val="auto"/>
                <w:kern w:val="0"/>
                <w:sz w:val="20"/>
                <w:szCs w:val="20"/>
              </w:rPr>
              <w:t>学习图文管理：支持文章内容输入、图文列表管理、文章评论管理等功能。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统计分析</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后台自动实时统计当日平台学习人数。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Merge w:val="restart"/>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系统管理用户注册信息管理</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管理员可以对登陆注册平台的用户进行统一的管理，可以通过身份证、姓名等查询条件查询指定的用户注册信息。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Merge w:val="continue"/>
            <w:vAlign w:val="center"/>
          </w:tcPr>
          <w:p>
            <w:pPr>
              <w:widowControl/>
              <w:jc w:val="center"/>
              <w:rPr>
                <w:rFonts w:ascii="宋体" w:hAnsi="宋体" w:cs="宋体"/>
                <w:color w:val="auto"/>
                <w:kern w:val="0"/>
                <w:sz w:val="20"/>
                <w:szCs w:val="20"/>
              </w:rPr>
            </w:pP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需要支持部门管理、用户管理、权限管理、系统参数管理以及系统日志管理等功能。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系统对接要求</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系统需要与重点对象管控系统对接获取重点驾驶人信息数据。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1" w:type="pct"/>
            <w:gridSpan w:val="2"/>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统一资源</w:t>
            </w:r>
          </w:p>
        </w:tc>
        <w:tc>
          <w:tcPr>
            <w:tcW w:w="2706" w:type="pct"/>
            <w:gridSpan w:val="2"/>
            <w:vAlign w:val="center"/>
          </w:tcPr>
          <w:p>
            <w:pPr>
              <w:rPr>
                <w:rFonts w:ascii="宋体" w:hAnsi="宋体" w:cs="宋体"/>
                <w:color w:val="auto"/>
                <w:kern w:val="0"/>
                <w:sz w:val="20"/>
                <w:szCs w:val="20"/>
              </w:rPr>
            </w:pPr>
            <w:r>
              <w:rPr>
                <w:rFonts w:hint="eastAsia" w:ascii="宋体" w:hAnsi="宋体" w:cs="宋体"/>
                <w:color w:val="auto"/>
                <w:kern w:val="0"/>
                <w:sz w:val="20"/>
                <w:szCs w:val="20"/>
              </w:rPr>
              <w:t>模块需要复用资源中心提供的关系型数据库及分布式数据库，统一使用资源中心提供的大数据能力。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20" w:hRule="atLeast"/>
        </w:trPr>
        <w:tc>
          <w:tcPr>
            <w:tcW w:w="423" w:type="pct"/>
            <w:vMerge w:val="restart"/>
            <w:vAlign w:val="center"/>
          </w:tcPr>
          <w:p>
            <w:pPr>
              <w:widowControl/>
              <w:jc w:val="center"/>
              <w:rPr>
                <w:rFonts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rPr>
              <w:t>4</w:t>
            </w:r>
          </w:p>
          <w:p>
            <w:pPr>
              <w:widowControl/>
              <w:autoSpaceDE w:val="0"/>
              <w:autoSpaceDN w:val="0"/>
              <w:adjustRightInd w:val="0"/>
              <w:spacing w:line="360" w:lineRule="auto"/>
              <w:jc w:val="center"/>
              <w:rPr>
                <w:color w:val="auto"/>
                <w:kern w:val="0"/>
                <w:sz w:val="24"/>
                <w:szCs w:val="28"/>
              </w:rPr>
            </w:pPr>
          </w:p>
        </w:tc>
        <w:tc>
          <w:tcPr>
            <w:tcW w:w="718" w:type="pct"/>
            <w:vMerge w:val="restart"/>
            <w:vAlign w:val="center"/>
          </w:tcPr>
          <w:p>
            <w:pPr>
              <w:widowControl/>
              <w:jc w:val="center"/>
              <w:rPr>
                <w:rFonts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rPr>
              <w:t>老年人帮扶系统升级（台州交警微信端）</w:t>
            </w:r>
          </w:p>
          <w:p>
            <w:pPr>
              <w:widowControl/>
              <w:jc w:val="center"/>
              <w:rPr>
                <w:rFonts w:ascii="宋体" w:hAnsi="宋体" w:cs="宋体"/>
                <w:color w:val="auto"/>
                <w:kern w:val="0"/>
                <w:sz w:val="20"/>
                <w:szCs w:val="20"/>
              </w:rPr>
            </w:pPr>
          </w:p>
        </w:tc>
        <w:tc>
          <w:tcPr>
            <w:tcW w:w="1150" w:type="pct"/>
            <w:vAlign w:val="center"/>
          </w:tcPr>
          <w:p>
            <w:pPr>
              <w:widowControl/>
              <w:jc w:val="center"/>
              <w:rPr>
                <w:rFonts w:hint="eastAsia"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rPr>
              <w:t>任务自动/手动分配</w:t>
            </w:r>
          </w:p>
        </w:tc>
        <w:tc>
          <w:tcPr>
            <w:tcW w:w="2705" w:type="pct"/>
            <w:gridSpan w:val="2"/>
            <w:vAlign w:val="center"/>
          </w:tcPr>
          <w:p>
            <w:pPr>
              <w:rPr>
                <w:rFonts w:hint="eastAsia"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rPr>
              <w:t>系统实时获取非机动车管控系统数据；将需要帮扶的人员自动分配至负责该居住点的村居管理员，同时也可以进行手动修改。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0" w:type="pct"/>
            <w:vAlign w:val="center"/>
          </w:tcPr>
          <w:p>
            <w:pPr>
              <w:widowControl/>
              <w:jc w:val="center"/>
              <w:rPr>
                <w:rFonts w:hint="eastAsia"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rPr>
              <w:t>教育任务文件导入</w:t>
            </w:r>
          </w:p>
        </w:tc>
        <w:tc>
          <w:tcPr>
            <w:tcW w:w="2705" w:type="pct"/>
            <w:gridSpan w:val="2"/>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ascii="宋体" w:hAnsi="宋体" w:cs="宋体"/>
                <w:color w:val="auto"/>
                <w:kern w:val="0"/>
                <w:sz w:val="20"/>
                <w:szCs w:val="20"/>
              </w:rPr>
              <w:t>支持通过上传</w:t>
            </w:r>
            <w:r>
              <w:rPr>
                <w:rFonts w:ascii="宋体" w:hAnsi="宋体" w:cs="宋体"/>
                <w:color w:val="auto"/>
                <w:kern w:val="0"/>
                <w:sz w:val="20"/>
                <w:szCs w:val="20"/>
              </w:rPr>
              <w:t>EXCEL</w:t>
            </w:r>
            <w:r>
              <w:rPr>
                <w:rFonts w:hint="eastAsia" w:ascii="宋体" w:hAnsi="宋体" w:cs="宋体"/>
                <w:color w:val="auto"/>
                <w:kern w:val="0"/>
                <w:sz w:val="20"/>
                <w:szCs w:val="20"/>
              </w:rPr>
              <w:t>表的方式导入教育任务，系统根据文件内容分配任务至相关负责人。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20" w:hRule="atLeast"/>
        </w:trPr>
        <w:tc>
          <w:tcPr>
            <w:tcW w:w="423" w:type="pct"/>
            <w:vMerge w:val="continue"/>
            <w:vAlign w:val="center"/>
          </w:tcPr>
          <w:p>
            <w:pPr>
              <w:widowControl/>
              <w:autoSpaceDE w:val="0"/>
              <w:autoSpaceDN w:val="0"/>
              <w:adjustRightInd w:val="0"/>
              <w:spacing w:line="360" w:lineRule="auto"/>
              <w:jc w:val="center"/>
              <w:rPr>
                <w:color w:val="auto"/>
                <w:kern w:val="0"/>
                <w:sz w:val="24"/>
                <w:szCs w:val="28"/>
              </w:rPr>
            </w:pPr>
          </w:p>
        </w:tc>
        <w:tc>
          <w:tcPr>
            <w:tcW w:w="718" w:type="pct"/>
            <w:vMerge w:val="continue"/>
            <w:vAlign w:val="center"/>
          </w:tcPr>
          <w:p>
            <w:pPr>
              <w:widowControl/>
              <w:jc w:val="center"/>
              <w:rPr>
                <w:rFonts w:ascii="宋体" w:hAnsi="宋体" w:cs="宋体"/>
                <w:color w:val="auto"/>
                <w:kern w:val="0"/>
                <w:sz w:val="20"/>
                <w:szCs w:val="20"/>
              </w:rPr>
            </w:pPr>
          </w:p>
        </w:tc>
        <w:tc>
          <w:tcPr>
            <w:tcW w:w="1150" w:type="pct"/>
            <w:vAlign w:val="center"/>
          </w:tcPr>
          <w:p>
            <w:pPr>
              <w:widowControl/>
              <w:jc w:val="center"/>
              <w:rPr>
                <w:rFonts w:hint="eastAsia"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rPr>
              <w:t>非机动车管控重点教育结果上传</w:t>
            </w:r>
          </w:p>
        </w:tc>
        <w:tc>
          <w:tcPr>
            <w:tcW w:w="2705" w:type="pct"/>
            <w:gridSpan w:val="2"/>
            <w:vAlign w:val="center"/>
          </w:tcPr>
          <w:p>
            <w:pPr>
              <w:rPr>
                <w:rFonts w:hint="eastAsia"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rPr>
              <w:t>对非机动车管控重点教育任务提供教育结果上传。</w:t>
            </w:r>
          </w:p>
        </w:tc>
      </w:tr>
    </w:tbl>
    <w:p>
      <w:pPr>
        <w:pStyle w:val="56"/>
        <w:rPr>
          <w:color w:val="auto"/>
        </w:rPr>
      </w:pPr>
    </w:p>
    <w:p>
      <w:pPr>
        <w:pStyle w:val="6"/>
        <w:rPr>
          <w:color w:val="auto"/>
        </w:rPr>
      </w:pPr>
      <w:r>
        <w:rPr>
          <w:rFonts w:hint="eastAsia"/>
          <w:color w:val="auto"/>
        </w:rPr>
        <w:t>运维管理模块</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616"/>
        <w:gridCol w:w="2016"/>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vAlign w:val="center"/>
          </w:tcPr>
          <w:p>
            <w:pPr>
              <w:widowControl/>
              <w:jc w:val="center"/>
              <w:rPr>
                <w:rFonts w:ascii="宋体" w:hAnsi="宋体" w:cs="宋体"/>
                <w:b/>
                <w:bCs/>
                <w:color w:val="auto"/>
                <w:kern w:val="0"/>
                <w:sz w:val="20"/>
                <w:szCs w:val="20"/>
              </w:rPr>
            </w:pPr>
            <w:bookmarkStart w:id="48" w:name="_Hlk103848244"/>
            <w:r>
              <w:rPr>
                <w:rFonts w:hint="eastAsia" w:ascii="宋体" w:hAnsi="宋体" w:cs="宋体"/>
                <w:b/>
                <w:bCs/>
                <w:color w:val="auto"/>
                <w:kern w:val="0"/>
                <w:sz w:val="20"/>
                <w:szCs w:val="20"/>
              </w:rPr>
              <w:t>序号</w:t>
            </w:r>
          </w:p>
        </w:tc>
        <w:tc>
          <w:tcPr>
            <w:tcW w:w="761"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功能模块</w:t>
            </w:r>
          </w:p>
        </w:tc>
        <w:tc>
          <w:tcPr>
            <w:tcW w:w="1214"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子模块</w:t>
            </w:r>
          </w:p>
        </w:tc>
        <w:tc>
          <w:tcPr>
            <w:tcW w:w="2515"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761"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工作台</w:t>
            </w: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工作动态</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工作台支持实时展示当前用户的值班情况、与当前用户相关的工单分派和解决情况，支持创建工单以及查看草稿箱，帮助用户直观地掌握工作进度，快速处理工作内容。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模块配置</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管理员可在选择展示模块，设置模块标题、字段、图表、数据源。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761"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资产管理子系统</w:t>
            </w: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资产管理</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资产的入库、出库、归还、报废、维修等全生命周期的信息均保存在资产管理数据中，展示资产的基本信息，如：资产编号、资产类型、归属组织、序列号、编号、所属项目、所属仓库、关联设备等。支持通过资产序号、编号等关键词进行模糊搜索或关联品牌、资产状态、类型、项目、归属组织等筛选项精准筛选列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入库管理</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支持资产批量入库，以入库单为单位统计采购、调拨等到货并入库的资产，支持各组织入库流程记录。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资产上线</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支持资产关联设备，设置安装位置、IP等信息，支持通过扫描二维码或RFID出库登记。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资产回收</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支持通过扫描二维码或RFID归还登记，领用人归还资产，归还后变为库存中状态。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资产调拨</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可对资产进行调拨操作，记录原单位、调入单位、调拨时间、调拨原因等。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资产报废</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维护资产报废信息，报废单包含报废单附件、报废日期、经办人等信息，支持以报废单为单位统计已报废的资产。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资产报表</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支持统计资产所属机构、项目、状态、类别、品牌型号、资产价值等维度。分析资产质量，如：使用年限、故障次数、故障现象等。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资产生命周期报表</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支持时间轴方式直观展现资产入库、上线、下线、维修/更换、报废等关键节点的操作时间等信息。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761"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项目管理子系统</w:t>
            </w:r>
          </w:p>
        </w:tc>
        <w:tc>
          <w:tcPr>
            <w:tcW w:w="1214"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项目管理</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项目立项管理：对项目立项过程时间、文档资料进行管理，包括通过评审时上传会议纪要、立项申请书等相关文档（需接入浙政钉数据）；展示项目基本信息，包括项目编号、项目名称、项目预算、所属组织、负责人等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采购方案管理：通过立项审核的项目，对采购目标及计划评审进行记录，上传采购相关资料及文档信息进行审核。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项目招标：录入采购信息、中标通知书等相关文件以及中标单位和监理单位信息，投标文件归档。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合同签订：支持合同信息管理，建立合同台帐，包括合同编号、合同名称、合同价格、合同签订日期、运维公司、履行进度、联系信息、合同所关联的资产、合同相关的电子文档、合同关联项目等。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项目建设：可维护项目建设过程中的节点、有效时间和每个节点必须上传的文档。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项目实施：维护项目实施过程节点，并可上传相关文件资料。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项目验收：维护项目验收节点，并可上传相关文件资料。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项目收尾：维护项目收尾节点，并可上传相关文件资料。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预算管理</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年度预算：支持对支出经费的增删改查，设定各年度经费预算以及执行进度考核，并且针对预算使用量进行预警，各业务部门可以提出申请，增加采购预算。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确认书管理：支持新增确认书，确认书为经费使用划拨时需关联确认书，确认书台账需清楚记录相关经费的使用情况，如每笔金额的使用项目或标段、相关支付台账等。对已经使用的确认书不再做修改删除操作。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费用支付：支付申请，支付申请内容包括：选择关联相关合同的支付配置，关联确认书的经费出处、支付账户、收款账户、费用用途、支付时间等。系统对支付关联的合同和确认书验证，对不符合支付要求的情况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761"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监测中心子系统</w:t>
            </w: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监测动态</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可查看权限内的监测数据、最新监测告警信息。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设备列表</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展示设备的基本信息，如：设备类型、设备属性、IP地址、所属项目、设备品牌、设备型号、设备序列。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设备详情</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信息点内可查看所在信息点内的所有设备详情，查看该设备的照片、设备类型、设备属性、IP地址、所属项目、设备品牌、设备型号、设备序列号、运营商、承建商、运行状态、设备账号、设备密码、MAC地址、型号、端口、安装方式、车道数等基础信息，同时可查看该设备的维护记录与维修记录，涵盖维护/维修责任人、时间及内容。并且同步展示当前设备监测信息的历史数据及流程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监控设备监测</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支持在线状态、有无图像、图像质量（包含亮度、暗度、波动、抖动、雪花、视频剧变、遮挡、冻结、清晰度、色片、干扰、对比度、噪声等）、录像完整率、录像保存时长数据监测。被监测设备数量≧5000路。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服务器监测</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支持在线状态、磁盘容量、内存使用率等数据监测。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网络设备监测</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在线状态数据等。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交通数据监测</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号牌识别率、号牌识别正确率、过车抓拍率、移动设备数据上传率等数据监测，并且支持人工复检。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卡口数据监测</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对卡口数据变动幅度进行分析、按点位按时段持续统计致少近7日数据，并取平均值，同点位当天数据量与历史同时段平均值对比，对变动幅度超过阀值的点位产生告警。对识别率低于阀值的点位产生告警。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主机设备</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检查应急报警主机、周界报警、巡视主机、交互终端、各类控制器等具有以太网连网的设备的网络连通性等。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检测项管理</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支持为各类型设备配置检测项，并且支持针对下级子项单独配置独立检测项，应用于不同场景。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8"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★巡检管理</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支持按天、按周、按月等自定义定时巡检计划，支持对被管设备、操作系统、数据库、中间件等的自动化巡检，生成巡检报告，亦可以手动执行计划。</w:t>
            </w:r>
            <w:r>
              <w:rPr>
                <w:rFonts w:hint="eastAsia" w:ascii="宋体" w:hAnsi="宋体" w:cs="宋体"/>
                <w:b/>
                <w:bCs/>
                <w:color w:val="auto"/>
                <w:kern w:val="0"/>
                <w:sz w:val="20"/>
                <w:szCs w:val="20"/>
              </w:rPr>
              <w:t>提供相关截图证明</w:t>
            </w:r>
            <w:r>
              <w:rPr>
                <w:rFonts w:hint="eastAsia" w:ascii="宋体" w:hAnsi="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策略配置</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支持新增处置规则，规则包含触发条件、执行动作、升级策略等。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w:t>
            </w:r>
          </w:p>
        </w:tc>
        <w:tc>
          <w:tcPr>
            <w:tcW w:w="761"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运维管理子系统</w:t>
            </w:r>
          </w:p>
        </w:tc>
        <w:tc>
          <w:tcPr>
            <w:tcW w:w="1214"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工单管理</w:t>
            </w:r>
          </w:p>
        </w:tc>
        <w:tc>
          <w:tcPr>
            <w:tcW w:w="2515"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支持通过告警转化、人工上报、策略触发等方式创建工单，支持工单流程节点自定义控制，根据用户角色权限切换不同模式的流程引擎，支持SLA定级、紧急度、重要度设置，支持关联设备或脱离设备直接发起工单信息，支持地图定位，支持中途支持直接处理及关闭（有处理权的情况下，服务台人员如果能处理，可直接处理并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支持设备类工单直接引导执行报废报修等流程，并且执行相关流程。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维修清单</w:t>
            </w:r>
          </w:p>
        </w:tc>
        <w:tc>
          <w:tcPr>
            <w:tcW w:w="2515"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支持维修清单功能（包括数量、种类、单价等）。具备统计、查询、对账功能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工单详情</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支持拥有权限的用户查阅当前工单所有节点的处理状态以及操作人员，并且可进行工单流程补录动作。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计划任务</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1、支持按日常维护计划进行维护流水记录，支持根据日常常规维护（如巡检）、特定工作任务要求发起维护管理任务 2、支持按计划名称、任务编号、时间等查询条件进行维护计划、维护任务的查询和统计。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事件统计</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可按工程师、组织机构、故障分类分别进行事件任务考核统计。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任务分析</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分析内容包括：任务处理次数、主修辅修任务数、重复维修情况、超时次数、任务达标率、满意度、服务量分值等。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w:t>
            </w:r>
          </w:p>
        </w:tc>
        <w:tc>
          <w:tcPr>
            <w:tcW w:w="761"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消息中心子系统</w:t>
            </w: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查看公告</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支持公告消息的提醒、展示与查看。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公告管理</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支持公告的录入、修改、删除、发布等管理功能。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系统消息</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支持按照不同的消息分类查看工单消息提醒；支持工单消息设置，用于工单消息类型和通知方式的定义。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w:t>
            </w:r>
          </w:p>
        </w:tc>
        <w:tc>
          <w:tcPr>
            <w:tcW w:w="761"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告警中心子系统</w:t>
            </w: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告警概览</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支持针对告警源、告警级别、告警对象等信息筛选、查询告警记录信息，支持选定开始日期和结束日期进行筛选。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告警信息</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1、支持按告警源类型统计、筛选和查询告警。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2、支持与资产管理信息联动，进行告警事件丰富。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3、支持从告警记录中发起事件工单，发起后可在该记录中查询追踪后期事件情况，系统会根据事件工单的结果来处理。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4、支持展示告警事件下的警报列表、事件处理记录、事件关联的指标以及事件的时间线。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维护告警</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可制定不同设备的维护时间频率，当设备距离最后一次维护时间超过制定的维护频率时，对该设备进行告警包含时间、信息点、维护频率、最后一次维护时间、设备、序列号。（告警先后分为一级、二级信息点排列，一级信息点排列在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告警抑制</w:t>
            </w:r>
          </w:p>
        </w:tc>
        <w:tc>
          <w:tcPr>
            <w:tcW w:w="2515"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1、支持通过规则方式进行告警的压缩合并；</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★2、支持通过智能算法方式进行告警的压缩合并。</w:t>
            </w:r>
            <w:r>
              <w:rPr>
                <w:rFonts w:hint="eastAsia" w:ascii="宋体" w:hAnsi="宋体" w:cs="宋体"/>
                <w:b/>
                <w:bCs/>
                <w:color w:val="auto"/>
                <w:kern w:val="0"/>
                <w:sz w:val="20"/>
                <w:szCs w:val="20"/>
              </w:rPr>
              <w:t>提供相关截图证明</w:t>
            </w:r>
            <w:r>
              <w:rPr>
                <w:rFonts w:hint="eastAsia" w:ascii="宋体" w:hAnsi="宋体" w:cs="宋体"/>
                <w:b/>
                <w:bCs/>
                <w:color w:val="auto"/>
                <w:kern w:val="0"/>
                <w:sz w:val="20"/>
                <w:szCs w:val="20"/>
                <w:lang w:eastAsia="zh-CN"/>
              </w:rPr>
              <w:t>。</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3、支持按需配置跨告警源的高级合并规则。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消息订阅</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个人用户、特定角色或机构可以跟据自身的需要，选择性订阅不同来源、不同消息级别的消息，订阅方式支持短信、邮件、APP、系统消息。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8</w:t>
            </w:r>
          </w:p>
        </w:tc>
        <w:tc>
          <w:tcPr>
            <w:tcW w:w="761"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考核分析子系统</w:t>
            </w: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响应时间合格率</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从运维系统获取事件各时间节点，从用户申报事件到维护方派单的时间的时间。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到达现场时间合格率</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从运维系统获取事件各时间节点，从用户申报事件到工程师到达现场的时间。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修复完成时间合格率</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从运维系统获取事件各时间节点，从用户申报事件到工程师修复完成的时间。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考核任务统计表</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支持对考核任务进行统计展示。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考核结果统计表</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展示考核任务中各对象，对象的SLA得分、重复维修得分、维修完成得分。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号牌识别率</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支持从交通数据系统获取设备的过车记录和号牌识别记录并分析出号牌识别率。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号牌识别正确率</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从交通数据系统获取设备的过车记录，提供人工复查辅助界面，由人工确认号牌识别是否正确，系统统计得出号牌识别正确率。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过车抓拍率</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从交通数据系统获取设备某时段的录像和过车记录，提供人工复查辅助界面，由人工确认是否正常抓拍，系统统计得出过车抓拍率。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移动设备数据上传率</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从交通数据系统获取设备上传的数据，记录每日上传量。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监控设备考核</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在线状态：从运维系统获取设备每次监测的在离线状态。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有无图像：从运维系统获取设备每次监测的视频有无图像。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图像质量：从运维系统获取设备每次监测的视频质量评分（含各质量指标的分数，如：清晰度、对比度、亮度等）。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录像完整率：从运维系统获取设备每日录像的时长占全天的比例。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录像保存时长：从运维系统获取设备的录像在保存要求的天数内是否存在。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服务器考核</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在线状态：从运维系统获取设备每次监测的在离线状态。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磁盘容量：从运维系统获取设备每次监测的磁盘容量总量和剩余容量。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考核任务设定</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可自由选择考核对象（如机构、项目、分组），指定考核办法，在考核有效期内按照日、周、月、整体等周期进行考核，可按选择的多个考核对象及其子对象生成报表生成考核报表。既可支持日常考核，也可以支持特殊考核（如春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9</w:t>
            </w:r>
          </w:p>
        </w:tc>
        <w:tc>
          <w:tcPr>
            <w:tcW w:w="761"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系统基本设置</w:t>
            </w: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组织编辑</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可对组织架构、运维单位等相关使用方，支持多层级组织设置。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用户管理</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1、支持对平台用户进行增删改查。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2、新增用户信息应包括用户账号、密码、姓名、联系电话、所属组织、用户角色、账号状态等信息。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3、支持将平台用户信息和公司内外其他系统同步，可用于支持单点登录等场景。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角色编辑</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支持对角色新增、修改、删除、查询，角色信息包括角色名称、角色描述、角色状态等。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权限分配</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支持角色权限的菜单权限分配。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新增群组</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支持跨组织建立用户组，设置用户组名称、描述、用户组状态。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添加成员</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支持将平台的所有组织下的任何用户加入到同一用户组，支持跨组织的工作小组。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用户日志</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记录所有用户在本系统的登录、登出、模块进入及详细操作日志，可跟据IP地址、时间、用户账号、操作类型进行查询。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数据字典</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支持对系统中涉及到的一些内置备选字段属性进行自定义设置。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761"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运维展示</w:t>
            </w: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实况地图</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可根据当前机构管辖的区域进行划分，绘制链路航线图，宏观展现区域整体运维情况和最新异常设备。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数据统计</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支持统计所有的设备大类及数量等信息，支持显示当日异常设备数量。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分时数据</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支持系统监测的周报、月报、季报、年报自动生成，并支持导出报表。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异常信息</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支持展示各类型设备当日异常数量及总数，通过切换类别展示不同的异常信息。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最新记录</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展示异常设备列表，可支持跳转至监控信息页面查看详情信息。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w:t>
            </w:r>
          </w:p>
        </w:tc>
        <w:tc>
          <w:tcPr>
            <w:tcW w:w="761"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移动运维应用</w:t>
            </w: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应用嵌入</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支持移动应用嵌入到即时通信工具中。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事件申报</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新的事件申报，运维小程序主要提供给一线工程师进行事件申报。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支持SLA定级、紧急度、重要度设置。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支持事件现象分类（技术或业务咨询、设备故障、系统故障等），支持多级分类选择。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支持直接指派处理人员（有指派权的情况下）。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我的待办任务</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显示所有需要当前用户处理的任务（事件）。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点击待任务显示详情，填写处理结果、上传处理过程图片。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审核人员可以审核已处理的事件，退回重新处理或重新指派给其他人员。审核通过后直接关闭。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我的挂起任务</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显示所有当前用户挂起的任务。可发起恢复重新处理（恢复后该指派的指派、该处理的处理）。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我管理的任务</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个人处理或经手的任务查询。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任务分析</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支持展示“待我处理”、“待我领取”、“逾期”、“即将逾期”的工单统计，支持在可选时间范围内的知识库贡献数量进行统计和展示，支持统计结果的导出。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通知</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一般情况有事件处理通知、管理员发布的通知通告。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个人信息</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显示个人姓名基本信息。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w:t>
            </w:r>
          </w:p>
        </w:tc>
        <w:tc>
          <w:tcPr>
            <w:tcW w:w="761"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应用监测及性能管理</w:t>
            </w: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应用程序检测接入及监测</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将系统检测的应用程序运行过程中的网络连通状态，CPU占用率，内存占用率等进行接入和展示。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业务及应用系统拓扑</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自动发现台州应用所有技术栈（如JAVA和PHP）及其关联关系，支持自定义业务，自动生成业务全局拓扑，可了解整体业务及应用调用链路情况以及健康度，业务拓扑可以钻取分析事物，数据库，主机的性能分析。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★代码执行深入追踪诊断</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PHP、Java、.NET、Python等语言的代码执行情况追踪，支持对运行时代码、SQL执行、API调用过程的性能数据采集与分析，深入到代码层面定位性能瓶颈，分析应用性能下降的因素。深度代码诊断从大量的业务请求中抓取及分析真实用户操作背后的代码执行逻辑关系与状态，如执行时间最长的方法、慢查询等。</w:t>
            </w:r>
            <w:r>
              <w:rPr>
                <w:rFonts w:hint="eastAsia" w:ascii="宋体" w:hAnsi="宋体" w:cs="宋体"/>
                <w:b/>
                <w:bCs/>
                <w:strike w:val="0"/>
                <w:dstrike w:val="0"/>
                <w:color w:val="auto"/>
                <w:kern w:val="0"/>
                <w:sz w:val="20"/>
                <w:szCs w:val="20"/>
              </w:rPr>
              <w:t>提供相关截图证明</w:t>
            </w:r>
            <w:r>
              <w:rPr>
                <w:rFonts w:hint="eastAsia" w:ascii="宋体" w:hAnsi="宋体" w:cs="宋体"/>
                <w:strike w:val="0"/>
                <w:dstrike w:val="0"/>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应用请求事务追踪</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用请求中可查看应用当前响应时间和请求数的变化趋势，可查看响应时间正常、缓慢和非常慢三类请求的变化及所有请求的平均响应时间变化事务的运行状态、每分钟执行次数、响应时间、错误率、错误次数及总执行次数，详细分析每次请求的相关服务、服务器、代码堆栈、SQL语句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网络性能监控</w:t>
            </w: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功能组成</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网络性能监控由3部分组成：数据采集、数据处理和数据服务。数据服务由6大功能模块组成，分别是仪表台、视图、告警、报表、发现、管理。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监控指标</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★可以实时查看和统计监控流量中重复数据包、重传数据包、乱序数据包的数量；可以实时查看和统计监控流量中的重复率、重传率、乱序率</w:t>
            </w:r>
            <w:r>
              <w:rPr>
                <w:rFonts w:hint="eastAsia" w:ascii="宋体" w:hAnsi="宋体" w:cs="宋体"/>
                <w:strike w:val="0"/>
                <w:dstrike w:val="0"/>
                <w:color w:val="auto"/>
                <w:kern w:val="0"/>
                <w:sz w:val="20"/>
                <w:szCs w:val="20"/>
              </w:rPr>
              <w:t>。</w:t>
            </w:r>
            <w:r>
              <w:rPr>
                <w:rFonts w:hint="eastAsia" w:ascii="宋体" w:hAnsi="宋体" w:cs="宋体"/>
                <w:b/>
                <w:bCs/>
                <w:strike w:val="0"/>
                <w:dstrike w:val="0"/>
                <w:color w:val="auto"/>
                <w:kern w:val="0"/>
                <w:sz w:val="20"/>
                <w:szCs w:val="20"/>
              </w:rPr>
              <w:t>提供相关截图证明</w:t>
            </w:r>
            <w:r>
              <w:rPr>
                <w:rFonts w:hint="eastAsia" w:ascii="宋体" w:hAnsi="宋体" w:cs="宋体"/>
                <w:strike w:val="0"/>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w:t>
            </w:r>
          </w:p>
        </w:tc>
        <w:tc>
          <w:tcPr>
            <w:tcW w:w="761"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网页可用性监控</w:t>
            </w:r>
          </w:p>
        </w:tc>
        <w:tc>
          <w:tcPr>
            <w:tcW w:w="1214"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Http/Https监控</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网页可用性监控能够帮助用户了解网站的可用率，当页面不可访问能够及时告警，即便从内部服务器或应用服务显示都正常，分布式监测的环境依然可以发现局部网络不可用的情况。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通过可用性监控，可整体掌握网站性能的可用状态，通过不同时间点的可用性分析，定位具体的故障原因。包括DNS解析故障、连接超时、4XX错误和5XX错误情况等，根据监测时间以及监控状态，进行整体排查和性能故障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平均响应时间监控</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从平均响应时间详细统计中分析，可以看到网站的DNS解析时间、建立连接时间、首包时间、内容下载时间，针对每一段响应速度耗时，可做针对性性能优化，提升响应时间。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历史快照</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★通过历史快照功能，可以具体回溯响应较慢现象，查看具体响应时间过长的阶段和响应头等信息，包括响应服务器IP、下载字节数、下载速度等指标，方便技术人员进行优化。</w:t>
            </w:r>
            <w:r>
              <w:rPr>
                <w:rFonts w:hint="eastAsia" w:ascii="宋体" w:hAnsi="宋体" w:cs="宋体"/>
                <w:b/>
                <w:bCs/>
                <w:color w:val="auto"/>
                <w:kern w:val="0"/>
                <w:sz w:val="20"/>
                <w:szCs w:val="20"/>
              </w:rPr>
              <w:t>提供相关截图证明</w:t>
            </w:r>
            <w:r>
              <w:rPr>
                <w:rFonts w:hint="eastAsia" w:ascii="宋体" w:hAnsi="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w:t>
            </w:r>
          </w:p>
        </w:tc>
        <w:tc>
          <w:tcPr>
            <w:tcW w:w="761"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视频诊断子系统</w:t>
            </w: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摄像头运行质量分析</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★对接现有视频平台，能对视频平台所有摄像头进行清晰度异常、雪花干扰、视频亮度异常、视频噪声干扰、画面冻结、视频信号缺失、视频遮挡等异常运行监测，以及支持事件告警，查询等功能。</w:t>
            </w:r>
            <w:r>
              <w:rPr>
                <w:rFonts w:hint="eastAsia" w:ascii="宋体" w:hAnsi="宋体" w:cs="宋体"/>
                <w:b/>
                <w:bCs/>
                <w:color w:val="auto"/>
                <w:kern w:val="0"/>
                <w:sz w:val="20"/>
                <w:szCs w:val="20"/>
              </w:rPr>
              <w:t>提供相关截图证明</w:t>
            </w:r>
            <w:r>
              <w:rPr>
                <w:rFonts w:hint="eastAsia" w:ascii="宋体" w:hAnsi="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761"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第三方对接开发</w:t>
            </w:r>
          </w:p>
        </w:tc>
        <w:tc>
          <w:tcPr>
            <w:tcW w:w="1214"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数据标准</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制定交警局数据类平台（资产、设备）对接标准方案并且定期执行平台数据信息同步。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资产云</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对接资产云相关资产数据，包括资产登记、报废等。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数据中心</w:t>
            </w:r>
          </w:p>
        </w:tc>
        <w:tc>
          <w:tcPr>
            <w:tcW w:w="2515" w:type="pct"/>
            <w:vMerge w:val="restar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对接台州交警局数据中心，获取视频监控设备台账信息、服务器设备台账信息、网络设备台账信息。</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1.对接视频监控系统，获取在离线、视频信号、图像质量分析。</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2.对接设备管理系统（如有）或者直接对接设备，获取服务器在离线、盘符容量/使用量、CPU使用、内存使用、进程数量。</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3.对接设备管理系统（如有）或者直接对接设备，获取网络设备在离线、CPU使用、内存使用、收发消息数、端口速率。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vMerge w:val="continue"/>
            <w:shd w:val="clear" w:color="auto" w:fill="auto"/>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vMerge w:val="continue"/>
            <w:shd w:val="clear" w:color="auto" w:fill="auto"/>
            <w:vAlign w:val="center"/>
          </w:tcPr>
          <w:p>
            <w:pPr>
              <w:widowControl/>
              <w:jc w:val="left"/>
              <w:rPr>
                <w:rFonts w:ascii="宋体" w:hAnsi="宋体" w:cs="宋体"/>
                <w:color w:val="auto"/>
                <w:kern w:val="0"/>
                <w:sz w:val="20"/>
                <w:szCs w:val="20"/>
              </w:rPr>
            </w:pPr>
          </w:p>
        </w:tc>
        <w:tc>
          <w:tcPr>
            <w:tcW w:w="2515" w:type="pct"/>
            <w:vMerge w:val="continue"/>
            <w:shd w:val="clear" w:color="auto" w:fill="auto"/>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地理信息系统</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对接电子地图基础功能，并给予电子地图相关应用开发。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第三方APP集成</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支持被集成到交警局app（如政务网App）应用系统，运维移动端采用内嵌式h5（webview）设计。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统一门户</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与台州交警局统一门户系统对接，作为统一门户系统下的一个子系统。由第三方系统提供接口，定制性功能。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短信平台</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与交警局短信平台对接，实现告警短信、消息通知短信、语音通知的发送。（由交警局提供相关接口）。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vAlign w:val="center"/>
          </w:tcPr>
          <w:p>
            <w:pPr>
              <w:widowControl/>
              <w:jc w:val="left"/>
              <w:rPr>
                <w:rFonts w:ascii="宋体" w:hAnsi="宋体" w:cs="宋体"/>
                <w:color w:val="auto"/>
                <w:kern w:val="0"/>
                <w:sz w:val="20"/>
                <w:szCs w:val="20"/>
              </w:rPr>
            </w:pPr>
          </w:p>
        </w:tc>
        <w:tc>
          <w:tcPr>
            <w:tcW w:w="761" w:type="pct"/>
            <w:vMerge w:val="continue"/>
            <w:shd w:val="clear" w:color="auto" w:fill="auto"/>
            <w:vAlign w:val="center"/>
          </w:tcPr>
          <w:p>
            <w:pPr>
              <w:widowControl/>
              <w:jc w:val="left"/>
              <w:rPr>
                <w:rFonts w:ascii="宋体" w:hAnsi="宋体" w:cs="宋体"/>
                <w:color w:val="auto"/>
                <w:kern w:val="0"/>
                <w:sz w:val="20"/>
                <w:szCs w:val="20"/>
              </w:rPr>
            </w:pPr>
          </w:p>
        </w:tc>
        <w:tc>
          <w:tcPr>
            <w:tcW w:w="1214"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浙政钉审批信息</w:t>
            </w:r>
          </w:p>
        </w:tc>
        <w:tc>
          <w:tcPr>
            <w:tcW w:w="2515"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浙政钉对接获取审批信息：</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1.项目审批报告；2.设备相关报告：领用、维修、报废等。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16</w:t>
            </w:r>
          </w:p>
        </w:tc>
        <w:tc>
          <w:tcPr>
            <w:tcW w:w="1975" w:type="pct"/>
            <w:gridSpan w:val="2"/>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统一资源</w:t>
            </w:r>
          </w:p>
        </w:tc>
        <w:tc>
          <w:tcPr>
            <w:tcW w:w="2515"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模块需要复用资源中心提供的关系型数据库及分布式数据库，统一使用资源中心提供的大数据能力。</w:t>
            </w:r>
          </w:p>
        </w:tc>
      </w:tr>
    </w:tbl>
    <w:p>
      <w:pPr>
        <w:pStyle w:val="56"/>
        <w:rPr>
          <w:color w:val="auto"/>
        </w:rPr>
      </w:pPr>
    </w:p>
    <w:bookmarkEnd w:id="48"/>
    <w:p>
      <w:pPr>
        <w:pStyle w:val="6"/>
        <w:rPr>
          <w:color w:val="auto"/>
        </w:rPr>
      </w:pPr>
      <w:r>
        <w:rPr>
          <w:rFonts w:hint="eastAsia"/>
          <w:color w:val="auto"/>
        </w:rPr>
        <w:t>移动应用模块</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163"/>
        <w:gridCol w:w="1168"/>
        <w:gridCol w:w="5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序号</w:t>
            </w:r>
          </w:p>
        </w:tc>
        <w:tc>
          <w:tcPr>
            <w:tcW w:w="682"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功能模块</w:t>
            </w:r>
          </w:p>
        </w:tc>
        <w:tc>
          <w:tcPr>
            <w:tcW w:w="685" w:type="pct"/>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子模块</w:t>
            </w:r>
          </w:p>
        </w:tc>
        <w:tc>
          <w:tcPr>
            <w:tcW w:w="3123"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（一）</w:t>
            </w:r>
          </w:p>
        </w:tc>
        <w:tc>
          <w:tcPr>
            <w:tcW w:w="4490" w:type="pct"/>
            <w:gridSpan w:val="3"/>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浙政钉应用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1</w:t>
            </w:r>
          </w:p>
        </w:tc>
        <w:tc>
          <w:tcPr>
            <w:tcW w:w="682"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通知</w:t>
            </w: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浙政钉“DING”通知</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对接浙政钉“DING”通知，包含电话通知、短信通知。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工作通知</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对接浙政钉工作通知。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通知内容</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订阅报告通知。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2</w:t>
            </w:r>
          </w:p>
        </w:tc>
        <w:tc>
          <w:tcPr>
            <w:tcW w:w="682"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数据看板</w:t>
            </w:r>
          </w:p>
        </w:tc>
        <w:tc>
          <w:tcPr>
            <w:tcW w:w="685" w:type="pct"/>
            <w:vMerge w:val="restar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基础数据</w:t>
            </w:r>
          </w:p>
        </w:tc>
        <w:tc>
          <w:tcPr>
            <w:tcW w:w="3123"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呈现秩序科相关的数据分析，呈现数据包含：管辖区域、辖区警员数量、民警辅警的比例、设施报修统计、事故基础数据展示。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hint="eastAsia" w:ascii="宋体" w:hAnsi="宋体" w:cs="宋体"/>
                <w:color w:val="auto"/>
                <w:kern w:val="0"/>
                <w:sz w:val="20"/>
                <w:szCs w:val="20"/>
              </w:rPr>
            </w:pPr>
          </w:p>
        </w:tc>
        <w:tc>
          <w:tcPr>
            <w:tcW w:w="3123"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支持事故发生的情况分析出经常出现事故的点位、经常被撞的点位、事故数、伤亡人数等数据统计。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hint="eastAsia" w:ascii="宋体" w:hAnsi="宋体" w:cs="宋体"/>
                <w:color w:val="auto"/>
                <w:kern w:val="0"/>
                <w:sz w:val="20"/>
                <w:szCs w:val="20"/>
              </w:rPr>
            </w:pPr>
          </w:p>
        </w:tc>
        <w:tc>
          <w:tcPr>
            <w:tcW w:w="3123"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支持部门筛选，通过筛选部门查看各部门辖区内的基础数据。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领导看板</w:t>
            </w:r>
          </w:p>
        </w:tc>
        <w:tc>
          <w:tcPr>
            <w:tcW w:w="3123"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支持支队、大队、中队领导看板，简洁显示辖区重点关注数据、重要考核数据。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restar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勤务看板</w:t>
            </w:r>
          </w:p>
        </w:tc>
        <w:tc>
          <w:tcPr>
            <w:tcW w:w="3123" w:type="pct"/>
            <w:shd w:val="clear" w:color="auto" w:fill="auto"/>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勤务看板支持筛选各大队、中队，实时查看每个部门的实时执勤数据。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统计今日执勤情况主要展示当前民警的执勤数、上岗数、请假数、接警数、处警数、执勤任务数等。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民警辅警情况分析，展示今日执勤的民警辅警数量以及占比分析。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今日异常考勤情况，对未在岗、越界、迟到、早退等数据进行实时统计与分析。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事故分析看板</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数据概览-总体数据展示：默认展示本月内实时统计数据，包含：接警数、事故总数、受伤人数、死亡人数等。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数据概览-简易事故、一般事故变化趋势：按照当月实时统计数据，通过折线图展示本月内实时简易事故与一般事故的变化趋势。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数据概览-简易事故、一般事故类型排行：按照当月实时统计数据，通过对事故类型排名展示当月发生事故最多的事故类型。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数据概览-风险隐患排名：按照当月实时统计数据，通过万车事故率进行各中队风险隐患排名，展示各中队风险隐患排行，包含中队、事故数、受伤人数、死亡人数、万车事故率等。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事故道路分析：按照当月实时统计数据，有效分析各类型道路的事故发生情况以及各道路类型发生事故占总事故的占比，道路类型包含：县道、国道、省道、路口等。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事故车辆分析：按照当月实时统计数据，分析各车辆类型发生事故的数据以及占比，通过万车事故率对事故车辆类型进行排行。车辆类型包含：半挂车、全挂车、货车、客车等。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辖区内事故多发路段分析：按照当月实时统计数据，分析各道路发生的事故数，事故多发点位。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百公里事故数据分析：按照当月实时统计数据，展示百公里事故数、百公里死亡人数、百公里受伤人数。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道路接警数分析：按照当月实时统计数据，对各道路的接警数进行排名。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事故分析-重点关注车辆分析：按照当月实时数据统计，对发生事故的电动车、工程车、危化品运输车等重点关注车辆进行分析，分析各车辆发生事故的数据以及环比。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事故类型分析：按照当月实时统计数据，各事故类型通过饼图的形式进行数据分析，分析各事故类型发生的数量以及在总事故的占比，事故类型包含所有事故、亡人事故、伤人事故、财损事故。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支持根据部门层级筛选与时间筛选查看事故分析数据。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重点对象看板</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数据概览：实时统计当前重点车辆数、重点企业数、重点驾驶员数。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重点车辆分析：实时统计当前重点车辆检验情况与车辆报废情况。重点车辆检验情况包含当前重点未检验车辆总数、当月车辆检验数、当前逾期未检验数、以及当前车辆检验的检验率。重点车辆报废情况包含当前报废车辆总数、当前应报废车辆数、逾期未报废车辆数、未报废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重点驾驶员年龄分析：实时统计当前各年龄段的重点驾驶员数量，进行占比分析。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重点驾驶员：实时统计当前驾驶证准驾车型的未换证量、换证率、未审验量、审验率等。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支持通过部门筛选，展示各支队、各中队辖区的相关数据。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3</w:t>
            </w:r>
          </w:p>
        </w:tc>
        <w:tc>
          <w:tcPr>
            <w:tcW w:w="682"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订阅推送报告</w:t>
            </w:r>
          </w:p>
        </w:tc>
        <w:tc>
          <w:tcPr>
            <w:tcW w:w="685"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事故分析月报</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支持所在部门，精确通知所在部门相关数据分析。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支持对过往不同周期内的数据进行统计推送，不同周期分为上月、上周或者去年。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概览：对过往周期内数据进行统计，以双折线图的形式分析简易事故、一般事故的变化趋势，对事故类型进行排名，通过针对周期内的风险隐患通过万车事故率进行排名，排名字段包含：部门、周期内事故数、周期内事故受伤人数、死亡人数、万车事故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事故分析-事故类型分析：通过对过往周期内的数据统计，各事故类型通过饼图的形式进行数据分析，有效分析各事故类型发生的数量以及在总事故的占比、环比。</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事故类型包含酒驾事故、逆向行驶、超速形式、疲劳驾驶、违章超车等。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事故分析-事故道路分析：通过对过往周期内的数据统计，针对周期内事故发生所在的道路进行分析，有效分析各类型道路的事故发生情况以及各道路类型发生事故占总事故的占比、以及环比</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道路类型包含：县道、国道、省道、路口等。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事故分析-事故车辆分析：通过对过往周期内的数据统计，对发生事故的车辆类型进行分析，分析各车辆类型发生事故的数据以及占比、环比。</w:t>
            </w:r>
          </w:p>
          <w:p>
            <w:pPr>
              <w:widowControl/>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通过万车事故率对事故车辆类型进行排行。</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车辆类型包含：半挂车、全挂车、货车、客车等。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事故分析-重点关注车辆分析：通过对过往周期内的数据统计，对发生事故的电动车、工程车、危化品运输车等重点关注车辆进行分析，分析各类车辆发生事故的数据以及环比。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事故分析-辖区内事故多发路段分析：通过对过往周期内的数据统计，分析各道路发生的事故数，事故多发点位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事故分析-百公里事故数据分析：通过对过往周期内的数据统计，展示百公里事故数、百公里死亡人数、百公里受伤人数。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事故分析-道路接警数分析：通过对过往周期内的数据统计，对各道路的接警数进行排名。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事故分析-对电动车事故进行详细分析：通过对过往周期内的数据统计，分析电动车行车规范分析，如事故中不带头盔的占比跟环比。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分析-通过对过往周期内的数据统计事故发生的情况分析受害人的年龄结构以及户籍信息分析，年龄结构分析重点分析60周岁以上事故伤亡的具体占比、环比情况，户籍分析通过本地人与外地人电动车事故发生量与占比分析外地人本地人电动车事故发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事故分析-事故信息分析：通过对过往周期内的数据统计，事故发生最多的条件，如发生事故最多的道路、车辆类型、条件等。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事故分析-违法行为分析：通过对过往周期内的数据统计，针对违法行为进行分析，通过违法类型分析，各类型违法数、占比、环比等。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专题事故分析-事故起因分析：通过对过往周期内的数据统计，对不同起因发生的事故数进行排名和环比、占比分析。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专题事故分析-事故条件分析：通过对过往周期内的数据统计，对不同的条件，如照明条件、事故天气、现场形态分别进行事故数展示和分析占比情况。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专题事故分析-事故道路分析：通过对过往周期内的数据统计，对事故发生的点位按照事故数进行排名，并分析占比，环比情况。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专题事故分析-事故道路条件分析：通过对过往周期内的数据统计，对不同的道路条件，进行单独分析，如道路性质等级、道路线形、物理隔离。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专题事故分析-事故发生车辆分析：通过对过往周期内的数据统计，按照不同事故车辆类型发生的事故数进行排名，并进行占比、环比分析。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专题事故分析-车辆使用性质分析：通过对过往周期内的数据统计，按照不同事故车辆使用性质发生的事故数进行排名，并进行占比、环比分析。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路面查处月报</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根据各大队、中队筛选，周期内专项行动情况统计分析。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专项行动：例如获取行动名称为线路警卫、缉查布控等，同步专项行动的任务数、完成数、查处违法数、环比，实时更新行动进展，对人员查处数进行统计。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固定任务：例如获取行动名称为超速、斑马线礼让、一般违法等，同步专项行动的任务数、完成数、环比，实时更新行动进展，对人员查处数进行统计。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重点对象分析月报</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重点车辆分析报告：从现场违法、非现场违法、违法数、违法未处理量、未处理率等对重点车辆交通违法情况统计分析；从交通事故数进行统计及环比分析。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重点车辆分析：按以往周期统计当前重点车辆检验情况与车辆报废情况。重点车辆检验情况包含当前重点未检验车辆总数、当月车辆检验数、当前逾期未检验数、以及当前车辆检验的检验率。重点车辆报废情况包含当前报废车辆总数、当前应报废车辆数、逾期未报废车辆数、未报废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重点驾驶员分析：按以往周期统计驾驶员驾驶证准驾车型审验数据进行分析，包含当月未审验量、审验率、未换证量、换证率，以及相应的环比分析。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重点车企业推送反馈情况：按以往周期统计对重点车企业推送数据以及反馈数据进行统计分析，包含：推送信息数、签收信息数、签收率、反馈信息数、反馈率等，以及相应的环比分析。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业务规范监管</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支持对具体不规范业务进行部门/人员进行排行。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执法业务监管-从简易程序处罚、强制措施处罚、案件办理等三类执法业务出发，对各业务类型的具体业务进行分析，分析周期内各具体业务的预警总数、已处置数、未处置数、处置率、环比等。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简易程序处罚业务监管：通过简易程序处罚各具体业务的预警总数、已处置数、未处置数、处置率、环比等分析，通过整体业务类型的预警业务进行排行，可通过处理人员预警情况排行，也可根据部门进行预警情况进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强制措施处罚业务监管：通过强制措施处罚下各具体业务的预警总数、已处置数、未处置数、处置率、环比等分析，通过也整体业务类型的预警业务进行排行，可通过处理人员预警情况排行，也可根据部门进行预警情况进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案件办理业务监管：通过案件办理下各具体业务的预警总数、已处置数、未处置数、处置率、环比等分析，通过也整体业务类型的预警业务进行排行，可通过处理人员预警情况排行，也可根据部门进行预警情况进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窗口业务监管：从窗口违法处理、违法信息修改等两类窗口业务出发，对各业务类型的具体业务进行分析，分析周期内各具体业务的预警总数、已处置数、未处置数、处置率、环比等。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窗口违法处理业务监管：通过窗口违法处理各具体业务的预警总数、已处置数、未处置数、处置率、环比等分析，通过也整体业务类型的预警业务进行排行，可通过处理人员预警情况排行，也可根据部门进行预警情况进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违法信息修改业务监管：通过违法信息修改下各具体业务的预警总数、已处置数、未处置数、处置率、环比等分析，通过也整体业务类型的预警业务进行排行，可通过处理人员预警情况排行，也可根据部门进行预警情况进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涉案财务监管：从涉案车辆管理、涉案证件管理、涉案血样管理等三类涉案财物业务出发，对各业务类型的具体业务进行分析，分析周期内各具体业务的预警总数、已处置数、未处置数、处置率、环比等。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涉案车辆业务监管：通过涉案车辆下各具体业务的预警总数、已处置数、未处置数、处置率、环比等分析，通过也整体业务类型的预警业务进行排行，可通过处理人员预警情况排行，也可根据部门进行预警情况进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涉案证件业务监管：通过涉案证件下各具体业务的预警总数、已处置数、未处置数、处置率、环比等分析，通过也整体业务类型的预警业务进行排行，可通过处理人员预警情况排行，也可根据部门进行预警情况进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涉案血样管理监管：通过涉案血样管理下各具体业务的预警总数、已处置数、未处置数、处置率、环比等分析，通过也整体业务类型的预警业务进行排行，可通过处理人员预警情况排行，也可根据部门进行预警情况进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事故处理业务监督:从简易程序事故、一般程序事故等两类事故处理业务出发，对各业务类型的具体业务进行分析，分析周期内各具体业务的预警总数、已处置数、未处置数、处置率、环比等。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简易程序事故业务监管：通过简易程序事故下各具体业务的预警总数、已处置数、未处置数、处置率、环比等分析，通过也整体业务类型的预警业务进行排行，可通过处理人员预警情况排行，也可根据部门进行预警情况进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一般程序事故业务监管：通过一般程序事故下各具体业务的预警总数、已处置数、未处置数、处置率、环比等分析，通过也整体业务类型的预警业务进行排行，可通过处理人员预警情况排行，也可根据部门进行预警情况进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异常数据分析业务监管：通过异常数据分析下各具体业务的预警总数、已处置数、未处置数、处置率、环比等分析，通过也整体业务类型的预警业务进行排行，可通过处理人员预警情况排行，也可根据部门进行预警情况进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车驾管业务监管</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机动车业务监管：对机动车业务进行预警分析，统计周期内预警总数、已处置量、未处置量、处置率、环比等，支持通过各个预警项、预警值、已处置量、未处置量、处置率、环比等进行排名分析。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驾驶证业务监管：对驾驶证业务进行预警分析，统计周期内预警总数、已处置量、未处置量、处置率、环比等，支持通过各个预警项、预警值、已处置量、未处置量、处置率、环比等进行排名分析。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考试业务监管：对考试业务进行预警分析，统计周期内预警总数、已处置量、未处置量、处置率、环比等，支持通过各个预警项、预警值、已处置量、未处置量、处置率、环比等进行排名分析。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检验业务监管：对检验业务进行预警分析，统计周期内预警总数、已处置量、未处置量、处置率、环比等，支持通过各个预警项、预警值、已处置量、未处置量、处置率、环比等进行排名分析。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绩效考核</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民警/辅警业务考核：对民警和辅警通过执法任务、主动**、战力分析、政务执行等方面进行业务量化考核。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个人业务考核：对执勤民警在见警率、管事率、执法率、接处警平均时长等方面的得分情况进行排名。可按支队、中队、大队分别排名。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部门业务考核：以考核项、考核结果以及考核分值对各部门进行考核，生成部门总得分进行整体排名；针对以上数据进行环比分析。可查看各中队、大队。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见警率、管事率、执法率、接处警平均时长等：在见警率、管事率、执法率、接处警平均时长等维度对部门（各中队、大队）和个人进行排名并环比分析。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优秀/批评通报：形成优秀人员名单以及批评通报名单。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AI语音</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统计AI服务的问题命中量、咨询总量、咨询人数、服务次数、热点咨询问题前十、类型数据排行、未解决问题等。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交通宣传月报</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驾驶证业务办理情况：统计驾驶证业务申请量、驾驶证业务审核量、驾驶证业务待办量。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机动车业务办理情况：统计机动车业务申请量、机动车业务审核量、机动车业务待办量。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驾驶人学习：统计学习总人数、视频学习情况、文章学习情况、a/b驾照学习人数以及学习情况、答题人数以及积分排行；对邀请情况进行分析，按邀请人数进行驾驶人排名。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黑名单人数统计。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对警员站岗情况进行统计分析：站岗的警员数、有效站岗次数、无效站岗次次数，针对警员的站岗次数进行排名分析。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违法举报结果数据分析：统计违法上报数、审核数。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4</w:t>
            </w:r>
          </w:p>
        </w:tc>
        <w:tc>
          <w:tcPr>
            <w:tcW w:w="682"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订阅设置</w:t>
            </w: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周期订阅</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支持选择报告的周期，定期报告推送。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报告订阅</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支持自定义订阅报告。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推送维度</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推送维度设置，各部门大队、中队可自定义选择部门数据进行推送。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推送时间点</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自定义设置推送时间点。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5</w:t>
            </w:r>
          </w:p>
        </w:tc>
        <w:tc>
          <w:tcPr>
            <w:tcW w:w="1367" w:type="pct"/>
            <w:gridSpan w:val="2"/>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报告权限设置</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每类报告的推送权限，具体到人员，如设置事故报告只推送给事故大队，则其他部门无法再订阅中心里面看到这类报告，无法完成报告订阅。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6</w:t>
            </w:r>
          </w:p>
        </w:tc>
        <w:tc>
          <w:tcPr>
            <w:tcW w:w="1367" w:type="pct"/>
            <w:gridSpan w:val="2"/>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历史推送查看</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支持查看各类报告推送的历史数据。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7</w:t>
            </w:r>
          </w:p>
        </w:tc>
        <w:tc>
          <w:tcPr>
            <w:tcW w:w="682"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勤务打卡</w:t>
            </w:r>
          </w:p>
        </w:tc>
        <w:tc>
          <w:tcPr>
            <w:tcW w:w="685"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考勤打卡</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开发浙政钉打卡模块，警员通过浙政钉打卡，同时获取打卡定位。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通过人脸识别核验是否本人打卡，并且获取打卡人员的实时定位。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打卡成功以后推送到数智实战模块。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定位轨迹：获取打卡人员的定位信息，通过规律的数据上报给数智实战模块，生成**人员的行动轨迹。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接处警打卡</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指挥中心通过接警之后获取警员的实时位置进行派警，通过浙政钉通知方式通知到警员。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警员接警后到达现场后打卡签到。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签到数据回传给数智实战模块。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定位轨迹方案</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1、浙政钉数据轨迹上传（优先方案）。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2、外部APP、定位数据推送到后台系统。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打卡判断</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需与数智实战模块对接，打卡时判断排班，业务辖区等，如不在排班时间内，是否属加班，如不在辖区范内打卡是否预警。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打卡日历明细</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针对警员个人打卡记录生成打卡明细。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展示个人的打卡情况，出勤情况、缺卡、漏打卡情况。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8</w:t>
            </w:r>
          </w:p>
        </w:tc>
        <w:tc>
          <w:tcPr>
            <w:tcW w:w="682"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隐患排查</w:t>
            </w:r>
          </w:p>
        </w:tc>
        <w:tc>
          <w:tcPr>
            <w:tcW w:w="685"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隐患排查上报</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对接数据中心，系统获取隐患地址，支持手动录入数据上报给数智实战模块。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隐患排查记录</w:t>
            </w: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每一次上报隐患信息定位名称、描述、时间列表，实时获取该隐患处理的状态。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隐患处理核查</w:t>
            </w: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处理完成之后对接浙政钉工作通知给相应警员到隐患地点核查，并手动录入数据上报给数智实战模块。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（二）</w:t>
            </w:r>
          </w:p>
        </w:tc>
        <w:tc>
          <w:tcPr>
            <w:tcW w:w="4490" w:type="pct"/>
            <w:gridSpan w:val="3"/>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h5事故上报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1</w:t>
            </w:r>
          </w:p>
        </w:tc>
        <w:tc>
          <w:tcPr>
            <w:tcW w:w="1367" w:type="pct"/>
            <w:gridSpan w:val="2"/>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事故信息上报</w:t>
            </w: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事故信息录入上报，包含:本人和对方的驾驶证、行驶证，获取定位地址。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1367" w:type="pct"/>
            <w:gridSpan w:val="2"/>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生成固定连接。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2</w:t>
            </w:r>
          </w:p>
        </w:tc>
        <w:tc>
          <w:tcPr>
            <w:tcW w:w="1367" w:type="pct"/>
            <w:gridSpan w:val="2"/>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车牌识别</w:t>
            </w: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通过手动输入车牌号，上传系统。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3</w:t>
            </w:r>
          </w:p>
        </w:tc>
        <w:tc>
          <w:tcPr>
            <w:tcW w:w="1367" w:type="pct"/>
            <w:gridSpan w:val="2"/>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事故认定书</w:t>
            </w: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事故认定书签署上传。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1367" w:type="pct"/>
            <w:gridSpan w:val="2"/>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使用手写签名功能。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4</w:t>
            </w:r>
          </w:p>
        </w:tc>
        <w:tc>
          <w:tcPr>
            <w:tcW w:w="1367" w:type="pct"/>
            <w:gridSpan w:val="2"/>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事故信息管理</w:t>
            </w: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状态:待处理、已处理、已完成。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1367" w:type="pct"/>
            <w:gridSpan w:val="2"/>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事故信息上报以后生成列表。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1367" w:type="pct"/>
            <w:gridSpan w:val="2"/>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标记处理并生成事故认定书链接，发送到事故责任各方。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jc w:val="center"/>
              <w:rPr>
                <w:rFonts w:ascii="宋体" w:hAnsi="宋体" w:cs="宋体"/>
                <w:color w:val="auto"/>
                <w:kern w:val="0"/>
                <w:sz w:val="20"/>
                <w:szCs w:val="20"/>
              </w:rPr>
            </w:pPr>
          </w:p>
        </w:tc>
        <w:tc>
          <w:tcPr>
            <w:tcW w:w="1367" w:type="pct"/>
            <w:gridSpan w:val="2"/>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事故认定书签署后数据回传。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1367" w:type="pct"/>
            <w:gridSpan w:val="2"/>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支持下载事故认定书。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5</w:t>
            </w:r>
          </w:p>
        </w:tc>
        <w:tc>
          <w:tcPr>
            <w:tcW w:w="1367" w:type="pct"/>
            <w:gridSpan w:val="2"/>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图片批量下载</w:t>
            </w: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事故现场照片批量下载。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6</w:t>
            </w:r>
          </w:p>
        </w:tc>
        <w:tc>
          <w:tcPr>
            <w:tcW w:w="1367" w:type="pct"/>
            <w:gridSpan w:val="2"/>
            <w:vMerge w:val="restar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短信</w:t>
            </w: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系统内发送短信内容，短信发送。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1367" w:type="pct"/>
            <w:gridSpan w:val="2"/>
            <w:vMerge w:val="continue"/>
            <w:shd w:val="clear" w:color="auto" w:fill="auto"/>
            <w:vAlign w:val="center"/>
          </w:tcPr>
          <w:p>
            <w:pPr>
              <w:widowControl/>
              <w:jc w:val="left"/>
              <w:rPr>
                <w:rFonts w:ascii="宋体" w:hAnsi="宋体" w:cs="宋体"/>
                <w:color w:val="auto"/>
                <w:kern w:val="0"/>
                <w:sz w:val="20"/>
                <w:szCs w:val="20"/>
              </w:rPr>
            </w:pPr>
          </w:p>
        </w:tc>
        <w:tc>
          <w:tcPr>
            <w:tcW w:w="3123" w:type="pct"/>
            <w:shd w:val="clear" w:color="auto" w:fill="auto"/>
            <w:noWrap/>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对接短信接口。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noWrap/>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（三）</w:t>
            </w:r>
          </w:p>
        </w:tc>
        <w:tc>
          <w:tcPr>
            <w:tcW w:w="4490" w:type="pct"/>
            <w:gridSpan w:val="3"/>
            <w:shd w:val="clear" w:color="auto" w:fill="auto"/>
            <w:vAlign w:val="center"/>
          </w:tcPr>
          <w:p>
            <w:pPr>
              <w:widowControl/>
              <w:jc w:val="left"/>
              <w:rPr>
                <w:rFonts w:ascii="宋体" w:hAnsi="宋体" w:cs="宋体"/>
                <w:b/>
                <w:bCs/>
                <w:color w:val="auto"/>
                <w:kern w:val="0"/>
                <w:sz w:val="20"/>
                <w:szCs w:val="20"/>
              </w:rPr>
            </w:pPr>
            <w:r>
              <w:rPr>
                <w:rFonts w:hint="eastAsia" w:ascii="宋体" w:hAnsi="宋体" w:cs="宋体"/>
                <w:b/>
                <w:bCs/>
                <w:color w:val="auto"/>
                <w:kern w:val="0"/>
                <w:sz w:val="20"/>
                <w:szCs w:val="20"/>
              </w:rPr>
              <w:t>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682"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订阅报表类数据对接</w:t>
            </w: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上报数据</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按照数据中心接口规范，与数据中心对接，上报报表数据至数据中心。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2</w:t>
            </w:r>
          </w:p>
        </w:tc>
        <w:tc>
          <w:tcPr>
            <w:tcW w:w="682"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定位打卡对接</w:t>
            </w: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打卡定位数据接口</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按照数据中心接口规范，与数据中心对接，提供打卡定位数据接口，实时传输定位数据。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判断条件</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与数据中心对接，获取移动**系统排班辖区数据。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noWrap/>
            <w:vAlign w:val="center"/>
          </w:tcPr>
          <w:p>
            <w:pPr>
              <w:widowControl/>
              <w:jc w:val="center"/>
              <w:rPr>
                <w:rFonts w:ascii="宋体" w:hAnsi="宋体" w:cs="宋体"/>
                <w:color w:val="auto"/>
                <w:kern w:val="0"/>
                <w:sz w:val="20"/>
                <w:szCs w:val="20"/>
              </w:rPr>
            </w:pPr>
            <w:r>
              <w:rPr>
                <w:rFonts w:ascii="宋体" w:hAnsi="宋体" w:cs="宋体"/>
                <w:color w:val="auto"/>
                <w:kern w:val="0"/>
                <w:sz w:val="20"/>
                <w:szCs w:val="20"/>
              </w:rPr>
              <w:t>3</w:t>
            </w:r>
          </w:p>
        </w:tc>
        <w:tc>
          <w:tcPr>
            <w:tcW w:w="682"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接处警打卡数据对接</w:t>
            </w: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接处警数据接口</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对接数据中心，获取公安接处警系统对接派警相关数据，提供打卡拍照的经纬度数据接口。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restart"/>
            <w:shd w:val="clear" w:color="auto" w:fill="auto"/>
            <w:noWrap/>
            <w:vAlign w:val="center"/>
          </w:tcPr>
          <w:p>
            <w:pPr>
              <w:jc w:val="center"/>
              <w:rPr>
                <w:rFonts w:ascii="宋体" w:hAnsi="宋体" w:cs="宋体"/>
                <w:color w:val="auto"/>
                <w:kern w:val="0"/>
                <w:sz w:val="20"/>
                <w:szCs w:val="20"/>
              </w:rPr>
            </w:pPr>
            <w:r>
              <w:rPr>
                <w:rFonts w:ascii="宋体" w:hAnsi="宋体" w:cs="宋体"/>
                <w:color w:val="auto"/>
                <w:kern w:val="0"/>
                <w:sz w:val="20"/>
                <w:szCs w:val="20"/>
              </w:rPr>
              <w:t>4</w:t>
            </w:r>
          </w:p>
        </w:tc>
        <w:tc>
          <w:tcPr>
            <w:tcW w:w="682" w:type="pct"/>
            <w:vMerge w:val="restar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隐患排查上报数据对接</w:t>
            </w: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隐患排查数据接口</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对接浙政钉工作通知指派相应警员，并提供现场隐患信息上报的接口。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vMerge w:val="continue"/>
            <w:shd w:val="clear" w:color="auto" w:fill="auto"/>
            <w:noWrap/>
            <w:vAlign w:val="center"/>
          </w:tcPr>
          <w:p>
            <w:pPr>
              <w:widowControl/>
              <w:jc w:val="center"/>
              <w:rPr>
                <w:rFonts w:ascii="宋体" w:hAnsi="宋体" w:cs="宋体"/>
                <w:color w:val="auto"/>
                <w:kern w:val="0"/>
                <w:sz w:val="20"/>
                <w:szCs w:val="20"/>
              </w:rPr>
            </w:pPr>
          </w:p>
        </w:tc>
        <w:tc>
          <w:tcPr>
            <w:tcW w:w="682" w:type="pct"/>
            <w:vMerge w:val="continue"/>
            <w:shd w:val="clear" w:color="auto" w:fill="auto"/>
            <w:vAlign w:val="center"/>
          </w:tcPr>
          <w:p>
            <w:pPr>
              <w:widowControl/>
              <w:jc w:val="left"/>
              <w:rPr>
                <w:rFonts w:ascii="宋体" w:hAnsi="宋体" w:cs="宋体"/>
                <w:color w:val="auto"/>
                <w:kern w:val="0"/>
                <w:sz w:val="20"/>
                <w:szCs w:val="20"/>
              </w:rPr>
            </w:pPr>
          </w:p>
        </w:tc>
        <w:tc>
          <w:tcPr>
            <w:tcW w:w="685" w:type="pct"/>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隐患排查状态</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实时同步业务系统的隐患排查处理的状态。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noWrap/>
            <w:vAlign w:val="center"/>
          </w:tcPr>
          <w:p>
            <w:pPr>
              <w:widowControl/>
              <w:jc w:val="center"/>
              <w:rPr>
                <w:rFonts w:ascii="宋体" w:hAnsi="宋体" w:cs="宋体"/>
                <w:b/>
                <w:color w:val="auto"/>
                <w:kern w:val="0"/>
                <w:sz w:val="20"/>
                <w:szCs w:val="20"/>
              </w:rPr>
            </w:pPr>
            <w:r>
              <w:rPr>
                <w:rFonts w:hint="eastAsia" w:ascii="宋体" w:hAnsi="宋体" w:cs="宋体"/>
                <w:b/>
                <w:color w:val="auto"/>
                <w:kern w:val="0"/>
                <w:sz w:val="20"/>
                <w:szCs w:val="20"/>
              </w:rPr>
              <w:t>（四）</w:t>
            </w:r>
          </w:p>
        </w:tc>
        <w:tc>
          <w:tcPr>
            <w:tcW w:w="682" w:type="pct"/>
            <w:shd w:val="clear" w:color="auto" w:fill="auto"/>
            <w:vAlign w:val="center"/>
          </w:tcPr>
          <w:p>
            <w:pPr>
              <w:widowControl/>
              <w:jc w:val="left"/>
              <w:rPr>
                <w:rFonts w:ascii="宋体" w:hAnsi="宋体" w:cs="宋体"/>
                <w:b/>
                <w:color w:val="auto"/>
                <w:kern w:val="0"/>
                <w:sz w:val="20"/>
                <w:szCs w:val="20"/>
              </w:rPr>
            </w:pPr>
            <w:r>
              <w:rPr>
                <w:rFonts w:hint="eastAsia" w:ascii="宋体" w:hAnsi="宋体" w:cs="宋体"/>
                <w:b/>
                <w:color w:val="auto"/>
                <w:kern w:val="0"/>
                <w:sz w:val="20"/>
                <w:szCs w:val="20"/>
              </w:rPr>
              <w:t>统一资源</w:t>
            </w:r>
          </w:p>
        </w:tc>
        <w:tc>
          <w:tcPr>
            <w:tcW w:w="685" w:type="pct"/>
            <w:shd w:val="clear" w:color="auto" w:fill="auto"/>
            <w:vAlign w:val="center"/>
          </w:tcPr>
          <w:p>
            <w:pPr>
              <w:widowControl/>
              <w:jc w:val="center"/>
              <w:rPr>
                <w:rFonts w:ascii="宋体" w:hAnsi="宋体" w:cs="宋体"/>
                <w:color w:val="auto"/>
                <w:kern w:val="0"/>
                <w:sz w:val="20"/>
                <w:szCs w:val="20"/>
              </w:rPr>
            </w:pPr>
          </w:p>
        </w:tc>
        <w:tc>
          <w:tcPr>
            <w:tcW w:w="3123" w:type="pct"/>
            <w:shd w:val="clear" w:color="auto" w:fill="auto"/>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0" w:type="pct"/>
            <w:shd w:val="clear" w:color="auto" w:fill="auto"/>
            <w:noWrap/>
            <w:vAlign w:val="center"/>
          </w:tcPr>
          <w:p>
            <w:pPr>
              <w:widowControl/>
              <w:jc w:val="center"/>
              <w:rPr>
                <w:rFonts w:ascii="宋体" w:hAnsi="宋体" w:cs="宋体"/>
                <w:color w:val="auto"/>
                <w:kern w:val="0"/>
                <w:sz w:val="20"/>
                <w:szCs w:val="20"/>
              </w:rPr>
            </w:pPr>
            <w:r>
              <w:rPr>
                <w:rFonts w:cs="宋体" w:asciiTheme="minorEastAsia" w:hAnsiTheme="minorEastAsia" w:eastAsiaTheme="minorEastAsia"/>
                <w:color w:val="auto"/>
                <w:kern w:val="0"/>
                <w:sz w:val="20"/>
                <w:szCs w:val="20"/>
              </w:rPr>
              <w:t>1</w:t>
            </w:r>
          </w:p>
        </w:tc>
        <w:tc>
          <w:tcPr>
            <w:tcW w:w="1367" w:type="pct"/>
            <w:gridSpan w:val="2"/>
            <w:shd w:val="clear" w:color="auto" w:fill="auto"/>
            <w:vAlign w:val="center"/>
          </w:tcPr>
          <w:p>
            <w:pPr>
              <w:widowControl/>
              <w:jc w:val="center"/>
              <w:rPr>
                <w:rFonts w:ascii="宋体" w:hAnsi="宋体" w:cs="宋体"/>
                <w:color w:val="auto"/>
                <w:kern w:val="0"/>
                <w:sz w:val="20"/>
                <w:szCs w:val="20"/>
              </w:rPr>
            </w:pPr>
            <w:r>
              <w:rPr>
                <w:rFonts w:hint="eastAsia" w:cs="宋体" w:asciiTheme="minorEastAsia" w:hAnsiTheme="minorEastAsia" w:eastAsiaTheme="minorEastAsia"/>
                <w:color w:val="auto"/>
                <w:kern w:val="0"/>
                <w:sz w:val="20"/>
                <w:szCs w:val="20"/>
              </w:rPr>
              <w:t>统一资源</w:t>
            </w:r>
          </w:p>
        </w:tc>
        <w:tc>
          <w:tcPr>
            <w:tcW w:w="3123" w:type="pct"/>
            <w:shd w:val="clear" w:color="auto" w:fill="auto"/>
            <w:vAlign w:val="center"/>
          </w:tcPr>
          <w:p>
            <w:pPr>
              <w:widowControl/>
              <w:jc w:val="left"/>
              <w:rPr>
                <w:rFonts w:ascii="宋体" w:hAnsi="宋体" w:cs="宋体"/>
                <w:color w:val="auto"/>
                <w:kern w:val="0"/>
                <w:sz w:val="20"/>
                <w:szCs w:val="20"/>
              </w:rPr>
            </w:pPr>
            <w:r>
              <w:rPr>
                <w:rFonts w:hint="eastAsia" w:ascii="宋体" w:hAnsi="宋体"/>
                <w:color w:val="auto"/>
              </w:rPr>
              <w:t>模块需要复用资源中心提供的关系型数据库及分布式数据库，统一使用资源中心提供的大数据能力。</w:t>
            </w:r>
          </w:p>
        </w:tc>
      </w:tr>
    </w:tbl>
    <w:p>
      <w:pPr>
        <w:pStyle w:val="10"/>
        <w:jc w:val="both"/>
        <w:rPr>
          <w:rFonts w:hint="eastAsia" w:ascii="仿宋_GB2312" w:hAnsi="仿宋_GB2312" w:eastAsia="仿宋_GB2312" w:cs="仿宋_GB2312"/>
          <w:bCs/>
          <w:color w:val="auto"/>
          <w:sz w:val="28"/>
          <w:szCs w:val="28"/>
          <w:lang w:val="en-US" w:eastAsia="zh-CN"/>
        </w:rPr>
      </w:pPr>
    </w:p>
    <w:p>
      <w:pPr>
        <w:keepNext/>
        <w:keepLines/>
        <w:numPr>
          <w:ilvl w:val="3"/>
          <w:numId w:val="2"/>
        </w:numPr>
        <w:tabs>
          <w:tab w:val="left" w:pos="142"/>
          <w:tab w:val="left" w:pos="360"/>
        </w:tabs>
        <w:spacing w:line="360" w:lineRule="auto"/>
        <w:ind w:left="864" w:leftChars="0" w:hanging="864" w:firstLineChars="0"/>
        <w:outlineLvl w:val="2"/>
        <w:rPr>
          <w:rFonts w:hint="eastAsia" w:ascii="黑体" w:hAnsi="黑体" w:eastAsia="黑体" w:cs="仿宋"/>
          <w:b/>
          <w:bCs/>
          <w:color w:val="auto"/>
          <w:sz w:val="28"/>
          <w:szCs w:val="32"/>
        </w:rPr>
      </w:pPr>
      <w:r>
        <w:rPr>
          <w:rFonts w:hint="eastAsia" w:ascii="黑体" w:hAnsi="黑体" w:eastAsia="黑体" w:cs="仿宋"/>
          <w:b/>
          <w:bCs/>
          <w:color w:val="auto"/>
          <w:sz w:val="28"/>
          <w:szCs w:val="32"/>
          <w:lang w:val="en-US" w:eastAsia="zh-CN"/>
        </w:rPr>
        <w:t>各模块数据及指标要求一览表</w:t>
      </w:r>
    </w:p>
    <w:tbl>
      <w:tblPr>
        <w:tblStyle w:val="22"/>
        <w:tblW w:w="87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3"/>
        <w:gridCol w:w="1179"/>
        <w:gridCol w:w="4063"/>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63"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序号</w:t>
            </w:r>
          </w:p>
        </w:tc>
        <w:tc>
          <w:tcPr>
            <w:tcW w:w="117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名称</w:t>
            </w:r>
          </w:p>
        </w:tc>
        <w:tc>
          <w:tcPr>
            <w:tcW w:w="4063"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bCs/>
                <w:i w:val="0"/>
                <w:iCs w:val="0"/>
                <w:color w:val="auto"/>
                <w:sz w:val="21"/>
                <w:szCs w:val="21"/>
                <w:u w:val="none"/>
              </w:rPr>
              <w:t>★</w:t>
            </w:r>
            <w:r>
              <w:rPr>
                <w:rFonts w:hint="eastAsia" w:ascii="宋体" w:hAnsi="宋体" w:eastAsia="宋体" w:cs="宋体"/>
                <w:b/>
                <w:bCs/>
                <w:i w:val="0"/>
                <w:iCs w:val="0"/>
                <w:color w:val="auto"/>
                <w:kern w:val="0"/>
                <w:sz w:val="21"/>
                <w:szCs w:val="21"/>
                <w:u w:val="none"/>
                <w:lang w:val="en-US" w:eastAsia="zh-CN" w:bidi="ar"/>
              </w:rPr>
              <w:t xml:space="preserve">指标要求 </w:t>
            </w:r>
          </w:p>
        </w:tc>
        <w:tc>
          <w:tcPr>
            <w:tcW w:w="296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 xml:space="preserve"> </w:t>
            </w:r>
            <w:r>
              <w:rPr>
                <w:rFonts w:hint="eastAsia" w:ascii="宋体" w:hAnsi="宋体" w:eastAsia="宋体" w:cs="宋体"/>
                <w:b/>
                <w:bCs/>
                <w:i w:val="0"/>
                <w:iCs w:val="0"/>
                <w:color w:val="auto"/>
                <w:sz w:val="21"/>
                <w:szCs w:val="21"/>
                <w:u w:val="none"/>
              </w:rPr>
              <w:t>★</w:t>
            </w:r>
            <w:r>
              <w:rPr>
                <w:rFonts w:hint="eastAsia" w:ascii="宋体" w:hAnsi="宋体" w:eastAsia="宋体" w:cs="宋体"/>
                <w:b/>
                <w:bCs/>
                <w:i w:val="0"/>
                <w:iCs w:val="0"/>
                <w:color w:val="auto"/>
                <w:kern w:val="0"/>
                <w:sz w:val="21"/>
                <w:szCs w:val="21"/>
                <w:u w:val="none"/>
                <w:lang w:val="en-US" w:eastAsia="zh-CN" w:bidi="ar"/>
              </w:rPr>
              <w:t>数据需求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63"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w:t>
            </w:r>
          </w:p>
        </w:tc>
        <w:tc>
          <w:tcPr>
            <w:tcW w:w="117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各模块</w:t>
            </w:r>
          </w:p>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共性要求</w:t>
            </w:r>
          </w:p>
          <w:p>
            <w:pPr>
              <w:pStyle w:val="10"/>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（数据中心除外）</w:t>
            </w:r>
          </w:p>
        </w:tc>
        <w:tc>
          <w:tcPr>
            <w:tcW w:w="4063"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1）平均响应时间小于1秒。</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shd w:val="clear" w:color="auto" w:fill="auto"/>
                <w:lang w:val="en-US" w:eastAsia="zh-CN" w:bidi="ar"/>
              </w:rPr>
            </w:pPr>
            <w:r>
              <w:rPr>
                <w:rFonts w:hint="eastAsia" w:ascii="宋体" w:hAnsi="宋体" w:eastAsia="宋体" w:cs="宋体"/>
                <w:i w:val="0"/>
                <w:iCs w:val="0"/>
                <w:color w:val="auto"/>
                <w:kern w:val="0"/>
                <w:sz w:val="21"/>
                <w:szCs w:val="21"/>
                <w:u w:val="none"/>
                <w:shd w:val="clear" w:color="auto" w:fill="auto"/>
                <w:lang w:val="en-US" w:eastAsia="zh-CN" w:bidi="ar"/>
              </w:rPr>
              <w:t>2）无故障运行时间大于8751.24小时/年。</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shd w:val="clear" w:color="auto" w:fill="auto"/>
                <w:lang w:val="en-US" w:eastAsia="zh-CN" w:bidi="ar"/>
              </w:rPr>
            </w:pPr>
            <w:r>
              <w:rPr>
                <w:rFonts w:hint="eastAsia" w:ascii="宋体" w:hAnsi="宋体" w:eastAsia="宋体" w:cs="宋体"/>
                <w:i w:val="0"/>
                <w:iCs w:val="0"/>
                <w:color w:val="auto"/>
                <w:kern w:val="0"/>
                <w:sz w:val="21"/>
                <w:szCs w:val="21"/>
                <w:u w:val="none"/>
                <w:shd w:val="clear" w:color="auto" w:fill="auto"/>
                <w:lang w:val="en-US" w:eastAsia="zh-CN" w:bidi="ar"/>
              </w:rPr>
              <w:t>3）在达到最大并发用户数并发访问时达到的指标：</w:t>
            </w:r>
          </w:p>
          <w:p>
            <w:pPr>
              <w:keepNext w:val="0"/>
              <w:keepLines w:val="0"/>
              <w:widowControl/>
              <w:suppressLineNumbers w:val="0"/>
              <w:ind w:firstLine="210" w:firstLineChars="100"/>
              <w:jc w:val="left"/>
              <w:textAlignment w:val="center"/>
              <w:rPr>
                <w:rFonts w:hint="eastAsia" w:ascii="宋体" w:hAnsi="宋体" w:eastAsia="宋体" w:cs="宋体"/>
                <w:i w:val="0"/>
                <w:iCs w:val="0"/>
                <w:color w:val="auto"/>
                <w:kern w:val="0"/>
                <w:sz w:val="21"/>
                <w:szCs w:val="21"/>
                <w:u w:val="none"/>
                <w:shd w:val="clear" w:color="auto" w:fill="auto"/>
                <w:lang w:val="en-US" w:eastAsia="zh-CN" w:bidi="ar"/>
              </w:rPr>
            </w:pPr>
            <w:r>
              <w:rPr>
                <w:rFonts w:hint="eastAsia" w:ascii="宋体" w:hAnsi="宋体" w:eastAsia="宋体" w:cs="宋体"/>
                <w:i w:val="0"/>
                <w:iCs w:val="0"/>
                <w:color w:val="auto"/>
                <w:kern w:val="0"/>
                <w:sz w:val="21"/>
                <w:szCs w:val="21"/>
                <w:u w:val="none"/>
                <w:shd w:val="clear" w:color="auto" w:fill="auto"/>
                <w:lang w:val="en-US" w:eastAsia="zh-CN" w:bidi="ar"/>
              </w:rPr>
              <w:t>对于单类信息的快速查询，响应时间在1秒内。</w:t>
            </w:r>
          </w:p>
          <w:p>
            <w:pPr>
              <w:keepNext w:val="0"/>
              <w:keepLines w:val="0"/>
              <w:widowControl/>
              <w:suppressLineNumbers w:val="0"/>
              <w:ind w:firstLine="210" w:firstLineChars="100"/>
              <w:jc w:val="both"/>
              <w:textAlignment w:val="center"/>
              <w:rPr>
                <w:rFonts w:hint="eastAsia" w:ascii="宋体" w:hAnsi="宋体" w:eastAsia="宋体" w:cs="宋体"/>
                <w:b/>
                <w:bCs/>
                <w:i w:val="0"/>
                <w:iCs w:val="0"/>
                <w:color w:val="auto"/>
                <w:sz w:val="21"/>
                <w:szCs w:val="21"/>
                <w:u w:val="none"/>
              </w:rPr>
            </w:pPr>
            <w:r>
              <w:rPr>
                <w:rFonts w:hint="eastAsia" w:ascii="宋体" w:hAnsi="宋体" w:eastAsia="宋体" w:cs="宋体"/>
                <w:i w:val="0"/>
                <w:iCs w:val="0"/>
                <w:color w:val="auto"/>
                <w:kern w:val="0"/>
                <w:sz w:val="21"/>
                <w:szCs w:val="21"/>
                <w:u w:val="none"/>
                <w:shd w:val="clear" w:color="auto" w:fill="auto"/>
                <w:lang w:val="en-US" w:eastAsia="zh-CN" w:bidi="ar"/>
              </w:rPr>
              <w:t>对于多类信息的模糊查询，响应时间在5秒内。</w:t>
            </w:r>
          </w:p>
        </w:tc>
        <w:tc>
          <w:tcPr>
            <w:tcW w:w="296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1）应按照数据中心的北向接口规范，从数据中心获取其他系统共享的数据。</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2）应按照数据中心的南向数据接口规范，将产生的业务类数据推送至数据中心。</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3）保证输入、输出数据的安全性。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6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应用融合管理模块</w:t>
            </w:r>
          </w:p>
        </w:tc>
        <w:tc>
          <w:tcPr>
            <w:tcW w:w="4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1）支持同时用户在线数不小于2000人。</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2）支持并发用户数量不小于500人</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1）从各业务模型直接获取功能权限。</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2）为台州市公安提供服务。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6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数智实战模块</w:t>
            </w:r>
          </w:p>
        </w:tc>
        <w:tc>
          <w:tcPr>
            <w:tcW w:w="4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1）支持同时用户在线数不小于</w:t>
            </w:r>
            <w:r>
              <w:rPr>
                <w:rFonts w:hint="eastAsia" w:ascii="宋体" w:hAnsi="宋体" w:eastAsia="宋体" w:cs="宋体"/>
                <w:i w:val="0"/>
                <w:iCs w:val="0"/>
                <w:color w:val="auto"/>
                <w:sz w:val="21"/>
                <w:szCs w:val="21"/>
                <w:u w:val="none"/>
                <w:lang w:val="en-US" w:eastAsia="zh-CN"/>
              </w:rPr>
              <w:t>5</w:t>
            </w:r>
            <w:r>
              <w:rPr>
                <w:rFonts w:hint="eastAsia" w:ascii="宋体" w:hAnsi="宋体" w:eastAsia="宋体" w:cs="宋体"/>
                <w:i w:val="0"/>
                <w:iCs w:val="0"/>
                <w:color w:val="auto"/>
                <w:sz w:val="21"/>
                <w:szCs w:val="21"/>
                <w:u w:val="none"/>
              </w:rPr>
              <w:t>00人。</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2）支持并发用户数量大于</w:t>
            </w:r>
            <w:r>
              <w:rPr>
                <w:rFonts w:hint="eastAsia" w:ascii="宋体" w:hAnsi="宋体" w:eastAsia="宋体" w:cs="宋体"/>
                <w:i w:val="0"/>
                <w:iCs w:val="0"/>
                <w:color w:val="auto"/>
                <w:sz w:val="21"/>
                <w:szCs w:val="21"/>
                <w:u w:val="none"/>
                <w:lang w:val="en-US" w:eastAsia="zh-CN"/>
              </w:rPr>
              <w:t>10</w:t>
            </w:r>
            <w:r>
              <w:rPr>
                <w:rFonts w:hint="eastAsia" w:ascii="宋体" w:hAnsi="宋体" w:eastAsia="宋体" w:cs="宋体"/>
                <w:i w:val="0"/>
                <w:iCs w:val="0"/>
                <w:color w:val="auto"/>
                <w:sz w:val="21"/>
                <w:szCs w:val="21"/>
                <w:u w:val="none"/>
              </w:rPr>
              <w:t>0人。</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6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数智决策模块</w:t>
            </w:r>
          </w:p>
        </w:tc>
        <w:tc>
          <w:tcPr>
            <w:tcW w:w="4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1）支持同时用户在线数不小于</w:t>
            </w:r>
            <w:r>
              <w:rPr>
                <w:rFonts w:hint="eastAsia" w:ascii="宋体" w:hAnsi="宋体" w:eastAsia="宋体" w:cs="宋体"/>
                <w:i w:val="0"/>
                <w:iCs w:val="0"/>
                <w:color w:val="auto"/>
                <w:sz w:val="21"/>
                <w:szCs w:val="21"/>
                <w:u w:val="none"/>
                <w:lang w:val="en-US" w:eastAsia="zh-CN"/>
              </w:rPr>
              <w:t>10</w:t>
            </w:r>
            <w:r>
              <w:rPr>
                <w:rFonts w:hint="eastAsia" w:ascii="宋体" w:hAnsi="宋体" w:eastAsia="宋体" w:cs="宋体"/>
                <w:i w:val="0"/>
                <w:iCs w:val="0"/>
                <w:color w:val="auto"/>
                <w:sz w:val="21"/>
                <w:szCs w:val="21"/>
                <w:u w:val="none"/>
              </w:rPr>
              <w:t>00人。</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2）支持并发用户数量大于</w:t>
            </w:r>
            <w:r>
              <w:rPr>
                <w:rFonts w:hint="eastAsia" w:ascii="宋体" w:hAnsi="宋体" w:eastAsia="宋体" w:cs="宋体"/>
                <w:i w:val="0"/>
                <w:iCs w:val="0"/>
                <w:color w:val="auto"/>
                <w:sz w:val="21"/>
                <w:szCs w:val="21"/>
                <w:u w:val="none"/>
                <w:lang w:val="en-US" w:eastAsia="zh-CN"/>
              </w:rPr>
              <w:t>10</w:t>
            </w:r>
            <w:r>
              <w:rPr>
                <w:rFonts w:hint="eastAsia" w:ascii="宋体" w:hAnsi="宋体" w:eastAsia="宋体" w:cs="宋体"/>
                <w:i w:val="0"/>
                <w:iCs w:val="0"/>
                <w:color w:val="auto"/>
                <w:sz w:val="21"/>
                <w:szCs w:val="21"/>
                <w:u w:val="none"/>
              </w:rPr>
              <w:t>0人。</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6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高地一体化模块</w:t>
            </w:r>
          </w:p>
        </w:tc>
        <w:tc>
          <w:tcPr>
            <w:tcW w:w="4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1）支持同时用户在线数不小于200人。</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sz w:val="21"/>
                <w:szCs w:val="21"/>
                <w:u w:val="none"/>
              </w:rPr>
              <w:t>2）支持并发用户数量不小于50人。</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6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信号控制提升模块</w:t>
            </w:r>
          </w:p>
        </w:tc>
        <w:tc>
          <w:tcPr>
            <w:tcW w:w="4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1）支持同时用户在线数不小于200人。</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2）支持并发用户数量不小于50人。</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3</w:t>
            </w:r>
            <w:r>
              <w:rPr>
                <w:rFonts w:hint="eastAsia" w:ascii="宋体" w:hAnsi="宋体" w:eastAsia="宋体" w:cs="宋体"/>
                <w:i w:val="0"/>
                <w:iCs w:val="0"/>
                <w:color w:val="auto"/>
                <w:sz w:val="21"/>
                <w:szCs w:val="21"/>
                <w:u w:val="none"/>
              </w:rPr>
              <w:t>）并发调控信号配时的路口不少于</w:t>
            </w:r>
            <w:r>
              <w:rPr>
                <w:rFonts w:hint="eastAsia" w:ascii="宋体" w:hAnsi="宋体" w:eastAsia="宋体" w:cs="宋体"/>
                <w:i w:val="0"/>
                <w:iCs w:val="0"/>
                <w:color w:val="auto"/>
                <w:sz w:val="21"/>
                <w:szCs w:val="21"/>
                <w:u w:val="none"/>
                <w:lang w:val="en-US" w:eastAsia="zh-CN"/>
              </w:rPr>
              <w:t>5</w:t>
            </w:r>
            <w:r>
              <w:rPr>
                <w:rFonts w:hint="eastAsia" w:ascii="宋体" w:hAnsi="宋体" w:eastAsia="宋体" w:cs="宋体"/>
                <w:i w:val="0"/>
                <w:iCs w:val="0"/>
                <w:color w:val="auto"/>
                <w:sz w:val="21"/>
                <w:szCs w:val="21"/>
                <w:u w:val="none"/>
              </w:rPr>
              <w:t>00个。</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6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事故可视化模块</w:t>
            </w:r>
          </w:p>
        </w:tc>
        <w:tc>
          <w:tcPr>
            <w:tcW w:w="4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1）支持同时用户在线数不小于</w:t>
            </w:r>
            <w:r>
              <w:rPr>
                <w:rFonts w:hint="eastAsia" w:ascii="宋体" w:hAnsi="宋体" w:eastAsia="宋体" w:cs="宋体"/>
                <w:i w:val="0"/>
                <w:iCs w:val="0"/>
                <w:color w:val="auto"/>
                <w:sz w:val="21"/>
                <w:szCs w:val="21"/>
                <w:u w:val="none"/>
                <w:lang w:val="en-US" w:eastAsia="zh-CN"/>
              </w:rPr>
              <w:t>6</w:t>
            </w:r>
            <w:r>
              <w:rPr>
                <w:rFonts w:hint="eastAsia" w:ascii="宋体" w:hAnsi="宋体" w:eastAsia="宋体" w:cs="宋体"/>
                <w:i w:val="0"/>
                <w:iCs w:val="0"/>
                <w:color w:val="auto"/>
                <w:sz w:val="21"/>
                <w:szCs w:val="21"/>
                <w:u w:val="none"/>
              </w:rPr>
              <w:t>00人。</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rPr>
              <w:t>2）支持并发用户数量不小于100人。</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6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交通态势分析模块</w:t>
            </w:r>
          </w:p>
        </w:tc>
        <w:tc>
          <w:tcPr>
            <w:tcW w:w="4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1）支持同时用户在线数不小于</w:t>
            </w:r>
            <w:r>
              <w:rPr>
                <w:rFonts w:hint="eastAsia" w:ascii="宋体" w:hAnsi="宋体" w:eastAsia="宋体" w:cs="宋体"/>
                <w:i w:val="0"/>
                <w:iCs w:val="0"/>
                <w:color w:val="auto"/>
                <w:sz w:val="21"/>
                <w:szCs w:val="21"/>
                <w:u w:val="none"/>
                <w:lang w:val="en-US" w:eastAsia="zh-CN"/>
              </w:rPr>
              <w:t>10</w:t>
            </w:r>
            <w:r>
              <w:rPr>
                <w:rFonts w:hint="eastAsia" w:ascii="宋体" w:hAnsi="宋体" w:eastAsia="宋体" w:cs="宋体"/>
                <w:i w:val="0"/>
                <w:iCs w:val="0"/>
                <w:color w:val="auto"/>
                <w:sz w:val="21"/>
                <w:szCs w:val="21"/>
                <w:u w:val="none"/>
              </w:rPr>
              <w:t>00人。</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2）支持并发用户数量不小于</w:t>
            </w:r>
            <w:r>
              <w:rPr>
                <w:rFonts w:hint="eastAsia" w:ascii="宋体" w:hAnsi="宋体" w:eastAsia="宋体" w:cs="宋体"/>
                <w:i w:val="0"/>
                <w:iCs w:val="0"/>
                <w:color w:val="auto"/>
                <w:sz w:val="21"/>
                <w:szCs w:val="21"/>
                <w:u w:val="none"/>
                <w:lang w:val="en-US" w:eastAsia="zh-CN"/>
              </w:rPr>
              <w:t>200</w:t>
            </w:r>
            <w:r>
              <w:rPr>
                <w:rFonts w:hint="eastAsia" w:ascii="宋体" w:hAnsi="宋体" w:eastAsia="宋体" w:cs="宋体"/>
                <w:i w:val="0"/>
                <w:iCs w:val="0"/>
                <w:color w:val="auto"/>
                <w:sz w:val="21"/>
                <w:szCs w:val="21"/>
                <w:u w:val="none"/>
              </w:rPr>
              <w:t>人。</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sz w:val="21"/>
                <w:szCs w:val="21"/>
                <w:u w:val="none"/>
                <w:lang w:val="en-US" w:eastAsia="zh-CN"/>
              </w:rPr>
              <w:t>3</w:t>
            </w:r>
            <w:r>
              <w:rPr>
                <w:rFonts w:hint="eastAsia" w:ascii="宋体" w:hAnsi="宋体" w:eastAsia="宋体" w:cs="宋体"/>
                <w:i w:val="0"/>
                <w:iCs w:val="0"/>
                <w:color w:val="auto"/>
                <w:sz w:val="21"/>
                <w:szCs w:val="21"/>
                <w:u w:val="none"/>
              </w:rPr>
              <w:t>）电子地图gps查询100WGPS历史数据查询时间≤5秒。</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6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8</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驾驶人学习防范模块</w:t>
            </w:r>
          </w:p>
        </w:tc>
        <w:tc>
          <w:tcPr>
            <w:tcW w:w="4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1）支持同时用户在线数不小于</w:t>
            </w:r>
            <w:r>
              <w:rPr>
                <w:rFonts w:hint="eastAsia" w:ascii="宋体" w:hAnsi="宋体" w:eastAsia="宋体" w:cs="宋体"/>
                <w:i w:val="0"/>
                <w:iCs w:val="0"/>
                <w:color w:val="auto"/>
                <w:sz w:val="21"/>
                <w:szCs w:val="21"/>
                <w:u w:val="none"/>
                <w:lang w:val="en-US" w:eastAsia="zh-CN"/>
              </w:rPr>
              <w:t>10</w:t>
            </w:r>
            <w:r>
              <w:rPr>
                <w:rFonts w:hint="eastAsia" w:ascii="宋体" w:hAnsi="宋体" w:eastAsia="宋体" w:cs="宋体"/>
                <w:i w:val="0"/>
                <w:iCs w:val="0"/>
                <w:color w:val="auto"/>
                <w:sz w:val="21"/>
                <w:szCs w:val="21"/>
                <w:u w:val="none"/>
              </w:rPr>
              <w:t>00人。</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sz w:val="21"/>
                <w:szCs w:val="21"/>
                <w:u w:val="none"/>
              </w:rPr>
              <w:t>2）支持并发用户数量不小于</w:t>
            </w:r>
            <w:r>
              <w:rPr>
                <w:rFonts w:hint="eastAsia" w:ascii="宋体" w:hAnsi="宋体" w:eastAsia="宋体" w:cs="宋体"/>
                <w:i w:val="0"/>
                <w:iCs w:val="0"/>
                <w:color w:val="auto"/>
                <w:sz w:val="21"/>
                <w:szCs w:val="21"/>
                <w:u w:val="none"/>
                <w:lang w:val="en-US" w:eastAsia="zh-CN"/>
              </w:rPr>
              <w:t>200</w:t>
            </w:r>
            <w:r>
              <w:rPr>
                <w:rFonts w:hint="eastAsia" w:ascii="宋体" w:hAnsi="宋体" w:eastAsia="宋体" w:cs="宋体"/>
                <w:i w:val="0"/>
                <w:iCs w:val="0"/>
                <w:color w:val="auto"/>
                <w:sz w:val="21"/>
                <w:szCs w:val="21"/>
                <w:u w:val="none"/>
              </w:rPr>
              <w:t>人。</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sz w:val="21"/>
                <w:szCs w:val="21"/>
                <w:u w:val="none"/>
              </w:rPr>
              <w:t>“线上办业务办理”子模块，直接对接六合一系统，完成相关的业务办理。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6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运维管理模块</w:t>
            </w:r>
          </w:p>
        </w:tc>
        <w:tc>
          <w:tcPr>
            <w:tcW w:w="4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1）支持同时用户在线数不小于200人。</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sz w:val="21"/>
                <w:szCs w:val="21"/>
                <w:u w:val="none"/>
              </w:rPr>
              <w:t>2）支持并发用户数量不小于50人。</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6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移动应用模块</w:t>
            </w:r>
          </w:p>
        </w:tc>
        <w:tc>
          <w:tcPr>
            <w:tcW w:w="4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1）支持同时用户在线数不小于3000人。</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sz w:val="21"/>
                <w:szCs w:val="21"/>
                <w:u w:val="none"/>
              </w:rPr>
              <w:t>2）支持并发用户数量不小于600人。</w:t>
            </w:r>
            <w:r>
              <w:rPr>
                <w:rFonts w:hint="eastAsia" w:ascii="宋体" w:hAnsi="宋体" w:eastAsia="宋体" w:cs="宋体"/>
                <w:i w:val="0"/>
                <w:iCs w:val="0"/>
                <w:color w:val="auto"/>
                <w:sz w:val="21"/>
                <w:szCs w:val="21"/>
                <w:u w:val="none"/>
                <w:lang w:val="en-US" w:eastAsia="zh-CN"/>
              </w:rPr>
              <w:t xml:space="preserve"> </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6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赋能中心</w:t>
            </w:r>
          </w:p>
        </w:tc>
        <w:tc>
          <w:tcPr>
            <w:tcW w:w="4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rPr>
              <w:t>1）注册用户数不小于</w:t>
            </w:r>
            <w:r>
              <w:rPr>
                <w:rFonts w:hint="eastAsia" w:ascii="宋体" w:hAnsi="宋体" w:eastAsia="宋体" w:cs="宋体"/>
                <w:i w:val="0"/>
                <w:iCs w:val="0"/>
                <w:color w:val="auto"/>
                <w:sz w:val="21"/>
                <w:szCs w:val="21"/>
                <w:u w:val="none"/>
                <w:lang w:val="en-US" w:eastAsia="zh-CN"/>
              </w:rPr>
              <w:t>8</w:t>
            </w:r>
            <w:r>
              <w:rPr>
                <w:rFonts w:hint="eastAsia" w:ascii="宋体" w:hAnsi="宋体" w:eastAsia="宋体" w:cs="宋体"/>
                <w:i w:val="0"/>
                <w:iCs w:val="0"/>
                <w:color w:val="auto"/>
                <w:sz w:val="21"/>
                <w:szCs w:val="21"/>
                <w:u w:val="none"/>
              </w:rPr>
              <w:t>000</w:t>
            </w:r>
            <w:r>
              <w:rPr>
                <w:rFonts w:hint="eastAsia" w:ascii="宋体" w:hAnsi="宋体" w:eastAsia="宋体" w:cs="宋体"/>
                <w:i w:val="0"/>
                <w:iCs w:val="0"/>
                <w:color w:val="auto"/>
                <w:sz w:val="21"/>
                <w:szCs w:val="21"/>
                <w:u w:val="none"/>
                <w:lang w:eastAsia="zh-CN"/>
              </w:rPr>
              <w:t>；</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val="en-US" w:eastAsia="zh-CN"/>
              </w:rPr>
              <w:t>2</w:t>
            </w:r>
            <w:r>
              <w:rPr>
                <w:rFonts w:hint="eastAsia" w:ascii="宋体" w:hAnsi="宋体" w:eastAsia="宋体" w:cs="宋体"/>
                <w:i w:val="0"/>
                <w:iCs w:val="0"/>
                <w:color w:val="auto"/>
                <w:sz w:val="21"/>
                <w:szCs w:val="21"/>
                <w:u w:val="none"/>
              </w:rPr>
              <w:t>）在线用户数不小于</w:t>
            </w:r>
            <w:r>
              <w:rPr>
                <w:rFonts w:hint="eastAsia" w:ascii="宋体" w:hAnsi="宋体" w:eastAsia="宋体" w:cs="宋体"/>
                <w:i w:val="0"/>
                <w:iCs w:val="0"/>
                <w:color w:val="auto"/>
                <w:sz w:val="21"/>
                <w:szCs w:val="21"/>
                <w:u w:val="none"/>
                <w:lang w:val="en-US" w:eastAsia="zh-CN"/>
              </w:rPr>
              <w:t>20</w:t>
            </w:r>
            <w:r>
              <w:rPr>
                <w:rFonts w:hint="eastAsia" w:ascii="宋体" w:hAnsi="宋体" w:eastAsia="宋体" w:cs="宋体"/>
                <w:i w:val="0"/>
                <w:iCs w:val="0"/>
                <w:color w:val="auto"/>
                <w:sz w:val="21"/>
                <w:szCs w:val="21"/>
                <w:u w:val="none"/>
              </w:rPr>
              <w:t>00</w:t>
            </w:r>
            <w:r>
              <w:rPr>
                <w:rFonts w:hint="eastAsia" w:ascii="宋体" w:hAnsi="宋体" w:eastAsia="宋体" w:cs="宋体"/>
                <w:i w:val="0"/>
                <w:iCs w:val="0"/>
                <w:color w:val="auto"/>
                <w:sz w:val="21"/>
                <w:szCs w:val="21"/>
                <w:u w:val="none"/>
                <w:lang w:eastAsia="zh-CN"/>
              </w:rPr>
              <w:t>；</w:t>
            </w:r>
          </w:p>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3</w:t>
            </w:r>
            <w:r>
              <w:rPr>
                <w:rFonts w:hint="eastAsia" w:ascii="宋体" w:hAnsi="宋体" w:eastAsia="宋体" w:cs="宋体"/>
                <w:i w:val="0"/>
                <w:iCs w:val="0"/>
                <w:color w:val="auto"/>
                <w:sz w:val="21"/>
                <w:szCs w:val="21"/>
                <w:u w:val="none"/>
              </w:rPr>
              <w:t>）支持并发用户数量不小于</w:t>
            </w:r>
            <w:r>
              <w:rPr>
                <w:rFonts w:hint="eastAsia" w:ascii="宋体" w:hAnsi="宋体" w:eastAsia="宋体" w:cs="宋体"/>
                <w:i w:val="0"/>
                <w:iCs w:val="0"/>
                <w:color w:val="auto"/>
                <w:sz w:val="21"/>
                <w:szCs w:val="21"/>
                <w:u w:val="none"/>
                <w:lang w:val="en-US" w:eastAsia="zh-CN"/>
              </w:rPr>
              <w:t>5</w:t>
            </w:r>
            <w:r>
              <w:rPr>
                <w:rFonts w:hint="eastAsia" w:ascii="宋体" w:hAnsi="宋体" w:eastAsia="宋体" w:cs="宋体"/>
                <w:i w:val="0"/>
                <w:iCs w:val="0"/>
                <w:color w:val="auto"/>
                <w:sz w:val="21"/>
                <w:szCs w:val="21"/>
                <w:u w:val="none"/>
              </w:rPr>
              <w:t>00人。</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7" w:hRule="atLeast"/>
          <w:jc w:val="center"/>
        </w:trPr>
        <w:tc>
          <w:tcPr>
            <w:tcW w:w="56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数据中心</w:t>
            </w:r>
          </w:p>
        </w:tc>
        <w:tc>
          <w:tcPr>
            <w:tcW w:w="4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需同时达到以下二类指标要求：</w:t>
            </w:r>
          </w:p>
          <w:p>
            <w:pPr>
              <w:keepNext w:val="0"/>
              <w:keepLines w:val="0"/>
              <w:widowControl/>
              <w:suppressLineNumbers w:val="0"/>
              <w:jc w:val="left"/>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第一类</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1)实体同步：</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【100W】数据量，同步时间1分10秒以内</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【1000W】数据量，同步时间25分45秒以内</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【1亿】数据量，同步时间4时34分25秒以内</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2)关系同步：</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【1000W】数据量，同步时间5时20分钟以内可以同时对5千张表新建画布;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一个画布上可以支持100个节点，打开画布的响应时间：285ms以内</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3)数据清洗：【亿级】数据量，并发50，在2小时完成</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4)数据同步：【千万级】数据量，全量同步，20并发，20分钟完成；【亿级】数据量，增量同步，20并发，2小时完成</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5)实时流：【千万级】：【5并发,2小时】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6)查询数据表：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100并发，平均响应时间760毫秒以内</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150并发，平均响应时间1145毫秒以内</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200并发，平均响应时间1525毫秒以内</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第二类</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rPr>
              <w:t>1）</w:t>
            </w:r>
            <w:r>
              <w:rPr>
                <w:rFonts w:hint="eastAsia" w:ascii="宋体" w:hAnsi="宋体" w:eastAsia="宋体" w:cs="宋体"/>
                <w:i w:val="0"/>
                <w:iCs w:val="0"/>
                <w:color w:val="auto"/>
                <w:kern w:val="0"/>
                <w:sz w:val="21"/>
                <w:szCs w:val="21"/>
                <w:u w:val="none"/>
                <w:lang w:val="en-US" w:eastAsia="zh-CN" w:bidi="ar"/>
              </w:rPr>
              <w:t>支持接入数据库类型：≥12种；</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2</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支持接入数据库数量：不限</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3</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支持设置分层数：≥3层，包括开发层、主题层、服务层；</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4</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离线采集速率：单节点最高可达 50MB/s，最大速率可达 50 万条/s；</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5</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批量采集支持单次创建5000张表的采集任务；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6</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实时采集单节点最高可达20MB/s的峰值流量；</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7</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单节点平均处理数据量可达1.5亿条/小时；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8</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单节点平均数据处理流量可达40GB/小时；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9</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单节点可支撑日均并发调用次数：≥75万次；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rPr>
              <w:t>1</w:t>
            </w:r>
            <w:r>
              <w:rPr>
                <w:rFonts w:hint="eastAsia" w:ascii="宋体" w:hAnsi="宋体" w:eastAsia="宋体" w:cs="宋体"/>
                <w:i w:val="0"/>
                <w:iCs w:val="0"/>
                <w:color w:val="auto"/>
                <w:sz w:val="21"/>
                <w:szCs w:val="21"/>
                <w:u w:val="none"/>
                <w:lang w:val="en-US" w:eastAsia="zh-CN"/>
              </w:rPr>
              <w:t>0</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单节点支持创建共享API服务：≥500个；</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rPr>
              <w:t>1</w:t>
            </w:r>
            <w:r>
              <w:rPr>
                <w:rFonts w:hint="eastAsia" w:ascii="宋体" w:hAnsi="宋体" w:eastAsia="宋体" w:cs="宋体"/>
                <w:i w:val="0"/>
                <w:iCs w:val="0"/>
                <w:color w:val="auto"/>
                <w:sz w:val="21"/>
                <w:szCs w:val="21"/>
                <w:u w:val="none"/>
                <w:lang w:val="en-US" w:eastAsia="zh-CN"/>
              </w:rPr>
              <w:t>1</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提供治理规则：≥50种；</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rPr>
              <w:t>1</w:t>
            </w:r>
            <w:r>
              <w:rPr>
                <w:rFonts w:hint="eastAsia" w:ascii="宋体" w:hAnsi="宋体" w:eastAsia="宋体" w:cs="宋体"/>
                <w:i w:val="0"/>
                <w:iCs w:val="0"/>
                <w:color w:val="auto"/>
                <w:sz w:val="21"/>
                <w:szCs w:val="21"/>
                <w:u w:val="none"/>
                <w:lang w:val="en-US" w:eastAsia="zh-CN"/>
              </w:rPr>
              <w:t>2</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脚本类型支持SQL、Python、Shell；</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rPr>
              <w:t>1</w:t>
            </w:r>
            <w:r>
              <w:rPr>
                <w:rFonts w:hint="eastAsia" w:ascii="宋体" w:hAnsi="宋体" w:eastAsia="宋体" w:cs="宋体"/>
                <w:i w:val="0"/>
                <w:iCs w:val="0"/>
                <w:color w:val="auto"/>
                <w:sz w:val="21"/>
                <w:szCs w:val="21"/>
                <w:u w:val="none"/>
                <w:lang w:val="en-US" w:eastAsia="zh-CN"/>
              </w:rPr>
              <w:t>3</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质量探查预设规则：≥20个；</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rPr>
              <w:t>1</w:t>
            </w:r>
            <w:r>
              <w:rPr>
                <w:rFonts w:hint="eastAsia" w:ascii="宋体" w:hAnsi="宋体" w:eastAsia="宋体" w:cs="宋体"/>
                <w:i w:val="0"/>
                <w:iCs w:val="0"/>
                <w:color w:val="auto"/>
                <w:sz w:val="21"/>
                <w:szCs w:val="21"/>
                <w:u w:val="none"/>
                <w:lang w:val="en-US" w:eastAsia="zh-CN"/>
              </w:rPr>
              <w:t>4</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支持并发批处理数据峰值达100GB；</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rPr>
              <w:t>1</w:t>
            </w:r>
            <w:r>
              <w:rPr>
                <w:rFonts w:hint="eastAsia" w:ascii="宋体" w:hAnsi="宋体" w:eastAsia="宋体" w:cs="宋体"/>
                <w:i w:val="0"/>
                <w:iCs w:val="0"/>
                <w:color w:val="auto"/>
                <w:sz w:val="21"/>
                <w:szCs w:val="21"/>
                <w:u w:val="none"/>
                <w:lang w:val="en-US" w:eastAsia="zh-CN"/>
              </w:rPr>
              <w:t>5</w:t>
            </w:r>
            <w:r>
              <w:rPr>
                <w:rFonts w:hint="eastAsia" w:ascii="宋体" w:hAnsi="宋体" w:eastAsia="宋体" w:cs="宋体"/>
                <w:i w:val="0"/>
                <w:iCs w:val="0"/>
                <w:color w:val="auto"/>
                <w:sz w:val="21"/>
                <w:szCs w:val="21"/>
                <w:u w:val="none"/>
              </w:rPr>
              <w:t>）</w:t>
            </w:r>
            <w:r>
              <w:rPr>
                <w:rFonts w:hint="eastAsia" w:ascii="宋体" w:hAnsi="宋体" w:eastAsia="宋体" w:cs="宋体"/>
                <w:i w:val="0"/>
                <w:iCs w:val="0"/>
                <w:color w:val="auto"/>
                <w:kern w:val="0"/>
                <w:sz w:val="21"/>
                <w:szCs w:val="21"/>
                <w:u w:val="none"/>
                <w:lang w:val="en-US" w:eastAsia="zh-CN" w:bidi="ar"/>
              </w:rPr>
              <w:t>无故障运行时间大于8759.12小时/年。</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rPr>
            </w:pPr>
          </w:p>
        </w:tc>
      </w:tr>
    </w:tbl>
    <w:p>
      <w:pPr>
        <w:numPr>
          <w:ilvl w:val="0"/>
          <w:numId w:val="0"/>
        </w:numPr>
        <w:spacing w:line="360" w:lineRule="auto"/>
        <w:ind w:leftChars="0"/>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lang w:val="en-US" w:eastAsia="zh-CN"/>
        </w:rPr>
        <w:t>三</w:t>
      </w: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rPr>
        <w:t>项目验收标准</w:t>
      </w:r>
    </w:p>
    <w:p>
      <w:pPr>
        <w:spacing w:beforeLines="0" w:afterLines="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项目的验收包括</w:t>
      </w:r>
      <w:r>
        <w:rPr>
          <w:rFonts w:hint="eastAsia" w:ascii="宋体" w:hAnsi="宋体" w:eastAsia="宋体" w:cs="宋体"/>
          <w:color w:val="auto"/>
          <w:sz w:val="24"/>
          <w:szCs w:val="24"/>
          <w:lang w:eastAsia="zh-CN"/>
        </w:rPr>
        <w:t>上线验收</w:t>
      </w:r>
      <w:r>
        <w:rPr>
          <w:rFonts w:hint="eastAsia" w:ascii="宋体" w:hAnsi="宋体" w:eastAsia="宋体" w:cs="宋体"/>
          <w:color w:val="auto"/>
          <w:sz w:val="24"/>
          <w:szCs w:val="24"/>
        </w:rPr>
        <w:t>、试运行</w:t>
      </w:r>
      <w:r>
        <w:rPr>
          <w:rFonts w:hint="eastAsia" w:ascii="宋体" w:hAnsi="宋体" w:eastAsia="宋体" w:cs="宋体"/>
          <w:color w:val="auto"/>
          <w:sz w:val="24"/>
          <w:szCs w:val="24"/>
          <w:lang w:eastAsia="zh-CN"/>
        </w:rPr>
        <w:t>、交付验收</w:t>
      </w:r>
      <w:r>
        <w:rPr>
          <w:rFonts w:hint="eastAsia" w:ascii="宋体" w:hAnsi="宋体" w:eastAsia="宋体" w:cs="宋体"/>
          <w:color w:val="auto"/>
          <w:sz w:val="24"/>
          <w:szCs w:val="24"/>
        </w:rPr>
        <w:t>和</w:t>
      </w:r>
      <w:r>
        <w:rPr>
          <w:rFonts w:hint="eastAsia" w:ascii="宋体" w:hAnsi="宋体" w:eastAsia="宋体" w:cs="宋体"/>
          <w:color w:val="auto"/>
          <w:sz w:val="24"/>
          <w:szCs w:val="24"/>
          <w:lang w:eastAsia="zh-CN"/>
        </w:rPr>
        <w:t>运维</w:t>
      </w:r>
      <w:r>
        <w:rPr>
          <w:rFonts w:hint="eastAsia" w:ascii="宋体" w:hAnsi="宋体" w:cs="宋体"/>
          <w:color w:val="FF0000"/>
          <w:sz w:val="24"/>
          <w:szCs w:val="24"/>
          <w:lang w:eastAsia="zh-CN"/>
        </w:rPr>
        <w:t>考核</w:t>
      </w:r>
      <w:r>
        <w:rPr>
          <w:rFonts w:hint="eastAsia" w:ascii="宋体" w:hAnsi="宋体" w:eastAsia="宋体" w:cs="宋体"/>
          <w:color w:val="auto"/>
          <w:sz w:val="24"/>
          <w:szCs w:val="24"/>
        </w:rPr>
        <w:t>。</w:t>
      </w:r>
    </w:p>
    <w:p>
      <w:pPr>
        <w:spacing w:beforeLines="0" w:afterLines="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1、项目</w:t>
      </w:r>
      <w:r>
        <w:rPr>
          <w:rFonts w:hint="eastAsia" w:ascii="宋体" w:hAnsi="宋体" w:eastAsia="宋体" w:cs="宋体"/>
          <w:color w:val="auto"/>
          <w:sz w:val="24"/>
          <w:szCs w:val="24"/>
          <w:lang w:eastAsia="zh-CN"/>
        </w:rPr>
        <w:t>上线验收</w:t>
      </w:r>
    </w:p>
    <w:p>
      <w:pPr>
        <w:spacing w:beforeLines="0" w:afterLines="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lang w:eastAsia="zh-CN"/>
        </w:rPr>
        <w:t>上线验收</w:t>
      </w:r>
      <w:r>
        <w:rPr>
          <w:rFonts w:hint="eastAsia" w:ascii="宋体" w:hAnsi="宋体" w:eastAsia="宋体" w:cs="宋体"/>
          <w:color w:val="auto"/>
          <w:sz w:val="24"/>
          <w:szCs w:val="24"/>
          <w:lang w:val="en-US" w:eastAsia="zh-CN"/>
        </w:rPr>
        <w:t>前，中标方应首先对系统进行自测，并将系统自测报告提交采购方和监理方审查。中标方依本合同约定向采购方提交成果及相关文档，并向采购方提出</w:t>
      </w:r>
      <w:r>
        <w:rPr>
          <w:rFonts w:hint="eastAsia" w:ascii="宋体" w:hAnsi="宋体" w:eastAsia="宋体" w:cs="宋体"/>
          <w:color w:val="auto"/>
          <w:sz w:val="24"/>
          <w:szCs w:val="24"/>
          <w:lang w:eastAsia="zh-CN"/>
        </w:rPr>
        <w:t>上线验收</w:t>
      </w:r>
      <w:r>
        <w:rPr>
          <w:rFonts w:hint="eastAsia" w:ascii="宋体" w:hAnsi="宋体" w:eastAsia="宋体" w:cs="宋体"/>
          <w:color w:val="auto"/>
          <w:sz w:val="24"/>
          <w:szCs w:val="24"/>
          <w:lang w:val="en-US" w:eastAsia="zh-CN"/>
        </w:rPr>
        <w:t>申请。采购方接到中标方项目</w:t>
      </w:r>
      <w:r>
        <w:rPr>
          <w:rFonts w:hint="eastAsia" w:ascii="宋体" w:hAnsi="宋体" w:eastAsia="宋体" w:cs="宋体"/>
          <w:color w:val="auto"/>
          <w:sz w:val="24"/>
          <w:szCs w:val="24"/>
          <w:lang w:eastAsia="zh-CN"/>
        </w:rPr>
        <w:t>上线验收</w:t>
      </w:r>
      <w:r>
        <w:rPr>
          <w:rFonts w:hint="eastAsia" w:ascii="宋体" w:hAnsi="宋体" w:eastAsia="宋体" w:cs="宋体"/>
          <w:color w:val="auto"/>
          <w:sz w:val="24"/>
          <w:szCs w:val="24"/>
          <w:lang w:val="en-US" w:eastAsia="zh-CN"/>
        </w:rPr>
        <w:t>申请后，组织相关单位进行项目</w:t>
      </w:r>
      <w:r>
        <w:rPr>
          <w:rFonts w:hint="eastAsia" w:ascii="宋体" w:hAnsi="宋体" w:eastAsia="宋体" w:cs="宋体"/>
          <w:color w:val="auto"/>
          <w:sz w:val="24"/>
          <w:szCs w:val="24"/>
          <w:lang w:eastAsia="zh-CN"/>
        </w:rPr>
        <w:t>上线验收</w:t>
      </w:r>
      <w:r>
        <w:rPr>
          <w:rFonts w:hint="eastAsia" w:ascii="宋体" w:hAnsi="宋体" w:eastAsia="宋体" w:cs="宋体"/>
          <w:color w:val="auto"/>
          <w:sz w:val="24"/>
          <w:szCs w:val="24"/>
          <w:lang w:val="en-US" w:eastAsia="zh-CN"/>
        </w:rPr>
        <w:t>，验收合格后联合签署项目</w:t>
      </w:r>
      <w:r>
        <w:rPr>
          <w:rFonts w:hint="eastAsia" w:ascii="宋体" w:hAnsi="宋体" w:eastAsia="宋体" w:cs="宋体"/>
          <w:color w:val="auto"/>
          <w:sz w:val="24"/>
          <w:szCs w:val="24"/>
          <w:lang w:eastAsia="zh-CN"/>
        </w:rPr>
        <w:t>上线验收</w:t>
      </w:r>
      <w:r>
        <w:rPr>
          <w:rFonts w:hint="eastAsia" w:ascii="宋体" w:hAnsi="宋体" w:eastAsia="宋体" w:cs="宋体"/>
          <w:color w:val="auto"/>
          <w:sz w:val="24"/>
          <w:szCs w:val="24"/>
          <w:lang w:val="en-US" w:eastAsia="zh-CN"/>
        </w:rPr>
        <w:t>报告。</w:t>
      </w:r>
    </w:p>
    <w:p>
      <w:pPr>
        <w:spacing w:beforeLines="0" w:afterLines="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2、试运行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lang w:eastAsia="zh-CN"/>
        </w:rPr>
        <w:t>上线验收</w:t>
      </w:r>
      <w:r>
        <w:rPr>
          <w:rFonts w:hint="eastAsia" w:ascii="宋体" w:hAnsi="宋体" w:eastAsia="宋体" w:cs="宋体"/>
          <w:color w:val="auto"/>
          <w:sz w:val="24"/>
          <w:szCs w:val="24"/>
        </w:rPr>
        <w:t>合格后，系统进入试运行，试运行时间为3个月以上。</w:t>
      </w:r>
    </w:p>
    <w:p>
      <w:pPr>
        <w:spacing w:beforeLines="0" w:afterLines="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3、项目</w:t>
      </w:r>
      <w:r>
        <w:rPr>
          <w:rFonts w:hint="eastAsia" w:ascii="宋体" w:hAnsi="宋体" w:eastAsia="宋体" w:cs="宋体"/>
          <w:color w:val="auto"/>
          <w:sz w:val="24"/>
          <w:szCs w:val="24"/>
          <w:lang w:eastAsia="zh-CN"/>
        </w:rPr>
        <w:t>交付验收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系统通过试运行后，中标方提出</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lang w:eastAsia="zh-CN"/>
        </w:rPr>
        <w:t>交付验收</w:t>
      </w:r>
      <w:r>
        <w:rPr>
          <w:rFonts w:hint="eastAsia" w:ascii="宋体" w:hAnsi="宋体" w:eastAsia="宋体" w:cs="宋体"/>
          <w:color w:val="auto"/>
          <w:sz w:val="24"/>
          <w:szCs w:val="24"/>
        </w:rPr>
        <w:t>申请，由采购方协调项目主管单位组织项目</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lang w:eastAsia="zh-CN"/>
        </w:rPr>
        <w:t>交付验收</w:t>
      </w:r>
      <w:r>
        <w:rPr>
          <w:rFonts w:hint="eastAsia" w:ascii="宋体" w:hAnsi="宋体" w:eastAsia="宋体" w:cs="宋体"/>
          <w:color w:val="auto"/>
          <w:sz w:val="24"/>
          <w:szCs w:val="24"/>
        </w:rPr>
        <w:t>。系统</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lang w:eastAsia="zh-CN"/>
        </w:rPr>
        <w:t>交付验收</w:t>
      </w:r>
      <w:r>
        <w:rPr>
          <w:rFonts w:hint="eastAsia" w:ascii="宋体" w:hAnsi="宋体" w:eastAsia="宋体" w:cs="宋体"/>
          <w:color w:val="auto"/>
          <w:sz w:val="24"/>
          <w:szCs w:val="24"/>
        </w:rPr>
        <w:t>通过，进入正式运行阶段。</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lang w:eastAsia="zh-CN"/>
        </w:rPr>
        <w:t>交付验收</w:t>
      </w:r>
      <w:r>
        <w:rPr>
          <w:rFonts w:hint="eastAsia" w:ascii="宋体" w:hAnsi="宋体" w:eastAsia="宋体" w:cs="宋体"/>
          <w:color w:val="auto"/>
          <w:sz w:val="24"/>
          <w:szCs w:val="24"/>
        </w:rPr>
        <w:t>时，需提供包含但不仅限于如下翔实的资料：</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（1）概要设计说明书，包括网络拓扑图、系统框架图等；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（2）详细设计说明书，包括系统原理图、数据流程图等；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（3）接口设计说明书，包括使用方法和案例等；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（4）数据库设计说明书；</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（5）软件安装包</w:t>
      </w:r>
      <w:r>
        <w:rPr>
          <w:rFonts w:hint="eastAsia" w:ascii="宋体" w:hAnsi="宋体" w:eastAsia="宋体" w:cs="宋体"/>
          <w:color w:val="auto"/>
          <w:sz w:val="24"/>
          <w:szCs w:val="24"/>
          <w:lang w:eastAsia="zh-CN"/>
        </w:rPr>
        <w:t>、软件源代码</w:t>
      </w:r>
      <w:r>
        <w:rPr>
          <w:rFonts w:hint="eastAsia" w:ascii="宋体" w:hAnsi="宋体" w:eastAsia="宋体" w:cs="宋体"/>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软件检测报告、三级等保测评报告和备案证书（配合招标方完成）</w:t>
      </w:r>
      <w:r>
        <w:rPr>
          <w:rFonts w:hint="eastAsia" w:ascii="宋体" w:hAnsi="宋体" w:eastAsia="宋体" w:cs="宋体"/>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（7）系统试运行报告，包括试运行记录和故障处理记录；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（8）项目总结报告；</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（9）用户使用手册；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（10）用户使用报告。</w:t>
      </w:r>
    </w:p>
    <w:p>
      <w:pPr>
        <w:spacing w:beforeLines="0" w:afterLines="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4、项目运维</w:t>
      </w:r>
      <w:r>
        <w:rPr>
          <w:rFonts w:hint="eastAsia" w:ascii="宋体" w:hAnsi="宋体" w:cs="宋体"/>
          <w:color w:val="FF0000"/>
          <w:sz w:val="24"/>
          <w:szCs w:val="24"/>
          <w:lang w:val="en-US" w:eastAsia="zh-CN"/>
        </w:rPr>
        <w:t>考核</w:t>
      </w:r>
    </w:p>
    <w:p>
      <w:pPr>
        <w:pStyle w:val="10"/>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项目进入正式运行阶段，驻场运维人员需参加</w:t>
      </w:r>
      <w:r>
        <w:rPr>
          <w:rFonts w:hint="eastAsia" w:ascii="宋体" w:hAnsi="宋体" w:eastAsia="宋体" w:cs="宋体"/>
          <w:color w:val="auto"/>
          <w:sz w:val="24"/>
          <w:szCs w:val="24"/>
        </w:rPr>
        <w:t>采购方</w:t>
      </w:r>
      <w:r>
        <w:rPr>
          <w:rFonts w:hint="eastAsia" w:ascii="宋体" w:hAnsi="宋体" w:eastAsia="宋体" w:cs="宋体"/>
          <w:color w:val="auto"/>
          <w:sz w:val="24"/>
          <w:szCs w:val="24"/>
          <w:lang w:eastAsia="zh-CN"/>
        </w:rPr>
        <w:t>的日常考勤，做好值班记录。</w:t>
      </w:r>
      <w:r>
        <w:rPr>
          <w:rFonts w:hint="eastAsia" w:ascii="宋体" w:hAnsi="宋体" w:cs="宋体"/>
          <w:color w:val="auto"/>
          <w:sz w:val="24"/>
          <w:szCs w:val="24"/>
          <w:highlight w:val="none"/>
          <w:lang w:val="en-US" w:eastAsia="zh-CN"/>
        </w:rPr>
        <w:t>维</w:t>
      </w:r>
      <w:r>
        <w:rPr>
          <w:rFonts w:hint="eastAsia" w:ascii="宋体" w:hAnsi="宋体" w:eastAsia="宋体" w:cs="宋体"/>
          <w:color w:val="auto"/>
          <w:sz w:val="24"/>
          <w:szCs w:val="24"/>
          <w:highlight w:val="none"/>
          <w:lang w:eastAsia="zh-CN"/>
        </w:rPr>
        <w:t>保期</w:t>
      </w:r>
      <w:r>
        <w:rPr>
          <w:rFonts w:hint="eastAsia" w:ascii="宋体" w:hAnsi="宋体" w:cs="宋体"/>
          <w:color w:val="auto"/>
          <w:sz w:val="24"/>
          <w:szCs w:val="24"/>
          <w:highlight w:val="none"/>
          <w:lang w:val="en-US" w:eastAsia="zh-CN"/>
        </w:rPr>
        <w:t>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rPr>
        <w:t>由采购方</w:t>
      </w:r>
      <w:r>
        <w:rPr>
          <w:rFonts w:hint="eastAsia" w:ascii="宋体" w:hAnsi="宋体" w:cs="宋体"/>
          <w:color w:val="FF0000"/>
          <w:sz w:val="24"/>
          <w:szCs w:val="24"/>
          <w:lang w:eastAsia="zh-CN"/>
        </w:rPr>
        <w:t>每年</w:t>
      </w:r>
      <w:r>
        <w:rPr>
          <w:rFonts w:hint="eastAsia" w:ascii="宋体" w:hAnsi="宋体" w:eastAsia="宋体" w:cs="宋体"/>
          <w:color w:val="FF0000"/>
          <w:sz w:val="24"/>
          <w:szCs w:val="24"/>
          <w:lang w:val="en-US" w:eastAsia="zh-CN"/>
        </w:rPr>
        <w:t>组织</w:t>
      </w:r>
      <w:r>
        <w:rPr>
          <w:rFonts w:hint="eastAsia" w:ascii="宋体" w:hAnsi="宋体" w:eastAsia="宋体" w:cs="宋体"/>
          <w:color w:val="auto"/>
          <w:sz w:val="24"/>
          <w:szCs w:val="24"/>
          <w:lang w:val="en-US" w:eastAsia="zh-CN"/>
        </w:rPr>
        <w:t>相关单位进行</w:t>
      </w:r>
      <w:r>
        <w:rPr>
          <w:rFonts w:hint="eastAsia" w:ascii="宋体" w:hAnsi="宋体" w:cs="宋体"/>
          <w:color w:val="FF0000"/>
          <w:sz w:val="24"/>
          <w:szCs w:val="24"/>
          <w:lang w:val="en-US" w:eastAsia="zh-CN"/>
        </w:rPr>
        <w:t>一次</w:t>
      </w:r>
      <w:r>
        <w:rPr>
          <w:rFonts w:hint="eastAsia" w:ascii="宋体" w:hAnsi="宋体" w:eastAsia="宋体" w:cs="宋体"/>
          <w:color w:val="auto"/>
          <w:sz w:val="24"/>
          <w:szCs w:val="24"/>
          <w:lang w:val="en-US" w:eastAsia="zh-CN"/>
        </w:rPr>
        <w:t>项目运维</w:t>
      </w:r>
      <w:r>
        <w:rPr>
          <w:rFonts w:hint="eastAsia" w:ascii="宋体" w:hAnsi="宋体" w:cs="宋体"/>
          <w:color w:val="FF0000"/>
          <w:sz w:val="24"/>
          <w:szCs w:val="24"/>
          <w:lang w:eastAsia="zh-CN"/>
        </w:rPr>
        <w:t>考核</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项目运维</w:t>
      </w:r>
      <w:r>
        <w:rPr>
          <w:rFonts w:hint="eastAsia" w:ascii="宋体" w:hAnsi="宋体" w:cs="宋体"/>
          <w:color w:val="FF0000"/>
          <w:sz w:val="24"/>
          <w:szCs w:val="24"/>
          <w:lang w:eastAsia="zh-CN"/>
        </w:rPr>
        <w:t>考核</w:t>
      </w:r>
      <w:r>
        <w:rPr>
          <w:rFonts w:hint="eastAsia" w:ascii="宋体" w:hAnsi="宋体" w:eastAsia="宋体" w:cs="宋体"/>
          <w:color w:val="auto"/>
          <w:sz w:val="24"/>
          <w:szCs w:val="24"/>
          <w:lang w:eastAsia="zh-CN"/>
        </w:rPr>
        <w:t>时，</w:t>
      </w:r>
      <w:r>
        <w:rPr>
          <w:rFonts w:hint="eastAsia" w:ascii="宋体" w:hAnsi="宋体" w:cs="宋体"/>
          <w:color w:val="FF0000"/>
          <w:sz w:val="24"/>
          <w:szCs w:val="24"/>
          <w:lang w:eastAsia="zh-CN"/>
        </w:rPr>
        <w:t>中标方</w:t>
      </w:r>
      <w:r>
        <w:rPr>
          <w:rFonts w:hint="eastAsia" w:ascii="宋体" w:hAnsi="宋体" w:eastAsia="宋体" w:cs="宋体"/>
          <w:color w:val="auto"/>
          <w:sz w:val="24"/>
          <w:szCs w:val="24"/>
        </w:rPr>
        <w:t>需提供包含但不仅</w:t>
      </w:r>
      <w:r>
        <w:rPr>
          <w:rFonts w:hint="eastAsia" w:ascii="宋体" w:hAnsi="宋体" w:eastAsia="宋体" w:cs="宋体"/>
          <w:color w:val="auto"/>
          <w:sz w:val="24"/>
          <w:szCs w:val="24"/>
          <w:lang w:eastAsia="zh-CN"/>
        </w:rPr>
        <w:t>限于考勤记录、值班记录（包括</w:t>
      </w:r>
      <w:r>
        <w:rPr>
          <w:rFonts w:hint="eastAsia" w:ascii="宋体" w:hAnsi="宋体" w:eastAsia="宋体" w:cs="宋体"/>
          <w:color w:val="auto"/>
          <w:sz w:val="24"/>
          <w:szCs w:val="24"/>
          <w:lang w:val="en-US" w:eastAsia="zh-CN"/>
        </w:rPr>
        <w:t>缺陷原因、维护内容、完成维护及恢复正常的时间和日期、系统升级情况等</w:t>
      </w:r>
      <w:r>
        <w:rPr>
          <w:rFonts w:hint="eastAsia" w:ascii="宋体" w:hAnsi="宋体" w:eastAsia="宋体" w:cs="宋体"/>
          <w:color w:val="auto"/>
          <w:sz w:val="24"/>
          <w:szCs w:val="24"/>
          <w:lang w:eastAsia="zh-CN"/>
        </w:rPr>
        <w:t>）等。</w:t>
      </w:r>
    </w:p>
    <w:p>
      <w:pPr>
        <w:numPr>
          <w:ilvl w:val="0"/>
          <w:numId w:val="0"/>
        </w:numPr>
        <w:spacing w:line="360" w:lineRule="auto"/>
        <w:ind w:leftChars="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（四）风险及处理要求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auto"/>
          <w:sz w:val="24"/>
          <w:szCs w:val="24"/>
          <w:lang w:eastAsia="zh-CN"/>
        </w:rPr>
        <w:t>由于本项目从立项、招标、实施到交付，时间跨度长，有可能存在业务需求调整而核减部分模块，或者在规定允许范围内增加内容。如果出现上述情况，招标方将提请市大数据局变更内容。</w:t>
      </w:r>
    </w:p>
    <w:p>
      <w:pPr>
        <w:numPr>
          <w:ilvl w:val="0"/>
          <w:numId w:val="0"/>
        </w:numPr>
        <w:spacing w:line="360" w:lineRule="auto"/>
        <w:ind w:leftChars="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（五）项目售后服务标准</w:t>
      </w:r>
    </w:p>
    <w:tbl>
      <w:tblPr>
        <w:tblStyle w:val="22"/>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896"/>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4" w:type="dxa"/>
            <w:noWrap w:val="0"/>
            <w:vAlign w:val="center"/>
          </w:tcPr>
          <w:p>
            <w:pPr>
              <w:spacing w:beforeLines="0" w:afterLines="0"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序号</w:t>
            </w:r>
          </w:p>
        </w:tc>
        <w:tc>
          <w:tcPr>
            <w:tcW w:w="1896" w:type="dxa"/>
            <w:noWrap w:val="0"/>
            <w:vAlign w:val="center"/>
          </w:tcPr>
          <w:p>
            <w:pPr>
              <w:spacing w:beforeLines="0" w:afterLines="0"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 xml:space="preserve">服务内容                                                                                                                                                                                                                                                                                                                       </w:t>
            </w:r>
          </w:p>
        </w:tc>
        <w:tc>
          <w:tcPr>
            <w:tcW w:w="5894" w:type="dxa"/>
            <w:noWrap w:val="0"/>
            <w:vAlign w:val="center"/>
          </w:tcPr>
          <w:p>
            <w:pPr>
              <w:spacing w:beforeLines="0" w:afterLines="0"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noWrap w:val="0"/>
            <w:vAlign w:val="center"/>
          </w:tcPr>
          <w:p>
            <w:pPr>
              <w:spacing w:beforeLines="0" w:afterLines="0"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896" w:type="dxa"/>
            <w:noWrap w:val="0"/>
            <w:vAlign w:val="center"/>
          </w:tcPr>
          <w:p>
            <w:pPr>
              <w:spacing w:beforeLines="0" w:afterLines="0"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分包承诺</w:t>
            </w:r>
          </w:p>
        </w:tc>
        <w:tc>
          <w:tcPr>
            <w:tcW w:w="5894" w:type="dxa"/>
            <w:noWrap w:val="0"/>
            <w:vAlign w:val="center"/>
          </w:tcPr>
          <w:p>
            <w:pPr>
              <w:spacing w:beforeLines="0" w:afterLines="0" w:line="360" w:lineRule="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中标后签订合同前，提供各模块分包商售后服务承诺函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noWrap w:val="0"/>
            <w:vAlign w:val="center"/>
          </w:tcPr>
          <w:p>
            <w:pPr>
              <w:spacing w:beforeLines="0" w:afterLines="0"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896" w:type="dxa"/>
            <w:noWrap w:val="0"/>
            <w:vAlign w:val="center"/>
          </w:tcPr>
          <w:p>
            <w:pPr>
              <w:spacing w:beforeLines="0" w:afterLines="0"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开发人员</w:t>
            </w:r>
          </w:p>
        </w:tc>
        <w:tc>
          <w:tcPr>
            <w:tcW w:w="5894" w:type="dxa"/>
            <w:noWrap w:val="0"/>
            <w:vAlign w:val="center"/>
          </w:tcPr>
          <w:p>
            <w:pPr>
              <w:spacing w:beforeLines="0" w:afterLines="0" w:line="240" w:lineRule="auto"/>
              <w:jc w:val="both"/>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驻场时间：开发期间驻场服务，直至模块通过终验为止。</w:t>
            </w:r>
          </w:p>
          <w:p>
            <w:pPr>
              <w:spacing w:beforeLines="0" w:afterLines="0" w:line="240" w:lineRule="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驻场人数：在现场条件具备时，</w:t>
            </w:r>
            <w:r>
              <w:rPr>
                <w:rFonts w:hint="eastAsia" w:ascii="宋体" w:hAnsi="宋体" w:eastAsia="宋体" w:cs="宋体"/>
                <w:b/>
                <w:bCs/>
                <w:color w:val="auto"/>
                <w:sz w:val="21"/>
                <w:szCs w:val="21"/>
                <w:u w:val="single"/>
                <w:lang w:val="en-US" w:eastAsia="zh-CN"/>
              </w:rPr>
              <w:t>至少16人</w:t>
            </w:r>
            <w:r>
              <w:rPr>
                <w:rFonts w:hint="eastAsia" w:ascii="宋体" w:hAnsi="宋体" w:eastAsia="宋体" w:cs="宋体"/>
                <w:b/>
                <w:bCs/>
                <w:color w:val="auto"/>
                <w:sz w:val="21"/>
                <w:szCs w:val="21"/>
                <w:lang w:val="en-US" w:eastAsia="zh-CN"/>
              </w:rPr>
              <w:t>。</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各模块驻场开发人数分配如下：</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（1）应用融合管理模块1人；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（2）数智实战模块2人；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（3）数智决策模块2人；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（4）事故可视化模块1人；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（5）高地一体化模块1人；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（6）信号控制提升模块1人；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（7）交通态势分析模块1人；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（8）驾驶人学习防范模块1人；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（9）运维管理模块1人；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（10）移动应用模块2人；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（11）赋能中心2人；</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（12）数据中心1人。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noWrap w:val="0"/>
            <w:vAlign w:val="center"/>
          </w:tcPr>
          <w:p>
            <w:pPr>
              <w:spacing w:beforeLines="0" w:afterLines="0"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896" w:type="dxa"/>
            <w:noWrap w:val="0"/>
            <w:vAlign w:val="center"/>
          </w:tcPr>
          <w:p>
            <w:pPr>
              <w:spacing w:beforeLines="0" w:afterLines="0" w:line="360" w:lineRule="auto"/>
              <w:jc w:val="center"/>
              <w:rPr>
                <w:rFonts w:hint="eastAsia" w:ascii="宋体" w:hAnsi="宋体" w:eastAsia="宋体" w:cs="宋体"/>
                <w:color w:val="auto"/>
                <w:sz w:val="21"/>
                <w:szCs w:val="21"/>
                <w:lang w:val="en-US" w:eastAsia="zh-CN"/>
              </w:rPr>
            </w:pPr>
            <w:r>
              <w:rPr>
                <w:rFonts w:hint="eastAsia" w:ascii="宋体" w:hAnsi="宋体"/>
                <w:b/>
                <w:color w:val="auto"/>
                <w:sz w:val="21"/>
                <w:szCs w:val="21"/>
              </w:rPr>
              <w:t>▲</w:t>
            </w:r>
            <w:r>
              <w:rPr>
                <w:rFonts w:hint="eastAsia" w:ascii="宋体" w:hAnsi="宋体" w:eastAsia="宋体" w:cs="宋体"/>
                <w:color w:val="auto"/>
                <w:sz w:val="21"/>
                <w:szCs w:val="21"/>
                <w:lang w:val="en-US" w:eastAsia="zh-CN"/>
              </w:rPr>
              <w:t>维保人员</w:t>
            </w:r>
          </w:p>
        </w:tc>
        <w:tc>
          <w:tcPr>
            <w:tcW w:w="5894" w:type="dxa"/>
            <w:noWrap w:val="0"/>
            <w:vAlign w:val="center"/>
          </w:tcPr>
          <w:p>
            <w:pPr>
              <w:spacing w:beforeLines="0" w:afterLines="0" w:line="240" w:lineRule="auto"/>
              <w:jc w:val="both"/>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驻场时间：</w:t>
            </w:r>
            <w:r>
              <w:rPr>
                <w:rFonts w:hint="eastAsia" w:ascii="宋体" w:hAnsi="宋体" w:cs="宋体"/>
                <w:b/>
                <w:bCs/>
                <w:color w:val="auto"/>
                <w:sz w:val="21"/>
                <w:szCs w:val="21"/>
                <w:lang w:val="en-US" w:eastAsia="zh-CN"/>
              </w:rPr>
              <w:t>维</w:t>
            </w:r>
            <w:r>
              <w:rPr>
                <w:rFonts w:hint="eastAsia" w:ascii="宋体" w:hAnsi="宋体" w:eastAsia="宋体" w:cs="宋体"/>
                <w:b/>
                <w:bCs/>
                <w:color w:val="auto"/>
                <w:sz w:val="21"/>
                <w:szCs w:val="21"/>
                <w:lang w:val="en-US" w:eastAsia="zh-CN"/>
              </w:rPr>
              <w:t>保期内驻场服务，参与日常考勤</w:t>
            </w:r>
            <w:r>
              <w:rPr>
                <w:rFonts w:hint="eastAsia" w:ascii="宋体" w:hAnsi="宋体" w:cs="宋体"/>
                <w:b/>
                <w:bCs/>
                <w:color w:val="auto"/>
                <w:sz w:val="21"/>
                <w:szCs w:val="21"/>
                <w:lang w:val="en-US" w:eastAsia="zh-CN"/>
              </w:rPr>
              <w:t>、接受工作安排</w:t>
            </w:r>
            <w:r>
              <w:rPr>
                <w:rFonts w:hint="eastAsia" w:ascii="宋体" w:hAnsi="宋体" w:eastAsia="宋体" w:cs="宋体"/>
                <w:b/>
                <w:bCs/>
                <w:color w:val="auto"/>
                <w:sz w:val="21"/>
                <w:szCs w:val="21"/>
                <w:lang w:val="en-US" w:eastAsia="zh-CN"/>
              </w:rPr>
              <w:t>。</w:t>
            </w:r>
          </w:p>
          <w:p>
            <w:pPr>
              <w:spacing w:beforeLines="0" w:afterLines="0" w:line="240" w:lineRule="auto"/>
              <w:jc w:val="both"/>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驻场人数：</w:t>
            </w:r>
            <w:r>
              <w:rPr>
                <w:rFonts w:hint="eastAsia" w:ascii="宋体" w:hAnsi="宋体" w:eastAsia="宋体" w:cs="宋体"/>
                <w:b/>
                <w:bCs/>
                <w:color w:val="auto"/>
                <w:sz w:val="21"/>
                <w:szCs w:val="21"/>
                <w:u w:val="single"/>
                <w:lang w:val="en-US" w:eastAsia="zh-CN"/>
              </w:rPr>
              <w:t>至少10人</w:t>
            </w:r>
            <w:r>
              <w:rPr>
                <w:rFonts w:hint="eastAsia" w:ascii="宋体" w:hAnsi="宋体" w:eastAsia="宋体" w:cs="宋体"/>
                <w:b/>
                <w:bCs/>
                <w:color w:val="auto"/>
                <w:sz w:val="21"/>
                <w:szCs w:val="21"/>
                <w:lang w:val="en-US" w:eastAsia="zh-CN"/>
              </w:rPr>
              <w:t>，需3年以上相关工作经验。</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各模块驻场维保人数分配如下：</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（1）数智实战模块2人；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（2）数智决策模块2人；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（3）数据中心1人；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（4）事故可视化模块2人；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（5）信号控制提升模块1人；</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（6）运维管理模块1人；</w:t>
            </w:r>
          </w:p>
          <w:p>
            <w:pPr>
              <w:spacing w:beforeLines="0" w:afterLines="0" w:line="240" w:lineRule="auto"/>
              <w:jc w:val="both"/>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val="en-US" w:eastAsia="zh-CN"/>
              </w:rPr>
              <w:t>（7）移动应用模块1人。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noWrap w:val="0"/>
            <w:vAlign w:val="center"/>
          </w:tcPr>
          <w:p>
            <w:pPr>
              <w:spacing w:beforeLines="0" w:afterLines="0"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896" w:type="dxa"/>
            <w:noWrap w:val="0"/>
            <w:vAlign w:val="center"/>
          </w:tcPr>
          <w:p>
            <w:pPr>
              <w:spacing w:beforeLines="0" w:afterLines="0"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售后服务</w:t>
            </w:r>
          </w:p>
        </w:tc>
        <w:tc>
          <w:tcPr>
            <w:tcW w:w="5894" w:type="dxa"/>
            <w:noWrap w:val="0"/>
            <w:vAlign w:val="center"/>
          </w:tcPr>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需做出无推诿承诺，提供7×24小时的电话响应售后服务；提供每年365天的专业技术支持服务，随时解答解决采购人问题；一般故障2小时内响应，6小时内到达现场；重大故障1小时内响应，2小时内到现场服务，4个小时内解决问题；紧急情况下，即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734" w:type="dxa"/>
            <w:noWrap w:val="0"/>
            <w:vAlign w:val="center"/>
          </w:tcPr>
          <w:p>
            <w:pPr>
              <w:spacing w:beforeLines="0" w:afterLines="0"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896" w:type="dxa"/>
            <w:noWrap w:val="0"/>
            <w:vAlign w:val="center"/>
          </w:tcPr>
          <w:p>
            <w:pPr>
              <w:spacing w:beforeLines="0" w:afterLines="0"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应用培训</w:t>
            </w:r>
          </w:p>
        </w:tc>
        <w:tc>
          <w:tcPr>
            <w:tcW w:w="5894" w:type="dxa"/>
            <w:noWrap w:val="0"/>
            <w:vAlign w:val="center"/>
          </w:tcPr>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现场培训人数不限，以受训人员能独立开展工作为准，以现场培训为蓝本制作线上培训方案，培训课程和内容以能满足业务需求为准，培训费用应包含在投标价中。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noWrap w:val="0"/>
            <w:vAlign w:val="center"/>
          </w:tcPr>
          <w:p>
            <w:pPr>
              <w:spacing w:beforeLines="0" w:afterLines="0"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896" w:type="dxa"/>
            <w:noWrap w:val="0"/>
            <w:vAlign w:val="center"/>
          </w:tcPr>
          <w:p>
            <w:pPr>
              <w:spacing w:beforeLines="0" w:afterLines="0"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其他要求</w:t>
            </w:r>
          </w:p>
        </w:tc>
        <w:tc>
          <w:tcPr>
            <w:tcW w:w="5894" w:type="dxa"/>
            <w:noWrap w:val="0"/>
            <w:vAlign w:val="center"/>
          </w:tcPr>
          <w:p>
            <w:pPr>
              <w:spacing w:beforeLines="0" w:afterLines="0" w:line="240" w:lineRule="auto"/>
              <w:jc w:val="both"/>
              <w:rPr>
                <w:rFonts w:hint="eastAsia" w:ascii="宋体" w:hAnsi="宋体" w:eastAsia="宋体" w:cs="宋体"/>
                <w:color w:val="auto"/>
                <w:sz w:val="21"/>
                <w:szCs w:val="21"/>
                <w:lang w:val="en-US" w:eastAsia="zh-CN"/>
              </w:rPr>
            </w:pPr>
            <w:bookmarkStart w:id="49" w:name="_Hlk98160716"/>
            <w:r>
              <w:rPr>
                <w:rFonts w:hint="eastAsia" w:ascii="宋体" w:hAnsi="宋体" w:eastAsia="宋体" w:cs="宋体"/>
                <w:color w:val="auto"/>
                <w:sz w:val="21"/>
                <w:szCs w:val="21"/>
                <w:lang w:val="en-US" w:eastAsia="zh-CN"/>
              </w:rPr>
              <w:t>本标所有应用软件模块需通过功能、性能检测，检测费用由采购方另行招标。</w:t>
            </w:r>
            <w:bookmarkStart w:id="50" w:name="_Hlk98160764"/>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本标所有应用软件模块需通过三级等保测评，测评费用由采购方另行招标</w:t>
            </w:r>
            <w:bookmarkEnd w:id="50"/>
            <w:r>
              <w:rPr>
                <w:rFonts w:hint="eastAsia" w:ascii="宋体" w:hAnsi="宋体" w:eastAsia="宋体" w:cs="宋体"/>
                <w:color w:val="auto"/>
                <w:sz w:val="21"/>
                <w:szCs w:val="21"/>
                <w:lang w:val="en-US" w:eastAsia="zh-CN"/>
              </w:rPr>
              <w:t>。</w:t>
            </w:r>
            <w:bookmarkEnd w:id="49"/>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中标方需承诺提供可读性强的源代码，需承诺按用户要求及时对接第三方系统。</w:t>
            </w:r>
          </w:p>
        </w:tc>
      </w:tr>
    </w:tbl>
    <w:p>
      <w:r>
        <w:br w:type="page"/>
      </w:r>
    </w:p>
    <w:p>
      <w:pPr>
        <w:sectPr>
          <w:type w:val="continuous"/>
          <w:pgSz w:w="11906" w:h="16838"/>
          <w:pgMar w:top="1440" w:right="1797" w:bottom="1440" w:left="1797" w:header="851" w:footer="992" w:gutter="0"/>
          <w:cols w:space="425" w:num="1"/>
          <w:docGrid w:type="linesAndChars" w:linePitch="312" w:charSpace="0"/>
        </w:sectPr>
      </w:pP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w:t>
      </w:r>
      <w:r>
        <w:rPr>
          <w:rFonts w:hint="eastAsia" w:asciiTheme="minorEastAsia" w:hAnsiTheme="minorEastAsia" w:eastAsiaTheme="minorEastAsia"/>
          <w:b/>
          <w:sz w:val="24"/>
        </w:rPr>
        <w:t>商务需求</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1213"/>
        <w:gridCol w:w="7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2" w:type="pct"/>
            <w:vAlign w:val="center"/>
          </w:tcPr>
          <w:p>
            <w:pPr>
              <w:spacing w:beforeLines="0" w:afterLines="0" w:line="360" w:lineRule="auto"/>
              <w:jc w:val="center"/>
              <w:rPr>
                <w:rFonts w:hint="eastAsia" w:ascii="宋体" w:hAnsi="宋体" w:cs="Times New Roman"/>
                <w:b/>
                <w:bCs/>
                <w:color w:val="auto"/>
                <w:sz w:val="24"/>
                <w:szCs w:val="24"/>
                <w:lang w:val="en-US" w:eastAsia="zh-CN"/>
              </w:rPr>
            </w:pPr>
            <w:r>
              <w:rPr>
                <w:rFonts w:hint="eastAsia" w:ascii="宋体" w:hAnsi="宋体" w:cs="Times New Roman"/>
                <w:b/>
                <w:bCs/>
                <w:color w:val="auto"/>
                <w:sz w:val="24"/>
                <w:szCs w:val="24"/>
                <w:lang w:val="en-US" w:eastAsia="zh-CN"/>
              </w:rPr>
              <w:t>序号</w:t>
            </w:r>
          </w:p>
        </w:tc>
        <w:tc>
          <w:tcPr>
            <w:tcW w:w="655" w:type="pct"/>
            <w:vAlign w:val="center"/>
          </w:tcPr>
          <w:p>
            <w:pPr>
              <w:spacing w:beforeLines="0" w:afterLines="0" w:line="360" w:lineRule="auto"/>
              <w:jc w:val="center"/>
              <w:rPr>
                <w:rFonts w:hint="eastAsia" w:ascii="宋体" w:hAnsi="宋体" w:cs="Times New Roman"/>
                <w:b/>
                <w:bCs/>
                <w:color w:val="auto"/>
                <w:sz w:val="24"/>
                <w:szCs w:val="24"/>
                <w:lang w:val="en-US" w:eastAsia="zh-CN"/>
              </w:rPr>
            </w:pPr>
            <w:r>
              <w:rPr>
                <w:rFonts w:hint="eastAsia" w:ascii="宋体" w:hAnsi="宋体" w:cs="Times New Roman"/>
                <w:b/>
                <w:bCs/>
                <w:color w:val="auto"/>
                <w:sz w:val="24"/>
                <w:szCs w:val="24"/>
                <w:lang w:val="en-US" w:eastAsia="zh-CN"/>
              </w:rPr>
              <w:t>项  目</w:t>
            </w:r>
          </w:p>
        </w:tc>
        <w:tc>
          <w:tcPr>
            <w:tcW w:w="3921" w:type="pct"/>
            <w:vAlign w:val="center"/>
          </w:tcPr>
          <w:p>
            <w:pPr>
              <w:spacing w:beforeLines="0" w:afterLines="0" w:line="360" w:lineRule="auto"/>
              <w:jc w:val="center"/>
              <w:rPr>
                <w:rFonts w:hint="eastAsia" w:ascii="宋体" w:hAnsi="宋体" w:cs="Times New Roman"/>
                <w:b/>
                <w:bCs/>
                <w:color w:val="auto"/>
                <w:sz w:val="24"/>
                <w:szCs w:val="24"/>
                <w:lang w:val="en-US" w:eastAsia="zh-CN"/>
              </w:rPr>
            </w:pPr>
            <w:r>
              <w:rPr>
                <w:rFonts w:hint="eastAsia" w:ascii="宋体" w:hAnsi="宋体"/>
                <w:b/>
                <w:color w:val="FF0000"/>
                <w:sz w:val="21"/>
                <w:szCs w:val="21"/>
                <w:lang w:val="en-US" w:eastAsia="zh-CN"/>
              </w:rPr>
              <w:t xml:space="preserve">  </w:t>
            </w:r>
            <w:r>
              <w:rPr>
                <w:rFonts w:hint="eastAsia" w:ascii="宋体" w:hAnsi="宋体" w:cs="Times New Roman"/>
                <w:b/>
                <w:bCs/>
                <w:color w:val="auto"/>
                <w:sz w:val="24"/>
                <w:szCs w:val="24"/>
                <w:lang w:val="en-US" w:eastAsia="zh-CN"/>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Align w:val="center"/>
          </w:tcPr>
          <w:p>
            <w:pPr>
              <w:bidi w:val="0"/>
              <w:jc w:val="center"/>
              <w:rPr>
                <w:rFonts w:hint="eastAsia"/>
                <w:lang w:val="en-US" w:eastAsia="zh-CN"/>
              </w:rPr>
            </w:pPr>
            <w:r>
              <w:rPr>
                <w:rFonts w:hint="eastAsia"/>
                <w:lang w:val="en-US" w:eastAsia="zh-CN"/>
              </w:rPr>
              <w:t>1</w:t>
            </w:r>
          </w:p>
        </w:tc>
        <w:tc>
          <w:tcPr>
            <w:tcW w:w="655" w:type="pct"/>
            <w:vAlign w:val="center"/>
          </w:tcPr>
          <w:p>
            <w:pPr>
              <w:bidi w:val="0"/>
              <w:jc w:val="center"/>
              <w:rPr>
                <w:rFonts w:hint="eastAsia"/>
                <w:lang w:val="en-US" w:eastAsia="zh-CN"/>
              </w:rPr>
            </w:pPr>
            <w:r>
              <w:rPr>
                <w:rFonts w:hint="eastAsia"/>
                <w:lang w:val="en-US" w:eastAsia="zh-CN"/>
              </w:rPr>
              <w:t>合同签订</w:t>
            </w:r>
          </w:p>
        </w:tc>
        <w:tc>
          <w:tcPr>
            <w:tcW w:w="3921" w:type="pct"/>
            <w:vAlign w:val="center"/>
          </w:tcPr>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中标公示结束后</w:t>
            </w:r>
            <w:r>
              <w:rPr>
                <w:rFonts w:hint="eastAsia" w:ascii="宋体" w:hAnsi="宋体" w:eastAsia="宋体" w:cs="宋体"/>
                <w:color w:val="auto"/>
                <w:sz w:val="21"/>
                <w:szCs w:val="21"/>
                <w:u w:val="single"/>
                <w:lang w:val="en-US" w:eastAsia="zh-CN"/>
              </w:rPr>
              <w:t xml:space="preserve"> 30 </w:t>
            </w:r>
            <w:r>
              <w:rPr>
                <w:rFonts w:hint="eastAsia" w:ascii="宋体" w:hAnsi="宋体" w:eastAsia="宋体" w:cs="宋体"/>
                <w:color w:val="auto"/>
                <w:sz w:val="21"/>
                <w:szCs w:val="21"/>
                <w:lang w:val="en-US" w:eastAsia="zh-CN"/>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Align w:val="center"/>
          </w:tcPr>
          <w:p>
            <w:pPr>
              <w:bidi w:val="0"/>
              <w:jc w:val="center"/>
              <w:rPr>
                <w:rFonts w:hint="default"/>
                <w:lang w:val="en-US" w:eastAsia="zh-CN"/>
              </w:rPr>
            </w:pPr>
            <w:r>
              <w:rPr>
                <w:rFonts w:hint="eastAsia"/>
                <w:lang w:val="en-US" w:eastAsia="zh-CN"/>
              </w:rPr>
              <w:t>2</w:t>
            </w:r>
          </w:p>
        </w:tc>
        <w:tc>
          <w:tcPr>
            <w:tcW w:w="655" w:type="pct"/>
            <w:vAlign w:val="center"/>
          </w:tcPr>
          <w:p>
            <w:pPr>
              <w:bidi w:val="0"/>
              <w:jc w:val="center"/>
              <w:rPr>
                <w:rFonts w:hint="eastAsia"/>
                <w:lang w:val="en-US" w:eastAsia="zh-CN"/>
              </w:rPr>
            </w:pPr>
            <w:r>
              <w:rPr>
                <w:rFonts w:hint="eastAsia"/>
                <w:lang w:val="en-US" w:eastAsia="zh-CN"/>
              </w:rPr>
              <w:t>合同分包</w:t>
            </w:r>
          </w:p>
        </w:tc>
        <w:tc>
          <w:tcPr>
            <w:tcW w:w="3921" w:type="pct"/>
            <w:vAlign w:val="center"/>
          </w:tcPr>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需征得招标方同意的前提下分包，详见下表“</w:t>
            </w:r>
            <w:r>
              <w:rPr>
                <w:rFonts w:hint="eastAsia" w:ascii="宋体" w:hAnsi="宋体" w:eastAsia="宋体" w:cs="宋体"/>
                <w:color w:val="auto"/>
                <w:sz w:val="21"/>
                <w:szCs w:val="21"/>
                <w:u w:val="single"/>
                <w:lang w:val="en-US" w:eastAsia="zh-CN"/>
              </w:rPr>
              <w:t>附1 各模块预算清单</w:t>
            </w:r>
            <w:r>
              <w:rPr>
                <w:rFonts w:hint="eastAsia" w:ascii="宋体" w:hAnsi="宋体" w:eastAsia="宋体"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bidi w:val="0"/>
              <w:jc w:val="center"/>
              <w:rPr>
                <w:rFonts w:hint="eastAsia"/>
                <w:lang w:val="en-US" w:eastAsia="zh-CN"/>
              </w:rPr>
            </w:pPr>
            <w:r>
              <w:rPr>
                <w:rFonts w:hint="eastAsia"/>
                <w:lang w:val="en-US" w:eastAsia="zh-CN"/>
              </w:rPr>
              <w:t>3</w:t>
            </w:r>
          </w:p>
        </w:tc>
        <w:tc>
          <w:tcPr>
            <w:tcW w:w="655" w:type="pct"/>
            <w:vAlign w:val="center"/>
          </w:tcPr>
          <w:p>
            <w:pPr>
              <w:bidi w:val="0"/>
              <w:jc w:val="center"/>
              <w:rPr>
                <w:rFonts w:hint="eastAsia"/>
                <w:lang w:val="en-US" w:eastAsia="zh-CN"/>
              </w:rPr>
            </w:pPr>
            <w:r>
              <w:rPr>
                <w:rFonts w:hint="eastAsia"/>
                <w:lang w:val="en-US" w:eastAsia="zh-CN"/>
              </w:rPr>
              <w:t>项目工期</w:t>
            </w:r>
          </w:p>
        </w:tc>
        <w:tc>
          <w:tcPr>
            <w:tcW w:w="3921" w:type="pct"/>
            <w:vAlign w:val="center"/>
          </w:tcPr>
          <w:p>
            <w:pPr>
              <w:numPr>
                <w:ilvl w:val="0"/>
                <w:numId w:val="10"/>
              </w:num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投标人需承诺合同签订后</w:t>
            </w:r>
            <w:r>
              <w:rPr>
                <w:rFonts w:hint="eastAsia" w:ascii="宋体" w:hAnsi="宋体" w:eastAsia="宋体" w:cs="宋体"/>
                <w:color w:val="auto"/>
                <w:sz w:val="21"/>
                <w:szCs w:val="21"/>
                <w:u w:val="single"/>
                <w:lang w:val="en-US" w:eastAsia="zh-CN"/>
              </w:rPr>
              <w:t xml:space="preserve"> 270 </w:t>
            </w:r>
            <w:r>
              <w:rPr>
                <w:rFonts w:hint="eastAsia" w:ascii="宋体" w:hAnsi="宋体" w:eastAsia="宋体" w:cs="宋体"/>
                <w:color w:val="auto"/>
                <w:sz w:val="21"/>
                <w:szCs w:val="21"/>
                <w:lang w:val="en-US" w:eastAsia="zh-CN"/>
              </w:rPr>
              <w:t>天内完成本项目全部模块开发部署、集成上线，并通过项目上线验收，进入试运行（3个月以上）。</w:t>
            </w:r>
          </w:p>
          <w:p>
            <w:pPr>
              <w:numPr>
                <w:ilvl w:val="0"/>
                <w:numId w:val="10"/>
              </w:num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完成相应准备工作后，由项目建设单位向项目主管单位申请项目交付验收，交付期限不得超过2023年10月31日。详见下表“</w:t>
            </w:r>
            <w:r>
              <w:rPr>
                <w:rFonts w:hint="eastAsia" w:ascii="宋体" w:hAnsi="宋体" w:eastAsia="宋体" w:cs="宋体"/>
                <w:color w:val="auto"/>
                <w:sz w:val="21"/>
                <w:szCs w:val="21"/>
                <w:u w:val="single"/>
                <w:lang w:val="en-US" w:eastAsia="zh-CN"/>
              </w:rPr>
              <w:t>附2 各模块工期要求</w:t>
            </w:r>
            <w:r>
              <w:rPr>
                <w:rFonts w:hint="eastAsia" w:ascii="宋体" w:hAnsi="宋体" w:eastAsia="宋体" w:cs="宋体"/>
                <w:color w:val="auto"/>
                <w:sz w:val="21"/>
                <w:szCs w:val="21"/>
                <w:lang w:val="en-US" w:eastAsia="zh-CN"/>
              </w:rPr>
              <w:t>”。</w:t>
            </w:r>
          </w:p>
          <w:p>
            <w:pPr>
              <w:numPr>
                <w:ilvl w:val="0"/>
                <w:numId w:val="10"/>
              </w:num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维保期间，由采购方每年组织相关单位进行一次项目运维考核。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Align w:val="center"/>
          </w:tcPr>
          <w:p>
            <w:pPr>
              <w:bidi w:val="0"/>
              <w:jc w:val="center"/>
              <w:rPr>
                <w:rFonts w:hint="eastAsia"/>
                <w:lang w:val="en-US" w:eastAsia="zh-CN"/>
              </w:rPr>
            </w:pPr>
            <w:r>
              <w:rPr>
                <w:rFonts w:hint="eastAsia"/>
                <w:lang w:val="en-US" w:eastAsia="zh-CN"/>
              </w:rPr>
              <w:t>4</w:t>
            </w:r>
          </w:p>
        </w:tc>
        <w:tc>
          <w:tcPr>
            <w:tcW w:w="655" w:type="pct"/>
            <w:vAlign w:val="center"/>
          </w:tcPr>
          <w:p>
            <w:pPr>
              <w:bidi w:val="0"/>
              <w:jc w:val="center"/>
              <w:rPr>
                <w:rFonts w:hint="eastAsia"/>
                <w:lang w:val="en-US" w:eastAsia="zh-CN"/>
              </w:rPr>
            </w:pPr>
            <w:r>
              <w:rPr>
                <w:rFonts w:hint="eastAsia"/>
                <w:lang w:val="en-US" w:eastAsia="zh-CN"/>
              </w:rPr>
              <w:t>实施地点</w:t>
            </w:r>
          </w:p>
        </w:tc>
        <w:tc>
          <w:tcPr>
            <w:tcW w:w="3921" w:type="pct"/>
            <w:vAlign w:val="center"/>
          </w:tcPr>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台州市公安局交通警察局指定地点。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422" w:type="pct"/>
            <w:vAlign w:val="center"/>
          </w:tcPr>
          <w:p>
            <w:pPr>
              <w:bidi w:val="0"/>
              <w:jc w:val="center"/>
              <w:rPr>
                <w:rFonts w:hint="eastAsia"/>
                <w:lang w:val="en-US" w:eastAsia="zh-CN"/>
              </w:rPr>
            </w:pPr>
            <w:r>
              <w:rPr>
                <w:rFonts w:hint="eastAsia"/>
                <w:lang w:val="en-US" w:eastAsia="zh-CN"/>
              </w:rPr>
              <w:t>5</w:t>
            </w:r>
          </w:p>
        </w:tc>
        <w:tc>
          <w:tcPr>
            <w:tcW w:w="655" w:type="pct"/>
            <w:vAlign w:val="center"/>
          </w:tcPr>
          <w:p>
            <w:pPr>
              <w:bidi w:val="0"/>
              <w:jc w:val="center"/>
              <w:rPr>
                <w:rFonts w:hint="eastAsia"/>
                <w:lang w:val="en-US" w:eastAsia="zh-CN"/>
              </w:rPr>
            </w:pPr>
            <w:r>
              <w:rPr>
                <w:rFonts w:hint="eastAsia" w:ascii="宋体" w:hAnsi="宋体" w:eastAsia="宋体" w:cs="宋体"/>
                <w:color w:val="auto"/>
                <w:sz w:val="21"/>
                <w:szCs w:val="21"/>
                <w:lang w:val="en-US" w:eastAsia="zh-CN"/>
              </w:rPr>
              <w:t>维保期</w:t>
            </w:r>
            <w:r>
              <w:rPr>
                <w:rFonts w:hint="eastAsia"/>
                <w:lang w:val="en-US" w:eastAsia="zh-CN"/>
              </w:rPr>
              <w:t>限</w:t>
            </w:r>
          </w:p>
        </w:tc>
        <w:tc>
          <w:tcPr>
            <w:tcW w:w="3921" w:type="pct"/>
            <w:vAlign w:val="center"/>
          </w:tcPr>
          <w:p>
            <w:pPr>
              <w:numPr>
                <w:ilvl w:val="0"/>
                <w:numId w:val="11"/>
              </w:num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u w:val="single"/>
                <w:lang w:val="en-US" w:eastAsia="zh-CN"/>
              </w:rPr>
              <w:t>维保期3年</w:t>
            </w:r>
            <w:r>
              <w:rPr>
                <w:rFonts w:hint="eastAsia" w:ascii="宋体" w:hAnsi="宋体" w:eastAsia="宋体" w:cs="宋体"/>
                <w:color w:val="auto"/>
                <w:sz w:val="21"/>
                <w:szCs w:val="21"/>
                <w:lang w:val="en-US" w:eastAsia="zh-CN"/>
              </w:rPr>
              <w:t>。自项目通过项目交付验收之日算起。维保期间，免费提供最新的软件版本及主题库、专题库、标准库等升级服务。</w:t>
            </w:r>
          </w:p>
          <w:p>
            <w:pPr>
              <w:numPr>
                <w:ilvl w:val="0"/>
                <w:numId w:val="11"/>
              </w:num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在维保期内，软件模块发生重大故障超过24小时，需等故障完全修复后重新开始计算该模块的免费质保期限。</w:t>
            </w:r>
          </w:p>
          <w:p>
            <w:pPr>
              <w:numPr>
                <w:ilvl w:val="0"/>
                <w:numId w:val="11"/>
              </w:num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在维保期内，每月提供缺陷原因、维护内容、完成维护及恢复正常的时间和日期等报告。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Align w:val="center"/>
          </w:tcPr>
          <w:p>
            <w:pPr>
              <w:bidi w:val="0"/>
              <w:jc w:val="center"/>
              <w:rPr>
                <w:rFonts w:hint="default"/>
                <w:lang w:val="en-US" w:eastAsia="zh-CN"/>
              </w:rPr>
            </w:pPr>
            <w:r>
              <w:rPr>
                <w:rFonts w:hint="eastAsia"/>
                <w:lang w:val="en-US" w:eastAsia="zh-CN"/>
              </w:rPr>
              <w:t>6</w:t>
            </w:r>
          </w:p>
        </w:tc>
        <w:tc>
          <w:tcPr>
            <w:tcW w:w="655" w:type="pct"/>
            <w:vAlign w:val="center"/>
          </w:tcPr>
          <w:p>
            <w:pPr>
              <w:bidi w:val="0"/>
              <w:jc w:val="center"/>
              <w:rPr>
                <w:rFonts w:hint="eastAsia"/>
                <w:lang w:val="en-US" w:eastAsia="zh-CN"/>
              </w:rPr>
            </w:pPr>
            <w:r>
              <w:rPr>
                <w:rFonts w:hint="eastAsia"/>
                <w:lang w:val="en-US" w:eastAsia="zh-CN"/>
              </w:rPr>
              <w:t>履约保证</w:t>
            </w:r>
          </w:p>
        </w:tc>
        <w:tc>
          <w:tcPr>
            <w:tcW w:w="3921" w:type="pct"/>
            <w:vAlign w:val="center"/>
          </w:tcPr>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2" w:type="pct"/>
            <w:vAlign w:val="center"/>
          </w:tcPr>
          <w:p>
            <w:pPr>
              <w:bidi w:val="0"/>
              <w:jc w:val="center"/>
              <w:rPr>
                <w:rFonts w:hint="default"/>
                <w:lang w:val="en-US" w:eastAsia="zh-CN"/>
              </w:rPr>
            </w:pPr>
            <w:r>
              <w:rPr>
                <w:rFonts w:hint="eastAsia"/>
                <w:lang w:val="en-US" w:eastAsia="zh-CN"/>
              </w:rPr>
              <w:t>7</w:t>
            </w:r>
          </w:p>
        </w:tc>
        <w:tc>
          <w:tcPr>
            <w:tcW w:w="655" w:type="pct"/>
            <w:vAlign w:val="center"/>
          </w:tcPr>
          <w:p>
            <w:pPr>
              <w:bidi w:val="0"/>
              <w:jc w:val="center"/>
              <w:rPr>
                <w:rFonts w:hint="eastAsia"/>
                <w:lang w:val="en-US" w:eastAsia="zh-CN"/>
              </w:rPr>
            </w:pPr>
            <w:r>
              <w:rPr>
                <w:rFonts w:hint="eastAsia"/>
                <w:lang w:val="en-US" w:eastAsia="zh-CN"/>
              </w:rPr>
              <w:t>付款方式</w:t>
            </w:r>
          </w:p>
        </w:tc>
        <w:tc>
          <w:tcPr>
            <w:tcW w:w="3921" w:type="pct"/>
            <w:vAlign w:val="center"/>
          </w:tcPr>
          <w:p>
            <w:pPr>
              <w:numPr>
                <w:ilvl w:val="0"/>
                <w:numId w:val="12"/>
              </w:num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合同签订后，支付合同总金额的40%；</w:t>
            </w:r>
          </w:p>
          <w:p>
            <w:pPr>
              <w:numPr>
                <w:ilvl w:val="0"/>
                <w:numId w:val="12"/>
              </w:num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项目上线验收合格后，支付合同总金额的</w:t>
            </w:r>
            <w:r>
              <w:rPr>
                <w:rFonts w:hint="eastAsia" w:ascii="宋体" w:hAnsi="宋体" w:cs="宋体"/>
                <w:color w:val="auto"/>
                <w:sz w:val="21"/>
                <w:szCs w:val="21"/>
                <w:lang w:val="en-US" w:eastAsia="zh-CN"/>
              </w:rPr>
              <w:t>25</w:t>
            </w:r>
            <w:r>
              <w:rPr>
                <w:rFonts w:hint="eastAsia" w:ascii="宋体" w:hAnsi="宋体" w:eastAsia="宋体" w:cs="宋体"/>
                <w:color w:val="auto"/>
                <w:sz w:val="21"/>
                <w:szCs w:val="21"/>
                <w:lang w:val="en-US" w:eastAsia="zh-CN"/>
              </w:rPr>
              <w:t>%；</w:t>
            </w:r>
          </w:p>
          <w:p>
            <w:pPr>
              <w:numPr>
                <w:ilvl w:val="0"/>
                <w:numId w:val="12"/>
              </w:num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项目交付验收合格后，支付合同总金额的</w:t>
            </w:r>
            <w:r>
              <w:rPr>
                <w:rFonts w:hint="eastAsia" w:ascii="宋体" w:hAnsi="宋体" w:cs="宋体"/>
                <w:color w:val="auto"/>
                <w:sz w:val="21"/>
                <w:szCs w:val="21"/>
                <w:lang w:val="en-US" w:eastAsia="zh-CN"/>
              </w:rPr>
              <w:t>20</w:t>
            </w:r>
            <w:r>
              <w:rPr>
                <w:rFonts w:hint="eastAsia" w:ascii="宋体" w:hAnsi="宋体" w:eastAsia="宋体" w:cs="宋体"/>
                <w:color w:val="auto"/>
                <w:sz w:val="21"/>
                <w:szCs w:val="21"/>
                <w:lang w:val="en-US" w:eastAsia="zh-CN"/>
              </w:rPr>
              <w:t>%；</w:t>
            </w:r>
          </w:p>
          <w:p>
            <w:pPr>
              <w:numPr>
                <w:ilvl w:val="0"/>
                <w:numId w:val="12"/>
              </w:num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项目运维</w:t>
            </w:r>
            <w:r>
              <w:rPr>
                <w:rFonts w:hint="eastAsia" w:ascii="宋体" w:hAnsi="宋体" w:cs="宋体"/>
                <w:color w:val="auto"/>
                <w:sz w:val="21"/>
                <w:szCs w:val="21"/>
                <w:lang w:val="en-US" w:eastAsia="zh-CN"/>
              </w:rPr>
              <w:t>考核（每年一次，共3次）</w:t>
            </w:r>
            <w:r>
              <w:rPr>
                <w:rFonts w:hint="eastAsia" w:ascii="宋体" w:hAnsi="宋体" w:eastAsia="宋体" w:cs="宋体"/>
                <w:color w:val="auto"/>
                <w:sz w:val="21"/>
                <w:szCs w:val="21"/>
                <w:lang w:val="en-US" w:eastAsia="zh-CN"/>
              </w:rPr>
              <w:t>合格后，</w:t>
            </w:r>
            <w:r>
              <w:rPr>
                <w:rFonts w:hint="eastAsia" w:ascii="宋体" w:hAnsi="宋体" w:cs="宋体"/>
                <w:color w:val="auto"/>
                <w:sz w:val="21"/>
                <w:szCs w:val="21"/>
                <w:lang w:val="en-US" w:eastAsia="zh-CN"/>
              </w:rPr>
              <w:t>每年</w:t>
            </w:r>
            <w:r>
              <w:rPr>
                <w:rFonts w:hint="eastAsia" w:ascii="宋体" w:hAnsi="宋体" w:eastAsia="宋体" w:cs="宋体"/>
                <w:color w:val="auto"/>
                <w:sz w:val="21"/>
                <w:szCs w:val="21"/>
                <w:lang w:val="en-US" w:eastAsia="zh-CN"/>
              </w:rPr>
              <w:t>支付合同总金额的</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（共15%）；</w:t>
            </w:r>
          </w:p>
          <w:p>
            <w:pPr>
              <w:numPr>
                <w:ilvl w:val="0"/>
                <w:numId w:val="12"/>
              </w:num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每期金额根据实际考核情况支付，如无核减或扣罚，支付当期的全款。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0" w:hRule="atLeast"/>
          <w:jc w:val="center"/>
        </w:trPr>
        <w:tc>
          <w:tcPr>
            <w:tcW w:w="422" w:type="pct"/>
            <w:vAlign w:val="center"/>
          </w:tcPr>
          <w:p>
            <w:pPr>
              <w:bidi w:val="0"/>
              <w:jc w:val="center"/>
              <w:rPr>
                <w:rFonts w:hint="eastAsia"/>
                <w:lang w:val="en-US" w:eastAsia="zh-CN"/>
              </w:rPr>
            </w:pPr>
          </w:p>
        </w:tc>
        <w:tc>
          <w:tcPr>
            <w:tcW w:w="655" w:type="pct"/>
            <w:vAlign w:val="center"/>
          </w:tcPr>
          <w:p>
            <w:pPr>
              <w:bidi w:val="0"/>
              <w:jc w:val="center"/>
              <w:rPr>
                <w:rFonts w:hint="eastAsia"/>
                <w:lang w:val="en-US" w:eastAsia="zh-CN"/>
              </w:rPr>
            </w:pPr>
            <w:r>
              <w:rPr>
                <w:rFonts w:hint="eastAsia"/>
                <w:lang w:val="en-US" w:eastAsia="zh-CN"/>
              </w:rPr>
              <w:t>质量保证</w:t>
            </w:r>
          </w:p>
        </w:tc>
        <w:tc>
          <w:tcPr>
            <w:tcW w:w="3921" w:type="pct"/>
            <w:vAlign w:val="center"/>
          </w:tcPr>
          <w:p>
            <w:pPr>
              <w:numPr>
                <w:ilvl w:val="0"/>
                <w:numId w:val="13"/>
              </w:numPr>
              <w:spacing w:beforeLines="0" w:afterLines="0" w:line="240" w:lineRule="auto"/>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在项目实施期间，由于中标方原因致项目深化设计无法通过招标方认可、无法在约定的时间内完成开发部署、无法如期通过初验或终验，</w:t>
            </w:r>
            <w:r>
              <w:rPr>
                <w:rFonts w:hint="eastAsia" w:ascii="宋体" w:hAnsi="宋体" w:eastAsia="宋体" w:cs="宋体"/>
                <w:b/>
                <w:bCs/>
                <w:color w:val="auto"/>
                <w:sz w:val="21"/>
                <w:szCs w:val="21"/>
                <w:shd w:val="clear" w:color="auto" w:fill="auto"/>
                <w:lang w:val="en-US" w:eastAsia="zh-CN"/>
              </w:rPr>
              <w:t>采购方</w:t>
            </w:r>
            <w:r>
              <w:rPr>
                <w:rFonts w:hint="eastAsia" w:ascii="宋体" w:hAnsi="宋体" w:eastAsia="宋体" w:cs="宋体"/>
                <w:b/>
                <w:bCs/>
                <w:color w:val="auto"/>
                <w:sz w:val="21"/>
                <w:szCs w:val="21"/>
                <w:lang w:val="en-US" w:eastAsia="zh-CN"/>
              </w:rPr>
              <w:t>有权对不符合要求的功能项及其相关功能予以核减，并追回已支付金额，同时处以同等金额的罚款。</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2、合同金额扣除规则：</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（1）中标方未及时响应监理工作要求，每次扣除1000元；</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（2）在项目维保期内，由于质量问题造成系统故障，超过2个小时不能恢复，每次扣除3000元；超过5小时不能恢复，每次扣除10000元。</w:t>
            </w:r>
          </w:p>
          <w:p>
            <w:pPr>
              <w:spacing w:beforeLines="0" w:afterLines="0" w:line="240" w:lineRule="auto"/>
              <w:jc w:val="both"/>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（3）中标方擅自更换投标文件中所承诺的驻场人员，每人次扣除10000元；经采购方同意后更换人员，每人次扣除1000元。</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由于</w:t>
            </w:r>
            <w:r>
              <w:rPr>
                <w:rFonts w:hint="eastAsia" w:ascii="宋体" w:hAnsi="宋体" w:eastAsia="宋体" w:cs="宋体"/>
                <w:color w:val="auto"/>
                <w:kern w:val="2"/>
                <w:sz w:val="21"/>
                <w:szCs w:val="21"/>
                <w:lang w:val="en-US" w:eastAsia="zh-CN" w:bidi="ar-SA"/>
              </w:rPr>
              <w:t>驻场人员</w:t>
            </w:r>
            <w:r>
              <w:rPr>
                <w:rFonts w:hint="eastAsia" w:ascii="宋体" w:hAnsi="宋体" w:cs="宋体"/>
                <w:color w:val="auto"/>
                <w:kern w:val="2"/>
                <w:sz w:val="21"/>
                <w:szCs w:val="21"/>
                <w:lang w:val="en-US" w:eastAsia="zh-CN" w:bidi="ar-SA"/>
              </w:rPr>
              <w:t>（包括开发和维保）</w:t>
            </w:r>
            <w:r>
              <w:rPr>
                <w:rFonts w:hint="eastAsia" w:ascii="宋体" w:hAnsi="宋体" w:eastAsia="宋体" w:cs="宋体"/>
                <w:color w:val="auto"/>
                <w:kern w:val="2"/>
                <w:sz w:val="21"/>
                <w:szCs w:val="21"/>
                <w:lang w:val="en-US" w:eastAsia="zh-CN" w:bidi="ar-SA"/>
              </w:rPr>
              <w:t>没有按要求履行职责，采购方有权要求更换人员，每人次扣除</w:t>
            </w:r>
            <w:r>
              <w:rPr>
                <w:rFonts w:hint="eastAsia" w:ascii="宋体" w:hAnsi="宋体" w:eastAsia="宋体" w:cs="宋体"/>
                <w:color w:val="auto"/>
                <w:sz w:val="21"/>
                <w:szCs w:val="21"/>
                <w:lang w:val="en-US" w:eastAsia="zh-CN"/>
              </w:rPr>
              <w:t>10000元。</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）中标方驻场人员</w:t>
            </w:r>
            <w:r>
              <w:rPr>
                <w:rFonts w:hint="eastAsia" w:ascii="宋体" w:hAnsi="宋体" w:cs="宋体"/>
                <w:color w:val="auto"/>
                <w:sz w:val="21"/>
                <w:szCs w:val="21"/>
                <w:lang w:val="en-US" w:eastAsia="zh-CN"/>
              </w:rPr>
              <w:t>（包括开发和维保）</w:t>
            </w:r>
            <w:r>
              <w:rPr>
                <w:rFonts w:hint="eastAsia" w:ascii="宋体" w:hAnsi="宋体" w:eastAsia="宋体" w:cs="宋体"/>
                <w:color w:val="auto"/>
                <w:sz w:val="21"/>
                <w:szCs w:val="21"/>
                <w:lang w:val="en-US" w:eastAsia="zh-CN"/>
              </w:rPr>
              <w:t>无故缺勤，</w:t>
            </w:r>
            <w:r>
              <w:rPr>
                <w:rFonts w:hint="eastAsia" w:ascii="宋体" w:hAnsi="宋体" w:cs="宋体"/>
                <w:color w:val="auto"/>
                <w:sz w:val="21"/>
                <w:szCs w:val="21"/>
                <w:lang w:val="en-US" w:eastAsia="zh-CN"/>
              </w:rPr>
              <w:t>开发人员每人每天扣除1000元、维保人员每人</w:t>
            </w:r>
            <w:r>
              <w:rPr>
                <w:rFonts w:hint="eastAsia" w:ascii="宋体" w:hAnsi="宋体" w:eastAsia="宋体" w:cs="宋体"/>
                <w:color w:val="auto"/>
                <w:sz w:val="21"/>
                <w:szCs w:val="21"/>
                <w:lang w:val="en-US" w:eastAsia="zh-CN"/>
              </w:rPr>
              <w:t>每天扣除800元。</w:t>
            </w:r>
          </w:p>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6</w:t>
            </w:r>
            <w:r>
              <w:rPr>
                <w:rFonts w:hint="eastAsia" w:ascii="宋体" w:hAnsi="宋体" w:eastAsia="宋体" w:cs="宋体"/>
                <w:color w:val="auto"/>
                <w:sz w:val="21"/>
                <w:szCs w:val="21"/>
                <w:lang w:val="en-US" w:eastAsia="zh-CN"/>
              </w:rPr>
              <w:t>）中标方存在其它违约责任时，视情节轻重扣除相应金额。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2" w:type="pct"/>
            <w:vAlign w:val="center"/>
          </w:tcPr>
          <w:p>
            <w:pPr>
              <w:bidi w:val="0"/>
              <w:jc w:val="center"/>
              <w:rPr>
                <w:rFonts w:hint="default"/>
                <w:lang w:val="en-US" w:eastAsia="zh-CN"/>
              </w:rPr>
            </w:pPr>
            <w:r>
              <w:rPr>
                <w:rFonts w:hint="eastAsia"/>
                <w:lang w:val="en-US" w:eastAsia="zh-CN"/>
              </w:rPr>
              <w:t>8</w:t>
            </w:r>
          </w:p>
        </w:tc>
        <w:tc>
          <w:tcPr>
            <w:tcW w:w="655" w:type="pct"/>
            <w:vAlign w:val="center"/>
          </w:tcPr>
          <w:p>
            <w:pPr>
              <w:bidi w:val="0"/>
              <w:jc w:val="center"/>
              <w:rPr>
                <w:rFonts w:hint="eastAsia"/>
                <w:lang w:val="en-US" w:eastAsia="zh-CN"/>
              </w:rPr>
            </w:pPr>
            <w:r>
              <w:rPr>
                <w:rFonts w:hint="eastAsia"/>
                <w:lang w:val="en-US" w:eastAsia="zh-CN"/>
              </w:rPr>
              <w:t>合同终止</w:t>
            </w:r>
          </w:p>
        </w:tc>
        <w:tc>
          <w:tcPr>
            <w:tcW w:w="3921" w:type="pct"/>
            <w:vAlign w:val="center"/>
          </w:tcPr>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cs="宋体"/>
                <w:strike w:val="0"/>
                <w:dstrike w:val="0"/>
                <w:color w:val="auto"/>
                <w:sz w:val="21"/>
                <w:szCs w:val="21"/>
                <w:lang w:val="en-US" w:eastAsia="zh-CN"/>
              </w:rPr>
              <w:t>中标方</w:t>
            </w:r>
            <w:r>
              <w:rPr>
                <w:rFonts w:hint="eastAsia" w:ascii="宋体" w:hAnsi="宋体" w:eastAsia="宋体" w:cs="宋体"/>
                <w:strike w:val="0"/>
                <w:dstrike w:val="0"/>
                <w:color w:val="auto"/>
                <w:sz w:val="21"/>
                <w:szCs w:val="21"/>
                <w:lang w:val="en-US" w:eastAsia="zh-CN"/>
              </w:rPr>
              <w:t>在合同有效期内，不得以任何理由终止合同，确有特殊情况的，须提前两个月向</w:t>
            </w:r>
            <w:r>
              <w:rPr>
                <w:rFonts w:hint="eastAsia" w:ascii="宋体" w:hAnsi="宋体" w:cs="宋体"/>
                <w:strike w:val="0"/>
                <w:dstrike w:val="0"/>
                <w:color w:val="auto"/>
                <w:sz w:val="21"/>
                <w:szCs w:val="21"/>
                <w:lang w:val="en-US" w:eastAsia="zh-CN"/>
              </w:rPr>
              <w:t>采购人</w:t>
            </w:r>
            <w:r>
              <w:rPr>
                <w:rFonts w:hint="eastAsia" w:ascii="宋体" w:hAnsi="宋体" w:eastAsia="宋体" w:cs="宋体"/>
                <w:strike w:val="0"/>
                <w:dstrike w:val="0"/>
                <w:color w:val="auto"/>
                <w:sz w:val="21"/>
                <w:szCs w:val="21"/>
                <w:lang w:val="en-US" w:eastAsia="zh-CN"/>
              </w:rPr>
              <w:t>提出书面申请，经</w:t>
            </w:r>
            <w:r>
              <w:rPr>
                <w:rFonts w:hint="eastAsia" w:ascii="宋体" w:hAnsi="宋体" w:cs="宋体"/>
                <w:strike w:val="0"/>
                <w:dstrike w:val="0"/>
                <w:color w:val="auto"/>
                <w:sz w:val="21"/>
                <w:szCs w:val="21"/>
                <w:lang w:val="en-US" w:eastAsia="zh-CN"/>
              </w:rPr>
              <w:t>采购人</w:t>
            </w:r>
            <w:r>
              <w:rPr>
                <w:rFonts w:hint="eastAsia" w:ascii="宋体" w:hAnsi="宋体" w:eastAsia="宋体" w:cs="宋体"/>
                <w:strike w:val="0"/>
                <w:dstrike w:val="0"/>
                <w:color w:val="auto"/>
                <w:sz w:val="21"/>
                <w:szCs w:val="21"/>
                <w:lang w:val="en-US" w:eastAsia="zh-CN"/>
              </w:rPr>
              <w:t>同意后，方可终止合同。</w:t>
            </w:r>
            <w:r>
              <w:rPr>
                <w:rFonts w:hint="eastAsia" w:ascii="宋体" w:hAnsi="宋体" w:eastAsia="宋体" w:cs="宋体"/>
                <w:color w:val="auto"/>
                <w:sz w:val="21"/>
                <w:szCs w:val="21"/>
                <w:lang w:val="en-US" w:eastAsia="zh-CN"/>
              </w:rPr>
              <w:t>因</w:t>
            </w:r>
            <w:r>
              <w:rPr>
                <w:rFonts w:hint="eastAsia" w:ascii="宋体" w:hAnsi="宋体" w:cs="宋体"/>
                <w:color w:val="auto"/>
                <w:sz w:val="21"/>
                <w:szCs w:val="21"/>
                <w:lang w:val="en-US" w:eastAsia="zh-CN"/>
              </w:rPr>
              <w:t>中标方</w:t>
            </w:r>
            <w:r>
              <w:rPr>
                <w:rFonts w:hint="eastAsia" w:ascii="宋体" w:hAnsi="宋体" w:eastAsia="宋体" w:cs="宋体"/>
                <w:color w:val="auto"/>
                <w:sz w:val="21"/>
                <w:szCs w:val="21"/>
                <w:lang w:val="en-US" w:eastAsia="zh-CN"/>
              </w:rPr>
              <w:t>不能保证工作质量的，或工期超出3个月以上，</w:t>
            </w:r>
            <w:r>
              <w:rPr>
                <w:rFonts w:hint="eastAsia" w:ascii="宋体" w:hAnsi="宋体" w:cs="宋体"/>
                <w:color w:val="auto"/>
                <w:sz w:val="21"/>
                <w:szCs w:val="21"/>
                <w:lang w:val="en-US" w:eastAsia="zh-CN"/>
              </w:rPr>
              <w:t>采购人</w:t>
            </w:r>
            <w:r>
              <w:rPr>
                <w:rFonts w:hint="eastAsia" w:ascii="宋体" w:hAnsi="宋体" w:eastAsia="宋体" w:cs="宋体"/>
                <w:color w:val="auto"/>
                <w:sz w:val="21"/>
                <w:szCs w:val="21"/>
                <w:lang w:val="en-US" w:eastAsia="zh-CN"/>
              </w:rPr>
              <w:t>有权终止合同，</w:t>
            </w:r>
            <w:r>
              <w:rPr>
                <w:rFonts w:hint="eastAsia" w:ascii="宋体" w:hAnsi="宋体" w:cs="宋体"/>
                <w:color w:val="auto"/>
                <w:sz w:val="21"/>
                <w:szCs w:val="21"/>
                <w:lang w:val="en-US" w:eastAsia="zh-CN"/>
              </w:rPr>
              <w:t>中标方</w:t>
            </w:r>
            <w:r>
              <w:rPr>
                <w:rFonts w:hint="eastAsia" w:ascii="宋体" w:hAnsi="宋体" w:eastAsia="宋体" w:cs="宋体"/>
                <w:color w:val="auto"/>
                <w:sz w:val="21"/>
                <w:szCs w:val="21"/>
                <w:lang w:val="en-US" w:eastAsia="zh-CN"/>
              </w:rPr>
              <w:t>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2" w:type="pct"/>
            <w:vAlign w:val="center"/>
          </w:tcPr>
          <w:p>
            <w:pPr>
              <w:bidi w:val="0"/>
              <w:jc w:val="center"/>
              <w:rPr>
                <w:rFonts w:hint="default"/>
                <w:lang w:val="en-US" w:eastAsia="zh-CN"/>
              </w:rPr>
            </w:pPr>
            <w:r>
              <w:rPr>
                <w:rFonts w:hint="eastAsia"/>
                <w:lang w:val="en-US" w:eastAsia="zh-CN"/>
              </w:rPr>
              <w:t>9</w:t>
            </w:r>
          </w:p>
        </w:tc>
        <w:tc>
          <w:tcPr>
            <w:tcW w:w="655" w:type="pct"/>
            <w:vAlign w:val="center"/>
          </w:tcPr>
          <w:p>
            <w:pPr>
              <w:bidi w:val="0"/>
              <w:jc w:val="center"/>
              <w:rPr>
                <w:rFonts w:hint="eastAsia"/>
                <w:lang w:val="en-US" w:eastAsia="zh-CN"/>
              </w:rPr>
            </w:pPr>
            <w:r>
              <w:rPr>
                <w:rFonts w:hint="eastAsia"/>
                <w:lang w:val="en-US" w:eastAsia="zh-CN"/>
              </w:rPr>
              <w:t>其它约定</w:t>
            </w:r>
          </w:p>
        </w:tc>
        <w:tc>
          <w:tcPr>
            <w:tcW w:w="3921" w:type="pct"/>
            <w:vAlign w:val="center"/>
          </w:tcPr>
          <w:p>
            <w:pPr>
              <w:spacing w:beforeLines="0" w:afterLines="0" w:line="24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本项目招标文件、投标文件及演示资料、投标承诺函、</w:t>
            </w:r>
            <w:r>
              <w:rPr>
                <w:rFonts w:hint="eastAsia" w:ascii="宋体" w:hAnsi="宋体" w:eastAsia="宋体" w:cs="宋体"/>
                <w:color w:val="auto"/>
                <w:sz w:val="21"/>
                <w:szCs w:val="21"/>
                <w:lang w:val="zh-CN" w:eastAsia="zh-CN"/>
              </w:rPr>
              <w:t>更正补充文件、</w:t>
            </w:r>
            <w:r>
              <w:rPr>
                <w:rFonts w:hint="eastAsia" w:ascii="宋体" w:hAnsi="宋体" w:eastAsia="宋体" w:cs="宋体"/>
                <w:color w:val="auto"/>
                <w:sz w:val="21"/>
                <w:szCs w:val="21"/>
                <w:lang w:val="en-US" w:eastAsia="zh-CN"/>
              </w:rPr>
              <w:t>合同附件均为合同组成部分，与合同具有同等法律效力；各组成部分</w:t>
            </w:r>
            <w:r>
              <w:rPr>
                <w:rFonts w:hint="eastAsia" w:ascii="宋体" w:hAnsi="宋体" w:eastAsia="宋体" w:cs="宋体"/>
                <w:color w:val="auto"/>
                <w:sz w:val="21"/>
                <w:szCs w:val="21"/>
                <w:lang w:val="zh-CN" w:eastAsia="zh-CN"/>
              </w:rPr>
              <w:t>有模棱两可或互相矛盾之处，以更好地满足</w:t>
            </w:r>
            <w:r>
              <w:rPr>
                <w:rFonts w:hint="eastAsia" w:ascii="宋体" w:hAnsi="宋体" w:cs="宋体"/>
                <w:color w:val="auto"/>
                <w:sz w:val="21"/>
                <w:szCs w:val="21"/>
                <w:lang w:val="en-US" w:eastAsia="zh-CN"/>
              </w:rPr>
              <w:t>采购人</w:t>
            </w:r>
            <w:r>
              <w:rPr>
                <w:rFonts w:hint="eastAsia" w:ascii="宋体" w:hAnsi="宋体" w:eastAsia="宋体" w:cs="宋体"/>
                <w:color w:val="auto"/>
                <w:sz w:val="21"/>
                <w:szCs w:val="21"/>
                <w:lang w:val="zh-CN" w:eastAsia="zh-CN"/>
              </w:rPr>
              <w:t>业务需求为准。</w:t>
            </w:r>
          </w:p>
        </w:tc>
      </w:tr>
    </w:tbl>
    <w:p>
      <w:pPr>
        <w:pStyle w:val="21"/>
        <w:widowControl w:val="0"/>
        <w:numPr>
          <w:ilvl w:val="0"/>
          <w:numId w:val="0"/>
        </w:numPr>
        <w:spacing w:after="120"/>
        <w:jc w:val="center"/>
        <w:rPr>
          <w:rFonts w:hint="eastAsia" w:ascii="宋体" w:hAnsi="宋体" w:eastAsia="宋体" w:cs="宋体"/>
          <w:b/>
          <w:bCs w:val="0"/>
          <w:color w:val="auto"/>
          <w:sz w:val="24"/>
          <w:szCs w:val="24"/>
          <w:lang w:val="en-US" w:eastAsia="zh-CN"/>
        </w:rPr>
      </w:pPr>
    </w:p>
    <w:p>
      <w:pPr>
        <w:pStyle w:val="21"/>
        <w:widowControl w:val="0"/>
        <w:numPr>
          <w:ilvl w:val="0"/>
          <w:numId w:val="0"/>
        </w:numPr>
        <w:spacing w:after="12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附1 各模块预算清单</w:t>
      </w:r>
    </w:p>
    <w:tbl>
      <w:tblPr>
        <w:tblStyle w:val="22"/>
        <w:tblW w:w="79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2379"/>
        <w:gridCol w:w="3158"/>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jc w:val="center"/>
        </w:trPr>
        <w:tc>
          <w:tcPr>
            <w:tcW w:w="704"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序号</w:t>
            </w:r>
          </w:p>
        </w:tc>
        <w:tc>
          <w:tcPr>
            <w:tcW w:w="237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名称</w:t>
            </w:r>
          </w:p>
        </w:tc>
        <w:tc>
          <w:tcPr>
            <w:tcW w:w="3158" w:type="dxa"/>
            <w:tcBorders>
              <w:top w:val="single" w:color="000000" w:sz="8"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经审计后的预算金额（万元）</w:t>
            </w:r>
          </w:p>
        </w:tc>
        <w:tc>
          <w:tcPr>
            <w:tcW w:w="1712" w:type="dxa"/>
            <w:tcBorders>
              <w:top w:val="single" w:color="000000" w:sz="8"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应用融合管理模块</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73.3</w:t>
            </w:r>
          </w:p>
        </w:tc>
        <w:tc>
          <w:tcPr>
            <w:tcW w:w="1712"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w:t>
            </w:r>
            <w:r>
              <w:rPr>
                <w:rFonts w:hint="eastAsia" w:ascii="宋体" w:hAnsi="宋体" w:eastAsia="宋体" w:cs="宋体"/>
                <w:b/>
                <w:bCs/>
                <w:i w:val="0"/>
                <w:iCs w:val="0"/>
                <w:color w:val="auto"/>
                <w:sz w:val="21"/>
                <w:szCs w:val="21"/>
                <w:u w:val="none"/>
                <w:lang w:val="en-US" w:eastAsia="zh-CN"/>
              </w:rPr>
              <w:t>各模块、系统集成和运维费用，在</w:t>
            </w:r>
            <w:r>
              <w:rPr>
                <w:rFonts w:hint="eastAsia" w:ascii="宋体" w:hAnsi="宋体" w:cs="宋体"/>
                <w:b/>
                <w:bCs/>
                <w:i w:val="0"/>
                <w:iCs w:val="0"/>
                <w:color w:val="auto"/>
                <w:sz w:val="21"/>
                <w:szCs w:val="21"/>
                <w:u w:val="none"/>
                <w:lang w:val="en-US" w:eastAsia="zh-CN"/>
              </w:rPr>
              <w:t>投标报价</w:t>
            </w:r>
            <w:r>
              <w:rPr>
                <w:rFonts w:hint="eastAsia" w:ascii="宋体" w:hAnsi="宋体" w:eastAsia="宋体" w:cs="宋体"/>
                <w:b/>
                <w:bCs/>
                <w:i w:val="0"/>
                <w:iCs w:val="0"/>
                <w:color w:val="auto"/>
                <w:sz w:val="21"/>
                <w:szCs w:val="21"/>
                <w:u w:val="none"/>
                <w:lang w:val="en-US" w:eastAsia="zh-CN"/>
              </w:rPr>
              <w:t>时不得超过预算金额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数智实战模块</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487.82</w:t>
            </w:r>
          </w:p>
        </w:tc>
        <w:tc>
          <w:tcPr>
            <w:tcW w:w="1712"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数智决策模块</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213.93</w:t>
            </w:r>
          </w:p>
        </w:tc>
        <w:tc>
          <w:tcPr>
            <w:tcW w:w="1712"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高地一体化模块</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125.6</w:t>
            </w:r>
          </w:p>
        </w:tc>
        <w:tc>
          <w:tcPr>
            <w:tcW w:w="1712"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信号控制提升模块</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140.78+49.30</w:t>
            </w:r>
          </w:p>
        </w:tc>
        <w:tc>
          <w:tcPr>
            <w:tcW w:w="1712"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交通态势分析模块</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29.76</w:t>
            </w:r>
          </w:p>
        </w:tc>
        <w:tc>
          <w:tcPr>
            <w:tcW w:w="1712"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7</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驾驶人学习防范模块</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63.96</w:t>
            </w:r>
          </w:p>
        </w:tc>
        <w:tc>
          <w:tcPr>
            <w:tcW w:w="1712"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8</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运维管理模块</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134.9</w:t>
            </w:r>
          </w:p>
        </w:tc>
        <w:tc>
          <w:tcPr>
            <w:tcW w:w="1712"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移动应用模块</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125.49</w:t>
            </w:r>
          </w:p>
        </w:tc>
        <w:tc>
          <w:tcPr>
            <w:tcW w:w="1712"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事故可视化模块</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113.42</w:t>
            </w:r>
          </w:p>
        </w:tc>
        <w:tc>
          <w:tcPr>
            <w:tcW w:w="1712"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赋能中心</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280.26+57.99</w:t>
            </w:r>
          </w:p>
        </w:tc>
        <w:tc>
          <w:tcPr>
            <w:tcW w:w="1712"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数据中心</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246.53</w:t>
            </w:r>
          </w:p>
        </w:tc>
        <w:tc>
          <w:tcPr>
            <w:tcW w:w="1712"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13</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系统集成</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184.42</w:t>
            </w:r>
          </w:p>
        </w:tc>
        <w:tc>
          <w:tcPr>
            <w:tcW w:w="1712"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w:t>
            </w:r>
          </w:p>
        </w:tc>
        <w:tc>
          <w:tcPr>
            <w:tcW w:w="2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10人驻场运维</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540.0</w:t>
            </w:r>
          </w:p>
        </w:tc>
        <w:tc>
          <w:tcPr>
            <w:tcW w:w="1712"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083" w:type="dxa"/>
            <w:gridSpan w:val="2"/>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合计</w:t>
            </w:r>
          </w:p>
        </w:tc>
        <w:tc>
          <w:tcPr>
            <w:tcW w:w="31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2867.45</w:t>
            </w:r>
          </w:p>
        </w:tc>
        <w:tc>
          <w:tcPr>
            <w:tcW w:w="171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1"/>
                <w:szCs w:val="21"/>
                <w:u w:val="none"/>
                <w:lang w:val="en-US" w:eastAsia="zh-CN" w:bidi="ar-SA"/>
              </w:rPr>
            </w:pPr>
          </w:p>
        </w:tc>
      </w:tr>
    </w:tbl>
    <w:p>
      <w:pPr>
        <w:pStyle w:val="21"/>
        <w:widowControl w:val="0"/>
        <w:numPr>
          <w:ilvl w:val="0"/>
          <w:numId w:val="0"/>
        </w:numPr>
        <w:spacing w:after="120"/>
        <w:ind w:leftChars="200"/>
        <w:jc w:val="both"/>
        <w:rPr>
          <w:rFonts w:hint="eastAsia" w:ascii="宋体" w:hAnsi="宋体" w:eastAsia="宋体" w:cs="宋体"/>
          <w:b/>
          <w:bCs w:val="0"/>
          <w:color w:val="auto"/>
          <w:sz w:val="24"/>
          <w:szCs w:val="24"/>
          <w:lang w:val="en-US" w:eastAsia="zh-CN"/>
        </w:rPr>
      </w:pPr>
    </w:p>
    <w:p>
      <w:pPr>
        <w:pStyle w:val="21"/>
        <w:widowControl w:val="0"/>
        <w:numPr>
          <w:ilvl w:val="0"/>
          <w:numId w:val="0"/>
        </w:numPr>
        <w:spacing w:after="120"/>
        <w:jc w:val="center"/>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val="en-US" w:eastAsia="zh-CN"/>
        </w:rPr>
        <w:t xml:space="preserve">附2 </w:t>
      </w:r>
      <w:r>
        <w:rPr>
          <w:rFonts w:hint="eastAsia" w:ascii="宋体" w:hAnsi="宋体" w:eastAsia="宋体" w:cs="宋体"/>
          <w:b/>
          <w:bCs w:val="0"/>
          <w:color w:val="auto"/>
          <w:sz w:val="24"/>
          <w:szCs w:val="24"/>
          <w:lang w:eastAsia="zh-CN"/>
        </w:rPr>
        <w:t>各模块工期要求</w:t>
      </w:r>
    </w:p>
    <w:tbl>
      <w:tblPr>
        <w:tblStyle w:val="22"/>
        <w:tblW w:w="79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2372"/>
        <w:gridCol w:w="4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04"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序号</w:t>
            </w:r>
          </w:p>
        </w:tc>
        <w:tc>
          <w:tcPr>
            <w:tcW w:w="2372"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名称</w:t>
            </w:r>
          </w:p>
        </w:tc>
        <w:tc>
          <w:tcPr>
            <w:tcW w:w="4877"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工期要求（中标确认后）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应用融合管理模块</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3个月内开发部署完毕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数智实战模块</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9个月内开发部署完毕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数智决策模块</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9个月内开发部署完毕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高地一体化模块</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6个月内开发部署完毕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信号控制提升模块</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6个月内开发部署完毕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交通态势分析模块</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6个月内开发部署完毕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7</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驾驶人学习防范模块</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6个月内开发部署完毕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8</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运维管理模块</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sz w:val="21"/>
                <w:szCs w:val="21"/>
                <w:u w:val="none"/>
                <w:lang w:val="en-US" w:eastAsia="zh-CN"/>
              </w:rPr>
              <w:t>6个月内开发部署完毕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移动应用模块</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sz w:val="21"/>
                <w:szCs w:val="21"/>
                <w:u w:val="none"/>
                <w:lang w:val="en-US" w:eastAsia="zh-CN"/>
              </w:rPr>
              <w:t>9个月内开发部署完毕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事故可视化模块</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sz w:val="21"/>
                <w:szCs w:val="21"/>
                <w:u w:val="none"/>
                <w:lang w:val="en-US" w:eastAsia="zh-CN"/>
              </w:rPr>
              <w:t>3个月内开发部署完毕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11</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赋能中心</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sz w:val="21"/>
                <w:szCs w:val="21"/>
                <w:u w:val="none"/>
                <w:lang w:val="en-US" w:eastAsia="zh-CN"/>
              </w:rPr>
              <w:t>9个月内开发部署完毕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数据中心</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sz w:val="21"/>
                <w:szCs w:val="21"/>
                <w:u w:val="none"/>
                <w:lang w:val="en-US" w:eastAsia="zh-CN"/>
              </w:rPr>
              <w:t>2个月内开发部署完毕，9个月内完成数据接入处理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13</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系统集成</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9个月内完成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项目上线验收</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color w:val="auto"/>
                <w:sz w:val="21"/>
                <w:szCs w:val="21"/>
                <w:lang w:val="en-US" w:eastAsia="zh-CN"/>
              </w:rPr>
              <w:t>不得超过2023年6月30日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项目交付验收</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color w:val="auto"/>
                <w:sz w:val="21"/>
                <w:szCs w:val="21"/>
                <w:lang w:val="en-US" w:eastAsia="zh-CN"/>
              </w:rPr>
              <w:t>不得超过2023年10月31日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项目运维验收</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项目交付验收合格后3年</w:t>
            </w:r>
          </w:p>
        </w:tc>
      </w:tr>
    </w:tbl>
    <w:p>
      <w:pPr>
        <w:rPr>
          <w:rFonts w:hint="eastAsia"/>
          <w:lang w:val="en-US" w:eastAsia="zh-CN"/>
        </w:rPr>
      </w:pPr>
      <w:r>
        <w:rPr>
          <w:rFonts w:hint="eastAsia"/>
          <w:lang w:val="en-US" w:eastAsia="zh-CN"/>
        </w:rPr>
        <w:br w:type="page"/>
      </w:r>
    </w:p>
    <w:p>
      <w:pPr>
        <w:pStyle w:val="11"/>
        <w:numPr>
          <w:ilvl w:val="0"/>
          <w:numId w:val="0"/>
        </w:numPr>
        <w:rPr>
          <w:rFonts w:hint="eastAsia"/>
        </w:rPr>
      </w:pPr>
    </w:p>
    <w:p>
      <w:pPr>
        <w:pStyle w:val="13"/>
        <w:tabs>
          <w:tab w:val="left" w:pos="630"/>
        </w:tabs>
        <w:snapToGrid w:val="0"/>
        <w:spacing w:line="360" w:lineRule="auto"/>
        <w:jc w:val="center"/>
        <w:rPr>
          <w:rFonts w:asciiTheme="minorEastAsia" w:hAnsiTheme="minorEastAsia" w:eastAsiaTheme="minorEastAsia"/>
          <w:b/>
          <w:sz w:val="32"/>
          <w:szCs w:val="32"/>
        </w:rPr>
      </w:pPr>
      <w:bookmarkStart w:id="51" w:name="_Toc31173_WPSOffice_Level1"/>
      <w:r>
        <w:rPr>
          <w:rFonts w:hint="eastAsia" w:cs="Times New Roman" w:asciiTheme="minorEastAsia" w:hAnsiTheme="minorEastAsia" w:eastAsiaTheme="minorEastAsia"/>
          <w:b/>
          <w:sz w:val="36"/>
          <w:szCs w:val="36"/>
        </w:rPr>
        <w:t>第四章  评标</w:t>
      </w:r>
      <w:bookmarkEnd w:id="51"/>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21"/>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8"/>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9"/>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auto"/>
          <w:kern w:val="0"/>
          <w:sz w:val="24"/>
          <w:u w:val="single"/>
        </w:rPr>
        <w:t xml:space="preserve"> </w:t>
      </w:r>
      <w:r>
        <w:rPr>
          <w:rFonts w:hint="eastAsia" w:asciiTheme="minorEastAsia" w:hAnsiTheme="minorEastAsia" w:eastAsiaTheme="minorEastAsia"/>
          <w:color w:val="auto"/>
          <w:kern w:val="0"/>
          <w:sz w:val="24"/>
          <w:u w:val="single"/>
          <w:lang w:val="en-US" w:eastAsia="zh-CN"/>
        </w:rPr>
        <w:t>10</w:t>
      </w:r>
      <w:r>
        <w:rPr>
          <w:rFonts w:hint="eastAsia" w:asciiTheme="minorEastAsia" w:hAnsiTheme="minorEastAsia" w:eastAsiaTheme="minorEastAsia"/>
          <w:color w:val="auto"/>
          <w:kern w:val="0"/>
          <w:sz w:val="24"/>
          <w:u w:val="single"/>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9"/>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8"/>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（十一）商务</w:t>
      </w:r>
      <w:r>
        <w:rPr>
          <w:rFonts w:hint="eastAsia" w:ascii="宋体" w:hAnsi="宋体" w:cs="宋体"/>
          <w:sz w:val="24"/>
          <w:szCs w:val="24"/>
        </w:rPr>
        <w:t>条款不响应的；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（十三）逾期或未按要求提交投标文件的；</w:t>
      </w:r>
    </w:p>
    <w:p>
      <w:pPr>
        <w:pStyle w:val="8"/>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9"/>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3"/>
        <w:snapToGrid w:val="0"/>
        <w:spacing w:line="360" w:lineRule="auto"/>
        <w:ind w:firstLine="482" w:firstLineChars="200"/>
        <w:rPr>
          <w:rFonts w:hAnsi="宋体" w:cs="宋体"/>
          <w:b/>
          <w:sz w:val="24"/>
        </w:rPr>
      </w:pPr>
      <w:r>
        <w:rPr>
          <w:rFonts w:hint="eastAsia" w:hAnsi="宋体" w:cs="宋体"/>
          <w:b/>
          <w:sz w:val="24"/>
        </w:rPr>
        <w:t>六、评标过程的监控</w:t>
      </w:r>
    </w:p>
    <w:p>
      <w:pPr>
        <w:pStyle w:val="19"/>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3"/>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pStyle w:val="9"/>
        <w:spacing w:line="360" w:lineRule="auto"/>
        <w:ind w:firstLine="480" w:firstLineChars="200"/>
        <w:jc w:val="both"/>
        <w:rPr>
          <w:rFonts w:hint="eastAsia" w:ascii="宋体" w:hAnsi="宋体" w:eastAsia="宋体" w:cs="宋体"/>
          <w:sz w:val="24"/>
          <w:lang w:eastAsia="zh-CN"/>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w:t>
      </w:r>
      <w:r>
        <w:rPr>
          <w:rFonts w:hint="eastAsia" w:ascii="宋体" w:hAnsi="宋体" w:cs="宋体"/>
          <w:sz w:val="24"/>
          <w:lang w:eastAsia="zh-CN"/>
        </w:rPr>
        <w:t>。</w:t>
      </w:r>
      <w:r>
        <w:rPr>
          <w:rFonts w:hint="eastAsia" w:ascii="宋体" w:hAnsi="宋体" w:cs="宋体"/>
          <w:sz w:val="24"/>
        </w:rPr>
        <w:t>【特别提示：节能和环境标志产品最新一期政府采购品目清单，可在“中国政府采购网”中查看】</w:t>
      </w:r>
    </w:p>
    <w:p>
      <w:pPr>
        <w:pStyle w:val="9"/>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color w:val="000000"/>
          <w:sz w:val="24"/>
          <w:lang w:val="en-US" w:eastAsia="zh-CN"/>
        </w:rPr>
        <w:t>10</w:t>
      </w:r>
      <w:r>
        <w:rPr>
          <w:rFonts w:hint="eastAsia" w:ascii="宋体"/>
          <w:color w:val="000000"/>
          <w:sz w:val="24"/>
          <w:lang w:val="zh-CN"/>
        </w:rPr>
        <w:t>%-</w:t>
      </w:r>
      <w:r>
        <w:rPr>
          <w:rFonts w:hint="eastAsia" w:ascii="宋体"/>
          <w:color w:val="000000"/>
          <w:sz w:val="24"/>
          <w:lang w:val="en-US" w:eastAsia="zh-CN"/>
        </w:rPr>
        <w:t>20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color w:val="000000"/>
          <w:sz w:val="24"/>
          <w:lang w:val="en-US" w:eastAsia="zh-CN"/>
        </w:rPr>
        <w:t>10</w:t>
      </w:r>
      <w:r>
        <w:rPr>
          <w:rFonts w:hint="eastAsia" w:ascii="宋体"/>
          <w:color w:val="000000"/>
          <w:sz w:val="24"/>
          <w:lang w:val="zh-CN"/>
        </w:rPr>
        <w:t>%-</w:t>
      </w:r>
      <w:r>
        <w:rPr>
          <w:rFonts w:hint="eastAsia" w:ascii="宋体"/>
          <w:color w:val="000000"/>
          <w:sz w:val="24"/>
          <w:lang w:val="en-US" w:eastAsia="zh-CN"/>
        </w:rPr>
        <w:t>20</w:t>
      </w:r>
      <w:r>
        <w:rPr>
          <w:rFonts w:hint="eastAsia" w:ascii="宋体"/>
          <w:color w:val="000000"/>
          <w:sz w:val="24"/>
          <w:lang w:val="zh-CN"/>
        </w:rPr>
        <w:t>%的扣除；联合协议或者分包意向协议约定小微企业的合同份额占到合同总金额30%以上的，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w:t>
      </w:r>
      <w:r>
        <w:rPr>
          <w:rFonts w:hint="eastAsia" w:ascii="宋体"/>
          <w:color w:val="000000"/>
          <w:sz w:val="24"/>
          <w:lang w:val="en-US" w:eastAsia="zh-CN"/>
        </w:rPr>
        <w:t>4</w:t>
      </w:r>
      <w:r>
        <w:rPr>
          <w:rFonts w:hint="eastAsia" w:ascii="宋体"/>
          <w:color w:val="000000"/>
          <w:sz w:val="24"/>
          <w:lang w:val="zh-CN"/>
        </w:rPr>
        <w:t>%</w:t>
      </w:r>
      <w:r>
        <w:rPr>
          <w:rFonts w:hint="eastAsia" w:ascii="宋体"/>
          <w:color w:val="000000"/>
          <w:sz w:val="24"/>
        </w:rPr>
        <w:t>-</w:t>
      </w:r>
      <w:r>
        <w:rPr>
          <w:rFonts w:hint="eastAsia" w:ascii="宋体"/>
          <w:color w:val="000000"/>
          <w:sz w:val="24"/>
          <w:lang w:val="en-US" w:eastAsia="zh-CN"/>
        </w:rPr>
        <w:t>6</w:t>
      </w:r>
      <w:r>
        <w:rPr>
          <w:rFonts w:hint="eastAsia" w:ascii="宋体"/>
          <w:color w:val="000000"/>
          <w:sz w:val="24"/>
        </w:rPr>
        <w:t>%</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3"/>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9"/>
        <w:spacing w:line="360" w:lineRule="auto"/>
        <w:ind w:firstLine="480" w:firstLineChars="200"/>
        <w:jc w:val="both"/>
        <w:rPr>
          <w:ins w:id="0" w:author="zebra" w:date="2022-08-01T13:12:17Z"/>
          <w:rFonts w:hint="eastAsia"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22"/>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4"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提供具有良好的商业信誉和健全的财务会计制度的承诺函</w:t>
            </w:r>
            <w:r>
              <w:rPr>
                <w:rFonts w:hint="eastAsia" w:ascii="宋体" w:hAnsi="宋体" w:cs="宋体"/>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联合体投标</w:t>
            </w:r>
          </w:p>
        </w:tc>
        <w:tc>
          <w:tcPr>
            <w:tcW w:w="7495" w:type="dxa"/>
            <w:shd w:val="clear" w:color="auto" w:fill="auto"/>
            <w:tcMar>
              <w:top w:w="57" w:type="dxa"/>
              <w:left w:w="108" w:type="dxa"/>
              <w:bottom w:w="0" w:type="dxa"/>
              <w:right w:w="108" w:type="dxa"/>
            </w:tcMar>
            <w:vAlign w:val="center"/>
          </w:tcPr>
          <w:p>
            <w:pPr>
              <w:keepNext w:val="0"/>
              <w:keepLines w:val="0"/>
              <w:widowControl/>
              <w:suppressLineNumbers w:val="0"/>
              <w:jc w:val="left"/>
              <w:rPr>
                <w:rFonts w:hint="eastAsia" w:ascii="宋体" w:hAnsi="宋体" w:cs="宋体"/>
                <w:color w:val="auto"/>
                <w:szCs w:val="21"/>
              </w:rPr>
            </w:pP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若以联合体形式投标，</w:t>
            </w:r>
            <w:r>
              <w:rPr>
                <w:rFonts w:hint="eastAsia" w:ascii="宋体" w:hAnsi="宋体" w:cs="宋体"/>
                <w:color w:val="auto"/>
                <w:sz w:val="21"/>
                <w:szCs w:val="21"/>
                <w:lang w:val="en-US" w:eastAsia="zh-CN"/>
              </w:rPr>
              <w:t>请提交联合体授权委托书</w:t>
            </w:r>
            <w:r>
              <w:rPr>
                <w:rFonts w:hint="eastAsia" w:ascii="宋体" w:hAnsi="宋体" w:cs="宋体"/>
                <w:color w:val="auto"/>
                <w:sz w:val="21"/>
                <w:szCs w:val="21"/>
                <w:lang w:eastAsia="zh-CN"/>
              </w:rPr>
              <w:t>（根据附件</w:t>
            </w:r>
            <w:r>
              <w:rPr>
                <w:rFonts w:hint="eastAsia" w:ascii="宋体" w:hAnsi="宋体" w:cs="宋体"/>
                <w:color w:val="auto"/>
                <w:sz w:val="21"/>
                <w:szCs w:val="21"/>
                <w:lang w:val="en-US" w:eastAsia="zh-CN"/>
              </w:rPr>
              <w:t>2-2《联合体</w:t>
            </w:r>
            <w:r>
              <w:rPr>
                <w:rFonts w:hint="eastAsia" w:ascii="宋体" w:hAnsi="宋体" w:cs="宋体"/>
                <w:color w:val="auto"/>
                <w:sz w:val="21"/>
                <w:szCs w:val="21"/>
                <w:lang w:eastAsia="zh-CN"/>
              </w:rPr>
              <w:t>授权委托书</w:t>
            </w:r>
            <w:r>
              <w:rPr>
                <w:rFonts w:hint="eastAsia" w:ascii="宋体" w:hAnsi="宋体" w:cs="宋体"/>
                <w:color w:val="auto"/>
                <w:sz w:val="21"/>
                <w:szCs w:val="21"/>
                <w:lang w:val="en-US" w:eastAsia="zh-CN"/>
              </w:rPr>
              <w:t>》填报</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并载明联合体各方承担的工作和义务</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根据附件3 《</w:t>
            </w:r>
            <w:r>
              <w:rPr>
                <w:rFonts w:hint="eastAsia" w:ascii="宋体" w:hAnsi="宋体" w:cs="宋体"/>
                <w:color w:val="auto"/>
                <w:sz w:val="21"/>
                <w:szCs w:val="21"/>
                <w:lang w:eastAsia="zh-CN"/>
              </w:rPr>
              <w:t>联合体共同投标协议书</w:t>
            </w:r>
            <w:r>
              <w:rPr>
                <w:rFonts w:hint="eastAsia" w:ascii="宋体" w:hAnsi="宋体" w:cs="宋体"/>
                <w:color w:val="auto"/>
                <w:sz w:val="21"/>
                <w:szCs w:val="21"/>
                <w:lang w:val="en-US" w:eastAsia="zh-CN"/>
              </w:rPr>
              <w:t>》填报</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w:t>
            </w:r>
          </w:p>
          <w:p>
            <w:pPr>
              <w:pStyle w:val="9"/>
              <w:spacing w:line="360" w:lineRule="auto"/>
              <w:ind w:firstLine="0" w:firstLineChars="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若</w:t>
            </w:r>
            <w:r>
              <w:rPr>
                <w:rFonts w:hint="eastAsia" w:ascii="宋体" w:hAnsi="宋体" w:eastAsia="宋体" w:cs="宋体"/>
                <w:color w:val="auto"/>
                <w:sz w:val="21"/>
                <w:szCs w:val="21"/>
              </w:rPr>
              <w:t>以联合体形式投标，联合体各方均须满足</w:t>
            </w:r>
            <w:r>
              <w:rPr>
                <w:rFonts w:hint="eastAsia" w:ascii="宋体" w:hAnsi="宋体" w:eastAsia="宋体" w:cs="宋体"/>
                <w:color w:val="auto"/>
                <w:sz w:val="21"/>
                <w:szCs w:val="21"/>
                <w:lang w:val="en-US" w:eastAsia="zh-CN"/>
              </w:rPr>
              <w:t>上方</w:t>
            </w:r>
            <w:r>
              <w:rPr>
                <w:rFonts w:hint="eastAsia" w:ascii="宋体" w:hAnsi="宋体" w:eastAsia="宋体" w:cs="宋体"/>
                <w:color w:val="auto"/>
                <w:sz w:val="21"/>
                <w:szCs w:val="21"/>
              </w:rPr>
              <w:t>条款</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并提供相应承诺或说明</w:t>
            </w:r>
            <w:r>
              <w:rPr>
                <w:rFonts w:hint="eastAsia" w:ascii="宋体" w:hAnsi="宋体" w:eastAsia="宋体" w:cs="宋体"/>
                <w:color w:val="auto"/>
                <w:sz w:val="21"/>
                <w:szCs w:val="21"/>
              </w:rPr>
              <w:t>。</w:t>
            </w:r>
          </w:p>
        </w:tc>
      </w:tr>
    </w:tbl>
    <w:p>
      <w:pPr>
        <w:pStyle w:val="9"/>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22"/>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“▲”实质性条款</w:t>
            </w:r>
          </w:p>
        </w:tc>
        <w:tc>
          <w:tcPr>
            <w:tcW w:w="7476"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串通投标</w:t>
            </w:r>
          </w:p>
        </w:tc>
        <w:tc>
          <w:tcPr>
            <w:tcW w:w="7476"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附加条件</w:t>
            </w:r>
          </w:p>
        </w:tc>
        <w:tc>
          <w:tcPr>
            <w:tcW w:w="7476"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投标文件未含有采购人不可接受的附加条件。</w:t>
            </w:r>
          </w:p>
        </w:tc>
      </w:tr>
    </w:tbl>
    <w:p>
      <w:pPr>
        <w:pStyle w:val="9"/>
        <w:spacing w:line="360" w:lineRule="auto"/>
        <w:ind w:firstLine="482" w:firstLineChars="200"/>
        <w:jc w:val="both"/>
        <w:rPr>
          <w:rFonts w:hint="default"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adjustRightInd w:val="0"/>
        <w:spacing w:line="360" w:lineRule="auto"/>
        <w:ind w:firstLine="482" w:firstLineChars="200"/>
        <w:rPr>
          <w:rFonts w:hint="eastAsia" w:ascii="宋体"/>
          <w:b/>
          <w:bCs/>
          <w:sz w:val="24"/>
        </w:rPr>
      </w:pPr>
      <w:r>
        <w:rPr>
          <w:rFonts w:hint="eastAsia" w:ascii="宋体"/>
          <w:b/>
          <w:bCs/>
          <w:sz w:val="24"/>
        </w:rPr>
        <w:t>1.评分标准</w:t>
      </w:r>
    </w:p>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lang w:val="en-US" w:eastAsia="zh-CN"/>
        </w:rPr>
        <w:t xml:space="preserve"> 1</w:t>
      </w:r>
      <w:r>
        <w:rPr>
          <w:rFonts w:hint="eastAsia" w:ascii="宋体" w:hAnsi="宋体" w:cs="宋体"/>
          <w:sz w:val="24"/>
          <w:u w:val="single"/>
        </w:rPr>
        <w:t xml:space="preserve"> </w:t>
      </w:r>
      <w:r>
        <w:rPr>
          <w:rFonts w:hint="eastAsia" w:asciiTheme="minorEastAsia" w:hAnsiTheme="minorEastAsia" w:eastAsiaTheme="minorEastAsia"/>
          <w:kern w:val="0"/>
          <w:sz w:val="24"/>
        </w:rPr>
        <w:t>标项项目评标方法为综合评分法，总计100分，评标按以下标准及要求进行：</w:t>
      </w:r>
    </w:p>
    <w:tbl>
      <w:tblPr>
        <w:tblStyle w:val="22"/>
        <w:tblW w:w="5000" w:type="pct"/>
        <w:tblInd w:w="0" w:type="dxa"/>
        <w:tblLayout w:type="autofit"/>
        <w:tblCellMar>
          <w:top w:w="0" w:type="dxa"/>
          <w:left w:w="108" w:type="dxa"/>
          <w:bottom w:w="0" w:type="dxa"/>
          <w:right w:w="108" w:type="dxa"/>
        </w:tblCellMar>
      </w:tblPr>
      <w:tblGrid>
        <w:gridCol w:w="740"/>
        <w:gridCol w:w="752"/>
        <w:gridCol w:w="7012"/>
        <w:gridCol w:w="752"/>
      </w:tblGrid>
      <w:tr>
        <w:tblPrEx>
          <w:tblCellMar>
            <w:top w:w="0" w:type="dxa"/>
            <w:left w:w="108" w:type="dxa"/>
            <w:bottom w:w="0" w:type="dxa"/>
            <w:right w:w="108" w:type="dxa"/>
          </w:tblCellMar>
        </w:tblPrEx>
        <w:trPr>
          <w:trHeight w:val="280" w:hRule="atLeast"/>
        </w:trPr>
        <w:tc>
          <w:tcPr>
            <w:tcW w:w="400"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spacing w:line="360" w:lineRule="auto"/>
              <w:jc w:val="center"/>
              <w:rPr>
                <w:rFonts w:ascii="宋体" w:hAnsi="宋体" w:cs="宋体"/>
                <w:b/>
                <w:bCs/>
                <w:color w:val="auto"/>
                <w:kern w:val="0"/>
                <w:sz w:val="21"/>
                <w:szCs w:val="21"/>
              </w:rPr>
            </w:pPr>
            <w:r>
              <w:rPr>
                <w:rFonts w:hint="eastAsia" w:ascii="宋体" w:hAnsi="宋体" w:cs="宋体"/>
                <w:b/>
                <w:bCs/>
                <w:color w:val="auto"/>
                <w:kern w:val="0"/>
                <w:sz w:val="21"/>
                <w:szCs w:val="21"/>
              </w:rPr>
              <w:t>评分项目</w:t>
            </w:r>
          </w:p>
        </w:tc>
        <w:tc>
          <w:tcPr>
            <w:tcW w:w="4192" w:type="pct"/>
            <w:gridSpan w:val="2"/>
            <w:tcBorders>
              <w:top w:val="single" w:color="auto" w:sz="4" w:space="0"/>
              <w:left w:val="nil"/>
              <w:bottom w:val="single" w:color="auto" w:sz="4" w:space="0"/>
              <w:right w:val="single" w:color="auto" w:sz="4" w:space="0"/>
            </w:tcBorders>
            <w:shd w:val="clear" w:color="000000" w:fill="D8D8D8"/>
            <w:vAlign w:val="center"/>
          </w:tcPr>
          <w:p>
            <w:pPr>
              <w:widowControl/>
              <w:spacing w:line="360" w:lineRule="auto"/>
              <w:jc w:val="center"/>
              <w:rPr>
                <w:rFonts w:ascii="宋体" w:hAnsi="宋体" w:cs="宋体"/>
                <w:b/>
                <w:bCs/>
                <w:color w:val="auto"/>
                <w:kern w:val="0"/>
                <w:sz w:val="21"/>
                <w:szCs w:val="21"/>
              </w:rPr>
            </w:pPr>
            <w:r>
              <w:rPr>
                <w:rFonts w:hint="eastAsia" w:ascii="宋体" w:hAnsi="宋体" w:cs="宋体"/>
                <w:b/>
                <w:bCs/>
                <w:color w:val="auto"/>
                <w:kern w:val="0"/>
                <w:sz w:val="21"/>
                <w:szCs w:val="21"/>
              </w:rPr>
              <w:t>评分细则</w:t>
            </w:r>
          </w:p>
        </w:tc>
        <w:tc>
          <w:tcPr>
            <w:tcW w:w="406" w:type="pct"/>
            <w:tcBorders>
              <w:top w:val="single" w:color="auto" w:sz="4" w:space="0"/>
              <w:left w:val="nil"/>
              <w:bottom w:val="single" w:color="auto" w:sz="4" w:space="0"/>
              <w:right w:val="single" w:color="auto" w:sz="4" w:space="0"/>
            </w:tcBorders>
            <w:shd w:val="clear" w:color="000000" w:fill="D8D8D8"/>
            <w:vAlign w:val="center"/>
          </w:tcPr>
          <w:p>
            <w:pPr>
              <w:widowControl/>
              <w:spacing w:line="360" w:lineRule="auto"/>
              <w:jc w:val="center"/>
              <w:rPr>
                <w:rFonts w:ascii="宋体" w:hAnsi="宋体" w:cs="宋体"/>
                <w:b/>
                <w:bCs/>
                <w:color w:val="auto"/>
                <w:kern w:val="0"/>
                <w:sz w:val="21"/>
                <w:szCs w:val="21"/>
              </w:rPr>
            </w:pPr>
            <w:r>
              <w:rPr>
                <w:rFonts w:hint="eastAsia" w:ascii="宋体" w:hAnsi="宋体" w:cs="宋体"/>
                <w:b/>
                <w:bCs/>
                <w:color w:val="auto"/>
                <w:kern w:val="0"/>
                <w:sz w:val="21"/>
                <w:szCs w:val="21"/>
              </w:rPr>
              <w:t>分值</w:t>
            </w:r>
          </w:p>
        </w:tc>
      </w:tr>
      <w:tr>
        <w:tblPrEx>
          <w:tblCellMar>
            <w:top w:w="0" w:type="dxa"/>
            <w:left w:w="108" w:type="dxa"/>
            <w:bottom w:w="0" w:type="dxa"/>
            <w:right w:w="108" w:type="dxa"/>
          </w:tblCellMar>
        </w:tblPrEx>
        <w:trPr>
          <w:trHeight w:val="1057" w:hRule="atLeast"/>
        </w:trPr>
        <w:tc>
          <w:tcPr>
            <w:tcW w:w="4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auto"/>
                <w:kern w:val="0"/>
                <w:sz w:val="21"/>
                <w:szCs w:val="21"/>
              </w:rPr>
            </w:pPr>
            <w:r>
              <w:rPr>
                <w:rFonts w:hint="eastAsia" w:ascii="宋体" w:hAnsi="宋体" w:cs="宋体"/>
                <w:b/>
                <w:bCs/>
                <w:color w:val="auto"/>
                <w:kern w:val="0"/>
                <w:sz w:val="21"/>
                <w:szCs w:val="21"/>
              </w:rPr>
              <w:t>技术性能</w:t>
            </w:r>
            <w:r>
              <w:rPr>
                <w:rFonts w:hint="eastAsia" w:ascii="宋体" w:hAnsi="宋体" w:cs="宋体"/>
                <w:b/>
                <w:bCs/>
                <w:color w:val="auto"/>
                <w:kern w:val="0"/>
                <w:sz w:val="21"/>
                <w:szCs w:val="21"/>
                <w:lang w:val="en-US" w:eastAsia="zh-CN"/>
              </w:rPr>
              <w:t>50</w:t>
            </w:r>
            <w:r>
              <w:rPr>
                <w:rFonts w:hint="eastAsia" w:ascii="宋体" w:hAnsi="宋体" w:cs="宋体"/>
                <w:b/>
                <w:bCs/>
                <w:color w:val="auto"/>
                <w:kern w:val="0"/>
                <w:sz w:val="21"/>
                <w:szCs w:val="21"/>
              </w:rPr>
              <w:t>分</w:t>
            </w:r>
          </w:p>
        </w:tc>
        <w:tc>
          <w:tcPr>
            <w:tcW w:w="406"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hint="eastAsia"/>
                <w:color w:val="auto"/>
                <w:sz w:val="21"/>
                <w:szCs w:val="21"/>
                <w:highlight w:val="none"/>
              </w:rPr>
            </w:pPr>
            <w:r>
              <w:rPr>
                <w:rFonts w:hint="eastAsia"/>
                <w:color w:val="auto"/>
                <w:sz w:val="21"/>
                <w:szCs w:val="21"/>
                <w:highlight w:val="none"/>
              </w:rPr>
              <w:t>综合性能</w:t>
            </w:r>
          </w:p>
          <w:p>
            <w:pPr>
              <w:pStyle w:val="10"/>
              <w:spacing w:line="240" w:lineRule="auto"/>
              <w:jc w:val="center"/>
              <w:rPr>
                <w:rFonts w:hint="default" w:eastAsia="宋体"/>
                <w:color w:val="auto"/>
                <w:sz w:val="21"/>
                <w:szCs w:val="21"/>
                <w:highlight w:val="none"/>
                <w:lang w:val="en-US" w:eastAsia="zh-CN"/>
              </w:rPr>
            </w:pPr>
            <w:r>
              <w:rPr>
                <w:rFonts w:hint="eastAsia" w:ascii="宋体" w:hAnsi="宋体" w:cs="宋体"/>
                <w:b w:val="0"/>
                <w:bCs w:val="0"/>
                <w:color w:val="auto"/>
                <w:kern w:val="0"/>
                <w:sz w:val="21"/>
                <w:szCs w:val="21"/>
                <w:highlight w:val="none"/>
                <w:lang w:val="en-US" w:eastAsia="zh-CN"/>
              </w:rPr>
              <w:t>48分</w:t>
            </w: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根据投标人对项目现状</w:t>
            </w:r>
            <w:r>
              <w:rPr>
                <w:rFonts w:hint="eastAsia" w:ascii="宋体" w:hAnsi="宋体" w:cs="宋体"/>
                <w:color w:val="auto"/>
                <w:kern w:val="0"/>
                <w:sz w:val="21"/>
                <w:szCs w:val="21"/>
                <w:lang w:eastAsia="zh-CN"/>
              </w:rPr>
              <w:t>和需求的</w:t>
            </w:r>
            <w:r>
              <w:rPr>
                <w:rFonts w:hint="eastAsia" w:ascii="宋体" w:hAnsi="宋体" w:cs="宋体"/>
                <w:color w:val="auto"/>
                <w:kern w:val="0"/>
                <w:sz w:val="21"/>
                <w:szCs w:val="21"/>
              </w:rPr>
              <w:t>分析</w:t>
            </w:r>
            <w:r>
              <w:rPr>
                <w:rFonts w:hint="eastAsia" w:ascii="宋体" w:hAnsi="宋体" w:cs="宋体"/>
                <w:color w:val="auto"/>
                <w:kern w:val="0"/>
                <w:sz w:val="21"/>
                <w:szCs w:val="21"/>
                <w:lang w:eastAsia="zh-CN"/>
              </w:rPr>
              <w:t>进行评分</w:t>
            </w:r>
            <w:r>
              <w:rPr>
                <w:rFonts w:hint="eastAsia" w:ascii="宋体" w:hAnsi="宋体" w:cs="宋体"/>
                <w:color w:val="auto"/>
                <w:kern w:val="0"/>
                <w:sz w:val="21"/>
                <w:szCs w:val="21"/>
              </w:rPr>
              <w:t>：</w:t>
            </w:r>
          </w:p>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①</w:t>
            </w:r>
            <w:r>
              <w:rPr>
                <w:rFonts w:hint="eastAsia" w:ascii="宋体" w:hAnsi="宋体" w:cs="宋体"/>
                <w:color w:val="auto"/>
                <w:kern w:val="0"/>
                <w:sz w:val="21"/>
                <w:szCs w:val="21"/>
                <w:lang w:eastAsia="zh-CN"/>
              </w:rPr>
              <w:t>分析</w:t>
            </w:r>
            <w:r>
              <w:rPr>
                <w:rFonts w:hint="eastAsia" w:ascii="宋体" w:hAnsi="宋体" w:cs="宋体"/>
                <w:color w:val="auto"/>
                <w:kern w:val="0"/>
                <w:sz w:val="21"/>
                <w:szCs w:val="21"/>
                <w:lang w:val="en-US" w:eastAsia="zh-CN"/>
              </w:rPr>
              <w:t>深入，</w:t>
            </w:r>
            <w:r>
              <w:rPr>
                <w:rFonts w:hint="eastAsia" w:ascii="宋体" w:hAnsi="宋体" w:cs="宋体"/>
                <w:color w:val="auto"/>
                <w:kern w:val="0"/>
                <w:sz w:val="21"/>
                <w:szCs w:val="21"/>
              </w:rPr>
              <w:t>全面、</w:t>
            </w:r>
            <w:r>
              <w:rPr>
                <w:rFonts w:hint="eastAsia" w:ascii="宋体" w:hAnsi="宋体" w:cs="宋体"/>
                <w:color w:val="auto"/>
                <w:kern w:val="0"/>
                <w:sz w:val="21"/>
                <w:szCs w:val="21"/>
                <w:lang w:eastAsia="zh-CN"/>
              </w:rPr>
              <w:t>合理</w:t>
            </w:r>
            <w:r>
              <w:rPr>
                <w:rFonts w:hint="eastAsia" w:ascii="宋体" w:hAnsi="宋体" w:cs="宋体"/>
                <w:color w:val="auto"/>
                <w:kern w:val="0"/>
                <w:sz w:val="21"/>
                <w:szCs w:val="21"/>
              </w:rPr>
              <w:t>且针对性</w:t>
            </w:r>
            <w:r>
              <w:rPr>
                <w:rFonts w:hint="eastAsia" w:ascii="宋体" w:hAnsi="宋体" w:cs="宋体"/>
                <w:color w:val="auto"/>
                <w:kern w:val="0"/>
                <w:sz w:val="21"/>
                <w:szCs w:val="21"/>
                <w:lang w:val="en-US" w:eastAsia="zh-CN"/>
              </w:rPr>
              <w:t>强</w:t>
            </w:r>
            <w:r>
              <w:rPr>
                <w:rFonts w:hint="eastAsia" w:ascii="宋体" w:hAnsi="宋体" w:cs="宋体"/>
                <w:color w:val="auto"/>
                <w:kern w:val="0"/>
                <w:sz w:val="21"/>
                <w:szCs w:val="21"/>
              </w:rPr>
              <w:t>的得</w:t>
            </w:r>
            <w:r>
              <w:rPr>
                <w:rFonts w:hint="eastAsia" w:ascii="宋体" w:hAnsi="宋体" w:cs="宋体"/>
                <w:color w:val="auto"/>
                <w:kern w:val="0"/>
                <w:sz w:val="21"/>
                <w:szCs w:val="21"/>
                <w:lang w:val="en-US" w:eastAsia="zh-CN"/>
              </w:rPr>
              <w:t>3-2.1</w:t>
            </w:r>
            <w:r>
              <w:rPr>
                <w:rFonts w:hint="eastAsia" w:ascii="宋体" w:hAnsi="宋体" w:cs="宋体"/>
                <w:color w:val="auto"/>
                <w:kern w:val="0"/>
                <w:sz w:val="21"/>
                <w:szCs w:val="21"/>
              </w:rPr>
              <w:t>分；</w:t>
            </w:r>
          </w:p>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②</w:t>
            </w:r>
            <w:r>
              <w:rPr>
                <w:rFonts w:hint="eastAsia" w:ascii="宋体" w:hAnsi="宋体" w:cs="宋体"/>
                <w:color w:val="auto"/>
                <w:kern w:val="0"/>
                <w:sz w:val="21"/>
                <w:szCs w:val="21"/>
                <w:lang w:eastAsia="zh-CN"/>
              </w:rPr>
              <w:t>分析不够全面、合理</w:t>
            </w:r>
            <w:r>
              <w:rPr>
                <w:rFonts w:hint="eastAsia" w:ascii="宋体" w:hAnsi="宋体" w:cs="宋体"/>
                <w:color w:val="auto"/>
                <w:kern w:val="0"/>
                <w:sz w:val="21"/>
                <w:szCs w:val="21"/>
                <w:lang w:val="en-US" w:eastAsia="zh-CN"/>
              </w:rPr>
              <w:t>且针对性一般</w:t>
            </w:r>
            <w:r>
              <w:rPr>
                <w:rFonts w:hint="eastAsia" w:ascii="宋体" w:hAnsi="宋体" w:cs="宋体"/>
                <w:color w:val="auto"/>
                <w:kern w:val="0"/>
                <w:sz w:val="21"/>
                <w:szCs w:val="21"/>
              </w:rPr>
              <w:t>的得</w:t>
            </w:r>
            <w:r>
              <w:rPr>
                <w:rFonts w:hint="eastAsia" w:ascii="宋体" w:hAnsi="宋体" w:cs="宋体"/>
                <w:color w:val="auto"/>
                <w:kern w:val="0"/>
                <w:sz w:val="21"/>
                <w:szCs w:val="21"/>
                <w:lang w:val="en-US" w:eastAsia="zh-CN"/>
              </w:rPr>
              <w:t>2-1.1</w:t>
            </w:r>
            <w:r>
              <w:rPr>
                <w:rFonts w:hint="eastAsia" w:ascii="宋体" w:hAnsi="宋体" w:cs="宋体"/>
                <w:color w:val="auto"/>
                <w:kern w:val="0"/>
                <w:sz w:val="21"/>
                <w:szCs w:val="21"/>
              </w:rPr>
              <w:t>分；</w:t>
            </w:r>
          </w:p>
          <w:p>
            <w:pPr>
              <w:pStyle w:val="10"/>
              <w:spacing w:line="240" w:lineRule="auto"/>
              <w:rPr>
                <w:rFonts w:hint="default" w:eastAsia="宋体"/>
                <w:color w:val="auto"/>
                <w:sz w:val="21"/>
                <w:szCs w:val="21"/>
                <w:lang w:val="en-US" w:eastAsia="zh-CN"/>
              </w:rPr>
            </w:pPr>
            <w:r>
              <w:rPr>
                <w:rFonts w:hint="eastAsia" w:ascii="宋体" w:hAnsi="宋体" w:cs="宋体"/>
                <w:color w:val="auto"/>
                <w:kern w:val="0"/>
                <w:sz w:val="21"/>
                <w:szCs w:val="21"/>
              </w:rPr>
              <w:t>③</w:t>
            </w:r>
            <w:r>
              <w:rPr>
                <w:rFonts w:hint="eastAsia" w:ascii="宋体" w:hAnsi="宋体" w:cs="宋体"/>
                <w:color w:val="auto"/>
                <w:kern w:val="0"/>
                <w:sz w:val="21"/>
                <w:szCs w:val="21"/>
                <w:lang w:val="en-US" w:eastAsia="zh-CN"/>
              </w:rPr>
              <w:t>分析片面，合理性针对性较差的得1-0.1分；</w:t>
            </w:r>
          </w:p>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lang w:val="en-US" w:eastAsia="zh-CN"/>
              </w:rPr>
              <w:t>④</w:t>
            </w:r>
            <w:r>
              <w:rPr>
                <w:rFonts w:hint="eastAsia" w:ascii="宋体" w:hAnsi="宋体" w:cs="宋体"/>
                <w:color w:val="auto"/>
                <w:kern w:val="0"/>
                <w:sz w:val="21"/>
                <w:szCs w:val="21"/>
                <w:lang w:eastAsia="zh-CN"/>
              </w:rPr>
              <w:t>未做分析的</w:t>
            </w:r>
            <w:r>
              <w:rPr>
                <w:rFonts w:hint="eastAsia" w:ascii="宋体" w:hAnsi="宋体" w:cs="宋体"/>
                <w:color w:val="auto"/>
                <w:kern w:val="0"/>
                <w:sz w:val="21"/>
                <w:szCs w:val="21"/>
              </w:rPr>
              <w:t>得</w:t>
            </w:r>
            <w:r>
              <w:rPr>
                <w:rFonts w:hint="eastAsia" w:ascii="宋体" w:hAnsi="宋体" w:cs="宋体"/>
                <w:color w:val="auto"/>
                <w:kern w:val="0"/>
                <w:sz w:val="21"/>
                <w:szCs w:val="21"/>
                <w:lang w:val="en-US" w:eastAsia="zh-CN"/>
              </w:rPr>
              <w:t>0</w:t>
            </w:r>
            <w:r>
              <w:rPr>
                <w:rFonts w:hint="eastAsia" w:ascii="宋体" w:hAnsi="宋体" w:cs="宋体"/>
                <w:color w:val="auto"/>
                <w:kern w:val="0"/>
                <w:sz w:val="21"/>
                <w:szCs w:val="21"/>
              </w:rPr>
              <w:t>分。</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3</w:t>
            </w:r>
          </w:p>
        </w:tc>
      </w:tr>
      <w:tr>
        <w:tblPrEx>
          <w:tblCellMar>
            <w:top w:w="0" w:type="dxa"/>
            <w:left w:w="108" w:type="dxa"/>
            <w:bottom w:w="0" w:type="dxa"/>
            <w:right w:w="108" w:type="dxa"/>
          </w:tblCellMar>
        </w:tblPrEx>
        <w:trPr>
          <w:trHeight w:val="1007" w:hRule="atLeast"/>
        </w:trPr>
        <w:tc>
          <w:tcPr>
            <w:tcW w:w="400" w:type="pct"/>
            <w:vMerge w:val="continue"/>
            <w:tcBorders>
              <w:left w:val="single" w:color="auto" w:sz="4" w:space="0"/>
              <w:right w:val="single" w:color="auto" w:sz="4" w:space="0"/>
            </w:tcBorders>
            <w:shd w:val="clear" w:color="auto" w:fill="auto"/>
            <w:vAlign w:val="center"/>
          </w:tcPr>
          <w:p>
            <w:pPr>
              <w:widowControl/>
              <w:spacing w:line="360" w:lineRule="auto"/>
              <w:jc w:val="center"/>
              <w:rPr>
                <w:rFonts w:hint="eastAsia" w:ascii="宋体" w:hAnsi="宋体" w:cs="宋体"/>
                <w:b/>
                <w:bCs/>
                <w:color w:val="auto"/>
                <w:kern w:val="0"/>
                <w:sz w:val="21"/>
                <w:szCs w:val="21"/>
              </w:rPr>
            </w:pPr>
          </w:p>
        </w:tc>
        <w:tc>
          <w:tcPr>
            <w:tcW w:w="406" w:type="pct"/>
            <w:vMerge w:val="continue"/>
            <w:tcBorders>
              <w:left w:val="single" w:color="auto" w:sz="4" w:space="0"/>
              <w:right w:val="single" w:color="auto" w:sz="4" w:space="0"/>
            </w:tcBorders>
            <w:shd w:val="clear" w:color="auto" w:fill="auto"/>
            <w:vAlign w:val="center"/>
          </w:tcPr>
          <w:p>
            <w:pPr>
              <w:pStyle w:val="10"/>
              <w:spacing w:line="240" w:lineRule="auto"/>
              <w:jc w:val="center"/>
              <w:rPr>
                <w:rFonts w:hint="eastAsia" w:ascii="宋体" w:hAnsi="宋体" w:cs="宋体"/>
                <w:b w:val="0"/>
                <w:bCs w:val="0"/>
                <w:color w:val="auto"/>
                <w:kern w:val="0"/>
                <w:sz w:val="21"/>
                <w:szCs w:val="21"/>
                <w:lang w:val="en-US" w:eastAsia="zh-CN"/>
              </w:rPr>
            </w:pP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rPr>
              <w:t>根据投标人</w:t>
            </w:r>
            <w:r>
              <w:rPr>
                <w:rFonts w:hint="eastAsia" w:ascii="宋体" w:hAnsi="宋体" w:cs="宋体"/>
                <w:color w:val="auto"/>
                <w:kern w:val="0"/>
                <w:sz w:val="21"/>
                <w:szCs w:val="21"/>
                <w:lang w:eastAsia="zh-CN"/>
              </w:rPr>
              <w:t>的</w:t>
            </w:r>
            <w:r>
              <w:rPr>
                <w:rFonts w:hint="eastAsia" w:ascii="宋体" w:hAnsi="宋体" w:cs="宋体"/>
                <w:color w:val="auto"/>
                <w:kern w:val="0"/>
                <w:sz w:val="21"/>
                <w:szCs w:val="21"/>
              </w:rPr>
              <w:t>项目总体设计方案</w:t>
            </w:r>
            <w:r>
              <w:rPr>
                <w:rFonts w:hint="eastAsia" w:ascii="宋体" w:hAnsi="宋体" w:cs="宋体"/>
                <w:color w:val="auto"/>
                <w:kern w:val="0"/>
                <w:sz w:val="21"/>
                <w:szCs w:val="21"/>
                <w:lang w:eastAsia="zh-CN"/>
              </w:rPr>
              <w:t>，包括总体思路</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总体架构、总体目标，以及对于重难点分析情况进行评分</w:t>
            </w:r>
            <w:r>
              <w:rPr>
                <w:rFonts w:hint="eastAsia" w:ascii="宋体" w:hAnsi="宋体" w:cs="宋体"/>
                <w:color w:val="auto"/>
                <w:kern w:val="0"/>
                <w:sz w:val="21"/>
                <w:szCs w:val="21"/>
              </w:rPr>
              <w:t>：</w:t>
            </w:r>
          </w:p>
          <w:p>
            <w:pPr>
              <w:spacing w:line="240" w:lineRule="auto"/>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①对</w:t>
            </w:r>
            <w:r>
              <w:rPr>
                <w:rFonts w:hint="eastAsia" w:ascii="宋体" w:hAnsi="宋体" w:eastAsia="宋体"/>
                <w:color w:val="auto"/>
                <w:sz w:val="21"/>
                <w:szCs w:val="21"/>
              </w:rPr>
              <w:t>项目</w:t>
            </w:r>
            <w:r>
              <w:rPr>
                <w:rFonts w:hint="eastAsia" w:ascii="宋体" w:hAnsi="宋体" w:eastAsia="宋体"/>
                <w:color w:val="auto"/>
                <w:sz w:val="21"/>
                <w:szCs w:val="21"/>
                <w:lang w:val="en-US" w:eastAsia="zh-CN"/>
              </w:rPr>
              <w:t>总体设计方案</w:t>
            </w:r>
            <w:r>
              <w:rPr>
                <w:rFonts w:hint="eastAsia" w:ascii="宋体" w:hAnsi="宋体" w:eastAsia="宋体"/>
                <w:color w:val="auto"/>
                <w:sz w:val="21"/>
                <w:szCs w:val="21"/>
              </w:rPr>
              <w:t>了解深入，</w:t>
            </w:r>
            <w:r>
              <w:rPr>
                <w:rFonts w:hint="eastAsia" w:ascii="宋体" w:hAnsi="宋体" w:cs="宋体"/>
                <w:color w:val="auto"/>
                <w:kern w:val="0"/>
                <w:sz w:val="21"/>
                <w:szCs w:val="21"/>
                <w:lang w:eastAsia="zh-CN"/>
              </w:rPr>
              <w:t>重难点分析</w:t>
            </w:r>
            <w:r>
              <w:rPr>
                <w:rFonts w:hint="eastAsia" w:ascii="宋体" w:hAnsi="宋体" w:eastAsia="宋体"/>
                <w:color w:val="auto"/>
                <w:sz w:val="21"/>
                <w:szCs w:val="21"/>
              </w:rPr>
              <w:t>思路清晰，设计方案</w:t>
            </w:r>
            <w:r>
              <w:rPr>
                <w:rFonts w:hint="eastAsia" w:ascii="宋体" w:hAnsi="宋体" w:cs="宋体"/>
                <w:color w:val="auto"/>
                <w:kern w:val="0"/>
                <w:sz w:val="21"/>
                <w:szCs w:val="21"/>
                <w:lang w:eastAsia="zh-CN"/>
              </w:rPr>
              <w:t>全面、准确、针对性</w:t>
            </w:r>
            <w:r>
              <w:rPr>
                <w:rFonts w:hint="eastAsia" w:ascii="宋体" w:hAnsi="宋体" w:cs="宋体"/>
                <w:color w:val="auto"/>
                <w:kern w:val="0"/>
                <w:sz w:val="21"/>
                <w:szCs w:val="21"/>
                <w:lang w:val="en-US" w:eastAsia="zh-CN"/>
              </w:rPr>
              <w:t>强的</w:t>
            </w:r>
            <w:r>
              <w:rPr>
                <w:rFonts w:hint="eastAsia" w:ascii="宋体" w:hAnsi="宋体" w:eastAsia="宋体"/>
                <w:color w:val="auto"/>
                <w:sz w:val="21"/>
                <w:szCs w:val="21"/>
              </w:rPr>
              <w:t>得</w:t>
            </w:r>
            <w:r>
              <w:rPr>
                <w:rFonts w:hint="eastAsia" w:ascii="宋体" w:hAnsi="宋体" w:eastAsia="宋体"/>
                <w:color w:val="auto"/>
                <w:sz w:val="21"/>
                <w:szCs w:val="21"/>
                <w:lang w:val="en-US" w:eastAsia="zh-CN"/>
              </w:rPr>
              <w:t>6-4.1</w:t>
            </w:r>
            <w:r>
              <w:rPr>
                <w:rFonts w:hint="eastAsia" w:ascii="宋体" w:hAnsi="宋体" w:eastAsia="宋体"/>
                <w:color w:val="auto"/>
                <w:sz w:val="21"/>
                <w:szCs w:val="21"/>
              </w:rPr>
              <w:t>分</w:t>
            </w:r>
            <w:r>
              <w:rPr>
                <w:rFonts w:hint="eastAsia" w:ascii="宋体" w:hAnsi="宋体"/>
                <w:color w:val="auto"/>
                <w:sz w:val="21"/>
                <w:szCs w:val="21"/>
                <w:lang w:eastAsia="zh-CN"/>
              </w:rPr>
              <w:t>；</w:t>
            </w:r>
          </w:p>
          <w:p>
            <w:pPr>
              <w:spacing w:line="240" w:lineRule="auto"/>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②</w:t>
            </w:r>
            <w:r>
              <w:rPr>
                <w:rFonts w:hint="eastAsia" w:ascii="宋体" w:hAnsi="宋体" w:eastAsia="宋体"/>
                <w:color w:val="auto"/>
                <w:sz w:val="21"/>
                <w:szCs w:val="21"/>
              </w:rPr>
              <w:t>项目现状和招标方案需求了解较深入，</w:t>
            </w:r>
            <w:r>
              <w:rPr>
                <w:rFonts w:hint="eastAsia" w:ascii="宋体" w:hAnsi="宋体" w:cs="宋体"/>
                <w:color w:val="auto"/>
                <w:kern w:val="0"/>
                <w:sz w:val="21"/>
                <w:szCs w:val="21"/>
                <w:lang w:eastAsia="zh-CN"/>
              </w:rPr>
              <w:t>重难点分析</w:t>
            </w:r>
            <w:r>
              <w:rPr>
                <w:rFonts w:hint="eastAsia" w:ascii="宋体" w:hAnsi="宋体" w:eastAsia="宋体"/>
                <w:color w:val="auto"/>
                <w:sz w:val="21"/>
                <w:szCs w:val="21"/>
              </w:rPr>
              <w:t>思路较清晰，设计方案</w:t>
            </w:r>
            <w:r>
              <w:rPr>
                <w:rFonts w:hint="eastAsia" w:ascii="宋体" w:hAnsi="宋体" w:cs="宋体"/>
                <w:color w:val="auto"/>
                <w:kern w:val="0"/>
                <w:sz w:val="21"/>
                <w:szCs w:val="21"/>
                <w:lang w:eastAsia="zh-CN"/>
              </w:rPr>
              <w:t>全面、准确、针对性</w:t>
            </w:r>
            <w:r>
              <w:rPr>
                <w:rFonts w:hint="eastAsia" w:ascii="宋体" w:hAnsi="宋体" w:cs="宋体"/>
                <w:color w:val="auto"/>
                <w:kern w:val="0"/>
                <w:sz w:val="21"/>
                <w:szCs w:val="21"/>
                <w:lang w:val="en-US" w:eastAsia="zh-CN"/>
              </w:rPr>
              <w:t>一般的</w:t>
            </w:r>
            <w:r>
              <w:rPr>
                <w:rFonts w:hint="eastAsia" w:ascii="宋体" w:hAnsi="宋体" w:eastAsia="宋体"/>
                <w:color w:val="auto"/>
                <w:sz w:val="21"/>
                <w:szCs w:val="21"/>
              </w:rPr>
              <w:t>得</w:t>
            </w:r>
            <w:r>
              <w:rPr>
                <w:rFonts w:hint="eastAsia" w:ascii="宋体" w:hAnsi="宋体" w:eastAsia="宋体"/>
                <w:color w:val="auto"/>
                <w:sz w:val="21"/>
                <w:szCs w:val="21"/>
                <w:lang w:val="en-US" w:eastAsia="zh-CN"/>
              </w:rPr>
              <w:t>4-2.1</w:t>
            </w:r>
            <w:r>
              <w:rPr>
                <w:rFonts w:hint="eastAsia" w:ascii="宋体" w:hAnsi="宋体" w:eastAsia="宋体"/>
                <w:color w:val="auto"/>
                <w:sz w:val="21"/>
                <w:szCs w:val="21"/>
              </w:rPr>
              <w:t>分</w:t>
            </w:r>
            <w:r>
              <w:rPr>
                <w:rFonts w:hint="eastAsia" w:ascii="宋体" w:hAnsi="宋体"/>
                <w:color w:val="auto"/>
                <w:sz w:val="21"/>
                <w:szCs w:val="21"/>
                <w:lang w:eastAsia="zh-CN"/>
              </w:rPr>
              <w:t>；</w:t>
            </w:r>
          </w:p>
          <w:p>
            <w:pPr>
              <w:widowControl/>
              <w:spacing w:line="240" w:lineRule="auto"/>
              <w:rPr>
                <w:rFonts w:hint="eastAsia" w:ascii="宋体" w:hAnsi="宋体" w:cs="宋体"/>
                <w:color w:val="auto"/>
                <w:kern w:val="0"/>
                <w:sz w:val="21"/>
                <w:szCs w:val="21"/>
                <w:lang w:val="en-US" w:eastAsia="zh-CN"/>
              </w:rPr>
            </w:pPr>
            <w:r>
              <w:rPr>
                <w:rFonts w:hint="eastAsia" w:ascii="宋体" w:hAnsi="宋体"/>
                <w:color w:val="auto"/>
                <w:sz w:val="21"/>
                <w:szCs w:val="21"/>
                <w:lang w:val="en-US" w:eastAsia="zh-CN"/>
              </w:rPr>
              <w:t>③</w:t>
            </w:r>
            <w:r>
              <w:rPr>
                <w:rFonts w:hint="eastAsia" w:ascii="宋体" w:hAnsi="宋体" w:eastAsia="宋体"/>
                <w:color w:val="auto"/>
                <w:sz w:val="21"/>
                <w:szCs w:val="21"/>
              </w:rPr>
              <w:t>项目现状和招标方案需求了解一般，</w:t>
            </w:r>
            <w:r>
              <w:rPr>
                <w:rFonts w:hint="eastAsia" w:ascii="宋体" w:hAnsi="宋体" w:cs="宋体"/>
                <w:color w:val="auto"/>
                <w:kern w:val="0"/>
                <w:sz w:val="21"/>
                <w:szCs w:val="21"/>
                <w:lang w:eastAsia="zh-CN"/>
              </w:rPr>
              <w:t>重难点分析</w:t>
            </w:r>
            <w:r>
              <w:rPr>
                <w:rFonts w:hint="eastAsia" w:ascii="宋体" w:hAnsi="宋体" w:eastAsia="宋体"/>
                <w:color w:val="auto"/>
                <w:sz w:val="21"/>
                <w:szCs w:val="21"/>
              </w:rPr>
              <w:t>思路一般，设计方案</w:t>
            </w:r>
            <w:r>
              <w:rPr>
                <w:rFonts w:hint="eastAsia" w:ascii="宋体" w:hAnsi="宋体" w:cs="宋体"/>
                <w:color w:val="auto"/>
                <w:kern w:val="0"/>
                <w:sz w:val="21"/>
                <w:szCs w:val="21"/>
                <w:lang w:eastAsia="zh-CN"/>
              </w:rPr>
              <w:t>全面、准确、针对性</w:t>
            </w:r>
            <w:r>
              <w:rPr>
                <w:rFonts w:hint="eastAsia" w:ascii="宋体" w:hAnsi="宋体" w:cs="宋体"/>
                <w:color w:val="auto"/>
                <w:kern w:val="0"/>
                <w:sz w:val="21"/>
                <w:szCs w:val="21"/>
                <w:lang w:val="en-US" w:eastAsia="zh-CN"/>
              </w:rPr>
              <w:t>较差的</w:t>
            </w:r>
            <w:r>
              <w:rPr>
                <w:rFonts w:hint="eastAsia" w:ascii="宋体" w:hAnsi="宋体" w:eastAsia="宋体"/>
                <w:color w:val="auto"/>
                <w:sz w:val="21"/>
                <w:szCs w:val="21"/>
                <w:lang w:val="en-US" w:eastAsia="zh-CN"/>
              </w:rPr>
              <w:t>2-0.1</w:t>
            </w:r>
            <w:r>
              <w:rPr>
                <w:rFonts w:hint="eastAsia" w:ascii="宋体" w:hAnsi="宋体" w:eastAsia="宋体"/>
                <w:color w:val="auto"/>
                <w:sz w:val="21"/>
                <w:szCs w:val="21"/>
              </w:rPr>
              <w:t>分。</w:t>
            </w:r>
          </w:p>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④</w:t>
            </w:r>
            <w:r>
              <w:rPr>
                <w:rFonts w:hint="eastAsia" w:ascii="宋体" w:hAnsi="宋体" w:cs="宋体"/>
                <w:color w:val="auto"/>
                <w:kern w:val="0"/>
                <w:sz w:val="21"/>
                <w:szCs w:val="21"/>
                <w:lang w:val="en-US" w:eastAsia="zh-CN"/>
              </w:rPr>
              <w:t>未做</w:t>
            </w:r>
            <w:r>
              <w:rPr>
                <w:rFonts w:hint="eastAsia" w:ascii="宋体" w:hAnsi="宋体" w:cs="宋体"/>
                <w:color w:val="auto"/>
                <w:kern w:val="0"/>
                <w:sz w:val="21"/>
                <w:szCs w:val="21"/>
              </w:rPr>
              <w:t>方案不得分。</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6</w:t>
            </w:r>
          </w:p>
        </w:tc>
      </w:tr>
      <w:tr>
        <w:tblPrEx>
          <w:tblCellMar>
            <w:top w:w="0" w:type="dxa"/>
            <w:left w:w="108" w:type="dxa"/>
            <w:bottom w:w="0" w:type="dxa"/>
            <w:right w:w="108" w:type="dxa"/>
          </w:tblCellMar>
        </w:tblPrEx>
        <w:trPr>
          <w:trHeight w:val="90" w:hRule="atLeast"/>
        </w:trPr>
        <w:tc>
          <w:tcPr>
            <w:tcW w:w="40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b/>
                <w:bCs/>
                <w:color w:val="auto"/>
                <w:kern w:val="0"/>
                <w:sz w:val="21"/>
                <w:szCs w:val="21"/>
              </w:rPr>
            </w:pP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根据投标人对数据中心数据标准体系中数据资源目录及数据表结构详细设计方案（至少包含标准数据库、主题数据库、专题数据库）进行</w:t>
            </w:r>
            <w:r>
              <w:rPr>
                <w:rFonts w:hint="eastAsia" w:ascii="宋体" w:hAnsi="宋体" w:cs="宋体"/>
                <w:color w:val="auto"/>
                <w:kern w:val="0"/>
                <w:sz w:val="21"/>
                <w:szCs w:val="21"/>
                <w:lang w:eastAsia="zh-CN"/>
              </w:rPr>
              <w:t>评</w:t>
            </w:r>
            <w:r>
              <w:rPr>
                <w:rFonts w:hint="eastAsia" w:ascii="宋体" w:hAnsi="宋体" w:cs="宋体"/>
                <w:color w:val="auto"/>
                <w:kern w:val="0"/>
                <w:sz w:val="21"/>
                <w:szCs w:val="21"/>
              </w:rPr>
              <w:t>分：</w:t>
            </w:r>
          </w:p>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rPr>
              <w:t>①</w:t>
            </w:r>
            <w:r>
              <w:rPr>
                <w:rFonts w:hint="eastAsia" w:ascii="宋体" w:hAnsi="宋体" w:cs="宋体"/>
                <w:color w:val="auto"/>
                <w:kern w:val="0"/>
                <w:sz w:val="21"/>
                <w:szCs w:val="21"/>
                <w:lang w:eastAsia="zh-CN"/>
              </w:rPr>
              <w:t>方案描述</w:t>
            </w:r>
            <w:r>
              <w:rPr>
                <w:rFonts w:hint="eastAsia" w:ascii="宋体" w:hAnsi="宋体" w:cs="宋体"/>
                <w:color w:val="auto"/>
                <w:kern w:val="0"/>
                <w:sz w:val="21"/>
                <w:szCs w:val="21"/>
              </w:rPr>
              <w:t>完整性、准确性、合理性</w:t>
            </w:r>
            <w:r>
              <w:rPr>
                <w:rFonts w:hint="eastAsia" w:ascii="宋体" w:hAnsi="宋体" w:cs="宋体"/>
                <w:color w:val="auto"/>
                <w:kern w:val="0"/>
                <w:sz w:val="21"/>
                <w:szCs w:val="21"/>
                <w:lang w:eastAsia="zh-CN"/>
              </w:rPr>
              <w:t>较好的</w:t>
            </w:r>
            <w:r>
              <w:rPr>
                <w:rFonts w:hint="eastAsia" w:ascii="宋体" w:hAnsi="宋体" w:cs="宋体"/>
                <w:color w:val="auto"/>
                <w:kern w:val="0"/>
                <w:sz w:val="21"/>
                <w:szCs w:val="21"/>
              </w:rPr>
              <w:t>得</w:t>
            </w:r>
            <w:r>
              <w:rPr>
                <w:rFonts w:hint="eastAsia" w:ascii="宋体" w:hAnsi="宋体" w:cs="宋体"/>
                <w:color w:val="auto"/>
                <w:kern w:val="0"/>
                <w:sz w:val="21"/>
                <w:szCs w:val="21"/>
                <w:lang w:val="en-US" w:eastAsia="zh-CN"/>
              </w:rPr>
              <w:t>6-4.1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w:t>
            </w:r>
          </w:p>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rPr>
              <w:t>②</w:t>
            </w:r>
            <w:r>
              <w:rPr>
                <w:rFonts w:hint="eastAsia" w:ascii="宋体" w:hAnsi="宋体" w:cs="宋体"/>
                <w:color w:val="auto"/>
                <w:kern w:val="0"/>
                <w:sz w:val="21"/>
                <w:szCs w:val="21"/>
                <w:lang w:eastAsia="zh-CN"/>
              </w:rPr>
              <w:t>方案描述</w:t>
            </w:r>
            <w:r>
              <w:rPr>
                <w:rFonts w:hint="eastAsia" w:ascii="宋体" w:hAnsi="宋体" w:cs="宋体"/>
                <w:color w:val="auto"/>
                <w:kern w:val="0"/>
                <w:sz w:val="21"/>
                <w:szCs w:val="21"/>
              </w:rPr>
              <w:t>完整性、准确性、合理性一般</w:t>
            </w:r>
            <w:r>
              <w:rPr>
                <w:rFonts w:hint="eastAsia" w:ascii="宋体" w:hAnsi="宋体" w:cs="宋体"/>
                <w:color w:val="auto"/>
                <w:kern w:val="0"/>
                <w:sz w:val="21"/>
                <w:szCs w:val="21"/>
                <w:lang w:eastAsia="zh-CN"/>
              </w:rPr>
              <w:t>的</w:t>
            </w:r>
            <w:r>
              <w:rPr>
                <w:rFonts w:hint="eastAsia" w:ascii="宋体" w:hAnsi="宋体" w:cs="宋体"/>
                <w:color w:val="auto"/>
                <w:kern w:val="0"/>
                <w:sz w:val="21"/>
                <w:szCs w:val="21"/>
              </w:rPr>
              <w:t>得</w:t>
            </w:r>
            <w:r>
              <w:rPr>
                <w:rFonts w:hint="eastAsia" w:ascii="宋体" w:hAnsi="宋体" w:cs="宋体"/>
                <w:color w:val="auto"/>
                <w:kern w:val="0"/>
                <w:sz w:val="21"/>
                <w:szCs w:val="21"/>
                <w:lang w:val="en-US" w:eastAsia="zh-CN"/>
              </w:rPr>
              <w:t>4-2.1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w:t>
            </w:r>
          </w:p>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rPr>
              <w:t>③</w:t>
            </w:r>
            <w:r>
              <w:rPr>
                <w:rFonts w:hint="eastAsia" w:ascii="宋体" w:hAnsi="宋体" w:cs="宋体"/>
                <w:color w:val="auto"/>
                <w:kern w:val="0"/>
                <w:sz w:val="21"/>
                <w:szCs w:val="21"/>
                <w:lang w:eastAsia="zh-CN"/>
              </w:rPr>
              <w:t>方案描述</w:t>
            </w:r>
            <w:r>
              <w:rPr>
                <w:rFonts w:hint="eastAsia" w:ascii="宋体" w:hAnsi="宋体" w:cs="宋体"/>
                <w:color w:val="auto"/>
                <w:kern w:val="0"/>
                <w:sz w:val="21"/>
                <w:szCs w:val="21"/>
              </w:rPr>
              <w:t>完整性、准确性、合理性</w:t>
            </w:r>
            <w:r>
              <w:rPr>
                <w:rFonts w:hint="eastAsia" w:ascii="宋体" w:hAnsi="宋体" w:cs="宋体"/>
                <w:color w:val="auto"/>
                <w:kern w:val="0"/>
                <w:sz w:val="21"/>
                <w:szCs w:val="21"/>
                <w:lang w:eastAsia="zh-CN"/>
              </w:rPr>
              <w:t>较差的</w:t>
            </w:r>
            <w:r>
              <w:rPr>
                <w:rFonts w:hint="eastAsia" w:ascii="宋体" w:hAnsi="宋体" w:cs="宋体"/>
                <w:color w:val="auto"/>
                <w:kern w:val="0"/>
                <w:sz w:val="21"/>
                <w:szCs w:val="21"/>
              </w:rPr>
              <w:t>得</w:t>
            </w:r>
            <w:r>
              <w:rPr>
                <w:rFonts w:hint="eastAsia" w:ascii="宋体" w:hAnsi="宋体" w:cs="宋体"/>
                <w:color w:val="auto"/>
                <w:kern w:val="0"/>
                <w:sz w:val="21"/>
                <w:szCs w:val="21"/>
                <w:lang w:val="en-US" w:eastAsia="zh-CN"/>
              </w:rPr>
              <w:t>2-0.1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w:t>
            </w:r>
          </w:p>
          <w:p>
            <w:pPr>
              <w:pStyle w:val="11"/>
              <w:spacing w:line="240" w:lineRule="auto"/>
              <w:ind w:left="0" w:leftChars="0" w:firstLine="0" w:firstLineChars="0"/>
              <w:rPr>
                <w:rFonts w:hint="eastAsia" w:ascii="宋体" w:hAnsi="宋体" w:cs="宋体"/>
                <w:color w:val="auto"/>
                <w:kern w:val="0"/>
                <w:sz w:val="21"/>
                <w:szCs w:val="21"/>
              </w:rPr>
            </w:pPr>
            <w:r>
              <w:rPr>
                <w:rFonts w:hint="eastAsia" w:ascii="宋体" w:hAnsi="宋体" w:cs="宋体"/>
                <w:color w:val="auto"/>
                <w:kern w:val="0"/>
                <w:sz w:val="21"/>
                <w:szCs w:val="21"/>
              </w:rPr>
              <w:t>④</w:t>
            </w:r>
            <w:r>
              <w:rPr>
                <w:rFonts w:hint="eastAsia" w:ascii="宋体" w:hAnsi="宋体" w:cs="宋体"/>
                <w:color w:val="auto"/>
                <w:kern w:val="0"/>
                <w:sz w:val="21"/>
                <w:szCs w:val="21"/>
                <w:lang w:val="en-US" w:eastAsia="zh-CN"/>
              </w:rPr>
              <w:t>未做</w:t>
            </w:r>
            <w:r>
              <w:rPr>
                <w:rFonts w:hint="eastAsia" w:ascii="宋体" w:hAnsi="宋体" w:cs="宋体"/>
                <w:color w:val="auto"/>
                <w:kern w:val="0"/>
                <w:sz w:val="21"/>
                <w:szCs w:val="21"/>
              </w:rPr>
              <w:t>方案不得分</w:t>
            </w:r>
            <w:r>
              <w:rPr>
                <w:rFonts w:hint="eastAsia" w:ascii="宋体" w:hAnsi="宋体" w:cs="宋体"/>
                <w:color w:val="auto"/>
                <w:kern w:val="0"/>
                <w:sz w:val="21"/>
                <w:szCs w:val="21"/>
                <w:lang w:eastAsia="zh-CN"/>
              </w:rPr>
              <w:t>。</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6</w:t>
            </w:r>
          </w:p>
        </w:tc>
      </w:tr>
      <w:tr>
        <w:tblPrEx>
          <w:tblCellMar>
            <w:top w:w="0" w:type="dxa"/>
            <w:left w:w="108" w:type="dxa"/>
            <w:bottom w:w="0" w:type="dxa"/>
            <w:right w:w="108" w:type="dxa"/>
          </w:tblCellMar>
        </w:tblPrEx>
        <w:trPr>
          <w:trHeight w:val="872" w:hRule="atLeast"/>
        </w:trPr>
        <w:tc>
          <w:tcPr>
            <w:tcW w:w="40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b/>
                <w:bCs/>
                <w:color w:val="auto"/>
                <w:kern w:val="0"/>
                <w:sz w:val="21"/>
                <w:szCs w:val="21"/>
              </w:rPr>
            </w:pP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根据投标人</w:t>
            </w:r>
            <w:r>
              <w:rPr>
                <w:rFonts w:hint="eastAsia" w:ascii="宋体" w:hAnsi="宋体" w:cs="宋体"/>
                <w:color w:val="auto"/>
                <w:kern w:val="0"/>
                <w:sz w:val="21"/>
                <w:szCs w:val="21"/>
                <w:lang w:eastAsia="zh-CN"/>
              </w:rPr>
              <w:t>设计的</w:t>
            </w:r>
            <w:r>
              <w:rPr>
                <w:rFonts w:hint="eastAsia" w:ascii="宋体" w:hAnsi="宋体" w:cs="宋体"/>
                <w:color w:val="auto"/>
                <w:kern w:val="0"/>
                <w:sz w:val="21"/>
                <w:szCs w:val="21"/>
              </w:rPr>
              <w:t>数据共享交换接口规范：南向（外部系统数据进入数据中心）、北向（数据中心提供数据给外部系统）数据流向图、接口模式、调用方式、调用协议、调用安全约定、返回信息码等设计方案进行打分：</w:t>
            </w:r>
          </w:p>
          <w:p>
            <w:pPr>
              <w:widowControl/>
              <w:spacing w:line="240" w:lineRule="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rPr>
              <w:t>①方案设计完整、合理，可实施性强得</w:t>
            </w:r>
            <w:r>
              <w:rPr>
                <w:rFonts w:hint="eastAsia" w:ascii="宋体" w:hAnsi="宋体" w:cs="宋体"/>
                <w:color w:val="auto"/>
                <w:kern w:val="0"/>
                <w:sz w:val="21"/>
                <w:szCs w:val="21"/>
                <w:lang w:val="en-US" w:eastAsia="zh-CN"/>
              </w:rPr>
              <w:t>6-4.1</w:t>
            </w:r>
            <w:r>
              <w:rPr>
                <w:rFonts w:hint="eastAsia" w:ascii="宋体" w:hAnsi="宋体" w:cs="宋体"/>
                <w:color w:val="auto"/>
                <w:kern w:val="0"/>
                <w:sz w:val="21"/>
                <w:szCs w:val="21"/>
              </w:rPr>
              <w:t>分；</w:t>
            </w:r>
          </w:p>
          <w:p>
            <w:pPr>
              <w:widowControl/>
              <w:spacing w:line="240" w:lineRule="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rPr>
              <w:t>②方案设计普通、基本合理，可以实施得</w:t>
            </w:r>
            <w:r>
              <w:rPr>
                <w:rFonts w:hint="eastAsia" w:ascii="宋体" w:hAnsi="宋体" w:cs="宋体"/>
                <w:color w:val="auto"/>
                <w:kern w:val="0"/>
                <w:sz w:val="21"/>
                <w:szCs w:val="21"/>
                <w:lang w:val="en-US" w:eastAsia="zh-CN"/>
              </w:rPr>
              <w:t>4-2.1</w:t>
            </w:r>
            <w:r>
              <w:rPr>
                <w:rFonts w:hint="eastAsia" w:ascii="宋体" w:hAnsi="宋体" w:cs="宋体"/>
                <w:color w:val="auto"/>
                <w:kern w:val="0"/>
                <w:sz w:val="21"/>
                <w:szCs w:val="21"/>
              </w:rPr>
              <w:t>分；</w:t>
            </w:r>
          </w:p>
          <w:p>
            <w:pPr>
              <w:widowControl/>
              <w:spacing w:line="240" w:lineRule="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rPr>
              <w:t>③方案设计有缺漏，但基本合理，可以实施得</w:t>
            </w:r>
            <w:r>
              <w:rPr>
                <w:rFonts w:hint="eastAsia" w:ascii="宋体" w:hAnsi="宋体" w:cs="宋体"/>
                <w:color w:val="auto"/>
                <w:kern w:val="0"/>
                <w:sz w:val="21"/>
                <w:szCs w:val="21"/>
                <w:lang w:val="en-US" w:eastAsia="zh-CN"/>
              </w:rPr>
              <w:t>2-0.1</w:t>
            </w:r>
            <w:r>
              <w:rPr>
                <w:rFonts w:hint="eastAsia" w:ascii="宋体" w:hAnsi="宋体" w:cs="宋体"/>
                <w:color w:val="auto"/>
                <w:kern w:val="0"/>
                <w:sz w:val="21"/>
                <w:szCs w:val="21"/>
              </w:rPr>
              <w:t>分；</w:t>
            </w:r>
          </w:p>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④</w:t>
            </w:r>
            <w:r>
              <w:rPr>
                <w:rFonts w:hint="eastAsia" w:ascii="宋体" w:hAnsi="宋体" w:cs="宋体"/>
                <w:color w:val="auto"/>
                <w:kern w:val="0"/>
                <w:sz w:val="21"/>
                <w:szCs w:val="21"/>
                <w:lang w:val="en-US" w:eastAsia="zh-CN"/>
              </w:rPr>
              <w:t>未做</w:t>
            </w:r>
            <w:r>
              <w:rPr>
                <w:rFonts w:hint="eastAsia" w:ascii="宋体" w:hAnsi="宋体" w:cs="宋体"/>
                <w:color w:val="auto"/>
                <w:kern w:val="0"/>
                <w:sz w:val="21"/>
                <w:szCs w:val="21"/>
              </w:rPr>
              <w:t>方案不得分。</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6</w:t>
            </w:r>
          </w:p>
        </w:tc>
      </w:tr>
      <w:tr>
        <w:tblPrEx>
          <w:tblCellMar>
            <w:top w:w="0" w:type="dxa"/>
            <w:left w:w="108" w:type="dxa"/>
            <w:bottom w:w="0" w:type="dxa"/>
            <w:right w:w="108" w:type="dxa"/>
          </w:tblCellMar>
        </w:tblPrEx>
        <w:trPr>
          <w:trHeight w:val="370" w:hRule="atLeast"/>
        </w:trPr>
        <w:tc>
          <w:tcPr>
            <w:tcW w:w="40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b/>
                <w:bCs/>
                <w:color w:val="auto"/>
                <w:kern w:val="0"/>
                <w:sz w:val="21"/>
                <w:szCs w:val="21"/>
              </w:rPr>
            </w:pP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根据投标人对应用融合接入规范（包含应用开发规范、技术接口协议、应用安全规范，其中接口规范包含但不限于单点登录接入规范、统一用户授权管理接口规范、应用系统日志采集技术规范、应用模块接入发布规范）</w:t>
            </w:r>
            <w:r>
              <w:rPr>
                <w:rFonts w:hint="eastAsia" w:ascii="宋体" w:hAnsi="宋体" w:cs="宋体"/>
                <w:color w:val="auto"/>
                <w:kern w:val="0"/>
                <w:sz w:val="21"/>
                <w:szCs w:val="21"/>
                <w:lang w:eastAsia="zh-CN"/>
              </w:rPr>
              <w:t>等</w:t>
            </w:r>
            <w:r>
              <w:rPr>
                <w:rFonts w:hint="eastAsia" w:ascii="宋体" w:hAnsi="宋体" w:cs="宋体"/>
                <w:color w:val="auto"/>
                <w:kern w:val="0"/>
                <w:sz w:val="21"/>
                <w:szCs w:val="21"/>
              </w:rPr>
              <w:t>设计方案进行打分：</w:t>
            </w:r>
          </w:p>
          <w:p>
            <w:pPr>
              <w:widowControl/>
              <w:spacing w:line="240" w:lineRule="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rPr>
              <w:t>①方案规范性强，完整性好的得</w:t>
            </w:r>
            <w:r>
              <w:rPr>
                <w:rFonts w:hint="eastAsia" w:ascii="宋体" w:hAnsi="宋体" w:cs="宋体"/>
                <w:color w:val="auto"/>
                <w:kern w:val="0"/>
                <w:sz w:val="21"/>
                <w:szCs w:val="21"/>
                <w:lang w:val="en-US" w:eastAsia="zh-CN"/>
              </w:rPr>
              <w:t>6-4.1</w:t>
            </w:r>
            <w:r>
              <w:rPr>
                <w:rFonts w:hint="eastAsia" w:ascii="宋体" w:hAnsi="宋体" w:cs="宋体"/>
                <w:color w:val="auto"/>
                <w:kern w:val="0"/>
                <w:sz w:val="21"/>
                <w:szCs w:val="21"/>
              </w:rPr>
              <w:t>分；</w:t>
            </w:r>
          </w:p>
          <w:p>
            <w:pPr>
              <w:widowControl/>
              <w:spacing w:line="240" w:lineRule="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rPr>
              <w:t>②方案规范性一般，完整性一般的得</w:t>
            </w:r>
            <w:r>
              <w:rPr>
                <w:rFonts w:hint="eastAsia" w:ascii="宋体" w:hAnsi="宋体" w:cs="宋体"/>
                <w:color w:val="auto"/>
                <w:kern w:val="0"/>
                <w:sz w:val="21"/>
                <w:szCs w:val="21"/>
                <w:lang w:val="en-US" w:eastAsia="zh-CN"/>
              </w:rPr>
              <w:t>4-2.1</w:t>
            </w:r>
            <w:r>
              <w:rPr>
                <w:rFonts w:hint="eastAsia" w:ascii="宋体" w:hAnsi="宋体" w:cs="宋体"/>
                <w:color w:val="auto"/>
                <w:kern w:val="0"/>
                <w:sz w:val="21"/>
                <w:szCs w:val="21"/>
              </w:rPr>
              <w:t>分；</w:t>
            </w:r>
          </w:p>
          <w:p>
            <w:pPr>
              <w:widowControl/>
              <w:spacing w:line="240" w:lineRule="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rPr>
              <w:t>③方案规范性较差，但基本完整的得</w:t>
            </w:r>
            <w:r>
              <w:rPr>
                <w:rFonts w:hint="eastAsia" w:ascii="宋体" w:hAnsi="宋体" w:cs="宋体"/>
                <w:color w:val="auto"/>
                <w:kern w:val="0"/>
                <w:sz w:val="21"/>
                <w:szCs w:val="21"/>
                <w:lang w:val="en-US" w:eastAsia="zh-CN"/>
              </w:rPr>
              <w:t>2-0.1</w:t>
            </w:r>
            <w:r>
              <w:rPr>
                <w:rFonts w:hint="eastAsia" w:ascii="宋体" w:hAnsi="宋体" w:cs="宋体"/>
                <w:color w:val="auto"/>
                <w:kern w:val="0"/>
                <w:sz w:val="21"/>
                <w:szCs w:val="21"/>
              </w:rPr>
              <w:t>分；</w:t>
            </w:r>
          </w:p>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④</w:t>
            </w:r>
            <w:r>
              <w:rPr>
                <w:rFonts w:hint="eastAsia" w:ascii="宋体" w:hAnsi="宋体" w:cs="宋体"/>
                <w:color w:val="auto"/>
                <w:kern w:val="0"/>
                <w:sz w:val="21"/>
                <w:szCs w:val="21"/>
                <w:lang w:val="en-US" w:eastAsia="zh-CN"/>
              </w:rPr>
              <w:t>未做</w:t>
            </w:r>
            <w:r>
              <w:rPr>
                <w:rFonts w:hint="eastAsia" w:ascii="宋体" w:hAnsi="宋体" w:cs="宋体"/>
                <w:color w:val="auto"/>
                <w:kern w:val="0"/>
                <w:sz w:val="21"/>
                <w:szCs w:val="21"/>
              </w:rPr>
              <w:t>方案不得分。</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6</w:t>
            </w:r>
          </w:p>
        </w:tc>
      </w:tr>
      <w:tr>
        <w:tblPrEx>
          <w:tblCellMar>
            <w:top w:w="0" w:type="dxa"/>
            <w:left w:w="108" w:type="dxa"/>
            <w:bottom w:w="0" w:type="dxa"/>
            <w:right w:w="108" w:type="dxa"/>
          </w:tblCellMar>
        </w:tblPrEx>
        <w:trPr>
          <w:trHeight w:val="90" w:hRule="atLeast"/>
        </w:trPr>
        <w:tc>
          <w:tcPr>
            <w:tcW w:w="40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b/>
                <w:bCs/>
                <w:color w:val="auto"/>
                <w:kern w:val="0"/>
                <w:sz w:val="21"/>
                <w:szCs w:val="21"/>
              </w:rPr>
            </w:pP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根据投标人对</w:t>
            </w:r>
            <w:r>
              <w:rPr>
                <w:rFonts w:hint="eastAsia" w:ascii="宋体" w:hAnsi="宋体" w:cs="宋体"/>
                <w:color w:val="auto"/>
                <w:kern w:val="0"/>
                <w:sz w:val="21"/>
                <w:szCs w:val="21"/>
                <w:lang w:eastAsia="zh-CN"/>
              </w:rPr>
              <w:t>数智实战模块</w:t>
            </w:r>
            <w:r>
              <w:rPr>
                <w:rFonts w:hint="eastAsia" w:ascii="宋体" w:hAnsi="宋体" w:cs="宋体"/>
                <w:color w:val="auto"/>
                <w:kern w:val="0"/>
                <w:sz w:val="21"/>
                <w:szCs w:val="21"/>
              </w:rPr>
              <w:t>详细设计方案（至少包含</w:t>
            </w:r>
            <w:r>
              <w:rPr>
                <w:rFonts w:hint="eastAsia" w:ascii="宋体" w:hAnsi="宋体" w:cs="宋体"/>
                <w:color w:val="auto"/>
                <w:kern w:val="0"/>
                <w:sz w:val="21"/>
                <w:szCs w:val="21"/>
                <w:lang w:eastAsia="zh-CN"/>
              </w:rPr>
              <w:t>目标、框架、流程、功能等</w:t>
            </w:r>
            <w:r>
              <w:rPr>
                <w:rFonts w:hint="eastAsia" w:ascii="宋体" w:hAnsi="宋体" w:cs="宋体"/>
                <w:color w:val="auto"/>
                <w:kern w:val="0"/>
                <w:sz w:val="21"/>
                <w:szCs w:val="21"/>
              </w:rPr>
              <w:t>）进行</w:t>
            </w:r>
            <w:r>
              <w:rPr>
                <w:rFonts w:hint="eastAsia" w:ascii="宋体" w:hAnsi="宋体" w:cs="宋体"/>
                <w:color w:val="auto"/>
                <w:kern w:val="0"/>
                <w:sz w:val="21"/>
                <w:szCs w:val="21"/>
                <w:lang w:eastAsia="zh-CN"/>
              </w:rPr>
              <w:t>评</w:t>
            </w:r>
            <w:r>
              <w:rPr>
                <w:rFonts w:hint="eastAsia" w:ascii="宋体" w:hAnsi="宋体" w:cs="宋体"/>
                <w:color w:val="auto"/>
                <w:kern w:val="0"/>
                <w:sz w:val="21"/>
                <w:szCs w:val="21"/>
              </w:rPr>
              <w:t>分：</w:t>
            </w:r>
          </w:p>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rPr>
              <w:t>①</w:t>
            </w:r>
            <w:r>
              <w:rPr>
                <w:rFonts w:hint="eastAsia" w:ascii="宋体" w:hAnsi="宋体" w:cs="宋体"/>
                <w:color w:val="auto"/>
                <w:kern w:val="0"/>
                <w:sz w:val="21"/>
                <w:szCs w:val="21"/>
                <w:lang w:eastAsia="zh-CN"/>
              </w:rPr>
              <w:t>方案描述</w:t>
            </w:r>
            <w:r>
              <w:rPr>
                <w:rFonts w:hint="eastAsia" w:ascii="宋体" w:hAnsi="宋体" w:cs="宋体"/>
                <w:color w:val="auto"/>
                <w:kern w:val="0"/>
                <w:sz w:val="21"/>
                <w:szCs w:val="21"/>
              </w:rPr>
              <w:t>完整性、准确性、合理性</w:t>
            </w:r>
            <w:r>
              <w:rPr>
                <w:rFonts w:hint="eastAsia" w:ascii="宋体" w:hAnsi="宋体" w:cs="宋体"/>
                <w:color w:val="auto"/>
                <w:kern w:val="0"/>
                <w:sz w:val="21"/>
                <w:szCs w:val="21"/>
                <w:lang w:eastAsia="zh-CN"/>
              </w:rPr>
              <w:t>较好的</w:t>
            </w:r>
            <w:r>
              <w:rPr>
                <w:rFonts w:hint="eastAsia" w:ascii="宋体" w:hAnsi="宋体" w:cs="宋体"/>
                <w:color w:val="auto"/>
                <w:kern w:val="0"/>
                <w:sz w:val="21"/>
                <w:szCs w:val="21"/>
              </w:rPr>
              <w:t>得</w:t>
            </w:r>
            <w:r>
              <w:rPr>
                <w:rFonts w:hint="eastAsia" w:ascii="宋体" w:hAnsi="宋体" w:cs="宋体"/>
                <w:color w:val="auto"/>
                <w:kern w:val="0"/>
                <w:sz w:val="21"/>
                <w:szCs w:val="21"/>
                <w:lang w:val="en-US" w:eastAsia="zh-CN"/>
              </w:rPr>
              <w:t>6-4.1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w:t>
            </w:r>
          </w:p>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rPr>
              <w:t>②</w:t>
            </w:r>
            <w:r>
              <w:rPr>
                <w:rFonts w:hint="eastAsia" w:ascii="宋体" w:hAnsi="宋体" w:cs="宋体"/>
                <w:color w:val="auto"/>
                <w:kern w:val="0"/>
                <w:sz w:val="21"/>
                <w:szCs w:val="21"/>
                <w:lang w:eastAsia="zh-CN"/>
              </w:rPr>
              <w:t>方案描述</w:t>
            </w:r>
            <w:r>
              <w:rPr>
                <w:rFonts w:hint="eastAsia" w:ascii="宋体" w:hAnsi="宋体" w:cs="宋体"/>
                <w:color w:val="auto"/>
                <w:kern w:val="0"/>
                <w:sz w:val="21"/>
                <w:szCs w:val="21"/>
              </w:rPr>
              <w:t>完整性、准确性、合理性一般</w:t>
            </w:r>
            <w:r>
              <w:rPr>
                <w:rFonts w:hint="eastAsia" w:ascii="宋体" w:hAnsi="宋体" w:cs="宋体"/>
                <w:color w:val="auto"/>
                <w:kern w:val="0"/>
                <w:sz w:val="21"/>
                <w:szCs w:val="21"/>
                <w:lang w:eastAsia="zh-CN"/>
              </w:rPr>
              <w:t>的</w:t>
            </w:r>
            <w:r>
              <w:rPr>
                <w:rFonts w:hint="eastAsia" w:ascii="宋体" w:hAnsi="宋体" w:cs="宋体"/>
                <w:color w:val="auto"/>
                <w:kern w:val="0"/>
                <w:sz w:val="21"/>
                <w:szCs w:val="21"/>
              </w:rPr>
              <w:t>得</w:t>
            </w:r>
            <w:r>
              <w:rPr>
                <w:rFonts w:hint="eastAsia" w:ascii="宋体" w:hAnsi="宋体" w:cs="宋体"/>
                <w:color w:val="auto"/>
                <w:kern w:val="0"/>
                <w:sz w:val="21"/>
                <w:szCs w:val="21"/>
                <w:lang w:val="en-US" w:eastAsia="zh-CN"/>
              </w:rPr>
              <w:t>4-2.1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w:t>
            </w:r>
          </w:p>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rPr>
              <w:t>③</w:t>
            </w:r>
            <w:r>
              <w:rPr>
                <w:rFonts w:hint="eastAsia" w:ascii="宋体" w:hAnsi="宋体" w:cs="宋体"/>
                <w:color w:val="auto"/>
                <w:kern w:val="0"/>
                <w:sz w:val="21"/>
                <w:szCs w:val="21"/>
                <w:lang w:eastAsia="zh-CN"/>
              </w:rPr>
              <w:t>方案描述</w:t>
            </w:r>
            <w:r>
              <w:rPr>
                <w:rFonts w:hint="eastAsia" w:ascii="宋体" w:hAnsi="宋体" w:cs="宋体"/>
                <w:color w:val="auto"/>
                <w:kern w:val="0"/>
                <w:sz w:val="21"/>
                <w:szCs w:val="21"/>
              </w:rPr>
              <w:t>完整性、准确性、合理性</w:t>
            </w:r>
            <w:r>
              <w:rPr>
                <w:rFonts w:hint="eastAsia" w:ascii="宋体" w:hAnsi="宋体" w:cs="宋体"/>
                <w:color w:val="auto"/>
                <w:kern w:val="0"/>
                <w:sz w:val="21"/>
                <w:szCs w:val="21"/>
                <w:lang w:eastAsia="zh-CN"/>
              </w:rPr>
              <w:t>较差的</w:t>
            </w:r>
            <w:r>
              <w:rPr>
                <w:rFonts w:hint="eastAsia" w:ascii="宋体" w:hAnsi="宋体" w:cs="宋体"/>
                <w:color w:val="auto"/>
                <w:kern w:val="0"/>
                <w:sz w:val="21"/>
                <w:szCs w:val="21"/>
              </w:rPr>
              <w:t>得</w:t>
            </w:r>
            <w:r>
              <w:rPr>
                <w:rFonts w:hint="eastAsia" w:ascii="宋体" w:hAnsi="宋体" w:cs="宋体"/>
                <w:color w:val="auto"/>
                <w:kern w:val="0"/>
                <w:sz w:val="21"/>
                <w:szCs w:val="21"/>
                <w:lang w:val="en-US" w:eastAsia="zh-CN"/>
              </w:rPr>
              <w:t>2-0.1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w:t>
            </w:r>
          </w:p>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④</w:t>
            </w:r>
            <w:r>
              <w:rPr>
                <w:rFonts w:hint="eastAsia" w:ascii="宋体" w:hAnsi="宋体" w:cs="宋体"/>
                <w:color w:val="auto"/>
                <w:kern w:val="0"/>
                <w:sz w:val="21"/>
                <w:szCs w:val="21"/>
                <w:lang w:val="en-US" w:eastAsia="zh-CN"/>
              </w:rPr>
              <w:t>未做</w:t>
            </w:r>
            <w:r>
              <w:rPr>
                <w:rFonts w:hint="eastAsia" w:ascii="宋体" w:hAnsi="宋体" w:cs="宋体"/>
                <w:color w:val="auto"/>
                <w:kern w:val="0"/>
                <w:sz w:val="21"/>
                <w:szCs w:val="21"/>
              </w:rPr>
              <w:t>方案不得分。</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6</w:t>
            </w:r>
          </w:p>
        </w:tc>
      </w:tr>
      <w:tr>
        <w:tblPrEx>
          <w:tblCellMar>
            <w:top w:w="0" w:type="dxa"/>
            <w:left w:w="108" w:type="dxa"/>
            <w:bottom w:w="0" w:type="dxa"/>
            <w:right w:w="108" w:type="dxa"/>
          </w:tblCellMar>
        </w:tblPrEx>
        <w:trPr>
          <w:trHeight w:val="1083" w:hRule="atLeast"/>
        </w:trPr>
        <w:tc>
          <w:tcPr>
            <w:tcW w:w="40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b/>
                <w:bCs/>
                <w:color w:val="auto"/>
                <w:kern w:val="0"/>
                <w:sz w:val="21"/>
                <w:szCs w:val="21"/>
              </w:rPr>
            </w:pP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根据投标人对</w:t>
            </w:r>
            <w:r>
              <w:rPr>
                <w:rFonts w:hint="eastAsia" w:ascii="宋体" w:hAnsi="宋体" w:cs="宋体"/>
                <w:color w:val="auto"/>
                <w:kern w:val="0"/>
                <w:sz w:val="21"/>
                <w:szCs w:val="21"/>
                <w:lang w:eastAsia="zh-CN"/>
              </w:rPr>
              <w:t>数智决策模块</w:t>
            </w:r>
            <w:r>
              <w:rPr>
                <w:rFonts w:hint="eastAsia" w:ascii="宋体" w:hAnsi="宋体" w:cs="宋体"/>
                <w:color w:val="auto"/>
                <w:kern w:val="0"/>
                <w:sz w:val="21"/>
                <w:szCs w:val="21"/>
              </w:rPr>
              <w:t>详细设计方案（至少包含</w:t>
            </w:r>
            <w:r>
              <w:rPr>
                <w:rFonts w:hint="eastAsia" w:ascii="宋体" w:hAnsi="宋体" w:cs="宋体"/>
                <w:color w:val="auto"/>
                <w:kern w:val="0"/>
                <w:sz w:val="21"/>
                <w:szCs w:val="21"/>
                <w:lang w:eastAsia="zh-CN"/>
              </w:rPr>
              <w:t>目标、框架、流程、功能、预期视觉效果等</w:t>
            </w:r>
            <w:r>
              <w:rPr>
                <w:rFonts w:hint="eastAsia" w:ascii="宋体" w:hAnsi="宋体" w:cs="宋体"/>
                <w:color w:val="auto"/>
                <w:kern w:val="0"/>
                <w:sz w:val="21"/>
                <w:szCs w:val="21"/>
              </w:rPr>
              <w:t>）进行</w:t>
            </w:r>
            <w:r>
              <w:rPr>
                <w:rFonts w:hint="eastAsia" w:ascii="宋体" w:hAnsi="宋体" w:cs="宋体"/>
                <w:color w:val="auto"/>
                <w:kern w:val="0"/>
                <w:sz w:val="21"/>
                <w:szCs w:val="21"/>
                <w:lang w:eastAsia="zh-CN"/>
              </w:rPr>
              <w:t>评</w:t>
            </w:r>
            <w:r>
              <w:rPr>
                <w:rFonts w:hint="eastAsia" w:ascii="宋体" w:hAnsi="宋体" w:cs="宋体"/>
                <w:color w:val="auto"/>
                <w:kern w:val="0"/>
                <w:sz w:val="21"/>
                <w:szCs w:val="21"/>
              </w:rPr>
              <w:t>分：</w:t>
            </w:r>
          </w:p>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rPr>
              <w:t>①</w:t>
            </w:r>
            <w:r>
              <w:rPr>
                <w:rFonts w:hint="eastAsia" w:ascii="宋体" w:hAnsi="宋体" w:cs="宋体"/>
                <w:color w:val="auto"/>
                <w:kern w:val="0"/>
                <w:sz w:val="21"/>
                <w:szCs w:val="21"/>
                <w:lang w:eastAsia="zh-CN"/>
              </w:rPr>
              <w:t>方案描述</w:t>
            </w:r>
            <w:r>
              <w:rPr>
                <w:rFonts w:hint="eastAsia" w:ascii="宋体" w:hAnsi="宋体" w:cs="宋体"/>
                <w:color w:val="auto"/>
                <w:kern w:val="0"/>
                <w:sz w:val="21"/>
                <w:szCs w:val="21"/>
              </w:rPr>
              <w:t>完整性、准确性、合理性</w:t>
            </w:r>
            <w:r>
              <w:rPr>
                <w:rFonts w:hint="eastAsia" w:ascii="宋体" w:hAnsi="宋体" w:cs="宋体"/>
                <w:color w:val="auto"/>
                <w:kern w:val="0"/>
                <w:sz w:val="21"/>
                <w:szCs w:val="21"/>
                <w:lang w:eastAsia="zh-CN"/>
              </w:rPr>
              <w:t>较好的</w:t>
            </w:r>
            <w:r>
              <w:rPr>
                <w:rFonts w:hint="eastAsia" w:ascii="宋体" w:hAnsi="宋体" w:cs="宋体"/>
                <w:color w:val="auto"/>
                <w:kern w:val="0"/>
                <w:sz w:val="21"/>
                <w:szCs w:val="21"/>
              </w:rPr>
              <w:t>得</w:t>
            </w:r>
            <w:r>
              <w:rPr>
                <w:rFonts w:hint="eastAsia" w:ascii="宋体" w:hAnsi="宋体" w:cs="宋体"/>
                <w:color w:val="auto"/>
                <w:kern w:val="0"/>
                <w:sz w:val="21"/>
                <w:szCs w:val="21"/>
                <w:lang w:val="en-US" w:eastAsia="zh-CN"/>
              </w:rPr>
              <w:t>6-4.1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w:t>
            </w:r>
          </w:p>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rPr>
              <w:t>②</w:t>
            </w:r>
            <w:r>
              <w:rPr>
                <w:rFonts w:hint="eastAsia" w:ascii="宋体" w:hAnsi="宋体" w:cs="宋体"/>
                <w:color w:val="auto"/>
                <w:kern w:val="0"/>
                <w:sz w:val="21"/>
                <w:szCs w:val="21"/>
                <w:lang w:eastAsia="zh-CN"/>
              </w:rPr>
              <w:t>方案描述</w:t>
            </w:r>
            <w:r>
              <w:rPr>
                <w:rFonts w:hint="eastAsia" w:ascii="宋体" w:hAnsi="宋体" w:cs="宋体"/>
                <w:color w:val="auto"/>
                <w:kern w:val="0"/>
                <w:sz w:val="21"/>
                <w:szCs w:val="21"/>
              </w:rPr>
              <w:t>完整性、准确性、合理性一般</w:t>
            </w:r>
            <w:r>
              <w:rPr>
                <w:rFonts w:hint="eastAsia" w:ascii="宋体" w:hAnsi="宋体" w:cs="宋体"/>
                <w:color w:val="auto"/>
                <w:kern w:val="0"/>
                <w:sz w:val="21"/>
                <w:szCs w:val="21"/>
                <w:lang w:eastAsia="zh-CN"/>
              </w:rPr>
              <w:t>的</w:t>
            </w:r>
            <w:r>
              <w:rPr>
                <w:rFonts w:hint="eastAsia" w:ascii="宋体" w:hAnsi="宋体" w:cs="宋体"/>
                <w:color w:val="auto"/>
                <w:kern w:val="0"/>
                <w:sz w:val="21"/>
                <w:szCs w:val="21"/>
              </w:rPr>
              <w:t>得</w:t>
            </w:r>
            <w:r>
              <w:rPr>
                <w:rFonts w:hint="eastAsia" w:ascii="宋体" w:hAnsi="宋体" w:cs="宋体"/>
                <w:color w:val="auto"/>
                <w:kern w:val="0"/>
                <w:sz w:val="21"/>
                <w:szCs w:val="21"/>
                <w:lang w:val="en-US" w:eastAsia="zh-CN"/>
              </w:rPr>
              <w:t>4-2.1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w:t>
            </w:r>
          </w:p>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rPr>
              <w:t>③</w:t>
            </w:r>
            <w:r>
              <w:rPr>
                <w:rFonts w:hint="eastAsia" w:ascii="宋体" w:hAnsi="宋体" w:cs="宋体"/>
                <w:color w:val="auto"/>
                <w:kern w:val="0"/>
                <w:sz w:val="21"/>
                <w:szCs w:val="21"/>
                <w:lang w:eastAsia="zh-CN"/>
              </w:rPr>
              <w:t>方案描述</w:t>
            </w:r>
            <w:r>
              <w:rPr>
                <w:rFonts w:hint="eastAsia" w:ascii="宋体" w:hAnsi="宋体" w:cs="宋体"/>
                <w:color w:val="auto"/>
                <w:kern w:val="0"/>
                <w:sz w:val="21"/>
                <w:szCs w:val="21"/>
              </w:rPr>
              <w:t>完整性、准确性、合理性</w:t>
            </w:r>
            <w:r>
              <w:rPr>
                <w:rFonts w:hint="eastAsia" w:ascii="宋体" w:hAnsi="宋体" w:cs="宋体"/>
                <w:color w:val="auto"/>
                <w:kern w:val="0"/>
                <w:sz w:val="21"/>
                <w:szCs w:val="21"/>
                <w:lang w:eastAsia="zh-CN"/>
              </w:rPr>
              <w:t>较差的</w:t>
            </w:r>
            <w:r>
              <w:rPr>
                <w:rFonts w:hint="eastAsia" w:ascii="宋体" w:hAnsi="宋体" w:cs="宋体"/>
                <w:color w:val="auto"/>
                <w:kern w:val="0"/>
                <w:sz w:val="21"/>
                <w:szCs w:val="21"/>
              </w:rPr>
              <w:t>得</w:t>
            </w:r>
            <w:r>
              <w:rPr>
                <w:rFonts w:hint="eastAsia" w:ascii="宋体" w:hAnsi="宋体" w:cs="宋体"/>
                <w:color w:val="auto"/>
                <w:kern w:val="0"/>
                <w:sz w:val="21"/>
                <w:szCs w:val="21"/>
                <w:lang w:val="en-US" w:eastAsia="zh-CN"/>
              </w:rPr>
              <w:t>2-0.1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w:t>
            </w:r>
          </w:p>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④</w:t>
            </w:r>
            <w:r>
              <w:rPr>
                <w:rFonts w:hint="eastAsia" w:ascii="宋体" w:hAnsi="宋体" w:cs="宋体"/>
                <w:color w:val="auto"/>
                <w:kern w:val="0"/>
                <w:sz w:val="21"/>
                <w:szCs w:val="21"/>
                <w:lang w:val="en-US" w:eastAsia="zh-CN"/>
              </w:rPr>
              <w:t>未做</w:t>
            </w:r>
            <w:r>
              <w:rPr>
                <w:rFonts w:hint="eastAsia" w:ascii="宋体" w:hAnsi="宋体" w:cs="宋体"/>
                <w:color w:val="auto"/>
                <w:kern w:val="0"/>
                <w:sz w:val="21"/>
                <w:szCs w:val="21"/>
              </w:rPr>
              <w:t>方案不得分。</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6</w:t>
            </w:r>
          </w:p>
        </w:tc>
      </w:tr>
      <w:tr>
        <w:tblPrEx>
          <w:tblCellMar>
            <w:top w:w="0" w:type="dxa"/>
            <w:left w:w="108" w:type="dxa"/>
            <w:bottom w:w="0" w:type="dxa"/>
            <w:right w:w="108" w:type="dxa"/>
          </w:tblCellMar>
        </w:tblPrEx>
        <w:trPr>
          <w:trHeight w:val="1033" w:hRule="atLeast"/>
        </w:trPr>
        <w:tc>
          <w:tcPr>
            <w:tcW w:w="40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b/>
                <w:bCs/>
                <w:color w:val="auto"/>
                <w:kern w:val="0"/>
                <w:sz w:val="21"/>
                <w:szCs w:val="21"/>
              </w:rPr>
            </w:pP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rPr>
            </w:pPr>
            <w:r>
              <w:rPr>
                <w:rFonts w:hint="eastAsia" w:ascii="宋体" w:hAnsi="宋体" w:cs="宋体"/>
                <w:color w:val="auto"/>
                <w:kern w:val="0"/>
                <w:sz w:val="21"/>
                <w:szCs w:val="21"/>
              </w:rPr>
              <w:t>根据投标人对</w:t>
            </w:r>
            <w:r>
              <w:rPr>
                <w:rFonts w:hint="eastAsia" w:ascii="宋体" w:hAnsi="宋体" w:cs="宋体"/>
                <w:color w:val="auto"/>
                <w:kern w:val="0"/>
                <w:sz w:val="21"/>
                <w:szCs w:val="21"/>
                <w:lang w:eastAsia="zh-CN"/>
              </w:rPr>
              <w:t>其它模块</w:t>
            </w:r>
            <w:r>
              <w:rPr>
                <w:rFonts w:hint="eastAsia" w:ascii="宋体" w:hAnsi="宋体" w:cs="宋体"/>
                <w:color w:val="auto"/>
                <w:kern w:val="0"/>
                <w:sz w:val="21"/>
                <w:szCs w:val="21"/>
              </w:rPr>
              <w:t>详细设计方案（至少包含</w:t>
            </w:r>
            <w:r>
              <w:rPr>
                <w:rFonts w:hint="eastAsia" w:ascii="宋体" w:hAnsi="宋体" w:cs="宋体"/>
                <w:color w:val="auto"/>
                <w:kern w:val="0"/>
                <w:sz w:val="21"/>
                <w:szCs w:val="21"/>
                <w:lang w:eastAsia="zh-CN"/>
              </w:rPr>
              <w:t>目标、框架、流程、功能、预期视觉效果等</w:t>
            </w:r>
            <w:r>
              <w:rPr>
                <w:rFonts w:hint="eastAsia" w:ascii="宋体" w:hAnsi="宋体" w:cs="宋体"/>
                <w:color w:val="auto"/>
                <w:kern w:val="0"/>
                <w:sz w:val="21"/>
                <w:szCs w:val="21"/>
              </w:rPr>
              <w:t>）进行</w:t>
            </w:r>
            <w:r>
              <w:rPr>
                <w:rFonts w:hint="eastAsia" w:ascii="宋体" w:hAnsi="宋体" w:cs="宋体"/>
                <w:color w:val="auto"/>
                <w:kern w:val="0"/>
                <w:sz w:val="21"/>
                <w:szCs w:val="21"/>
                <w:lang w:eastAsia="zh-CN"/>
              </w:rPr>
              <w:t>评</w:t>
            </w:r>
            <w:r>
              <w:rPr>
                <w:rFonts w:hint="eastAsia" w:ascii="宋体" w:hAnsi="宋体" w:cs="宋体"/>
                <w:color w:val="auto"/>
                <w:kern w:val="0"/>
                <w:sz w:val="21"/>
                <w:szCs w:val="21"/>
              </w:rPr>
              <w:t>分：</w:t>
            </w:r>
          </w:p>
          <w:p>
            <w:pPr>
              <w:widowControl/>
              <w:spacing w:line="24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①</w:t>
            </w:r>
            <w:r>
              <w:rPr>
                <w:rFonts w:hint="eastAsia" w:ascii="宋体" w:hAnsi="宋体" w:eastAsia="宋体" w:cs="宋体"/>
                <w:color w:val="auto"/>
                <w:kern w:val="0"/>
                <w:sz w:val="21"/>
                <w:szCs w:val="21"/>
                <w:lang w:eastAsia="zh-CN"/>
              </w:rPr>
              <w:t>方案描述</w:t>
            </w:r>
            <w:r>
              <w:rPr>
                <w:rFonts w:hint="eastAsia" w:ascii="宋体" w:hAnsi="宋体" w:eastAsia="宋体" w:cs="宋体"/>
                <w:color w:val="auto"/>
                <w:kern w:val="0"/>
                <w:sz w:val="21"/>
                <w:szCs w:val="21"/>
              </w:rPr>
              <w:t>完整性、准确性、合理性</w:t>
            </w:r>
            <w:r>
              <w:rPr>
                <w:rFonts w:hint="eastAsia" w:ascii="宋体" w:hAnsi="宋体" w:eastAsia="宋体" w:cs="宋体"/>
                <w:color w:val="auto"/>
                <w:kern w:val="0"/>
                <w:sz w:val="21"/>
                <w:szCs w:val="21"/>
                <w:lang w:eastAsia="zh-CN"/>
              </w:rPr>
              <w:t>较好的</w:t>
            </w:r>
            <w:r>
              <w:rPr>
                <w:rFonts w:hint="eastAsia" w:ascii="宋体" w:hAnsi="宋体" w:eastAsia="宋体" w:cs="宋体"/>
                <w:color w:val="auto"/>
                <w:kern w:val="0"/>
                <w:sz w:val="21"/>
                <w:szCs w:val="21"/>
              </w:rPr>
              <w:t>得</w:t>
            </w:r>
            <w:r>
              <w:rPr>
                <w:rFonts w:hint="eastAsia" w:ascii="宋体" w:hAnsi="宋体" w:eastAsia="宋体" w:cs="宋体"/>
                <w:color w:val="auto"/>
                <w:kern w:val="0"/>
                <w:sz w:val="21"/>
                <w:szCs w:val="21"/>
                <w:lang w:val="en-US" w:eastAsia="zh-CN"/>
              </w:rPr>
              <w:t>6-4.1</w:t>
            </w:r>
            <w:r>
              <w:rPr>
                <w:rFonts w:hint="eastAsia" w:ascii="宋体" w:hAnsi="宋体" w:eastAsia="宋体" w:cs="宋体"/>
                <w:color w:val="auto"/>
                <w:kern w:val="0"/>
                <w:sz w:val="21"/>
                <w:szCs w:val="21"/>
              </w:rPr>
              <w:t>分</w:t>
            </w:r>
            <w:r>
              <w:rPr>
                <w:rFonts w:hint="eastAsia" w:ascii="宋体" w:hAnsi="宋体" w:eastAsia="宋体" w:cs="宋体"/>
                <w:color w:val="auto"/>
                <w:kern w:val="0"/>
                <w:sz w:val="21"/>
                <w:szCs w:val="21"/>
                <w:lang w:eastAsia="zh-CN"/>
              </w:rPr>
              <w:t>；</w:t>
            </w:r>
          </w:p>
          <w:p>
            <w:pPr>
              <w:widowControl/>
              <w:spacing w:line="24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②</w:t>
            </w:r>
            <w:r>
              <w:rPr>
                <w:rFonts w:hint="eastAsia" w:ascii="宋体" w:hAnsi="宋体" w:eastAsia="宋体" w:cs="宋体"/>
                <w:color w:val="auto"/>
                <w:kern w:val="0"/>
                <w:sz w:val="21"/>
                <w:szCs w:val="21"/>
                <w:lang w:eastAsia="zh-CN"/>
              </w:rPr>
              <w:t>方案描述</w:t>
            </w:r>
            <w:r>
              <w:rPr>
                <w:rFonts w:hint="eastAsia" w:ascii="宋体" w:hAnsi="宋体" w:eastAsia="宋体" w:cs="宋体"/>
                <w:color w:val="auto"/>
                <w:kern w:val="0"/>
                <w:sz w:val="21"/>
                <w:szCs w:val="21"/>
              </w:rPr>
              <w:t>完整性、准确性、合理性一般</w:t>
            </w:r>
            <w:r>
              <w:rPr>
                <w:rFonts w:hint="eastAsia" w:ascii="宋体" w:hAnsi="宋体" w:eastAsia="宋体" w:cs="宋体"/>
                <w:color w:val="auto"/>
                <w:kern w:val="0"/>
                <w:sz w:val="21"/>
                <w:szCs w:val="21"/>
                <w:lang w:eastAsia="zh-CN"/>
              </w:rPr>
              <w:t>的</w:t>
            </w:r>
            <w:r>
              <w:rPr>
                <w:rFonts w:hint="eastAsia" w:ascii="宋体" w:hAnsi="宋体" w:eastAsia="宋体" w:cs="宋体"/>
                <w:color w:val="auto"/>
                <w:kern w:val="0"/>
                <w:sz w:val="21"/>
                <w:szCs w:val="21"/>
              </w:rPr>
              <w:t>得</w:t>
            </w:r>
            <w:r>
              <w:rPr>
                <w:rFonts w:hint="eastAsia" w:ascii="宋体" w:hAnsi="宋体" w:eastAsia="宋体" w:cs="宋体"/>
                <w:color w:val="auto"/>
                <w:kern w:val="0"/>
                <w:sz w:val="21"/>
                <w:szCs w:val="21"/>
                <w:lang w:val="en-US" w:eastAsia="zh-CN"/>
              </w:rPr>
              <w:t>4-2.1</w:t>
            </w:r>
            <w:r>
              <w:rPr>
                <w:rFonts w:hint="eastAsia" w:ascii="宋体" w:hAnsi="宋体" w:eastAsia="宋体" w:cs="宋体"/>
                <w:color w:val="auto"/>
                <w:kern w:val="0"/>
                <w:sz w:val="21"/>
                <w:szCs w:val="21"/>
              </w:rPr>
              <w:t>分</w:t>
            </w:r>
            <w:r>
              <w:rPr>
                <w:rFonts w:hint="eastAsia" w:ascii="宋体" w:hAnsi="宋体" w:eastAsia="宋体" w:cs="宋体"/>
                <w:color w:val="auto"/>
                <w:kern w:val="0"/>
                <w:sz w:val="21"/>
                <w:szCs w:val="21"/>
                <w:lang w:eastAsia="zh-CN"/>
              </w:rPr>
              <w:t>；</w:t>
            </w:r>
          </w:p>
          <w:p>
            <w:pPr>
              <w:widowControl/>
              <w:spacing w:line="24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③</w:t>
            </w:r>
            <w:r>
              <w:rPr>
                <w:rFonts w:hint="eastAsia" w:ascii="宋体" w:hAnsi="宋体" w:eastAsia="宋体" w:cs="宋体"/>
                <w:color w:val="auto"/>
                <w:kern w:val="0"/>
                <w:sz w:val="21"/>
                <w:szCs w:val="21"/>
                <w:lang w:eastAsia="zh-CN"/>
              </w:rPr>
              <w:t>方案描述</w:t>
            </w:r>
            <w:r>
              <w:rPr>
                <w:rFonts w:hint="eastAsia" w:ascii="宋体" w:hAnsi="宋体" w:eastAsia="宋体" w:cs="宋体"/>
                <w:color w:val="auto"/>
                <w:kern w:val="0"/>
                <w:sz w:val="21"/>
                <w:szCs w:val="21"/>
              </w:rPr>
              <w:t>完整性、准确性、合理性</w:t>
            </w:r>
            <w:r>
              <w:rPr>
                <w:rFonts w:hint="eastAsia" w:ascii="宋体" w:hAnsi="宋体" w:eastAsia="宋体" w:cs="宋体"/>
                <w:color w:val="auto"/>
                <w:kern w:val="0"/>
                <w:sz w:val="21"/>
                <w:szCs w:val="21"/>
                <w:lang w:eastAsia="zh-CN"/>
              </w:rPr>
              <w:t>较差的</w:t>
            </w:r>
            <w:r>
              <w:rPr>
                <w:rFonts w:hint="eastAsia" w:ascii="宋体" w:hAnsi="宋体" w:eastAsia="宋体" w:cs="宋体"/>
                <w:color w:val="auto"/>
                <w:kern w:val="0"/>
                <w:sz w:val="21"/>
                <w:szCs w:val="21"/>
              </w:rPr>
              <w:t>得</w:t>
            </w:r>
            <w:r>
              <w:rPr>
                <w:rFonts w:hint="eastAsia" w:ascii="宋体" w:hAnsi="宋体" w:eastAsia="宋体" w:cs="宋体"/>
                <w:color w:val="auto"/>
                <w:kern w:val="0"/>
                <w:sz w:val="21"/>
                <w:szCs w:val="21"/>
                <w:lang w:val="en-US" w:eastAsia="zh-CN"/>
              </w:rPr>
              <w:t>2-0.1</w:t>
            </w:r>
            <w:r>
              <w:rPr>
                <w:rFonts w:hint="eastAsia" w:ascii="宋体" w:hAnsi="宋体" w:eastAsia="宋体" w:cs="宋体"/>
                <w:color w:val="auto"/>
                <w:kern w:val="0"/>
                <w:sz w:val="21"/>
                <w:szCs w:val="21"/>
              </w:rPr>
              <w:t>分</w:t>
            </w:r>
            <w:r>
              <w:rPr>
                <w:rFonts w:hint="eastAsia" w:ascii="宋体" w:hAnsi="宋体" w:eastAsia="宋体" w:cs="宋体"/>
                <w:color w:val="auto"/>
                <w:kern w:val="0"/>
                <w:sz w:val="21"/>
                <w:szCs w:val="21"/>
                <w:lang w:eastAsia="zh-CN"/>
              </w:rPr>
              <w:t>；</w:t>
            </w:r>
          </w:p>
          <w:p>
            <w:pPr>
              <w:widowControl/>
              <w:spacing w:line="240" w:lineRule="auto"/>
              <w:rPr>
                <w:rFonts w:hint="eastAsia" w:ascii="宋体" w:hAnsi="宋体" w:cs="宋体"/>
                <w:color w:val="auto"/>
                <w:kern w:val="0"/>
                <w:sz w:val="21"/>
                <w:szCs w:val="21"/>
              </w:rPr>
            </w:pPr>
            <w:r>
              <w:rPr>
                <w:rFonts w:hint="eastAsia" w:ascii="宋体" w:hAnsi="宋体" w:eastAsia="宋体" w:cs="宋体"/>
                <w:color w:val="auto"/>
                <w:kern w:val="0"/>
                <w:sz w:val="21"/>
                <w:szCs w:val="21"/>
              </w:rPr>
              <w:t>④</w:t>
            </w:r>
            <w:r>
              <w:rPr>
                <w:rFonts w:hint="eastAsia" w:ascii="宋体" w:hAnsi="宋体" w:eastAsia="宋体" w:cs="宋体"/>
                <w:color w:val="auto"/>
                <w:kern w:val="0"/>
                <w:sz w:val="21"/>
                <w:szCs w:val="21"/>
                <w:lang w:val="en-US" w:eastAsia="zh-CN"/>
              </w:rPr>
              <w:t>未做</w:t>
            </w:r>
            <w:r>
              <w:rPr>
                <w:rFonts w:hint="eastAsia" w:ascii="宋体" w:hAnsi="宋体" w:eastAsia="宋体" w:cs="宋体"/>
                <w:color w:val="auto"/>
                <w:kern w:val="0"/>
                <w:sz w:val="21"/>
                <w:szCs w:val="21"/>
              </w:rPr>
              <w:t>方案不得分。</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6</w:t>
            </w:r>
          </w:p>
        </w:tc>
      </w:tr>
      <w:tr>
        <w:tblPrEx>
          <w:tblCellMar>
            <w:top w:w="0" w:type="dxa"/>
            <w:left w:w="108" w:type="dxa"/>
            <w:bottom w:w="0" w:type="dxa"/>
            <w:right w:w="108" w:type="dxa"/>
          </w:tblCellMar>
        </w:tblPrEx>
        <w:trPr>
          <w:trHeight w:val="983" w:hRule="atLeast"/>
        </w:trPr>
        <w:tc>
          <w:tcPr>
            <w:tcW w:w="40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b/>
                <w:bCs/>
                <w:color w:val="auto"/>
                <w:kern w:val="0"/>
                <w:sz w:val="21"/>
                <w:szCs w:val="21"/>
              </w:rPr>
            </w:pPr>
          </w:p>
        </w:tc>
        <w:tc>
          <w:tcPr>
            <w:tcW w:w="37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对投标产品的性能指标及技术参数满足程度进行评分：全部满足要求的得满分，满分</w:t>
            </w:r>
            <w:r>
              <w:rPr>
                <w:rFonts w:hint="eastAsia" w:ascii="宋体" w:hAnsi="宋体" w:cs="宋体"/>
                <w:color w:val="auto"/>
                <w:kern w:val="0"/>
                <w:sz w:val="21"/>
                <w:szCs w:val="21"/>
                <w:lang w:val="en-US" w:eastAsia="zh-CN"/>
              </w:rPr>
              <w:t>3</w:t>
            </w:r>
            <w:r>
              <w:rPr>
                <w:rFonts w:hint="eastAsia" w:ascii="宋体" w:hAnsi="宋体" w:cs="宋体"/>
                <w:color w:val="auto"/>
                <w:kern w:val="0"/>
                <w:sz w:val="21"/>
                <w:szCs w:val="21"/>
              </w:rPr>
              <w:t>分。标注“★”的每负偏离一项扣</w:t>
            </w:r>
            <w:r>
              <w:rPr>
                <w:rFonts w:hint="eastAsia" w:ascii="宋体" w:hAnsi="宋体" w:cs="宋体"/>
                <w:color w:val="auto"/>
                <w:kern w:val="0"/>
                <w:sz w:val="21"/>
                <w:szCs w:val="21"/>
                <w:lang w:val="en-US" w:eastAsia="zh-CN"/>
              </w:rPr>
              <w:t>0.3</w:t>
            </w:r>
            <w:r>
              <w:rPr>
                <w:rFonts w:hint="eastAsia" w:ascii="宋体" w:hAnsi="宋体" w:cs="宋体"/>
                <w:color w:val="auto"/>
                <w:kern w:val="0"/>
                <w:sz w:val="21"/>
                <w:szCs w:val="21"/>
              </w:rPr>
              <w:t>分，普通项每负偏离一项扣0.</w:t>
            </w:r>
            <w:r>
              <w:rPr>
                <w:rFonts w:hint="eastAsia" w:ascii="宋体" w:hAnsi="宋体" w:cs="宋体"/>
                <w:color w:val="auto"/>
                <w:kern w:val="0"/>
                <w:sz w:val="21"/>
                <w:szCs w:val="21"/>
                <w:lang w:val="en-US" w:eastAsia="zh-CN"/>
              </w:rPr>
              <w:t>1</w:t>
            </w:r>
            <w:r>
              <w:rPr>
                <w:rFonts w:hint="eastAsia" w:ascii="宋体" w:hAnsi="宋体" w:cs="宋体"/>
                <w:color w:val="auto"/>
                <w:kern w:val="0"/>
                <w:sz w:val="21"/>
                <w:szCs w:val="21"/>
              </w:rPr>
              <w:t>分，扣完为止。</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3</w:t>
            </w:r>
          </w:p>
        </w:tc>
      </w:tr>
      <w:tr>
        <w:tblPrEx>
          <w:tblCellMar>
            <w:top w:w="0" w:type="dxa"/>
            <w:left w:w="108" w:type="dxa"/>
            <w:bottom w:w="0" w:type="dxa"/>
            <w:right w:w="108" w:type="dxa"/>
          </w:tblCellMar>
        </w:tblPrEx>
        <w:trPr>
          <w:trHeight w:val="90" w:hRule="atLeast"/>
        </w:trPr>
        <w:tc>
          <w:tcPr>
            <w:tcW w:w="40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color w:val="auto"/>
                <w:sz w:val="21"/>
                <w:szCs w:val="21"/>
                <w:highlight w:val="none"/>
              </w:rPr>
            </w:pPr>
            <w:r>
              <w:rPr>
                <w:rFonts w:hint="eastAsia"/>
                <w:color w:val="auto"/>
                <w:sz w:val="21"/>
                <w:szCs w:val="21"/>
                <w:highlight w:val="none"/>
              </w:rPr>
              <w:t>实施方案</w:t>
            </w:r>
          </w:p>
          <w:p>
            <w:pPr>
              <w:pStyle w:val="10"/>
              <w:spacing w:line="240" w:lineRule="auto"/>
              <w:jc w:val="center"/>
              <w:rPr>
                <w:rFonts w:hint="eastAsia" w:eastAsia="宋体"/>
                <w:color w:val="auto"/>
                <w:sz w:val="21"/>
                <w:szCs w:val="21"/>
                <w:highlight w:val="none"/>
                <w:lang w:val="en-US" w:eastAsia="zh-CN"/>
              </w:rPr>
            </w:pPr>
            <w:r>
              <w:rPr>
                <w:rFonts w:hint="eastAsia" w:ascii="宋体" w:hAnsi="宋体" w:cs="宋体"/>
                <w:b w:val="0"/>
                <w:bCs w:val="0"/>
                <w:color w:val="auto"/>
                <w:kern w:val="0"/>
                <w:sz w:val="21"/>
                <w:szCs w:val="21"/>
                <w:highlight w:val="none"/>
                <w:lang w:val="en-US" w:eastAsia="zh-CN"/>
              </w:rPr>
              <w:t>2分</w:t>
            </w:r>
          </w:p>
        </w:tc>
        <w:tc>
          <w:tcPr>
            <w:tcW w:w="3786"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rPr>
              <w:t>根据投标人</w:t>
            </w:r>
            <w:r>
              <w:rPr>
                <w:rFonts w:hint="eastAsia" w:ascii="宋体" w:hAnsi="宋体" w:cs="宋体"/>
                <w:color w:val="auto"/>
                <w:kern w:val="0"/>
                <w:sz w:val="21"/>
                <w:szCs w:val="21"/>
                <w:lang w:eastAsia="zh-CN"/>
              </w:rPr>
              <w:t>的</w:t>
            </w:r>
            <w:r>
              <w:rPr>
                <w:rFonts w:hint="eastAsia" w:ascii="宋体" w:hAnsi="宋体" w:cs="宋体"/>
                <w:color w:val="auto"/>
                <w:kern w:val="0"/>
                <w:sz w:val="21"/>
                <w:szCs w:val="21"/>
              </w:rPr>
              <w:t>组织实施方案</w:t>
            </w:r>
            <w:r>
              <w:rPr>
                <w:rFonts w:hint="eastAsia" w:ascii="宋体" w:hAnsi="宋体" w:cs="宋体"/>
                <w:color w:val="auto"/>
                <w:kern w:val="0"/>
                <w:sz w:val="21"/>
                <w:szCs w:val="21"/>
                <w:lang w:eastAsia="zh-CN"/>
              </w:rPr>
              <w:t>（至少需包含</w:t>
            </w:r>
            <w:r>
              <w:rPr>
                <w:rFonts w:hint="eastAsia" w:ascii="宋体" w:hAnsi="宋体" w:cs="宋体"/>
                <w:color w:val="auto"/>
                <w:kern w:val="0"/>
                <w:sz w:val="21"/>
                <w:szCs w:val="21"/>
              </w:rPr>
              <w:t>项目组织措施</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用户单位个性化</w:t>
            </w:r>
            <w:r>
              <w:rPr>
                <w:rFonts w:hint="eastAsia" w:ascii="宋体" w:hAnsi="宋体" w:cs="宋体"/>
                <w:color w:val="auto"/>
                <w:kern w:val="0"/>
                <w:sz w:val="21"/>
                <w:szCs w:val="21"/>
                <w:lang w:eastAsia="zh-CN"/>
              </w:rPr>
              <w:t>的解决、</w:t>
            </w:r>
            <w:r>
              <w:rPr>
                <w:rFonts w:hint="eastAsia" w:ascii="宋体" w:hAnsi="宋体" w:cs="宋体"/>
                <w:color w:val="auto"/>
                <w:kern w:val="0"/>
                <w:sz w:val="21"/>
                <w:szCs w:val="21"/>
              </w:rPr>
              <w:t>实施进度计划</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项目风险分析</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测试与验收方案</w:t>
            </w:r>
            <w:r>
              <w:rPr>
                <w:rFonts w:hint="eastAsia" w:ascii="宋体" w:hAnsi="宋体" w:cs="宋体"/>
                <w:color w:val="auto"/>
                <w:kern w:val="0"/>
                <w:sz w:val="21"/>
                <w:szCs w:val="21"/>
                <w:lang w:eastAsia="zh-CN"/>
              </w:rPr>
              <w:t>等）进行评分：</w:t>
            </w:r>
          </w:p>
          <w:p>
            <w:pPr>
              <w:widowControl/>
              <w:spacing w:line="240" w:lineRule="auto"/>
              <w:rPr>
                <w:rFonts w:hint="eastAsia" w:ascii="宋体" w:hAnsi="宋体" w:cs="宋体"/>
                <w:color w:val="auto"/>
                <w:kern w:val="0"/>
                <w:sz w:val="21"/>
                <w:szCs w:val="21"/>
                <w:lang w:val="en-US" w:eastAsia="zh-CN"/>
              </w:rPr>
            </w:pPr>
            <w:r>
              <w:rPr>
                <w:rFonts w:hint="eastAsia" w:ascii="宋体" w:hAnsi="宋体" w:cs="宋体"/>
                <w:color w:val="auto"/>
                <w:kern w:val="0"/>
                <w:sz w:val="21"/>
                <w:szCs w:val="21"/>
              </w:rPr>
              <w:t>①方案</w:t>
            </w:r>
            <w:r>
              <w:rPr>
                <w:rFonts w:hint="eastAsia" w:ascii="宋体" w:hAnsi="宋体" w:cs="宋体"/>
                <w:color w:val="auto"/>
                <w:kern w:val="0"/>
                <w:sz w:val="21"/>
                <w:szCs w:val="21"/>
                <w:lang w:val="en-US" w:eastAsia="zh-CN"/>
              </w:rPr>
              <w:t>完整合理，</w:t>
            </w:r>
            <w:r>
              <w:rPr>
                <w:rFonts w:hint="eastAsia" w:ascii="宋体" w:hAnsi="宋体" w:cs="宋体"/>
                <w:color w:val="auto"/>
                <w:kern w:val="0"/>
                <w:sz w:val="21"/>
                <w:szCs w:val="21"/>
              </w:rPr>
              <w:t>逻辑</w:t>
            </w:r>
            <w:r>
              <w:rPr>
                <w:rFonts w:hint="eastAsia" w:ascii="宋体" w:hAnsi="宋体" w:cs="宋体"/>
                <w:color w:val="auto"/>
                <w:kern w:val="0"/>
                <w:sz w:val="21"/>
                <w:szCs w:val="21"/>
                <w:lang w:val="en-US" w:eastAsia="zh-CN"/>
              </w:rPr>
              <w:t>性</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可操作性</w:t>
            </w:r>
            <w:r>
              <w:rPr>
                <w:rFonts w:hint="eastAsia" w:ascii="宋体" w:hAnsi="宋体" w:cs="宋体"/>
                <w:color w:val="auto"/>
                <w:kern w:val="0"/>
                <w:sz w:val="21"/>
                <w:szCs w:val="21"/>
                <w:lang w:val="en-US" w:eastAsia="zh-CN"/>
              </w:rPr>
              <w:t>强</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得</w:t>
            </w:r>
            <w:r>
              <w:rPr>
                <w:rFonts w:hint="eastAsia" w:ascii="宋体" w:hAnsi="宋体" w:cs="宋体"/>
                <w:color w:val="auto"/>
                <w:kern w:val="0"/>
                <w:sz w:val="21"/>
                <w:szCs w:val="21"/>
                <w:lang w:val="en-US" w:eastAsia="zh-CN"/>
              </w:rPr>
              <w:t>2分；</w:t>
            </w:r>
          </w:p>
          <w:p>
            <w:pPr>
              <w:widowControl/>
              <w:spacing w:line="240" w:lineRule="auto"/>
              <w:rPr>
                <w:rFonts w:hint="eastAsia" w:ascii="宋体" w:hAnsi="宋体" w:cs="宋体"/>
                <w:color w:val="auto"/>
                <w:kern w:val="0"/>
                <w:sz w:val="21"/>
                <w:szCs w:val="21"/>
                <w:lang w:val="en-US" w:eastAsia="zh-CN"/>
              </w:rPr>
            </w:pPr>
            <w:r>
              <w:rPr>
                <w:rFonts w:hint="eastAsia" w:ascii="宋体" w:hAnsi="宋体" w:cs="宋体"/>
                <w:color w:val="auto"/>
                <w:kern w:val="0"/>
                <w:sz w:val="21"/>
                <w:szCs w:val="21"/>
              </w:rPr>
              <w:t>②方案</w:t>
            </w:r>
            <w:r>
              <w:rPr>
                <w:rFonts w:hint="eastAsia" w:ascii="宋体" w:hAnsi="宋体" w:cs="宋体"/>
                <w:color w:val="auto"/>
                <w:kern w:val="0"/>
                <w:sz w:val="21"/>
                <w:szCs w:val="21"/>
                <w:lang w:val="en-US" w:eastAsia="zh-CN"/>
              </w:rPr>
              <w:t>较完整合理，</w:t>
            </w:r>
            <w:r>
              <w:rPr>
                <w:rFonts w:hint="eastAsia" w:ascii="宋体" w:hAnsi="宋体" w:cs="宋体"/>
                <w:color w:val="auto"/>
                <w:kern w:val="0"/>
                <w:sz w:val="21"/>
                <w:szCs w:val="21"/>
              </w:rPr>
              <w:t>逻辑</w:t>
            </w:r>
            <w:r>
              <w:rPr>
                <w:rFonts w:hint="eastAsia" w:ascii="宋体" w:hAnsi="宋体" w:cs="宋体"/>
                <w:color w:val="auto"/>
                <w:kern w:val="0"/>
                <w:sz w:val="21"/>
                <w:szCs w:val="21"/>
                <w:lang w:val="en-US" w:eastAsia="zh-CN"/>
              </w:rPr>
              <w:t>性</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可操作性</w:t>
            </w:r>
            <w:r>
              <w:rPr>
                <w:rFonts w:hint="eastAsia" w:ascii="宋体" w:hAnsi="宋体" w:cs="宋体"/>
                <w:color w:val="auto"/>
                <w:kern w:val="0"/>
                <w:sz w:val="21"/>
                <w:szCs w:val="21"/>
                <w:lang w:val="en-US" w:eastAsia="zh-CN"/>
              </w:rPr>
              <w:t>一般</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得</w:t>
            </w:r>
            <w:r>
              <w:rPr>
                <w:rFonts w:hint="eastAsia" w:ascii="宋体" w:hAnsi="宋体" w:cs="宋体"/>
                <w:color w:val="auto"/>
                <w:kern w:val="0"/>
                <w:sz w:val="21"/>
                <w:szCs w:val="21"/>
                <w:lang w:val="en-US" w:eastAsia="zh-CN"/>
              </w:rPr>
              <w:t>1分；</w:t>
            </w:r>
          </w:p>
          <w:p>
            <w:pPr>
              <w:widowControl/>
              <w:spacing w:line="240" w:lineRule="auto"/>
              <w:rPr>
                <w:rFonts w:hint="eastAsia" w:ascii="宋体" w:hAnsi="宋体" w:cs="宋体"/>
                <w:color w:val="auto"/>
                <w:kern w:val="0"/>
                <w:sz w:val="21"/>
                <w:szCs w:val="21"/>
                <w:lang w:val="en-US" w:eastAsia="zh-CN"/>
              </w:rPr>
            </w:pPr>
            <w:r>
              <w:rPr>
                <w:rFonts w:hint="eastAsia" w:ascii="宋体" w:hAnsi="宋体" w:cs="宋体"/>
                <w:color w:val="auto"/>
                <w:kern w:val="0"/>
                <w:sz w:val="21"/>
                <w:szCs w:val="21"/>
              </w:rPr>
              <w:t>③方案</w:t>
            </w:r>
            <w:r>
              <w:rPr>
                <w:rFonts w:hint="eastAsia" w:ascii="宋体" w:hAnsi="宋体" w:cs="宋体"/>
                <w:color w:val="auto"/>
                <w:kern w:val="0"/>
                <w:sz w:val="21"/>
                <w:szCs w:val="21"/>
                <w:lang w:val="en-US" w:eastAsia="zh-CN"/>
              </w:rPr>
              <w:t>粗糙，</w:t>
            </w:r>
            <w:r>
              <w:rPr>
                <w:rFonts w:hint="eastAsia" w:ascii="宋体" w:hAnsi="宋体" w:cs="宋体"/>
                <w:color w:val="auto"/>
                <w:kern w:val="0"/>
                <w:sz w:val="21"/>
                <w:szCs w:val="21"/>
              </w:rPr>
              <w:t>逻辑</w:t>
            </w:r>
            <w:r>
              <w:rPr>
                <w:rFonts w:hint="eastAsia" w:ascii="宋体" w:hAnsi="宋体" w:cs="宋体"/>
                <w:color w:val="auto"/>
                <w:kern w:val="0"/>
                <w:sz w:val="21"/>
                <w:szCs w:val="21"/>
                <w:lang w:val="en-US" w:eastAsia="zh-CN"/>
              </w:rPr>
              <w:t>性</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可操作性</w:t>
            </w:r>
            <w:r>
              <w:rPr>
                <w:rFonts w:hint="eastAsia" w:ascii="宋体" w:hAnsi="宋体" w:cs="宋体"/>
                <w:color w:val="auto"/>
                <w:kern w:val="0"/>
                <w:sz w:val="21"/>
                <w:szCs w:val="21"/>
                <w:lang w:eastAsia="zh-CN"/>
              </w:rPr>
              <w:t>较差</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得</w:t>
            </w:r>
            <w:r>
              <w:rPr>
                <w:rFonts w:hint="eastAsia" w:ascii="宋体" w:hAnsi="宋体" w:cs="宋体"/>
                <w:color w:val="auto"/>
                <w:kern w:val="0"/>
                <w:sz w:val="21"/>
                <w:szCs w:val="21"/>
                <w:lang w:val="en-US" w:eastAsia="zh-CN"/>
              </w:rPr>
              <w:t>0.5分；</w:t>
            </w:r>
          </w:p>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④</w:t>
            </w:r>
            <w:r>
              <w:rPr>
                <w:rFonts w:hint="eastAsia" w:ascii="宋体" w:hAnsi="宋体" w:cs="宋体"/>
                <w:color w:val="auto"/>
                <w:kern w:val="0"/>
                <w:sz w:val="21"/>
                <w:szCs w:val="21"/>
                <w:lang w:val="en-US" w:eastAsia="zh-CN"/>
              </w:rPr>
              <w:t>未提供方案不得分。</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2</w:t>
            </w:r>
          </w:p>
        </w:tc>
      </w:tr>
      <w:tr>
        <w:tblPrEx>
          <w:tblCellMar>
            <w:top w:w="0" w:type="dxa"/>
            <w:left w:w="108" w:type="dxa"/>
            <w:bottom w:w="0" w:type="dxa"/>
            <w:right w:w="108" w:type="dxa"/>
          </w:tblCellMar>
        </w:tblPrEx>
        <w:trPr>
          <w:trHeight w:val="90" w:hRule="atLeast"/>
        </w:trPr>
        <w:tc>
          <w:tcPr>
            <w:tcW w:w="400" w:type="pct"/>
            <w:vMerge w:val="restart"/>
            <w:tcBorders>
              <w:top w:val="nil"/>
              <w:left w:val="single" w:color="auto" w:sz="4" w:space="0"/>
              <w:right w:val="single" w:color="auto" w:sz="4" w:space="0"/>
            </w:tcBorders>
            <w:vAlign w:val="center"/>
          </w:tcPr>
          <w:p>
            <w:pPr>
              <w:widowControl/>
              <w:spacing w:line="360" w:lineRule="auto"/>
              <w:jc w:val="center"/>
              <w:rPr>
                <w:rFonts w:hint="eastAsia"/>
                <w:b/>
                <w:bCs/>
                <w:color w:val="auto"/>
                <w:sz w:val="21"/>
                <w:szCs w:val="21"/>
                <w:lang w:eastAsia="zh-CN"/>
              </w:rPr>
            </w:pPr>
            <w:r>
              <w:rPr>
                <w:rFonts w:hint="eastAsia"/>
                <w:b/>
                <w:bCs/>
                <w:color w:val="auto"/>
                <w:sz w:val="21"/>
                <w:szCs w:val="21"/>
                <w:lang w:eastAsia="zh-CN"/>
              </w:rPr>
              <w:t>演示</w:t>
            </w:r>
          </w:p>
          <w:p>
            <w:pPr>
              <w:pStyle w:val="10"/>
              <w:spacing w:line="360" w:lineRule="auto"/>
              <w:jc w:val="center"/>
              <w:rPr>
                <w:rFonts w:hint="default"/>
                <w:color w:val="auto"/>
                <w:sz w:val="21"/>
                <w:szCs w:val="21"/>
                <w:lang w:val="en-US" w:eastAsia="zh-CN"/>
              </w:rPr>
            </w:pPr>
            <w:r>
              <w:rPr>
                <w:rFonts w:hint="eastAsia" w:ascii="宋体" w:hAnsi="宋体" w:cs="宋体"/>
                <w:b/>
                <w:bCs/>
                <w:color w:val="auto"/>
                <w:kern w:val="0"/>
                <w:sz w:val="21"/>
                <w:szCs w:val="21"/>
                <w:lang w:val="en-US" w:eastAsia="zh-CN"/>
              </w:rPr>
              <w:t>9分</w:t>
            </w:r>
          </w:p>
        </w:tc>
        <w:tc>
          <w:tcPr>
            <w:tcW w:w="40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b w:val="0"/>
                <w:bCs w:val="0"/>
                <w:color w:val="auto"/>
                <w:sz w:val="21"/>
                <w:szCs w:val="21"/>
                <w:lang w:eastAsia="zh-CN"/>
              </w:rPr>
            </w:pPr>
            <w:r>
              <w:rPr>
                <w:rFonts w:hint="eastAsia"/>
                <w:b w:val="0"/>
                <w:bCs w:val="0"/>
                <w:color w:val="FF0000"/>
                <w:sz w:val="21"/>
                <w:szCs w:val="21"/>
                <w:lang w:val="en-US" w:eastAsia="zh-CN"/>
              </w:rPr>
              <w:t>数据中心</w:t>
            </w:r>
            <w:r>
              <w:rPr>
                <w:rFonts w:hint="eastAsia"/>
                <w:b w:val="0"/>
                <w:bCs w:val="0"/>
                <w:color w:val="auto"/>
                <w:sz w:val="21"/>
                <w:szCs w:val="21"/>
                <w:lang w:eastAsia="zh-CN"/>
              </w:rPr>
              <w:t>演示</w:t>
            </w:r>
          </w:p>
          <w:p>
            <w:pPr>
              <w:pStyle w:val="10"/>
              <w:spacing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宋体" w:hAnsi="宋体" w:cs="宋体"/>
                <w:b w:val="0"/>
                <w:bCs w:val="0"/>
                <w:color w:val="auto"/>
                <w:kern w:val="0"/>
                <w:sz w:val="21"/>
                <w:szCs w:val="21"/>
                <w:lang w:val="en-US" w:eastAsia="zh-CN"/>
              </w:rPr>
              <w:t>要求</w:t>
            </w:r>
          </w:p>
        </w:tc>
        <w:tc>
          <w:tcPr>
            <w:tcW w:w="3786" w:type="pct"/>
            <w:tcBorders>
              <w:top w:val="nil"/>
              <w:left w:val="nil"/>
              <w:bottom w:val="single" w:color="auto" w:sz="4" w:space="0"/>
              <w:right w:val="single" w:color="auto" w:sz="4" w:space="0"/>
            </w:tcBorders>
            <w:shd w:val="clear" w:color="auto" w:fill="auto"/>
            <w:vAlign w:val="center"/>
          </w:tcPr>
          <w:p>
            <w:pPr>
              <w:pStyle w:val="10"/>
              <w:spacing w:line="240" w:lineRule="auto"/>
              <w:rPr>
                <w:rFonts w:hint="eastAsia" w:ascii="宋体" w:hAnsi="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投标人</w:t>
            </w:r>
            <w:r>
              <w:rPr>
                <w:rFonts w:hint="eastAsia" w:ascii="宋体" w:hAnsi="宋体" w:cs="宋体"/>
                <w:color w:val="auto"/>
                <w:kern w:val="0"/>
                <w:sz w:val="21"/>
                <w:szCs w:val="21"/>
                <w:lang w:val="en-US" w:eastAsia="zh-CN" w:bidi="ar-SA"/>
              </w:rPr>
              <w:t>需依照下述五个部分内容</w:t>
            </w:r>
            <w:r>
              <w:rPr>
                <w:rFonts w:hint="eastAsia" w:ascii="宋体" w:hAnsi="宋体" w:eastAsia="宋体" w:cs="宋体"/>
                <w:color w:val="auto"/>
                <w:kern w:val="0"/>
                <w:sz w:val="21"/>
                <w:szCs w:val="21"/>
                <w:lang w:val="en-US" w:eastAsia="zh-CN" w:bidi="ar-SA"/>
              </w:rPr>
              <w:t>提供真实</w:t>
            </w:r>
            <w:r>
              <w:rPr>
                <w:rFonts w:hint="eastAsia" w:ascii="宋体" w:hAnsi="宋体" w:cs="宋体"/>
                <w:color w:val="auto"/>
                <w:kern w:val="0"/>
                <w:sz w:val="21"/>
                <w:szCs w:val="21"/>
                <w:lang w:val="en-US" w:eastAsia="zh-CN" w:bidi="ar-SA"/>
              </w:rPr>
              <w:t>系统的操作录屏，配</w:t>
            </w:r>
            <w:r>
              <w:rPr>
                <w:rFonts w:hint="eastAsia" w:ascii="宋体" w:hAnsi="宋体" w:eastAsia="宋体" w:cs="宋体"/>
                <w:color w:val="auto"/>
                <w:kern w:val="0"/>
                <w:sz w:val="21"/>
                <w:szCs w:val="21"/>
                <w:lang w:val="en-US" w:eastAsia="zh-CN" w:bidi="ar-SA"/>
              </w:rPr>
              <w:t>有人员讲解。录</w:t>
            </w:r>
            <w:r>
              <w:rPr>
                <w:rFonts w:hint="eastAsia" w:ascii="宋体" w:hAnsi="宋体" w:cs="宋体"/>
                <w:color w:val="auto"/>
                <w:kern w:val="0"/>
                <w:sz w:val="21"/>
                <w:szCs w:val="21"/>
                <w:lang w:val="en-US" w:eastAsia="zh-CN" w:bidi="ar-SA"/>
              </w:rPr>
              <w:t>屏总</w:t>
            </w:r>
            <w:r>
              <w:rPr>
                <w:rFonts w:hint="eastAsia" w:ascii="宋体" w:hAnsi="宋体" w:eastAsia="宋体" w:cs="宋体"/>
                <w:color w:val="auto"/>
                <w:kern w:val="0"/>
                <w:sz w:val="21"/>
                <w:szCs w:val="21"/>
                <w:lang w:val="en-US" w:eastAsia="zh-CN" w:bidi="ar-SA"/>
              </w:rPr>
              <w:t>时长</w:t>
            </w:r>
            <w:r>
              <w:rPr>
                <w:rFonts w:hint="eastAsia" w:ascii="宋体" w:hAnsi="宋体" w:eastAsia="宋体" w:cs="宋体"/>
                <w:b/>
                <w:bCs/>
                <w:color w:val="auto"/>
                <w:kern w:val="0"/>
                <w:sz w:val="21"/>
                <w:szCs w:val="21"/>
                <w:lang w:val="en-US" w:eastAsia="zh-CN" w:bidi="ar-SA"/>
              </w:rPr>
              <w:t>不超过</w:t>
            </w:r>
            <w:r>
              <w:rPr>
                <w:rFonts w:hint="eastAsia" w:ascii="宋体" w:hAnsi="宋体" w:cs="宋体"/>
                <w:b/>
                <w:bCs/>
                <w:color w:val="auto"/>
                <w:kern w:val="0"/>
                <w:sz w:val="21"/>
                <w:szCs w:val="21"/>
                <w:lang w:val="en-US" w:eastAsia="zh-CN" w:bidi="ar-SA"/>
              </w:rPr>
              <w:t>20</w:t>
            </w:r>
            <w:r>
              <w:rPr>
                <w:rFonts w:hint="eastAsia" w:ascii="宋体" w:hAnsi="宋体" w:eastAsia="宋体" w:cs="宋体"/>
                <w:b/>
                <w:bCs/>
                <w:color w:val="auto"/>
                <w:kern w:val="0"/>
                <w:sz w:val="21"/>
                <w:szCs w:val="21"/>
                <w:lang w:val="en-US" w:eastAsia="zh-CN" w:bidi="ar-SA"/>
              </w:rPr>
              <w:t>分钟</w:t>
            </w:r>
            <w:r>
              <w:rPr>
                <w:rFonts w:hint="eastAsia" w:ascii="宋体" w:hAnsi="宋体" w:cs="宋体"/>
                <w:color w:val="auto"/>
                <w:kern w:val="0"/>
                <w:sz w:val="21"/>
                <w:szCs w:val="21"/>
                <w:lang w:val="en-US" w:eastAsia="zh-CN" w:bidi="ar-SA"/>
              </w:rPr>
              <w:t>（</w:t>
            </w:r>
            <w:r>
              <w:rPr>
                <w:rFonts w:hint="eastAsia" w:ascii="宋体" w:hAnsi="宋体" w:eastAsia="宋体" w:cs="宋体"/>
                <w:color w:val="auto"/>
                <w:kern w:val="0"/>
                <w:sz w:val="21"/>
                <w:szCs w:val="21"/>
                <w:lang w:val="en-US" w:eastAsia="zh-CN" w:bidi="ar-SA"/>
              </w:rPr>
              <w:t>录</w:t>
            </w:r>
            <w:r>
              <w:rPr>
                <w:rFonts w:hint="eastAsia" w:ascii="宋体" w:hAnsi="宋体" w:cs="宋体"/>
                <w:color w:val="auto"/>
                <w:kern w:val="0"/>
                <w:sz w:val="21"/>
                <w:szCs w:val="21"/>
                <w:lang w:val="en-US" w:eastAsia="zh-CN" w:bidi="ar-SA"/>
              </w:rPr>
              <w:t>屏</w:t>
            </w:r>
            <w:r>
              <w:rPr>
                <w:rFonts w:hint="eastAsia" w:ascii="宋体" w:hAnsi="宋体" w:eastAsia="宋体" w:cs="宋体"/>
                <w:color w:val="auto"/>
                <w:kern w:val="0"/>
                <w:sz w:val="21"/>
                <w:szCs w:val="21"/>
                <w:lang w:val="en-US" w:eastAsia="zh-CN" w:bidi="ar-SA"/>
              </w:rPr>
              <w:t>文件</w:t>
            </w:r>
            <w:r>
              <w:rPr>
                <w:rFonts w:hint="eastAsia" w:ascii="宋体" w:hAnsi="宋体" w:cs="宋体"/>
                <w:color w:val="auto"/>
                <w:kern w:val="0"/>
                <w:sz w:val="21"/>
                <w:szCs w:val="21"/>
                <w:lang w:val="en-US" w:eastAsia="zh-CN" w:bidi="ar-SA"/>
              </w:rPr>
              <w:t>需</w:t>
            </w:r>
            <w:r>
              <w:rPr>
                <w:rFonts w:hint="eastAsia" w:ascii="宋体" w:hAnsi="宋体" w:eastAsia="宋体" w:cs="宋体"/>
                <w:color w:val="auto"/>
                <w:kern w:val="0"/>
                <w:sz w:val="21"/>
                <w:szCs w:val="21"/>
                <w:lang w:val="en-US" w:eastAsia="zh-CN" w:bidi="ar-SA"/>
              </w:rPr>
              <w:t>通过“政采云视频讲标系统”进行线上实时在</w:t>
            </w:r>
            <w:r>
              <w:rPr>
                <w:rFonts w:hint="eastAsia" w:ascii="宋体" w:hAnsi="宋体" w:cs="宋体"/>
                <w:color w:val="auto"/>
                <w:kern w:val="0"/>
                <w:sz w:val="21"/>
                <w:szCs w:val="21"/>
                <w:lang w:val="en-US" w:eastAsia="zh-CN" w:bidi="ar-SA"/>
              </w:rPr>
              <w:t>线播放，播放结束后发至交易中心指定邮箱）。</w:t>
            </w:r>
          </w:p>
          <w:p>
            <w:pPr>
              <w:pStyle w:val="10"/>
              <w:spacing w:line="240" w:lineRule="auto"/>
              <w:rPr>
                <w:rFonts w:hint="eastAsia"/>
                <w:color w:val="auto"/>
                <w:sz w:val="21"/>
                <w:szCs w:val="21"/>
              </w:rPr>
            </w:pPr>
            <w:r>
              <w:rPr>
                <w:rFonts w:hint="eastAsia" w:ascii="宋体" w:hAnsi="宋体" w:eastAsia="宋体" w:cs="宋体"/>
                <w:color w:val="auto"/>
                <w:kern w:val="0"/>
                <w:sz w:val="21"/>
                <w:szCs w:val="21"/>
                <w:lang w:val="en-US" w:eastAsia="zh-CN" w:bidi="ar-SA"/>
              </w:rPr>
              <w:t>以Axure、PPT、图片等进行演示的</w:t>
            </w:r>
            <w:r>
              <w:rPr>
                <w:rFonts w:hint="eastAsia" w:ascii="宋体" w:hAnsi="宋体" w:eastAsia="宋体" w:cs="宋体"/>
                <w:b/>
                <w:bCs/>
                <w:color w:val="auto"/>
                <w:kern w:val="0"/>
                <w:sz w:val="21"/>
                <w:szCs w:val="21"/>
                <w:lang w:val="en-US" w:eastAsia="zh-CN" w:bidi="ar-SA"/>
              </w:rPr>
              <w:t>不得分</w:t>
            </w:r>
            <w:r>
              <w:rPr>
                <w:rFonts w:hint="eastAsia" w:ascii="宋体" w:hAnsi="宋体" w:eastAsia="宋体" w:cs="宋体"/>
                <w:color w:val="auto"/>
                <w:kern w:val="0"/>
                <w:sz w:val="21"/>
                <w:szCs w:val="21"/>
                <w:lang w:val="en-US" w:eastAsia="zh-CN" w:bidi="ar-SA"/>
              </w:rPr>
              <w:t>。</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w:t>
            </w:r>
          </w:p>
        </w:tc>
      </w:tr>
      <w:tr>
        <w:tblPrEx>
          <w:tblCellMar>
            <w:top w:w="0" w:type="dxa"/>
            <w:left w:w="108" w:type="dxa"/>
            <w:bottom w:w="0" w:type="dxa"/>
            <w:right w:w="108" w:type="dxa"/>
          </w:tblCellMar>
        </w:tblPrEx>
        <w:trPr>
          <w:trHeight w:val="267" w:hRule="atLeast"/>
        </w:trPr>
        <w:tc>
          <w:tcPr>
            <w:tcW w:w="400" w:type="pct"/>
            <w:vMerge w:val="continue"/>
            <w:tcBorders>
              <w:left w:val="single" w:color="auto" w:sz="4" w:space="0"/>
              <w:right w:val="single" w:color="auto" w:sz="4" w:space="0"/>
            </w:tcBorders>
            <w:vAlign w:val="center"/>
          </w:tcPr>
          <w:p>
            <w:pPr>
              <w:pStyle w:val="10"/>
              <w:spacing w:line="360" w:lineRule="auto"/>
              <w:jc w:val="center"/>
              <w:rPr>
                <w:rFonts w:hint="eastAsia" w:ascii="宋体" w:hAnsi="宋体" w:cs="宋体"/>
                <w:b/>
                <w:bCs/>
                <w:color w:val="auto"/>
                <w:kern w:val="0"/>
                <w:sz w:val="21"/>
                <w:szCs w:val="21"/>
                <w:lang w:val="en-US" w:eastAsia="zh-CN"/>
              </w:rPr>
            </w:pPr>
          </w:p>
        </w:tc>
        <w:tc>
          <w:tcPr>
            <w:tcW w:w="40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b w:val="0"/>
                <w:bCs w:val="0"/>
                <w:color w:val="auto"/>
                <w:sz w:val="21"/>
                <w:szCs w:val="21"/>
                <w:lang w:val="en-US" w:eastAsia="zh-CN"/>
              </w:rPr>
            </w:pPr>
            <w:r>
              <w:rPr>
                <w:rFonts w:hint="eastAsia"/>
                <w:b w:val="0"/>
                <w:bCs w:val="0"/>
                <w:color w:val="auto"/>
                <w:sz w:val="21"/>
                <w:szCs w:val="21"/>
                <w:lang w:val="en-US" w:eastAsia="zh-CN"/>
              </w:rPr>
              <w:t>第一部分</w:t>
            </w: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b w:val="0"/>
                <w:bCs w:val="0"/>
                <w:color w:val="auto"/>
                <w:sz w:val="21"/>
                <w:szCs w:val="21"/>
                <w:lang w:eastAsia="zh-CN"/>
              </w:rPr>
            </w:pPr>
            <w:r>
              <w:rPr>
                <w:rFonts w:hint="eastAsia"/>
                <w:b/>
                <w:bCs/>
                <w:color w:val="auto"/>
                <w:sz w:val="21"/>
                <w:szCs w:val="21"/>
                <w:lang w:eastAsia="zh-CN"/>
              </w:rPr>
              <w:t>演示数据标准模块</w:t>
            </w:r>
            <w:r>
              <w:rPr>
                <w:rFonts w:hint="eastAsia"/>
                <w:b w:val="0"/>
                <w:bCs w:val="0"/>
                <w:color w:val="auto"/>
                <w:sz w:val="21"/>
                <w:szCs w:val="21"/>
                <w:lang w:eastAsia="zh-CN"/>
              </w:rPr>
              <w:t>（每项</w:t>
            </w:r>
            <w:r>
              <w:rPr>
                <w:rFonts w:hint="eastAsia"/>
                <w:b w:val="0"/>
                <w:bCs w:val="0"/>
                <w:color w:val="auto"/>
                <w:sz w:val="21"/>
                <w:szCs w:val="21"/>
                <w:lang w:val="en-US" w:eastAsia="zh-CN"/>
              </w:rPr>
              <w:t>0.5分</w:t>
            </w:r>
            <w:r>
              <w:rPr>
                <w:rFonts w:hint="eastAsia"/>
                <w:b w:val="0"/>
                <w:bCs w:val="0"/>
                <w:color w:val="auto"/>
                <w:sz w:val="21"/>
                <w:szCs w:val="21"/>
                <w:lang w:eastAsia="zh-CN"/>
              </w:rPr>
              <w:t>）</w:t>
            </w:r>
            <w:r>
              <w:rPr>
                <w:rFonts w:hint="eastAsia"/>
                <w:b/>
                <w:bCs/>
                <w:color w:val="auto"/>
                <w:sz w:val="21"/>
                <w:szCs w:val="21"/>
                <w:lang w:eastAsia="zh-CN"/>
              </w:rPr>
              <w:t>：</w:t>
            </w:r>
          </w:p>
          <w:p>
            <w:pPr>
              <w:widowControl/>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1、</w:t>
            </w:r>
            <w:r>
              <w:rPr>
                <w:rFonts w:hint="eastAsia" w:ascii="宋体" w:hAnsi="宋体" w:eastAsia="宋体" w:cs="宋体"/>
                <w:color w:val="auto"/>
                <w:kern w:val="0"/>
                <w:sz w:val="21"/>
                <w:szCs w:val="21"/>
                <w:lang w:val="en-US" w:eastAsia="zh-CN" w:bidi="ar-SA"/>
              </w:rPr>
              <w:t>演示自动对标功能，自动对标时每张表通过对标历史、分词的方式会默认对上一批字段，那些没有对标的字段，亦可通过手动对标的形式来完成对标。</w:t>
            </w:r>
          </w:p>
          <w:p>
            <w:pPr>
              <w:widowControl/>
              <w:spacing w:line="240" w:lineRule="auto"/>
              <w:jc w:val="left"/>
              <w:rPr>
                <w:rFonts w:hint="eastAsia"/>
                <w:b w:val="0"/>
                <w:bCs w:val="0"/>
                <w:color w:val="auto"/>
                <w:sz w:val="21"/>
                <w:szCs w:val="21"/>
                <w:lang w:val="en-US" w:eastAsia="zh-CN"/>
              </w:rPr>
            </w:pPr>
            <w:r>
              <w:rPr>
                <w:rFonts w:hint="eastAsia" w:ascii="宋体" w:hAnsi="宋体" w:cs="宋体"/>
                <w:color w:val="auto"/>
                <w:kern w:val="0"/>
                <w:sz w:val="21"/>
                <w:szCs w:val="21"/>
                <w:lang w:val="en-US" w:eastAsia="zh-CN" w:bidi="ar-SA"/>
              </w:rPr>
              <w:t>2、</w:t>
            </w:r>
            <w:r>
              <w:rPr>
                <w:rFonts w:hint="eastAsia" w:ascii="宋体" w:hAnsi="宋体" w:eastAsia="宋体" w:cs="宋体"/>
                <w:color w:val="auto"/>
                <w:kern w:val="0"/>
                <w:sz w:val="21"/>
                <w:szCs w:val="21"/>
                <w:lang w:val="en-US" w:eastAsia="zh-CN" w:bidi="ar-SA"/>
              </w:rPr>
              <w:t>演示数据标准管理功能，包括新建、导入（Excel、csv）、审核标准，数据标准可用于数据的标准化加工和质量探查。</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1</w:t>
            </w:r>
          </w:p>
        </w:tc>
      </w:tr>
      <w:tr>
        <w:tblPrEx>
          <w:tblCellMar>
            <w:top w:w="0" w:type="dxa"/>
            <w:left w:w="108" w:type="dxa"/>
            <w:bottom w:w="0" w:type="dxa"/>
            <w:right w:w="108" w:type="dxa"/>
          </w:tblCellMar>
        </w:tblPrEx>
        <w:trPr>
          <w:trHeight w:val="350" w:hRule="atLeast"/>
        </w:trPr>
        <w:tc>
          <w:tcPr>
            <w:tcW w:w="400" w:type="pct"/>
            <w:vMerge w:val="continue"/>
            <w:tcBorders>
              <w:left w:val="single" w:color="auto" w:sz="4" w:space="0"/>
              <w:right w:val="single" w:color="auto" w:sz="4" w:space="0"/>
            </w:tcBorders>
            <w:vAlign w:val="center"/>
          </w:tcPr>
          <w:p>
            <w:pPr>
              <w:pStyle w:val="10"/>
              <w:spacing w:line="360" w:lineRule="auto"/>
              <w:jc w:val="center"/>
              <w:rPr>
                <w:rFonts w:hint="eastAsia" w:ascii="宋体" w:hAnsi="宋体" w:cs="宋体"/>
                <w:b/>
                <w:bCs/>
                <w:color w:val="auto"/>
                <w:kern w:val="0"/>
                <w:sz w:val="21"/>
                <w:szCs w:val="21"/>
                <w:lang w:val="en-US" w:eastAsia="zh-CN"/>
              </w:rPr>
            </w:pPr>
          </w:p>
        </w:tc>
        <w:tc>
          <w:tcPr>
            <w:tcW w:w="40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b w:val="0"/>
                <w:bCs w:val="0"/>
                <w:color w:val="auto"/>
                <w:sz w:val="21"/>
                <w:szCs w:val="21"/>
                <w:lang w:val="en-US" w:eastAsia="zh-CN"/>
              </w:rPr>
            </w:pPr>
            <w:r>
              <w:rPr>
                <w:rFonts w:hint="eastAsia"/>
                <w:b w:val="0"/>
                <w:bCs w:val="0"/>
                <w:color w:val="auto"/>
                <w:sz w:val="21"/>
                <w:szCs w:val="21"/>
                <w:lang w:val="en-US" w:eastAsia="zh-CN"/>
              </w:rPr>
              <w:t>第二部分</w:t>
            </w: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b/>
                <w:bCs/>
                <w:color w:val="auto"/>
                <w:sz w:val="21"/>
                <w:szCs w:val="21"/>
                <w:lang w:eastAsia="zh-CN"/>
              </w:rPr>
            </w:pPr>
            <w:r>
              <w:rPr>
                <w:rFonts w:hint="eastAsia"/>
                <w:b/>
                <w:bCs/>
                <w:color w:val="auto"/>
                <w:sz w:val="21"/>
                <w:szCs w:val="21"/>
                <w:lang w:eastAsia="zh-CN"/>
              </w:rPr>
              <w:t>演示数据采集接入模块</w:t>
            </w:r>
            <w:r>
              <w:rPr>
                <w:rFonts w:hint="eastAsia"/>
                <w:b w:val="0"/>
                <w:bCs w:val="0"/>
                <w:color w:val="auto"/>
                <w:sz w:val="21"/>
                <w:szCs w:val="21"/>
                <w:lang w:eastAsia="zh-CN"/>
              </w:rPr>
              <w:t>（每项</w:t>
            </w:r>
            <w:r>
              <w:rPr>
                <w:rFonts w:hint="eastAsia"/>
                <w:b w:val="0"/>
                <w:bCs w:val="0"/>
                <w:color w:val="auto"/>
                <w:sz w:val="21"/>
                <w:szCs w:val="21"/>
                <w:lang w:val="en-US" w:eastAsia="zh-CN"/>
              </w:rPr>
              <w:t>0.5分</w:t>
            </w:r>
            <w:r>
              <w:rPr>
                <w:rFonts w:hint="eastAsia"/>
                <w:b w:val="0"/>
                <w:bCs w:val="0"/>
                <w:color w:val="auto"/>
                <w:sz w:val="21"/>
                <w:szCs w:val="21"/>
                <w:lang w:eastAsia="zh-CN"/>
              </w:rPr>
              <w:t>）</w:t>
            </w:r>
            <w:r>
              <w:rPr>
                <w:rFonts w:hint="eastAsia"/>
                <w:b/>
                <w:bCs/>
                <w:color w:val="auto"/>
                <w:sz w:val="21"/>
                <w:szCs w:val="21"/>
                <w:lang w:eastAsia="zh-CN"/>
              </w:rPr>
              <w:t>：</w:t>
            </w:r>
          </w:p>
          <w:p>
            <w:pPr>
              <w:widowControl/>
              <w:spacing w:line="240" w:lineRule="auto"/>
              <w:jc w:val="left"/>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1、演示数据</w:t>
            </w:r>
            <w:r>
              <w:rPr>
                <w:rFonts w:hint="eastAsia" w:ascii="宋体" w:hAnsi="宋体" w:cs="宋体"/>
                <w:color w:val="auto"/>
                <w:kern w:val="0"/>
                <w:sz w:val="21"/>
                <w:szCs w:val="21"/>
                <w:lang w:val="en-US" w:eastAsia="zh-CN" w:bidi="ar-SA"/>
              </w:rPr>
              <w:t>采集</w:t>
            </w:r>
            <w:r>
              <w:rPr>
                <w:rFonts w:hint="eastAsia" w:ascii="宋体" w:hAnsi="宋体" w:eastAsia="宋体" w:cs="宋体"/>
                <w:color w:val="auto"/>
                <w:kern w:val="0"/>
                <w:sz w:val="21"/>
                <w:szCs w:val="21"/>
                <w:lang w:val="en-US" w:eastAsia="zh-CN" w:bidi="ar-SA"/>
              </w:rPr>
              <w:t>接入功能，支持关系型数据库、分布式数据库、文本数据的接入，支持数据库同步、数据抽取、批量导入、增量更新、手动采集、FTP、网络文件系统、分布式文件系统、边界接入</w:t>
            </w:r>
            <w:r>
              <w:rPr>
                <w:rFonts w:hint="eastAsia" w:ascii="宋体" w:hAnsi="宋体" w:cs="宋体"/>
                <w:color w:val="auto"/>
                <w:kern w:val="0"/>
                <w:sz w:val="21"/>
                <w:szCs w:val="21"/>
                <w:lang w:val="en-US" w:eastAsia="zh-CN" w:bidi="ar-SA"/>
              </w:rPr>
              <w:t>、插件或接口定制</w:t>
            </w:r>
            <w:r>
              <w:rPr>
                <w:rFonts w:hint="eastAsia" w:ascii="宋体" w:hAnsi="宋体" w:eastAsia="宋体" w:cs="宋体"/>
                <w:color w:val="auto"/>
                <w:kern w:val="0"/>
                <w:sz w:val="21"/>
                <w:szCs w:val="21"/>
                <w:lang w:val="en-US" w:eastAsia="zh-CN" w:bidi="ar-SA"/>
              </w:rPr>
              <w:t>等数据接入方式。</w:t>
            </w:r>
          </w:p>
          <w:p>
            <w:pPr>
              <w:widowControl/>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演示数据定义功能，包括数据格式定义、数据读取定义、数据比对定义、数据清洗定义、数据提取定义、数据分发定义；演示数据标准管理功能，包括新建、导入（Excel、csv）、审核标准，数据标准可用于数据的标准化加工和质量探查。</w:t>
            </w:r>
          </w:p>
          <w:p>
            <w:pPr>
              <w:widowControl/>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3、演示数据探查功能，包括启用探查、探查报告、探查概览，对数据进行数据上、结构上的排查，按照固有的规则进行数据校验</w:t>
            </w:r>
            <w:r>
              <w:rPr>
                <w:rFonts w:hint="eastAsia" w:ascii="宋体" w:hAnsi="宋体" w:cs="宋体"/>
                <w:color w:val="auto"/>
                <w:kern w:val="0"/>
                <w:sz w:val="21"/>
                <w:szCs w:val="21"/>
                <w:lang w:val="en-US" w:eastAsia="zh-CN" w:bidi="ar-SA"/>
              </w:rPr>
              <w:t>。</w:t>
            </w:r>
          </w:p>
          <w:p>
            <w:pPr>
              <w:widowControl/>
              <w:spacing w:line="240" w:lineRule="auto"/>
              <w:jc w:val="left"/>
              <w:rPr>
                <w:rFonts w:hint="eastAsia"/>
                <w:b w:val="0"/>
                <w:bCs w:val="0"/>
                <w:color w:val="auto"/>
                <w:sz w:val="21"/>
                <w:szCs w:val="21"/>
                <w:lang w:val="en-US" w:eastAsia="zh-CN"/>
              </w:rPr>
            </w:pPr>
            <w:r>
              <w:rPr>
                <w:rFonts w:hint="eastAsia" w:ascii="宋体" w:hAnsi="宋体" w:eastAsia="宋体" w:cs="宋体"/>
                <w:color w:val="auto"/>
                <w:kern w:val="0"/>
                <w:sz w:val="21"/>
                <w:szCs w:val="21"/>
                <w:lang w:val="en-US" w:eastAsia="zh-CN" w:bidi="ar-SA"/>
              </w:rPr>
              <w:t>4、演示数据对账功能，支持增删改查，支持监控定时调度前后源表到目标表中的数据量是否一致。</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w:t>
            </w:r>
          </w:p>
        </w:tc>
      </w:tr>
      <w:tr>
        <w:tblPrEx>
          <w:tblCellMar>
            <w:top w:w="0" w:type="dxa"/>
            <w:left w:w="108" w:type="dxa"/>
            <w:bottom w:w="0" w:type="dxa"/>
            <w:right w:w="108" w:type="dxa"/>
          </w:tblCellMar>
        </w:tblPrEx>
        <w:trPr>
          <w:trHeight w:val="90" w:hRule="atLeast"/>
        </w:trPr>
        <w:tc>
          <w:tcPr>
            <w:tcW w:w="400" w:type="pct"/>
            <w:vMerge w:val="continue"/>
            <w:tcBorders>
              <w:left w:val="single" w:color="auto" w:sz="4" w:space="0"/>
              <w:right w:val="single" w:color="auto" w:sz="4" w:space="0"/>
            </w:tcBorders>
            <w:vAlign w:val="center"/>
          </w:tcPr>
          <w:p>
            <w:pPr>
              <w:pStyle w:val="10"/>
              <w:spacing w:line="360" w:lineRule="auto"/>
              <w:jc w:val="center"/>
              <w:rPr>
                <w:rFonts w:hint="eastAsia" w:ascii="宋体" w:hAnsi="宋体" w:cs="宋体"/>
                <w:b/>
                <w:bCs/>
                <w:color w:val="auto"/>
                <w:kern w:val="0"/>
                <w:sz w:val="21"/>
                <w:szCs w:val="21"/>
                <w:lang w:val="en-US" w:eastAsia="zh-CN"/>
              </w:rPr>
            </w:pPr>
          </w:p>
        </w:tc>
        <w:tc>
          <w:tcPr>
            <w:tcW w:w="40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b w:val="0"/>
                <w:bCs w:val="0"/>
                <w:color w:val="auto"/>
                <w:sz w:val="21"/>
                <w:szCs w:val="21"/>
                <w:lang w:val="en-US" w:eastAsia="zh-CN"/>
              </w:rPr>
            </w:pPr>
            <w:r>
              <w:rPr>
                <w:rFonts w:hint="eastAsia"/>
                <w:b w:val="0"/>
                <w:bCs w:val="0"/>
                <w:color w:val="auto"/>
                <w:sz w:val="21"/>
                <w:szCs w:val="21"/>
                <w:lang w:val="en-US" w:eastAsia="zh-CN"/>
              </w:rPr>
              <w:t>第三部分</w:t>
            </w: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b/>
                <w:bCs/>
                <w:color w:val="auto"/>
                <w:sz w:val="21"/>
                <w:szCs w:val="21"/>
                <w:lang w:eastAsia="zh-CN"/>
              </w:rPr>
            </w:pPr>
            <w:r>
              <w:rPr>
                <w:rFonts w:hint="eastAsia"/>
                <w:b/>
                <w:bCs/>
                <w:color w:val="auto"/>
                <w:sz w:val="21"/>
                <w:szCs w:val="21"/>
                <w:lang w:eastAsia="zh-CN"/>
              </w:rPr>
              <w:t>演示数据处理模块</w:t>
            </w:r>
            <w:r>
              <w:rPr>
                <w:rFonts w:hint="eastAsia"/>
                <w:b w:val="0"/>
                <w:bCs w:val="0"/>
                <w:color w:val="auto"/>
                <w:sz w:val="21"/>
                <w:szCs w:val="21"/>
                <w:lang w:eastAsia="zh-CN"/>
              </w:rPr>
              <w:t>（每项</w:t>
            </w:r>
            <w:r>
              <w:rPr>
                <w:rFonts w:hint="eastAsia"/>
                <w:b w:val="0"/>
                <w:bCs w:val="0"/>
                <w:color w:val="auto"/>
                <w:sz w:val="21"/>
                <w:szCs w:val="21"/>
                <w:lang w:val="en-US" w:eastAsia="zh-CN"/>
              </w:rPr>
              <w:t>0.5分</w:t>
            </w:r>
            <w:r>
              <w:rPr>
                <w:rFonts w:hint="eastAsia"/>
                <w:b w:val="0"/>
                <w:bCs w:val="0"/>
                <w:color w:val="auto"/>
                <w:sz w:val="21"/>
                <w:szCs w:val="21"/>
                <w:lang w:eastAsia="zh-CN"/>
              </w:rPr>
              <w:t>）</w:t>
            </w:r>
            <w:r>
              <w:rPr>
                <w:rFonts w:hint="eastAsia"/>
                <w:b/>
                <w:bCs/>
                <w:color w:val="auto"/>
                <w:sz w:val="21"/>
                <w:szCs w:val="21"/>
                <w:lang w:eastAsia="zh-CN"/>
              </w:rPr>
              <w:t>：</w:t>
            </w:r>
          </w:p>
          <w:p>
            <w:pPr>
              <w:widowControl/>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1、演示数据提取模块，支持对word、Excel等非结构化数据的提取，</w:t>
            </w:r>
            <w:r>
              <w:rPr>
                <w:rFonts w:hint="eastAsia" w:ascii="宋体" w:hAnsi="宋体" w:cs="宋体"/>
                <w:color w:val="auto"/>
                <w:kern w:val="0"/>
                <w:sz w:val="21"/>
                <w:szCs w:val="21"/>
                <w:lang w:val="en-US" w:eastAsia="zh-CN" w:bidi="ar-SA"/>
              </w:rPr>
              <w:t>通过可视化方式</w:t>
            </w:r>
            <w:r>
              <w:rPr>
                <w:rFonts w:hint="eastAsia" w:ascii="宋体" w:hAnsi="宋体" w:eastAsia="宋体" w:cs="宋体"/>
                <w:color w:val="auto"/>
                <w:kern w:val="0"/>
                <w:sz w:val="21"/>
                <w:szCs w:val="21"/>
                <w:lang w:val="en-US" w:eastAsia="zh-CN" w:bidi="ar-SA"/>
              </w:rPr>
              <w:t>支持拖动要治理的表到工作区域，并支持对数据设置筛选、增量规则；</w:t>
            </w:r>
          </w:p>
          <w:p>
            <w:pPr>
              <w:widowControl/>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2、演示数据清洗模块，支持数据治理清洗函数，</w:t>
            </w:r>
            <w:r>
              <w:rPr>
                <w:rFonts w:hint="eastAsia" w:ascii="宋体" w:hAnsi="宋体" w:cs="宋体"/>
                <w:color w:val="auto"/>
                <w:kern w:val="0"/>
                <w:sz w:val="21"/>
                <w:szCs w:val="21"/>
                <w:lang w:val="en-US" w:eastAsia="zh-CN" w:bidi="ar-SA"/>
              </w:rPr>
              <w:t>支持自动和手动清洗，</w:t>
            </w:r>
            <w:r>
              <w:rPr>
                <w:rFonts w:hint="eastAsia" w:ascii="宋体" w:hAnsi="宋体" w:eastAsia="宋体" w:cs="宋体"/>
                <w:color w:val="auto"/>
                <w:kern w:val="0"/>
                <w:sz w:val="21"/>
                <w:szCs w:val="21"/>
                <w:lang w:val="en-US" w:eastAsia="zh-CN" w:bidi="ar-SA"/>
              </w:rPr>
              <w:t>包括但不限于对身份证、车牌号、地址规划等的清洗，支持去重、代码集关联、提取、转换、截断等清洗脚本的自动化生成，支持支持根据数据标准对字段名称标准化、代码值标准化，可以对字段添加备注信息；</w:t>
            </w:r>
          </w:p>
          <w:p>
            <w:pPr>
              <w:widowControl/>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3、演示数据关联模块，支持关联回填功能</w:t>
            </w:r>
            <w:r>
              <w:rPr>
                <w:rFonts w:hint="eastAsia" w:ascii="宋体" w:hAnsi="宋体" w:cs="宋体"/>
                <w:color w:val="auto"/>
                <w:kern w:val="0"/>
                <w:sz w:val="21"/>
                <w:szCs w:val="21"/>
                <w:lang w:val="en-US" w:eastAsia="zh-CN" w:bidi="ar-SA"/>
              </w:rPr>
              <w:t>，</w:t>
            </w:r>
            <w:r>
              <w:rPr>
                <w:rFonts w:hint="eastAsia" w:ascii="宋体" w:hAnsi="宋体" w:eastAsia="宋体" w:cs="宋体"/>
                <w:color w:val="auto"/>
                <w:kern w:val="0"/>
                <w:sz w:val="21"/>
                <w:szCs w:val="21"/>
                <w:lang w:val="en-US" w:eastAsia="zh-CN" w:bidi="ar-SA"/>
              </w:rPr>
              <w:t>表关联之后，支持数据缺失部分可自动进行回填；</w:t>
            </w:r>
          </w:p>
          <w:p>
            <w:pPr>
              <w:widowControl/>
              <w:spacing w:line="240" w:lineRule="auto"/>
              <w:jc w:val="left"/>
              <w:rPr>
                <w:rFonts w:hint="eastAsia"/>
                <w:b w:val="0"/>
                <w:bCs w:val="0"/>
                <w:color w:val="auto"/>
                <w:sz w:val="21"/>
                <w:szCs w:val="21"/>
                <w:lang w:val="en-US" w:eastAsia="zh-CN"/>
              </w:rPr>
            </w:pPr>
            <w:r>
              <w:rPr>
                <w:rFonts w:hint="eastAsia" w:ascii="宋体" w:hAnsi="宋体" w:eastAsia="宋体" w:cs="宋体"/>
                <w:color w:val="auto"/>
                <w:kern w:val="0"/>
                <w:sz w:val="21"/>
                <w:szCs w:val="21"/>
                <w:lang w:val="en-US" w:eastAsia="zh-CN" w:bidi="ar-SA"/>
              </w:rPr>
              <w:t>4、演示数据比对模块，支持结构化比对功能，通过线索与指定字段取值进行比对，在海量数据中实时发现线索相关信息。</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w:t>
            </w:r>
          </w:p>
        </w:tc>
      </w:tr>
      <w:tr>
        <w:tblPrEx>
          <w:tblCellMar>
            <w:top w:w="0" w:type="dxa"/>
            <w:left w:w="108" w:type="dxa"/>
            <w:bottom w:w="0" w:type="dxa"/>
            <w:right w:w="108" w:type="dxa"/>
          </w:tblCellMar>
        </w:tblPrEx>
        <w:trPr>
          <w:trHeight w:val="780" w:hRule="atLeast"/>
        </w:trPr>
        <w:tc>
          <w:tcPr>
            <w:tcW w:w="400" w:type="pct"/>
            <w:vMerge w:val="continue"/>
            <w:tcBorders>
              <w:left w:val="single" w:color="auto" w:sz="4" w:space="0"/>
              <w:right w:val="single" w:color="auto" w:sz="4" w:space="0"/>
            </w:tcBorders>
            <w:vAlign w:val="center"/>
          </w:tcPr>
          <w:p>
            <w:pPr>
              <w:pStyle w:val="10"/>
              <w:spacing w:line="360" w:lineRule="auto"/>
              <w:jc w:val="center"/>
              <w:rPr>
                <w:rFonts w:hint="eastAsia" w:ascii="宋体" w:hAnsi="宋体" w:cs="宋体"/>
                <w:b/>
                <w:bCs/>
                <w:color w:val="auto"/>
                <w:kern w:val="0"/>
                <w:sz w:val="21"/>
                <w:szCs w:val="21"/>
                <w:lang w:val="en-US" w:eastAsia="zh-CN"/>
              </w:rPr>
            </w:pPr>
          </w:p>
        </w:tc>
        <w:tc>
          <w:tcPr>
            <w:tcW w:w="40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b w:val="0"/>
                <w:bCs w:val="0"/>
                <w:color w:val="auto"/>
                <w:sz w:val="21"/>
                <w:szCs w:val="21"/>
                <w:lang w:val="en-US" w:eastAsia="zh-CN"/>
              </w:rPr>
            </w:pPr>
            <w:r>
              <w:rPr>
                <w:rFonts w:hint="eastAsia"/>
                <w:b w:val="0"/>
                <w:bCs w:val="0"/>
                <w:color w:val="auto"/>
                <w:sz w:val="21"/>
                <w:szCs w:val="21"/>
                <w:lang w:val="en-US" w:eastAsia="zh-CN"/>
              </w:rPr>
              <w:t>第四部分</w:t>
            </w: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b/>
                <w:bCs/>
                <w:color w:val="auto"/>
                <w:sz w:val="21"/>
                <w:szCs w:val="21"/>
                <w:lang w:eastAsia="zh-CN"/>
              </w:rPr>
            </w:pPr>
            <w:r>
              <w:rPr>
                <w:rFonts w:hint="eastAsia"/>
                <w:b/>
                <w:bCs/>
                <w:color w:val="auto"/>
                <w:sz w:val="21"/>
                <w:szCs w:val="21"/>
                <w:lang w:eastAsia="zh-CN"/>
              </w:rPr>
              <w:t>演示数据治理模块</w:t>
            </w:r>
            <w:r>
              <w:rPr>
                <w:rFonts w:hint="eastAsia"/>
                <w:b w:val="0"/>
                <w:bCs w:val="0"/>
                <w:color w:val="auto"/>
                <w:sz w:val="21"/>
                <w:szCs w:val="21"/>
                <w:lang w:eastAsia="zh-CN"/>
              </w:rPr>
              <w:t>（每项</w:t>
            </w:r>
            <w:r>
              <w:rPr>
                <w:rFonts w:hint="eastAsia"/>
                <w:b w:val="0"/>
                <w:bCs w:val="0"/>
                <w:color w:val="auto"/>
                <w:sz w:val="21"/>
                <w:szCs w:val="21"/>
                <w:lang w:val="en-US" w:eastAsia="zh-CN"/>
              </w:rPr>
              <w:t>0.6分</w:t>
            </w:r>
            <w:r>
              <w:rPr>
                <w:rFonts w:hint="eastAsia"/>
                <w:b w:val="0"/>
                <w:bCs w:val="0"/>
                <w:color w:val="auto"/>
                <w:sz w:val="21"/>
                <w:szCs w:val="21"/>
                <w:lang w:eastAsia="zh-CN"/>
              </w:rPr>
              <w:t>）</w:t>
            </w:r>
            <w:r>
              <w:rPr>
                <w:rFonts w:hint="eastAsia"/>
                <w:b/>
                <w:bCs/>
                <w:color w:val="auto"/>
                <w:sz w:val="21"/>
                <w:szCs w:val="21"/>
                <w:lang w:eastAsia="zh-CN"/>
              </w:rPr>
              <w:t>：</w:t>
            </w:r>
          </w:p>
          <w:p>
            <w:pPr>
              <w:widowControl/>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1、演示数据分级分类模块，支持对来源数据进行自动分级分类，控制用户访问数据权限，粒度支持字段级；</w:t>
            </w:r>
          </w:p>
          <w:p>
            <w:pPr>
              <w:widowControl/>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2、演示数据血缘管理模块，支持数据血缘分析，支持表血缘和字段血缘，并且能够对血缘进行影响分析，溯源分析，继承分析，流向分析，转换分析；</w:t>
            </w:r>
          </w:p>
          <w:p>
            <w:pPr>
              <w:widowControl/>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演示数据质量管理模块，支持全链路数据质量管理，对数据源、导入过程、数据资产、数据使用等数据链路中的各个环节进行管控，包括质量监控、异常告警、问题定位、自定义规则维护、灵活的规则执行、自动分析报告等；</w:t>
            </w:r>
          </w:p>
          <w:p>
            <w:pPr>
              <w:widowControl/>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4、演示元数据查询功能，支持展示各个数仓分层的技术元数据、业务元数据和</w:t>
            </w:r>
            <w:r>
              <w:rPr>
                <w:rFonts w:hint="eastAsia" w:ascii="宋体" w:hAnsi="宋体" w:cs="宋体"/>
                <w:color w:val="auto"/>
                <w:kern w:val="0"/>
                <w:sz w:val="21"/>
                <w:szCs w:val="21"/>
                <w:lang w:val="en-US" w:eastAsia="zh-CN" w:bidi="ar-SA"/>
              </w:rPr>
              <w:t>管理</w:t>
            </w:r>
            <w:r>
              <w:rPr>
                <w:rFonts w:hint="eastAsia" w:ascii="宋体" w:hAnsi="宋体" w:eastAsia="宋体" w:cs="宋体"/>
                <w:color w:val="auto"/>
                <w:kern w:val="0"/>
                <w:sz w:val="21"/>
                <w:szCs w:val="21"/>
                <w:lang w:val="en-US" w:eastAsia="zh-CN" w:bidi="ar-SA"/>
              </w:rPr>
              <w:t>元数据；</w:t>
            </w:r>
          </w:p>
          <w:p>
            <w:pPr>
              <w:widowControl/>
              <w:spacing w:line="240" w:lineRule="auto"/>
              <w:jc w:val="left"/>
              <w:rPr>
                <w:rFonts w:hint="eastAsia"/>
                <w:b w:val="0"/>
                <w:bCs w:val="0"/>
                <w:color w:val="auto"/>
                <w:sz w:val="21"/>
                <w:szCs w:val="21"/>
                <w:lang w:val="en-US" w:eastAsia="zh-CN"/>
              </w:rPr>
            </w:pPr>
            <w:r>
              <w:rPr>
                <w:rFonts w:hint="eastAsia" w:ascii="宋体" w:hAnsi="宋体" w:eastAsia="宋体" w:cs="宋体"/>
                <w:color w:val="auto"/>
                <w:kern w:val="0"/>
                <w:sz w:val="21"/>
                <w:szCs w:val="21"/>
                <w:lang w:val="en-US" w:eastAsia="zh-CN" w:bidi="ar-SA"/>
              </w:rPr>
              <w:t>5、演示API注册</w:t>
            </w:r>
            <w:r>
              <w:rPr>
                <w:rFonts w:hint="eastAsia" w:ascii="宋体" w:hAnsi="宋体" w:cs="宋体"/>
                <w:color w:val="auto"/>
                <w:kern w:val="0"/>
                <w:sz w:val="21"/>
                <w:szCs w:val="21"/>
                <w:lang w:val="en-US" w:eastAsia="zh-CN" w:bidi="ar-SA"/>
              </w:rPr>
              <w:t>、配置</w:t>
            </w:r>
            <w:r>
              <w:rPr>
                <w:rFonts w:hint="eastAsia" w:ascii="宋体" w:hAnsi="宋体" w:eastAsia="宋体" w:cs="宋体"/>
                <w:color w:val="auto"/>
                <w:kern w:val="0"/>
                <w:sz w:val="21"/>
                <w:szCs w:val="21"/>
                <w:lang w:val="en-US" w:eastAsia="zh-CN" w:bidi="ar-SA"/>
              </w:rPr>
              <w:t>功能，支持查询检索服务（全文检索、通用扩展查询、通过数据查询服务等），比对订阅，数据推送，数据操作、数据API注册</w:t>
            </w:r>
            <w:r>
              <w:rPr>
                <w:rFonts w:hint="eastAsia" w:ascii="宋体" w:hAnsi="宋体" w:cs="宋体"/>
                <w:color w:val="auto"/>
                <w:kern w:val="0"/>
                <w:sz w:val="21"/>
                <w:szCs w:val="21"/>
                <w:lang w:val="en-US" w:eastAsia="zh-CN" w:bidi="ar-SA"/>
              </w:rPr>
              <w:t>、配置</w:t>
            </w:r>
            <w:r>
              <w:rPr>
                <w:rFonts w:hint="eastAsia" w:ascii="宋体" w:hAnsi="宋体" w:eastAsia="宋体" w:cs="宋体"/>
                <w:color w:val="auto"/>
                <w:kern w:val="0"/>
                <w:sz w:val="21"/>
                <w:szCs w:val="21"/>
                <w:lang w:val="en-US" w:eastAsia="zh-CN" w:bidi="ar-SA"/>
              </w:rPr>
              <w:t>功能。</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3</w:t>
            </w:r>
          </w:p>
        </w:tc>
      </w:tr>
      <w:tr>
        <w:tblPrEx>
          <w:tblCellMar>
            <w:top w:w="0" w:type="dxa"/>
            <w:left w:w="108" w:type="dxa"/>
            <w:bottom w:w="0" w:type="dxa"/>
            <w:right w:w="108" w:type="dxa"/>
          </w:tblCellMar>
        </w:tblPrEx>
        <w:trPr>
          <w:trHeight w:val="780" w:hRule="atLeast"/>
        </w:trPr>
        <w:tc>
          <w:tcPr>
            <w:tcW w:w="400" w:type="pct"/>
            <w:vMerge w:val="continue"/>
            <w:tcBorders>
              <w:left w:val="single" w:color="auto" w:sz="4" w:space="0"/>
              <w:bottom w:val="single" w:color="auto" w:sz="4" w:space="0"/>
              <w:right w:val="single" w:color="auto" w:sz="4" w:space="0"/>
            </w:tcBorders>
            <w:vAlign w:val="center"/>
          </w:tcPr>
          <w:p>
            <w:pPr>
              <w:pStyle w:val="10"/>
              <w:spacing w:line="360" w:lineRule="auto"/>
              <w:jc w:val="center"/>
              <w:rPr>
                <w:rFonts w:hint="eastAsia" w:ascii="宋体" w:hAnsi="宋体" w:cs="宋体"/>
                <w:b/>
                <w:bCs/>
                <w:color w:val="auto"/>
                <w:kern w:val="0"/>
                <w:sz w:val="21"/>
                <w:szCs w:val="21"/>
                <w:lang w:val="en-US" w:eastAsia="zh-CN"/>
              </w:rPr>
            </w:pPr>
          </w:p>
        </w:tc>
        <w:tc>
          <w:tcPr>
            <w:tcW w:w="40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b w:val="0"/>
                <w:bCs w:val="0"/>
                <w:color w:val="auto"/>
                <w:sz w:val="21"/>
                <w:szCs w:val="21"/>
                <w:lang w:val="en-US" w:eastAsia="zh-CN"/>
              </w:rPr>
            </w:pPr>
            <w:r>
              <w:rPr>
                <w:rFonts w:hint="eastAsia"/>
                <w:b w:val="0"/>
                <w:bCs w:val="0"/>
                <w:color w:val="auto"/>
                <w:sz w:val="21"/>
                <w:szCs w:val="21"/>
                <w:lang w:val="en-US" w:eastAsia="zh-CN"/>
              </w:rPr>
              <w:t>第五部分</w:t>
            </w: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b/>
                <w:bCs/>
                <w:color w:val="auto"/>
                <w:sz w:val="21"/>
                <w:szCs w:val="21"/>
                <w:lang w:eastAsia="zh-CN"/>
              </w:rPr>
            </w:pPr>
            <w:r>
              <w:rPr>
                <w:rFonts w:hint="eastAsia"/>
                <w:b/>
                <w:bCs/>
                <w:color w:val="auto"/>
                <w:sz w:val="21"/>
                <w:szCs w:val="21"/>
                <w:lang w:eastAsia="zh-CN"/>
              </w:rPr>
              <w:t>演示数据组织模块</w:t>
            </w:r>
            <w:r>
              <w:rPr>
                <w:rFonts w:hint="eastAsia"/>
                <w:b w:val="0"/>
                <w:bCs w:val="0"/>
                <w:color w:val="auto"/>
                <w:sz w:val="21"/>
                <w:szCs w:val="21"/>
                <w:lang w:eastAsia="zh-CN"/>
              </w:rPr>
              <w:t>（每项</w:t>
            </w:r>
            <w:r>
              <w:rPr>
                <w:rFonts w:hint="eastAsia"/>
                <w:b w:val="0"/>
                <w:bCs w:val="0"/>
                <w:color w:val="auto"/>
                <w:sz w:val="21"/>
                <w:szCs w:val="21"/>
                <w:lang w:val="en-US" w:eastAsia="zh-CN"/>
              </w:rPr>
              <w:t>0.5分</w:t>
            </w:r>
            <w:r>
              <w:rPr>
                <w:rFonts w:hint="eastAsia"/>
                <w:b w:val="0"/>
                <w:bCs w:val="0"/>
                <w:color w:val="auto"/>
                <w:sz w:val="21"/>
                <w:szCs w:val="21"/>
                <w:lang w:eastAsia="zh-CN"/>
              </w:rPr>
              <w:t>）</w:t>
            </w:r>
            <w:r>
              <w:rPr>
                <w:rFonts w:hint="eastAsia"/>
                <w:b/>
                <w:bCs/>
                <w:color w:val="auto"/>
                <w:sz w:val="21"/>
                <w:szCs w:val="21"/>
                <w:lang w:eastAsia="zh-CN"/>
              </w:rPr>
              <w:t>：</w:t>
            </w:r>
          </w:p>
          <w:p>
            <w:pPr>
              <w:widowControl/>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1、演示原始库构建功能，演示各种来源数据进行一系列处理加工后产生的标准化数据项、原始数据项等其他公共数据项，支持页面可视化配置；</w:t>
            </w:r>
          </w:p>
          <w:p>
            <w:pPr>
              <w:widowControl/>
              <w:spacing w:line="240" w:lineRule="auto"/>
              <w:jc w:val="left"/>
              <w:rPr>
                <w:rFonts w:hint="eastAsia"/>
                <w:b w:val="0"/>
                <w:bCs w:val="0"/>
                <w:color w:val="auto"/>
                <w:sz w:val="21"/>
                <w:szCs w:val="21"/>
                <w:lang w:val="en-US" w:eastAsia="zh-CN"/>
              </w:rPr>
            </w:pPr>
            <w:r>
              <w:rPr>
                <w:rFonts w:hint="eastAsia" w:ascii="宋体" w:hAnsi="宋体" w:eastAsia="宋体" w:cs="宋体"/>
                <w:color w:val="auto"/>
                <w:kern w:val="0"/>
                <w:sz w:val="21"/>
                <w:szCs w:val="21"/>
                <w:lang w:val="en-US" w:eastAsia="zh-CN" w:bidi="ar-SA"/>
              </w:rPr>
              <w:t>2、演示主题库构建功能，演示平台通过配置形成人员、机动车、组织、案事件主题库，支持页面可视化配置。</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1</w:t>
            </w:r>
          </w:p>
        </w:tc>
      </w:tr>
      <w:tr>
        <w:tblPrEx>
          <w:tblCellMar>
            <w:top w:w="0" w:type="dxa"/>
            <w:left w:w="108" w:type="dxa"/>
            <w:bottom w:w="0" w:type="dxa"/>
            <w:right w:w="108" w:type="dxa"/>
          </w:tblCellMar>
        </w:tblPrEx>
        <w:trPr>
          <w:trHeight w:val="955" w:hRule="atLeast"/>
        </w:trPr>
        <w:tc>
          <w:tcPr>
            <w:tcW w:w="4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cs="宋体"/>
                <w:b/>
                <w:bCs/>
                <w:color w:val="auto"/>
                <w:kern w:val="0"/>
                <w:sz w:val="21"/>
                <w:szCs w:val="21"/>
              </w:rPr>
            </w:pPr>
            <w:r>
              <w:rPr>
                <w:rFonts w:hint="eastAsia" w:ascii="宋体" w:hAnsi="宋体" w:cs="宋体"/>
                <w:b/>
                <w:bCs/>
                <w:color w:val="auto"/>
                <w:kern w:val="0"/>
                <w:sz w:val="21"/>
                <w:szCs w:val="21"/>
              </w:rPr>
              <w:t>实力信誉及业绩</w:t>
            </w:r>
          </w:p>
          <w:p>
            <w:pPr>
              <w:widowControl/>
              <w:spacing w:line="360" w:lineRule="auto"/>
              <w:jc w:val="center"/>
              <w:rPr>
                <w:rFonts w:ascii="宋体" w:hAnsi="宋体" w:cs="宋体"/>
                <w:b/>
                <w:bCs/>
                <w:color w:val="auto"/>
                <w:kern w:val="0"/>
                <w:sz w:val="21"/>
                <w:szCs w:val="21"/>
              </w:rPr>
            </w:pPr>
            <w:r>
              <w:rPr>
                <w:rFonts w:hint="eastAsia" w:ascii="宋体" w:hAnsi="宋体" w:cs="宋体"/>
                <w:b/>
                <w:bCs/>
                <w:color w:val="auto"/>
                <w:kern w:val="0"/>
                <w:sz w:val="21"/>
                <w:szCs w:val="21"/>
                <w:lang w:val="en-US" w:eastAsia="zh-CN"/>
              </w:rPr>
              <w:t>6</w:t>
            </w:r>
            <w:r>
              <w:rPr>
                <w:rFonts w:hint="eastAsia" w:ascii="宋体" w:hAnsi="宋体" w:cs="宋体"/>
                <w:b/>
                <w:bCs/>
                <w:color w:val="auto"/>
                <w:kern w:val="0"/>
                <w:sz w:val="21"/>
                <w:szCs w:val="21"/>
              </w:rPr>
              <w:t>分</w:t>
            </w:r>
          </w:p>
        </w:tc>
        <w:tc>
          <w:tcPr>
            <w:tcW w:w="40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color w:val="auto"/>
                <w:sz w:val="21"/>
                <w:szCs w:val="21"/>
              </w:rPr>
            </w:pPr>
            <w:r>
              <w:rPr>
                <w:rFonts w:hint="eastAsia"/>
                <w:color w:val="auto"/>
                <w:sz w:val="21"/>
                <w:szCs w:val="21"/>
                <w:lang w:eastAsia="zh-CN"/>
              </w:rPr>
              <w:t>实力</w:t>
            </w:r>
            <w:r>
              <w:rPr>
                <w:rFonts w:hint="eastAsia"/>
                <w:color w:val="auto"/>
                <w:sz w:val="21"/>
                <w:szCs w:val="21"/>
              </w:rPr>
              <w:t>信誉</w:t>
            </w:r>
          </w:p>
          <w:p>
            <w:pPr>
              <w:pStyle w:val="10"/>
              <w:spacing w:line="240" w:lineRule="auto"/>
              <w:jc w:val="center"/>
              <w:rPr>
                <w:rFonts w:hint="eastAsia" w:eastAsia="宋体"/>
                <w:color w:val="auto"/>
                <w:sz w:val="21"/>
                <w:szCs w:val="21"/>
                <w:lang w:val="en-US" w:eastAsia="zh-CN"/>
              </w:rPr>
            </w:pPr>
            <w:r>
              <w:rPr>
                <w:rFonts w:hint="eastAsia" w:ascii="宋体" w:hAnsi="宋体" w:cs="宋体"/>
                <w:b w:val="0"/>
                <w:bCs w:val="0"/>
                <w:color w:val="auto"/>
                <w:kern w:val="0"/>
                <w:sz w:val="21"/>
                <w:szCs w:val="21"/>
                <w:lang w:val="en-US" w:eastAsia="zh-CN"/>
              </w:rPr>
              <w:t>4分</w:t>
            </w: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lang w:eastAsia="zh-CN"/>
              </w:rPr>
              <w:t>具有ITSS能力证书的得</w:t>
            </w:r>
            <w:r>
              <w:rPr>
                <w:rFonts w:hint="eastAsia" w:ascii="宋体" w:hAnsi="宋体" w:cs="宋体"/>
                <w:color w:val="auto"/>
                <w:kern w:val="0"/>
                <w:sz w:val="21"/>
                <w:szCs w:val="21"/>
                <w:lang w:val="en-US" w:eastAsia="zh-CN"/>
              </w:rPr>
              <w:t>1分</w:t>
            </w:r>
            <w:r>
              <w:rPr>
                <w:rFonts w:hint="eastAsia" w:ascii="宋体" w:hAnsi="宋体" w:cs="宋体"/>
                <w:color w:val="auto"/>
                <w:kern w:val="0"/>
                <w:sz w:val="21"/>
                <w:szCs w:val="21"/>
                <w:lang w:eastAsia="zh-CN"/>
              </w:rPr>
              <w:t>；具有ISO27001信息安全管理体系认证证书的得</w:t>
            </w:r>
            <w:r>
              <w:rPr>
                <w:rFonts w:hint="eastAsia" w:ascii="宋体" w:hAnsi="宋体" w:cs="宋体"/>
                <w:color w:val="auto"/>
                <w:kern w:val="0"/>
                <w:sz w:val="21"/>
                <w:szCs w:val="21"/>
                <w:lang w:val="en-US" w:eastAsia="zh-CN"/>
              </w:rPr>
              <w:t>1</w:t>
            </w:r>
            <w:r>
              <w:rPr>
                <w:rFonts w:hint="eastAsia" w:ascii="宋体" w:hAnsi="宋体" w:cs="宋体"/>
                <w:color w:val="auto"/>
                <w:kern w:val="0"/>
                <w:sz w:val="21"/>
                <w:szCs w:val="21"/>
                <w:lang w:eastAsia="zh-CN"/>
              </w:rPr>
              <w:t>分；具有ISO9001质量管理体系认证证书的得</w:t>
            </w:r>
            <w:r>
              <w:rPr>
                <w:rFonts w:hint="eastAsia" w:ascii="宋体" w:hAnsi="宋体" w:cs="宋体"/>
                <w:color w:val="auto"/>
                <w:kern w:val="0"/>
                <w:sz w:val="21"/>
                <w:szCs w:val="21"/>
                <w:lang w:val="en-US" w:eastAsia="zh-CN"/>
              </w:rPr>
              <w:t>1</w:t>
            </w:r>
            <w:r>
              <w:rPr>
                <w:rFonts w:hint="eastAsia" w:ascii="宋体" w:hAnsi="宋体" w:cs="宋体"/>
                <w:color w:val="auto"/>
                <w:kern w:val="0"/>
                <w:sz w:val="21"/>
                <w:szCs w:val="21"/>
                <w:lang w:eastAsia="zh-CN"/>
              </w:rPr>
              <w:t>分；具有</w:t>
            </w:r>
            <w:r>
              <w:rPr>
                <w:rFonts w:hint="eastAsia" w:ascii="宋体" w:hAnsi="宋体" w:cs="宋体"/>
                <w:color w:val="auto"/>
                <w:kern w:val="0"/>
                <w:sz w:val="21"/>
                <w:szCs w:val="21"/>
                <w:lang w:val="en-US" w:eastAsia="zh-CN"/>
              </w:rPr>
              <w:t>ISO20000信息技术服务管理证书的得1分</w:t>
            </w:r>
            <w:r>
              <w:rPr>
                <w:rFonts w:hint="eastAsia" w:ascii="宋体" w:hAnsi="宋体" w:cs="宋体"/>
                <w:color w:val="auto"/>
                <w:kern w:val="0"/>
                <w:sz w:val="21"/>
                <w:szCs w:val="21"/>
                <w:lang w:eastAsia="zh-CN"/>
              </w:rPr>
              <w:t>。</w:t>
            </w:r>
          </w:p>
        </w:tc>
        <w:tc>
          <w:tcPr>
            <w:tcW w:w="406"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4</w:t>
            </w:r>
          </w:p>
        </w:tc>
      </w:tr>
      <w:tr>
        <w:tblPrEx>
          <w:tblCellMar>
            <w:top w:w="0" w:type="dxa"/>
            <w:left w:w="108" w:type="dxa"/>
            <w:bottom w:w="0" w:type="dxa"/>
            <w:right w:w="108" w:type="dxa"/>
          </w:tblCellMar>
        </w:tblPrEx>
        <w:trPr>
          <w:trHeight w:val="303" w:hRule="atLeast"/>
        </w:trPr>
        <w:tc>
          <w:tcPr>
            <w:tcW w:w="40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color w:val="auto"/>
                <w:sz w:val="21"/>
                <w:szCs w:val="21"/>
              </w:rPr>
            </w:pPr>
            <w:r>
              <w:rPr>
                <w:rFonts w:hint="eastAsia"/>
                <w:color w:val="auto"/>
                <w:sz w:val="21"/>
                <w:szCs w:val="21"/>
              </w:rPr>
              <w:t>项目案例</w:t>
            </w:r>
          </w:p>
          <w:p>
            <w:pPr>
              <w:pStyle w:val="10"/>
              <w:spacing w:line="240" w:lineRule="auto"/>
              <w:jc w:val="center"/>
              <w:rPr>
                <w:rFonts w:hint="eastAsia" w:eastAsia="宋体"/>
                <w:color w:val="auto"/>
                <w:sz w:val="21"/>
                <w:szCs w:val="21"/>
                <w:lang w:val="en-US" w:eastAsia="zh-CN"/>
              </w:rPr>
            </w:pPr>
            <w:r>
              <w:rPr>
                <w:rFonts w:hint="eastAsia" w:ascii="宋体" w:hAnsi="宋体" w:cs="宋体"/>
                <w:b w:val="0"/>
                <w:bCs w:val="0"/>
                <w:color w:val="auto"/>
                <w:kern w:val="0"/>
                <w:sz w:val="21"/>
                <w:szCs w:val="21"/>
                <w:lang w:val="en-US" w:eastAsia="zh-CN"/>
              </w:rPr>
              <w:t>2分</w:t>
            </w: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lang w:eastAsia="zh-CN"/>
              </w:rPr>
              <w:t>自2019</w:t>
            </w:r>
            <w:r>
              <w:rPr>
                <w:rFonts w:hint="eastAsia" w:ascii="宋体" w:hAnsi="宋体" w:cs="宋体"/>
                <w:color w:val="auto"/>
                <w:kern w:val="0"/>
                <w:sz w:val="21"/>
                <w:szCs w:val="21"/>
                <w:highlight w:val="none"/>
                <w:lang w:eastAsia="zh-CN"/>
              </w:rPr>
              <w:t>年</w:t>
            </w:r>
            <w:r>
              <w:rPr>
                <w:rFonts w:hint="eastAsia" w:ascii="宋体" w:hAnsi="宋体" w:cs="宋体"/>
                <w:color w:val="auto"/>
                <w:kern w:val="0"/>
                <w:sz w:val="21"/>
                <w:szCs w:val="21"/>
                <w:highlight w:val="none"/>
                <w:lang w:val="en-US" w:eastAsia="zh-CN"/>
              </w:rPr>
              <w:t>8</w:t>
            </w:r>
            <w:r>
              <w:rPr>
                <w:rFonts w:hint="eastAsia" w:ascii="宋体" w:hAnsi="宋体" w:cs="宋体"/>
                <w:color w:val="auto"/>
                <w:kern w:val="0"/>
                <w:sz w:val="21"/>
                <w:szCs w:val="21"/>
                <w:lang w:eastAsia="zh-CN"/>
              </w:rPr>
              <w:t>月以来（以合同签订时间为准），投标人承担类似项目实施的经验情况。</w:t>
            </w:r>
            <w:r>
              <w:rPr>
                <w:rFonts w:hint="eastAsia" w:ascii="宋体" w:hAnsi="宋体" w:cs="宋体"/>
                <w:color w:val="auto"/>
                <w:kern w:val="0"/>
                <w:sz w:val="21"/>
                <w:szCs w:val="21"/>
                <w:lang w:val="en-US" w:eastAsia="zh-CN"/>
              </w:rPr>
              <w:t>依据</w:t>
            </w:r>
            <w:r>
              <w:rPr>
                <w:rFonts w:hint="eastAsia" w:ascii="宋体" w:hAnsi="宋体" w:cs="宋体"/>
                <w:color w:val="auto"/>
                <w:kern w:val="0"/>
                <w:sz w:val="21"/>
                <w:szCs w:val="21"/>
                <w:lang w:eastAsia="zh-CN"/>
              </w:rPr>
              <w:t>投标人提供的合同、合格的用户验收报告：同时提供合同和用户验收报告的案例，每个得1分，最高得</w:t>
            </w:r>
            <w:r>
              <w:rPr>
                <w:rFonts w:hint="eastAsia" w:ascii="宋体" w:hAnsi="宋体" w:cs="宋体"/>
                <w:color w:val="auto"/>
                <w:kern w:val="0"/>
                <w:sz w:val="21"/>
                <w:szCs w:val="21"/>
                <w:lang w:val="en-US" w:eastAsia="zh-CN"/>
              </w:rPr>
              <w:t>2</w:t>
            </w:r>
            <w:r>
              <w:rPr>
                <w:rFonts w:hint="eastAsia" w:ascii="宋体" w:hAnsi="宋体" w:cs="宋体"/>
                <w:color w:val="auto"/>
                <w:kern w:val="0"/>
                <w:sz w:val="21"/>
                <w:szCs w:val="21"/>
                <w:lang w:eastAsia="zh-CN"/>
              </w:rPr>
              <w:t xml:space="preserve">分。（投标时提供中标通知书、采购合同、验收报告扫描件并加盖投标人公章，同一合同不重复计分）。 </w:t>
            </w:r>
          </w:p>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lang w:eastAsia="zh-CN"/>
              </w:rPr>
              <w:t>【</w:t>
            </w:r>
            <w:r>
              <w:rPr>
                <w:rFonts w:hint="eastAsia" w:ascii="宋体" w:hAnsi="宋体" w:cs="宋体"/>
                <w:b/>
                <w:bCs/>
                <w:color w:val="auto"/>
                <w:kern w:val="0"/>
                <w:sz w:val="21"/>
                <w:szCs w:val="21"/>
                <w:lang w:eastAsia="zh-CN"/>
              </w:rPr>
              <w:t>原件备查，采购机构在项目评审直至合同签订、履约期间，有权要求投标人出具投标文件中的合同和用户验收报告，予以确认其的真实性和有效性</w:t>
            </w:r>
            <w:r>
              <w:rPr>
                <w:rFonts w:hint="eastAsia" w:ascii="宋体" w:hAnsi="宋体" w:cs="宋体"/>
                <w:color w:val="auto"/>
                <w:kern w:val="0"/>
                <w:sz w:val="21"/>
                <w:szCs w:val="21"/>
                <w:lang w:eastAsia="zh-CN"/>
              </w:rPr>
              <w:t>】</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2</w:t>
            </w:r>
          </w:p>
        </w:tc>
      </w:tr>
      <w:tr>
        <w:tblPrEx>
          <w:tblCellMar>
            <w:top w:w="0" w:type="dxa"/>
            <w:left w:w="108" w:type="dxa"/>
            <w:bottom w:w="0" w:type="dxa"/>
            <w:right w:w="108" w:type="dxa"/>
          </w:tblCellMar>
        </w:tblPrEx>
        <w:trPr>
          <w:trHeight w:val="1040" w:hRule="atLeast"/>
        </w:trPr>
        <w:tc>
          <w:tcPr>
            <w:tcW w:w="400" w:type="pct"/>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auto"/>
                <w:kern w:val="0"/>
                <w:sz w:val="21"/>
                <w:szCs w:val="21"/>
              </w:rPr>
            </w:pPr>
            <w:r>
              <w:rPr>
                <w:rFonts w:hint="eastAsia" w:ascii="宋体" w:hAnsi="宋体" w:cs="宋体"/>
                <w:b/>
                <w:bCs/>
                <w:color w:val="auto"/>
                <w:kern w:val="0"/>
                <w:sz w:val="21"/>
                <w:szCs w:val="21"/>
              </w:rPr>
              <w:t>售后服务承诺1</w:t>
            </w:r>
            <w:r>
              <w:rPr>
                <w:rFonts w:hint="eastAsia" w:ascii="宋体" w:hAnsi="宋体" w:cs="宋体"/>
                <w:b/>
                <w:bCs/>
                <w:color w:val="auto"/>
                <w:kern w:val="0"/>
                <w:sz w:val="21"/>
                <w:szCs w:val="21"/>
                <w:lang w:val="en-US" w:eastAsia="zh-CN"/>
              </w:rPr>
              <w:t>5</w:t>
            </w:r>
            <w:r>
              <w:rPr>
                <w:rFonts w:hint="eastAsia" w:ascii="宋体" w:hAnsi="宋体" w:cs="宋体"/>
                <w:b/>
                <w:bCs/>
                <w:color w:val="auto"/>
                <w:kern w:val="0"/>
                <w:sz w:val="21"/>
                <w:szCs w:val="21"/>
              </w:rPr>
              <w:t>分</w:t>
            </w:r>
          </w:p>
        </w:tc>
        <w:tc>
          <w:tcPr>
            <w:tcW w:w="40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color w:val="auto"/>
                <w:sz w:val="21"/>
                <w:szCs w:val="21"/>
              </w:rPr>
            </w:pPr>
            <w:r>
              <w:rPr>
                <w:rFonts w:hint="eastAsia"/>
                <w:color w:val="auto"/>
                <w:sz w:val="21"/>
                <w:szCs w:val="21"/>
              </w:rPr>
              <w:t>服务方案</w:t>
            </w:r>
          </w:p>
          <w:p>
            <w:pPr>
              <w:pStyle w:val="10"/>
              <w:spacing w:line="240" w:lineRule="auto"/>
              <w:jc w:val="center"/>
              <w:rPr>
                <w:rFonts w:hint="eastAsia" w:eastAsia="宋体"/>
                <w:color w:val="auto"/>
                <w:sz w:val="21"/>
                <w:szCs w:val="21"/>
                <w:lang w:val="en-US" w:eastAsia="zh-CN"/>
              </w:rPr>
            </w:pPr>
            <w:r>
              <w:rPr>
                <w:rFonts w:hint="eastAsia" w:ascii="宋体" w:hAnsi="宋体" w:cs="宋体"/>
                <w:b w:val="0"/>
                <w:bCs w:val="0"/>
                <w:color w:val="auto"/>
                <w:kern w:val="0"/>
                <w:sz w:val="21"/>
                <w:szCs w:val="21"/>
                <w:lang w:val="en-US" w:eastAsia="zh-CN"/>
              </w:rPr>
              <w:t>3分</w:t>
            </w: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根据投标人的售后服务方案、措施、响应时限，质保期内系统、模块优化升级的次数、内容和质量，应急预案等内容进行打分：</w:t>
            </w:r>
          </w:p>
          <w:p>
            <w:pPr>
              <w:widowControl/>
              <w:spacing w:line="240" w:lineRule="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①方案详实、</w:t>
            </w:r>
            <w:r>
              <w:rPr>
                <w:rFonts w:hint="eastAsia" w:ascii="宋体" w:hAnsi="宋体" w:eastAsia="宋体" w:cs="宋体"/>
                <w:color w:val="auto"/>
                <w:kern w:val="0"/>
                <w:sz w:val="21"/>
                <w:szCs w:val="21"/>
                <w:lang w:eastAsia="zh-CN"/>
              </w:rPr>
              <w:t>内容完整、操作性强</w:t>
            </w:r>
            <w:r>
              <w:rPr>
                <w:rFonts w:hint="eastAsia" w:ascii="宋体" w:hAnsi="宋体" w:eastAsia="宋体" w:cs="宋体"/>
                <w:color w:val="auto"/>
                <w:kern w:val="0"/>
                <w:sz w:val="21"/>
                <w:szCs w:val="21"/>
                <w:lang w:val="en-US" w:eastAsia="zh-CN"/>
              </w:rPr>
              <w:t>的得3分；</w:t>
            </w:r>
          </w:p>
          <w:p>
            <w:pPr>
              <w:widowControl/>
              <w:spacing w:line="240" w:lineRule="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②方案合理、</w:t>
            </w:r>
            <w:r>
              <w:rPr>
                <w:rFonts w:hint="eastAsia" w:ascii="宋体" w:hAnsi="宋体" w:eastAsia="宋体" w:cs="宋体"/>
                <w:color w:val="auto"/>
                <w:kern w:val="0"/>
                <w:sz w:val="21"/>
                <w:szCs w:val="21"/>
                <w:lang w:eastAsia="zh-CN"/>
              </w:rPr>
              <w:t>内容常规、操作性一般</w:t>
            </w:r>
            <w:r>
              <w:rPr>
                <w:rFonts w:hint="eastAsia" w:ascii="宋体" w:hAnsi="宋体" w:eastAsia="宋体" w:cs="宋体"/>
                <w:color w:val="auto"/>
                <w:kern w:val="0"/>
                <w:sz w:val="21"/>
                <w:szCs w:val="21"/>
                <w:lang w:val="en-US" w:eastAsia="zh-CN"/>
              </w:rPr>
              <w:t>的得2分；</w:t>
            </w:r>
          </w:p>
          <w:p>
            <w:pPr>
              <w:widowControl/>
              <w:spacing w:line="240" w:lineRule="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③方案粗糙、</w:t>
            </w:r>
            <w:r>
              <w:rPr>
                <w:rFonts w:hint="eastAsia" w:ascii="宋体" w:hAnsi="宋体" w:eastAsia="宋体" w:cs="宋体"/>
                <w:color w:val="auto"/>
                <w:kern w:val="0"/>
                <w:sz w:val="21"/>
                <w:szCs w:val="21"/>
                <w:lang w:eastAsia="zh-CN"/>
              </w:rPr>
              <w:t>内容缺漏、操作性差</w:t>
            </w:r>
            <w:r>
              <w:rPr>
                <w:rFonts w:hint="eastAsia" w:ascii="宋体" w:hAnsi="宋体" w:eastAsia="宋体" w:cs="宋体"/>
                <w:color w:val="auto"/>
                <w:kern w:val="0"/>
                <w:sz w:val="21"/>
                <w:szCs w:val="21"/>
                <w:lang w:val="en-US" w:eastAsia="zh-CN"/>
              </w:rPr>
              <w:t>的得1分。</w:t>
            </w:r>
          </w:p>
          <w:p>
            <w:pPr>
              <w:widowControl/>
              <w:spacing w:line="240" w:lineRule="auto"/>
              <w:rPr>
                <w:color w:val="auto"/>
                <w:sz w:val="21"/>
                <w:szCs w:val="21"/>
              </w:rPr>
            </w:pPr>
            <w:r>
              <w:rPr>
                <w:rFonts w:hint="eastAsia" w:ascii="宋体" w:hAnsi="宋体" w:eastAsia="宋体" w:cs="宋体"/>
                <w:color w:val="auto"/>
                <w:kern w:val="0"/>
                <w:sz w:val="21"/>
                <w:szCs w:val="21"/>
                <w:lang w:eastAsia="zh-CN"/>
              </w:rPr>
              <w:t>④</w:t>
            </w:r>
            <w:r>
              <w:rPr>
                <w:rFonts w:hint="eastAsia" w:ascii="宋体" w:hAnsi="宋体" w:eastAsia="宋体" w:cs="宋体"/>
                <w:color w:val="auto"/>
                <w:kern w:val="0"/>
                <w:sz w:val="21"/>
                <w:szCs w:val="21"/>
                <w:lang w:val="en-US" w:eastAsia="zh-CN"/>
              </w:rPr>
              <w:t>未提供方案不得分。</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3</w:t>
            </w:r>
          </w:p>
        </w:tc>
      </w:tr>
      <w:tr>
        <w:tblPrEx>
          <w:tblCellMar>
            <w:top w:w="0" w:type="dxa"/>
            <w:left w:w="108" w:type="dxa"/>
            <w:bottom w:w="0" w:type="dxa"/>
            <w:right w:w="108" w:type="dxa"/>
          </w:tblCellMar>
        </w:tblPrEx>
        <w:trPr>
          <w:trHeight w:val="2356" w:hRule="atLeast"/>
        </w:trPr>
        <w:tc>
          <w:tcPr>
            <w:tcW w:w="400" w:type="pct"/>
            <w:vMerge w:val="continue"/>
            <w:tcBorders>
              <w:left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vMerge w:val="restart"/>
            <w:tcBorders>
              <w:top w:val="nil"/>
              <w:left w:val="single" w:color="auto" w:sz="4" w:space="0"/>
              <w:right w:val="single" w:color="auto" w:sz="4" w:space="0"/>
            </w:tcBorders>
            <w:shd w:val="clear" w:color="auto" w:fill="auto"/>
            <w:vAlign w:val="center"/>
          </w:tcPr>
          <w:p>
            <w:pPr>
              <w:widowControl/>
              <w:spacing w:line="240" w:lineRule="auto"/>
              <w:jc w:val="center"/>
              <w:rPr>
                <w:rFonts w:hint="eastAsia" w:eastAsia="宋体"/>
                <w:color w:val="auto"/>
                <w:sz w:val="21"/>
                <w:szCs w:val="21"/>
                <w:lang w:eastAsia="zh-CN"/>
              </w:rPr>
            </w:pPr>
            <w:r>
              <w:rPr>
                <w:rFonts w:hint="eastAsia"/>
                <w:color w:val="auto"/>
                <w:sz w:val="21"/>
                <w:szCs w:val="21"/>
              </w:rPr>
              <w:t>项目组</w:t>
            </w:r>
            <w:r>
              <w:rPr>
                <w:rFonts w:hint="eastAsia"/>
                <w:color w:val="auto"/>
                <w:sz w:val="21"/>
                <w:szCs w:val="21"/>
                <w:lang w:eastAsia="zh-CN"/>
              </w:rPr>
              <w:t>人员</w:t>
            </w:r>
          </w:p>
          <w:p>
            <w:pPr>
              <w:pStyle w:val="56"/>
              <w:spacing w:line="240" w:lineRule="auto"/>
              <w:jc w:val="center"/>
              <w:rPr>
                <w:rFonts w:hint="eastAsia" w:eastAsia="宋体"/>
                <w:color w:val="auto"/>
                <w:sz w:val="21"/>
                <w:szCs w:val="21"/>
                <w:lang w:val="en-US" w:eastAsia="zh-CN"/>
              </w:rPr>
            </w:pPr>
            <w:r>
              <w:rPr>
                <w:rFonts w:hint="eastAsia" w:ascii="宋体" w:hAnsi="宋体" w:cs="宋体"/>
                <w:color w:val="auto"/>
                <w:kern w:val="0"/>
                <w:sz w:val="21"/>
                <w:szCs w:val="21"/>
                <w:lang w:val="en-US" w:eastAsia="zh-CN"/>
              </w:rPr>
              <w:t>8分</w:t>
            </w: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lang w:val="en-US" w:eastAsia="zh-CN"/>
              </w:rPr>
              <w:t>1、</w:t>
            </w:r>
            <w:r>
              <w:rPr>
                <w:rFonts w:hint="eastAsia" w:ascii="宋体" w:hAnsi="宋体" w:cs="宋体"/>
                <w:color w:val="auto"/>
                <w:kern w:val="0"/>
                <w:sz w:val="21"/>
                <w:szCs w:val="21"/>
                <w:lang w:eastAsia="zh-CN"/>
              </w:rPr>
              <w:t>拟担任本项目的驻场项目经理具有信息系统项目管理师（高级）资格或高级项目经理证书得1分。</w:t>
            </w:r>
          </w:p>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lang w:val="en-US" w:eastAsia="zh-CN"/>
              </w:rPr>
              <w:t>2、</w:t>
            </w:r>
            <w:r>
              <w:rPr>
                <w:rFonts w:hint="eastAsia" w:ascii="宋体" w:hAnsi="宋体" w:cs="宋体"/>
                <w:color w:val="auto"/>
                <w:kern w:val="0"/>
                <w:sz w:val="21"/>
                <w:szCs w:val="21"/>
                <w:lang w:eastAsia="zh-CN"/>
              </w:rPr>
              <w:t>配备至少1名人员跟随项目经</w:t>
            </w:r>
            <w:r>
              <w:rPr>
                <w:rFonts w:hint="eastAsia" w:ascii="宋体" w:hAnsi="宋体" w:cs="宋体"/>
                <w:color w:val="000000" w:themeColor="text1"/>
                <w:kern w:val="0"/>
                <w:sz w:val="21"/>
                <w:szCs w:val="21"/>
                <w:lang w:eastAsia="zh-CN"/>
                <w14:textFill>
                  <w14:solidFill>
                    <w14:schemeClr w14:val="tx1"/>
                  </w14:solidFill>
                </w14:textFill>
              </w:rPr>
              <w:t>理</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项目交付验收</w:t>
            </w:r>
            <w:r>
              <w:rPr>
                <w:rFonts w:hint="eastAsia" w:ascii="宋体" w:hAnsi="宋体" w:cs="宋体"/>
                <w:color w:val="auto"/>
                <w:kern w:val="0"/>
                <w:sz w:val="21"/>
                <w:szCs w:val="21"/>
                <w:lang w:eastAsia="zh-CN"/>
              </w:rPr>
              <w:t>后接替项目经理继续负责项目协调工作（</w:t>
            </w:r>
            <w:r>
              <w:rPr>
                <w:rFonts w:hint="eastAsia" w:ascii="宋体" w:hAnsi="宋体" w:cs="宋体"/>
                <w:color w:val="auto"/>
                <w:kern w:val="0"/>
                <w:sz w:val="21"/>
                <w:szCs w:val="21"/>
                <w:lang w:val="en-US" w:eastAsia="zh-CN"/>
              </w:rPr>
              <w:t>需驻场，与各模块驻场人员不为同一人</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并满足：①</w:t>
            </w:r>
            <w:r>
              <w:rPr>
                <w:rFonts w:hint="eastAsia" w:ascii="宋体" w:hAnsi="宋体" w:cs="宋体"/>
                <w:color w:val="auto"/>
                <w:kern w:val="0"/>
                <w:sz w:val="21"/>
                <w:szCs w:val="21"/>
                <w:lang w:eastAsia="zh-CN"/>
              </w:rPr>
              <w:t>驻场时间不少于1年，</w:t>
            </w:r>
            <w:r>
              <w:rPr>
                <w:rFonts w:hint="eastAsia" w:ascii="宋体" w:hAnsi="宋体" w:cs="宋体"/>
                <w:color w:val="auto"/>
                <w:kern w:val="0"/>
                <w:sz w:val="21"/>
                <w:szCs w:val="21"/>
                <w:lang w:val="en-US" w:eastAsia="zh-CN"/>
              </w:rPr>
              <w:t>②</w:t>
            </w:r>
            <w:r>
              <w:rPr>
                <w:rFonts w:hint="eastAsia" w:ascii="宋体" w:hAnsi="宋体" w:cs="宋体"/>
                <w:color w:val="auto"/>
                <w:kern w:val="0"/>
                <w:sz w:val="21"/>
                <w:szCs w:val="21"/>
                <w:lang w:eastAsia="zh-CN"/>
              </w:rPr>
              <w:t>人员具有相关工作经验3年及以上。全部满足得1分，不满足不得分。</w:t>
            </w:r>
          </w:p>
          <w:p>
            <w:pPr>
              <w:widowControl/>
              <w:spacing w:line="240" w:lineRule="auto"/>
              <w:rPr>
                <w:rFonts w:hint="eastAsia"/>
                <w:color w:val="auto"/>
                <w:sz w:val="21"/>
                <w:szCs w:val="21"/>
              </w:rPr>
            </w:pPr>
            <w:r>
              <w:rPr>
                <w:rFonts w:hint="eastAsia" w:ascii="宋体" w:hAnsi="宋体" w:cs="宋体"/>
                <w:b/>
                <w:bCs/>
                <w:color w:val="auto"/>
                <w:kern w:val="0"/>
                <w:sz w:val="21"/>
                <w:szCs w:val="21"/>
                <w:lang w:eastAsia="zh-CN"/>
              </w:rPr>
              <w:t>以上人员提供最近6个月社保缴纳证明材料、相应的资质证书复印件，并加盖投标人公章。</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2</w:t>
            </w:r>
          </w:p>
        </w:tc>
      </w:tr>
      <w:tr>
        <w:tblPrEx>
          <w:tblCellMar>
            <w:top w:w="0" w:type="dxa"/>
            <w:left w:w="108" w:type="dxa"/>
            <w:bottom w:w="0" w:type="dxa"/>
            <w:right w:w="108" w:type="dxa"/>
          </w:tblCellMar>
        </w:tblPrEx>
        <w:trPr>
          <w:trHeight w:val="1050" w:hRule="atLeast"/>
        </w:trPr>
        <w:tc>
          <w:tcPr>
            <w:tcW w:w="400" w:type="pct"/>
            <w:vMerge w:val="continue"/>
            <w:tcBorders>
              <w:left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vMerge w:val="continue"/>
            <w:tcBorders>
              <w:left w:val="single" w:color="auto" w:sz="4" w:space="0"/>
              <w:right w:val="single" w:color="auto" w:sz="4" w:space="0"/>
            </w:tcBorders>
            <w:vAlign w:val="center"/>
          </w:tcPr>
          <w:p>
            <w:pPr>
              <w:widowControl/>
              <w:spacing w:line="240" w:lineRule="auto"/>
              <w:jc w:val="left"/>
              <w:rPr>
                <w:rFonts w:ascii="宋体" w:hAnsi="宋体" w:cs="宋体"/>
                <w:b/>
                <w:bCs/>
                <w:color w:val="auto"/>
                <w:kern w:val="0"/>
                <w:sz w:val="21"/>
                <w:szCs w:val="21"/>
              </w:rPr>
            </w:pPr>
          </w:p>
        </w:tc>
        <w:tc>
          <w:tcPr>
            <w:tcW w:w="3786" w:type="pct"/>
            <w:tcBorders>
              <w:top w:val="nil"/>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项目团队_驻场开发</w:t>
            </w:r>
            <w:r>
              <w:rPr>
                <w:rFonts w:hint="eastAsia" w:ascii="宋体" w:hAnsi="宋体" w:cs="宋体"/>
                <w:b w:val="0"/>
                <w:bCs w:val="0"/>
                <w:color w:val="auto"/>
                <w:kern w:val="0"/>
                <w:sz w:val="21"/>
                <w:szCs w:val="21"/>
                <w:lang w:eastAsia="zh-CN"/>
              </w:rPr>
              <w:t>（</w:t>
            </w:r>
            <w:r>
              <w:rPr>
                <w:rFonts w:hint="eastAsia" w:ascii="宋体" w:hAnsi="宋体" w:cs="宋体"/>
                <w:b w:val="0"/>
                <w:bCs w:val="0"/>
                <w:color w:val="auto"/>
                <w:kern w:val="0"/>
                <w:sz w:val="21"/>
                <w:szCs w:val="21"/>
                <w:lang w:val="en-US" w:eastAsia="zh-CN"/>
              </w:rPr>
              <w:t>若已在投标文件中明确具体的分包公司及方案，则分包人员资质可作为项目团队成员资质</w:t>
            </w:r>
            <w:r>
              <w:rPr>
                <w:rFonts w:hint="eastAsia" w:ascii="宋体" w:hAnsi="宋体" w:cs="宋体"/>
                <w:b w:val="0"/>
                <w:bCs w:val="0"/>
                <w:color w:val="auto"/>
                <w:kern w:val="0"/>
                <w:sz w:val="21"/>
                <w:szCs w:val="21"/>
                <w:lang w:eastAsia="zh-CN"/>
              </w:rPr>
              <w:t>）</w:t>
            </w:r>
            <w:r>
              <w:rPr>
                <w:rFonts w:hint="eastAsia" w:ascii="宋体" w:hAnsi="宋体" w:cs="宋体"/>
                <w:color w:val="auto"/>
                <w:kern w:val="0"/>
                <w:sz w:val="21"/>
                <w:szCs w:val="21"/>
                <w:lang w:val="en-US" w:eastAsia="zh-CN"/>
              </w:rPr>
              <w:t>需要具备：</w:t>
            </w:r>
          </w:p>
          <w:p>
            <w:pPr>
              <w:widowControl/>
              <w:spacing w:line="240" w:lineRule="auto"/>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①2名高级系统分析师或高级架构师，②2名信息系统项目管理师（高级），③2名数据库系统工程师，④2名信息安全工程师，⑤8名软件设计师或高级程序员</w:t>
            </w:r>
            <w:r>
              <w:rPr>
                <w:rFonts w:hint="eastAsia" w:ascii="宋体" w:hAnsi="宋体" w:eastAsia="宋体" w:cs="宋体"/>
                <w:b w:val="0"/>
                <w:bCs w:val="0"/>
                <w:color w:val="auto"/>
                <w:sz w:val="21"/>
                <w:szCs w:val="21"/>
                <w:lang w:val="en-US" w:eastAsia="zh-CN"/>
              </w:rPr>
              <w:t>。以上</w:t>
            </w:r>
            <w:r>
              <w:rPr>
                <w:rFonts w:hint="eastAsia" w:ascii="宋体" w:hAnsi="宋体" w:cs="宋体"/>
                <w:color w:val="auto"/>
                <w:kern w:val="0"/>
                <w:sz w:val="21"/>
                <w:szCs w:val="21"/>
                <w:lang w:val="en-US" w:eastAsia="zh-CN"/>
              </w:rPr>
              <w:t>16名人员（名额分配参照售后服务标准中的驻场开发人员要求）全部满足得4分，缺一个扣1分，扣完为止。</w:t>
            </w:r>
          </w:p>
          <w:p>
            <w:pPr>
              <w:pStyle w:val="56"/>
              <w:spacing w:line="240" w:lineRule="auto"/>
              <w:rPr>
                <w:color w:val="auto"/>
                <w:sz w:val="21"/>
                <w:szCs w:val="21"/>
              </w:rPr>
            </w:pPr>
            <w:r>
              <w:rPr>
                <w:rFonts w:hint="eastAsia" w:ascii="宋体" w:hAnsi="宋体" w:cs="宋体"/>
                <w:b/>
                <w:bCs/>
                <w:color w:val="auto"/>
                <w:kern w:val="0"/>
                <w:sz w:val="21"/>
                <w:szCs w:val="21"/>
                <w:lang w:eastAsia="zh-CN"/>
              </w:rPr>
              <w:t>以上人员提供最近6个月社保缴纳证明（</w:t>
            </w:r>
            <w:r>
              <w:rPr>
                <w:rFonts w:hint="eastAsia" w:ascii="宋体" w:hAnsi="宋体" w:cs="宋体"/>
                <w:b/>
                <w:bCs/>
                <w:color w:val="auto"/>
                <w:kern w:val="0"/>
                <w:sz w:val="21"/>
                <w:szCs w:val="21"/>
                <w:lang w:val="en-US" w:eastAsia="zh-CN"/>
              </w:rPr>
              <w:t>分包人员需提供在分包公司的</w:t>
            </w:r>
            <w:r>
              <w:rPr>
                <w:rFonts w:hint="eastAsia" w:ascii="宋体" w:hAnsi="宋体" w:cs="宋体"/>
                <w:b/>
                <w:bCs/>
                <w:color w:val="auto"/>
                <w:kern w:val="0"/>
                <w:sz w:val="21"/>
                <w:szCs w:val="21"/>
                <w:lang w:eastAsia="zh-CN"/>
              </w:rPr>
              <w:t>证明）材料、相应的资质证书复印件，并加盖投标人公章。</w:t>
            </w:r>
          </w:p>
        </w:tc>
        <w:tc>
          <w:tcPr>
            <w:tcW w:w="406" w:type="pct"/>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4</w:t>
            </w:r>
          </w:p>
        </w:tc>
      </w:tr>
      <w:tr>
        <w:tblPrEx>
          <w:tblCellMar>
            <w:top w:w="0" w:type="dxa"/>
            <w:left w:w="108" w:type="dxa"/>
            <w:bottom w:w="0" w:type="dxa"/>
            <w:right w:w="108" w:type="dxa"/>
          </w:tblCellMar>
        </w:tblPrEx>
        <w:trPr>
          <w:trHeight w:val="2233" w:hRule="atLeast"/>
        </w:trPr>
        <w:tc>
          <w:tcPr>
            <w:tcW w:w="400" w:type="pct"/>
            <w:vMerge w:val="continue"/>
            <w:tcBorders>
              <w:left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b/>
                <w:bCs/>
                <w:color w:val="auto"/>
                <w:kern w:val="0"/>
                <w:sz w:val="21"/>
                <w:szCs w:val="21"/>
              </w:rPr>
            </w:pPr>
          </w:p>
        </w:tc>
        <w:tc>
          <w:tcPr>
            <w:tcW w:w="3786"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lang w:val="en-US" w:eastAsia="zh-CN"/>
              </w:rPr>
            </w:pPr>
            <w:r>
              <w:rPr>
                <w:rFonts w:hint="eastAsia" w:ascii="宋体" w:hAnsi="宋体" w:cs="宋体"/>
                <w:b w:val="0"/>
                <w:bCs w:val="0"/>
                <w:color w:val="auto"/>
                <w:kern w:val="0"/>
                <w:sz w:val="21"/>
                <w:szCs w:val="21"/>
                <w:lang w:eastAsia="zh-CN"/>
              </w:rPr>
              <w:t>项目团队</w:t>
            </w:r>
            <w:r>
              <w:rPr>
                <w:rFonts w:hint="eastAsia" w:ascii="宋体" w:hAnsi="宋体" w:cs="宋体"/>
                <w:b w:val="0"/>
                <w:bCs w:val="0"/>
                <w:color w:val="auto"/>
                <w:kern w:val="0"/>
                <w:sz w:val="21"/>
                <w:szCs w:val="21"/>
                <w:lang w:val="en-US" w:eastAsia="zh-CN"/>
              </w:rPr>
              <w:t>_驻场维保</w:t>
            </w:r>
            <w:r>
              <w:rPr>
                <w:rFonts w:hint="eastAsia" w:ascii="宋体" w:hAnsi="宋体" w:cs="宋体"/>
                <w:b w:val="0"/>
                <w:bCs w:val="0"/>
                <w:color w:val="auto"/>
                <w:kern w:val="0"/>
                <w:sz w:val="21"/>
                <w:szCs w:val="21"/>
                <w:lang w:eastAsia="zh-CN"/>
              </w:rPr>
              <w:t>（</w:t>
            </w:r>
            <w:r>
              <w:rPr>
                <w:rFonts w:hint="eastAsia" w:ascii="宋体" w:hAnsi="宋体" w:cs="宋体"/>
                <w:b w:val="0"/>
                <w:bCs w:val="0"/>
                <w:color w:val="auto"/>
                <w:kern w:val="0"/>
                <w:sz w:val="21"/>
                <w:szCs w:val="21"/>
                <w:lang w:val="en-US" w:eastAsia="zh-CN"/>
              </w:rPr>
              <w:t>若已在投标文件中明确具体的分包公司及方案，则分包人员资质可作为项目团队成员资质</w:t>
            </w:r>
            <w:r>
              <w:rPr>
                <w:rFonts w:hint="eastAsia" w:ascii="宋体" w:hAnsi="宋体" w:cs="宋体"/>
                <w:b w:val="0"/>
                <w:bCs w:val="0"/>
                <w:color w:val="auto"/>
                <w:kern w:val="0"/>
                <w:sz w:val="21"/>
                <w:szCs w:val="21"/>
                <w:lang w:eastAsia="zh-CN"/>
              </w:rPr>
              <w:t>）</w:t>
            </w:r>
            <w:r>
              <w:rPr>
                <w:rFonts w:hint="eastAsia" w:ascii="宋体" w:hAnsi="宋体" w:cs="宋体"/>
                <w:color w:val="auto"/>
                <w:kern w:val="0"/>
                <w:sz w:val="21"/>
                <w:szCs w:val="21"/>
                <w:lang w:val="en-US" w:eastAsia="zh-CN"/>
              </w:rPr>
              <w:t>需要具备：</w:t>
            </w:r>
          </w:p>
          <w:p>
            <w:pPr>
              <w:widowControl/>
              <w:spacing w:line="240" w:lineRule="auto"/>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①人数至少10人，名额分配参照售后服务标准中的驻场维保人员要求，②3年以上工作经验，近3年年度考核合格及以上</w:t>
            </w:r>
            <w:r>
              <w:rPr>
                <w:rFonts w:hint="eastAsia" w:ascii="宋体" w:hAnsi="宋体" w:eastAsia="宋体" w:cs="宋体"/>
                <w:b w:val="0"/>
                <w:bCs w:val="0"/>
                <w:color w:val="auto"/>
                <w:sz w:val="21"/>
                <w:szCs w:val="21"/>
                <w:lang w:val="en-US" w:eastAsia="zh-CN"/>
              </w:rPr>
              <w:t>。以上</w:t>
            </w:r>
            <w:r>
              <w:rPr>
                <w:rFonts w:hint="eastAsia" w:ascii="宋体" w:hAnsi="宋体" w:cs="宋体"/>
                <w:color w:val="auto"/>
                <w:kern w:val="0"/>
                <w:sz w:val="21"/>
                <w:szCs w:val="21"/>
                <w:lang w:val="en-US" w:eastAsia="zh-CN"/>
              </w:rPr>
              <w:t>10名人员全部满足得2分，缺一个扣0.5分，扣完为止。</w:t>
            </w:r>
          </w:p>
          <w:p>
            <w:pPr>
              <w:pStyle w:val="56"/>
              <w:spacing w:line="240" w:lineRule="auto"/>
              <w:rPr>
                <w:rFonts w:hint="default" w:ascii="宋体" w:hAnsi="宋体" w:cs="宋体"/>
                <w:b/>
                <w:bCs/>
                <w:color w:val="auto"/>
                <w:kern w:val="0"/>
                <w:sz w:val="21"/>
                <w:szCs w:val="21"/>
                <w:lang w:val="en-US" w:eastAsia="zh-CN"/>
              </w:rPr>
            </w:pPr>
            <w:r>
              <w:rPr>
                <w:rFonts w:hint="eastAsia" w:ascii="宋体" w:hAnsi="宋体" w:cs="宋体"/>
                <w:b/>
                <w:bCs/>
                <w:color w:val="auto"/>
                <w:kern w:val="0"/>
                <w:sz w:val="21"/>
                <w:szCs w:val="21"/>
                <w:lang w:eastAsia="zh-CN"/>
              </w:rPr>
              <w:t>以上人员每人均需提供最近6个月社保缴纳证明及</w:t>
            </w:r>
            <w:r>
              <w:rPr>
                <w:rFonts w:hint="eastAsia" w:ascii="宋体" w:hAnsi="宋体" w:cs="宋体"/>
                <w:b/>
                <w:bCs/>
                <w:color w:val="auto"/>
                <w:kern w:val="0"/>
                <w:sz w:val="21"/>
                <w:szCs w:val="21"/>
                <w:lang w:val="en-US" w:eastAsia="zh-CN"/>
              </w:rPr>
              <w:t>3个</w:t>
            </w:r>
            <w:r>
              <w:rPr>
                <w:rFonts w:hint="eastAsia" w:ascii="宋体" w:hAnsi="宋体" w:cs="宋体"/>
                <w:b/>
                <w:bCs/>
                <w:color w:val="auto"/>
                <w:kern w:val="0"/>
                <w:sz w:val="21"/>
                <w:szCs w:val="21"/>
                <w:lang w:eastAsia="zh-CN"/>
              </w:rPr>
              <w:t>年度考核表（</w:t>
            </w:r>
            <w:r>
              <w:rPr>
                <w:rFonts w:hint="eastAsia" w:ascii="宋体" w:hAnsi="宋体" w:cs="宋体"/>
                <w:b/>
                <w:bCs/>
                <w:color w:val="auto"/>
                <w:kern w:val="0"/>
                <w:sz w:val="21"/>
                <w:szCs w:val="21"/>
                <w:lang w:val="en-US" w:eastAsia="zh-CN"/>
              </w:rPr>
              <w:t>分包人员需提供在分包公司的</w:t>
            </w:r>
            <w:r>
              <w:rPr>
                <w:rFonts w:hint="eastAsia" w:ascii="宋体" w:hAnsi="宋体" w:cs="宋体"/>
                <w:b/>
                <w:bCs/>
                <w:color w:val="auto"/>
                <w:kern w:val="0"/>
                <w:sz w:val="21"/>
                <w:szCs w:val="21"/>
                <w:lang w:eastAsia="zh-CN"/>
              </w:rPr>
              <w:t>证明）材料、相应的资质证书复印件，并加盖投标人公章。</w:t>
            </w:r>
          </w:p>
        </w:tc>
        <w:tc>
          <w:tcPr>
            <w:tcW w:w="406"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w:t>
            </w:r>
          </w:p>
        </w:tc>
      </w:tr>
      <w:tr>
        <w:tblPrEx>
          <w:tblCellMar>
            <w:top w:w="0" w:type="dxa"/>
            <w:left w:w="108" w:type="dxa"/>
            <w:bottom w:w="0" w:type="dxa"/>
            <w:right w:w="108" w:type="dxa"/>
          </w:tblCellMar>
        </w:tblPrEx>
        <w:trPr>
          <w:trHeight w:val="520" w:hRule="atLeast"/>
        </w:trPr>
        <w:tc>
          <w:tcPr>
            <w:tcW w:w="40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color w:val="auto"/>
                <w:sz w:val="21"/>
                <w:szCs w:val="21"/>
              </w:rPr>
            </w:pPr>
            <w:r>
              <w:rPr>
                <w:rFonts w:hint="eastAsia"/>
                <w:color w:val="auto"/>
                <w:sz w:val="21"/>
                <w:szCs w:val="21"/>
              </w:rPr>
              <w:t>培训方案</w:t>
            </w:r>
          </w:p>
          <w:p>
            <w:pPr>
              <w:pStyle w:val="56"/>
              <w:spacing w:line="240" w:lineRule="auto"/>
              <w:jc w:val="center"/>
              <w:rPr>
                <w:rFonts w:hint="eastAsia" w:eastAsia="宋体"/>
                <w:color w:val="auto"/>
                <w:sz w:val="21"/>
                <w:szCs w:val="21"/>
                <w:lang w:val="en-US" w:eastAsia="zh-CN"/>
              </w:rPr>
            </w:pPr>
            <w:r>
              <w:rPr>
                <w:rFonts w:hint="eastAsia" w:ascii="宋体" w:hAnsi="宋体" w:cs="宋体"/>
                <w:b w:val="0"/>
                <w:bCs w:val="0"/>
                <w:color w:val="auto"/>
                <w:kern w:val="0"/>
                <w:sz w:val="21"/>
                <w:szCs w:val="21"/>
                <w:lang w:val="en-US" w:eastAsia="zh-CN"/>
              </w:rPr>
              <w:t>2分</w:t>
            </w:r>
          </w:p>
        </w:tc>
        <w:tc>
          <w:tcPr>
            <w:tcW w:w="3786"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hint="eastAsia" w:ascii="宋体" w:hAnsi="宋体" w:cs="宋体"/>
                <w:color w:val="auto"/>
                <w:kern w:val="0"/>
                <w:sz w:val="21"/>
                <w:szCs w:val="21"/>
                <w:lang w:eastAsia="zh-CN"/>
              </w:rPr>
            </w:pPr>
            <w:r>
              <w:rPr>
                <w:rFonts w:hint="eastAsia" w:ascii="宋体" w:hAnsi="宋体" w:cs="宋体"/>
                <w:color w:val="auto"/>
                <w:kern w:val="0"/>
                <w:sz w:val="21"/>
                <w:szCs w:val="21"/>
                <w:lang w:eastAsia="zh-CN"/>
              </w:rPr>
              <w:t>根据</w:t>
            </w:r>
            <w:r>
              <w:rPr>
                <w:rFonts w:hint="eastAsia" w:ascii="宋体" w:hAnsi="宋体" w:cs="宋体"/>
                <w:color w:val="auto"/>
                <w:kern w:val="0"/>
                <w:sz w:val="21"/>
                <w:szCs w:val="21"/>
              </w:rPr>
              <w:t>投标人的培训计划</w:t>
            </w:r>
            <w:r>
              <w:rPr>
                <w:rFonts w:hint="eastAsia" w:ascii="宋体" w:hAnsi="宋体" w:cs="宋体"/>
                <w:color w:val="auto"/>
                <w:kern w:val="0"/>
                <w:sz w:val="21"/>
                <w:szCs w:val="21"/>
                <w:lang w:eastAsia="zh-CN"/>
              </w:rPr>
              <w:t>（至少应包括</w:t>
            </w:r>
            <w:r>
              <w:rPr>
                <w:rFonts w:hint="eastAsia" w:ascii="宋体" w:hAnsi="宋体" w:cs="宋体"/>
                <w:color w:val="auto"/>
                <w:kern w:val="0"/>
                <w:sz w:val="21"/>
                <w:szCs w:val="21"/>
              </w:rPr>
              <w:t>培训内容</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培训时间地点</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培训对象</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培训师资力量</w:t>
            </w:r>
            <w:r>
              <w:rPr>
                <w:rFonts w:hint="eastAsia" w:ascii="宋体" w:hAnsi="宋体" w:cs="宋体"/>
                <w:color w:val="auto"/>
                <w:kern w:val="0"/>
                <w:sz w:val="21"/>
                <w:szCs w:val="21"/>
                <w:lang w:eastAsia="zh-CN"/>
              </w:rPr>
              <w:t>等）</w:t>
            </w:r>
            <w:r>
              <w:rPr>
                <w:rFonts w:hint="eastAsia" w:ascii="宋体" w:hAnsi="宋体" w:cs="宋体"/>
                <w:color w:val="auto"/>
                <w:kern w:val="0"/>
                <w:sz w:val="21"/>
                <w:szCs w:val="21"/>
              </w:rPr>
              <w:t>进行评分</w:t>
            </w:r>
            <w:r>
              <w:rPr>
                <w:rFonts w:hint="eastAsia" w:ascii="宋体" w:hAnsi="宋体" w:cs="宋体"/>
                <w:color w:val="auto"/>
                <w:kern w:val="0"/>
                <w:sz w:val="21"/>
                <w:szCs w:val="21"/>
                <w:lang w:eastAsia="zh-CN"/>
              </w:rPr>
              <w:t>：</w:t>
            </w:r>
          </w:p>
          <w:p>
            <w:pPr>
              <w:widowControl/>
              <w:spacing w:line="240" w:lineRule="auto"/>
              <w:rPr>
                <w:rFonts w:hint="eastAsia" w:ascii="宋体" w:hAnsi="宋体" w:cs="宋体"/>
                <w:color w:val="auto"/>
                <w:kern w:val="0"/>
                <w:sz w:val="21"/>
                <w:szCs w:val="21"/>
                <w:lang w:val="en-US" w:eastAsia="zh-CN"/>
              </w:rPr>
            </w:pPr>
            <w:r>
              <w:rPr>
                <w:rFonts w:hint="eastAsia" w:ascii="宋体" w:hAnsi="宋体" w:cs="宋体"/>
                <w:color w:val="auto"/>
                <w:kern w:val="0"/>
                <w:sz w:val="21"/>
                <w:szCs w:val="21"/>
              </w:rPr>
              <w:t>①</w:t>
            </w:r>
            <w:r>
              <w:rPr>
                <w:rFonts w:hint="eastAsia" w:ascii="宋体" w:hAnsi="宋体" w:cs="宋体"/>
                <w:color w:val="auto"/>
                <w:kern w:val="0"/>
                <w:sz w:val="21"/>
                <w:szCs w:val="21"/>
                <w:lang w:eastAsia="zh-CN"/>
              </w:rPr>
              <w:t>内容</w:t>
            </w:r>
            <w:r>
              <w:rPr>
                <w:rFonts w:hint="eastAsia" w:ascii="宋体" w:hAnsi="宋体" w:cs="宋体"/>
                <w:color w:val="auto"/>
                <w:kern w:val="0"/>
                <w:sz w:val="21"/>
                <w:szCs w:val="21"/>
              </w:rPr>
              <w:t>完整</w:t>
            </w:r>
            <w:r>
              <w:rPr>
                <w:rFonts w:hint="eastAsia" w:ascii="宋体" w:hAnsi="宋体" w:cs="宋体"/>
                <w:color w:val="auto"/>
                <w:kern w:val="0"/>
                <w:sz w:val="21"/>
                <w:szCs w:val="21"/>
                <w:lang w:eastAsia="zh-CN"/>
              </w:rPr>
              <w:t>性</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合理性、</w:t>
            </w:r>
            <w:r>
              <w:rPr>
                <w:rFonts w:hint="eastAsia" w:ascii="宋体" w:hAnsi="宋体" w:cs="宋体"/>
                <w:color w:val="auto"/>
                <w:kern w:val="0"/>
                <w:sz w:val="21"/>
                <w:szCs w:val="21"/>
              </w:rPr>
              <w:t>可操作性</w:t>
            </w:r>
            <w:r>
              <w:rPr>
                <w:rFonts w:hint="eastAsia" w:ascii="宋体" w:hAnsi="宋体" w:cs="宋体"/>
                <w:color w:val="auto"/>
                <w:kern w:val="0"/>
                <w:sz w:val="21"/>
                <w:szCs w:val="21"/>
                <w:lang w:eastAsia="zh-CN"/>
              </w:rPr>
              <w:t>较好</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得</w:t>
            </w:r>
            <w:r>
              <w:rPr>
                <w:rFonts w:hint="eastAsia" w:ascii="宋体" w:hAnsi="宋体" w:cs="宋体"/>
                <w:color w:val="auto"/>
                <w:kern w:val="0"/>
                <w:sz w:val="21"/>
                <w:szCs w:val="21"/>
                <w:lang w:val="en-US" w:eastAsia="zh-CN"/>
              </w:rPr>
              <w:t>2分；</w:t>
            </w:r>
          </w:p>
          <w:p>
            <w:pPr>
              <w:widowControl/>
              <w:spacing w:line="240" w:lineRule="auto"/>
              <w:rPr>
                <w:rFonts w:hint="eastAsia" w:ascii="宋体" w:hAnsi="宋体" w:cs="宋体"/>
                <w:color w:val="auto"/>
                <w:kern w:val="0"/>
                <w:sz w:val="21"/>
                <w:szCs w:val="21"/>
                <w:lang w:val="en-US" w:eastAsia="zh-CN"/>
              </w:rPr>
            </w:pPr>
            <w:r>
              <w:rPr>
                <w:rFonts w:hint="eastAsia" w:ascii="宋体" w:hAnsi="宋体" w:cs="宋体"/>
                <w:color w:val="auto"/>
                <w:kern w:val="0"/>
                <w:sz w:val="21"/>
                <w:szCs w:val="21"/>
              </w:rPr>
              <w:t>②</w:t>
            </w:r>
            <w:r>
              <w:rPr>
                <w:rFonts w:hint="eastAsia" w:ascii="宋体" w:hAnsi="宋体" w:cs="宋体"/>
                <w:color w:val="auto"/>
                <w:kern w:val="0"/>
                <w:sz w:val="21"/>
                <w:szCs w:val="21"/>
                <w:lang w:eastAsia="zh-CN"/>
              </w:rPr>
              <w:t>内容</w:t>
            </w:r>
            <w:r>
              <w:rPr>
                <w:rFonts w:hint="eastAsia" w:ascii="宋体" w:hAnsi="宋体" w:cs="宋体"/>
                <w:color w:val="auto"/>
                <w:kern w:val="0"/>
                <w:sz w:val="21"/>
                <w:szCs w:val="21"/>
              </w:rPr>
              <w:t>逻辑</w:t>
            </w:r>
            <w:r>
              <w:rPr>
                <w:rFonts w:hint="eastAsia" w:ascii="宋体" w:hAnsi="宋体" w:cs="宋体"/>
                <w:color w:val="auto"/>
                <w:kern w:val="0"/>
                <w:sz w:val="21"/>
                <w:szCs w:val="21"/>
                <w:lang w:eastAsia="zh-CN"/>
              </w:rPr>
              <w:t>性</w:t>
            </w:r>
            <w:r>
              <w:rPr>
                <w:rFonts w:hint="eastAsia" w:ascii="宋体" w:hAnsi="宋体" w:cs="宋体"/>
                <w:color w:val="auto"/>
                <w:kern w:val="0"/>
                <w:sz w:val="21"/>
                <w:szCs w:val="21"/>
              </w:rPr>
              <w:t>、完整</w:t>
            </w:r>
            <w:r>
              <w:rPr>
                <w:rFonts w:hint="eastAsia" w:ascii="宋体" w:hAnsi="宋体" w:cs="宋体"/>
                <w:color w:val="auto"/>
                <w:kern w:val="0"/>
                <w:sz w:val="21"/>
                <w:szCs w:val="21"/>
                <w:lang w:eastAsia="zh-CN"/>
              </w:rPr>
              <w:t>性</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合理性、</w:t>
            </w:r>
            <w:r>
              <w:rPr>
                <w:rFonts w:hint="eastAsia" w:ascii="宋体" w:hAnsi="宋体" w:cs="宋体"/>
                <w:color w:val="auto"/>
                <w:kern w:val="0"/>
                <w:sz w:val="21"/>
                <w:szCs w:val="21"/>
              </w:rPr>
              <w:t>可操作性</w:t>
            </w:r>
            <w:r>
              <w:rPr>
                <w:rFonts w:hint="eastAsia" w:ascii="宋体" w:hAnsi="宋体" w:cs="宋体"/>
                <w:color w:val="auto"/>
                <w:kern w:val="0"/>
                <w:sz w:val="21"/>
                <w:szCs w:val="21"/>
                <w:lang w:eastAsia="zh-CN"/>
              </w:rPr>
              <w:t>一般</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得</w:t>
            </w:r>
            <w:r>
              <w:rPr>
                <w:rFonts w:hint="eastAsia" w:ascii="宋体" w:hAnsi="宋体" w:cs="宋体"/>
                <w:color w:val="auto"/>
                <w:kern w:val="0"/>
                <w:sz w:val="21"/>
                <w:szCs w:val="21"/>
                <w:lang w:val="en-US" w:eastAsia="zh-CN"/>
              </w:rPr>
              <w:t>1分；</w:t>
            </w:r>
          </w:p>
          <w:p>
            <w:pPr>
              <w:widowControl/>
              <w:spacing w:line="240" w:lineRule="auto"/>
              <w:rPr>
                <w:rFonts w:hint="eastAsia" w:ascii="宋体" w:hAnsi="宋体" w:cs="宋体"/>
                <w:color w:val="auto"/>
                <w:kern w:val="0"/>
                <w:sz w:val="21"/>
                <w:szCs w:val="21"/>
                <w:lang w:val="en-US" w:eastAsia="zh-CN"/>
              </w:rPr>
            </w:pPr>
            <w:r>
              <w:rPr>
                <w:rFonts w:hint="eastAsia" w:ascii="宋体" w:hAnsi="宋体" w:cs="宋体"/>
                <w:color w:val="auto"/>
                <w:kern w:val="0"/>
                <w:sz w:val="21"/>
                <w:szCs w:val="21"/>
              </w:rPr>
              <w:t>③</w:t>
            </w:r>
            <w:r>
              <w:rPr>
                <w:rFonts w:hint="eastAsia" w:ascii="宋体" w:hAnsi="宋体" w:cs="宋体"/>
                <w:color w:val="auto"/>
                <w:kern w:val="0"/>
                <w:sz w:val="21"/>
                <w:szCs w:val="21"/>
                <w:lang w:eastAsia="zh-CN"/>
              </w:rPr>
              <w:t>内容</w:t>
            </w:r>
            <w:r>
              <w:rPr>
                <w:rFonts w:hint="eastAsia" w:ascii="宋体" w:hAnsi="宋体" w:cs="宋体"/>
                <w:color w:val="auto"/>
                <w:kern w:val="0"/>
                <w:sz w:val="21"/>
                <w:szCs w:val="21"/>
              </w:rPr>
              <w:t>逻辑</w:t>
            </w:r>
            <w:r>
              <w:rPr>
                <w:rFonts w:hint="eastAsia" w:ascii="宋体" w:hAnsi="宋体" w:cs="宋体"/>
                <w:color w:val="auto"/>
                <w:kern w:val="0"/>
                <w:sz w:val="21"/>
                <w:szCs w:val="21"/>
                <w:lang w:eastAsia="zh-CN"/>
              </w:rPr>
              <w:t>性</w:t>
            </w:r>
            <w:r>
              <w:rPr>
                <w:rFonts w:hint="eastAsia" w:ascii="宋体" w:hAnsi="宋体" w:cs="宋体"/>
                <w:color w:val="auto"/>
                <w:kern w:val="0"/>
                <w:sz w:val="21"/>
                <w:szCs w:val="21"/>
              </w:rPr>
              <w:t>、完整</w:t>
            </w:r>
            <w:r>
              <w:rPr>
                <w:rFonts w:hint="eastAsia" w:ascii="宋体" w:hAnsi="宋体" w:cs="宋体"/>
                <w:color w:val="auto"/>
                <w:kern w:val="0"/>
                <w:sz w:val="21"/>
                <w:szCs w:val="21"/>
                <w:lang w:eastAsia="zh-CN"/>
              </w:rPr>
              <w:t>性</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合理性、</w:t>
            </w:r>
            <w:r>
              <w:rPr>
                <w:rFonts w:hint="eastAsia" w:ascii="宋体" w:hAnsi="宋体" w:cs="宋体"/>
                <w:color w:val="auto"/>
                <w:kern w:val="0"/>
                <w:sz w:val="21"/>
                <w:szCs w:val="21"/>
              </w:rPr>
              <w:t>可操作性</w:t>
            </w:r>
            <w:r>
              <w:rPr>
                <w:rFonts w:hint="eastAsia" w:ascii="宋体" w:hAnsi="宋体" w:cs="宋体"/>
                <w:color w:val="auto"/>
                <w:kern w:val="0"/>
                <w:sz w:val="21"/>
                <w:szCs w:val="21"/>
                <w:lang w:eastAsia="zh-CN"/>
              </w:rPr>
              <w:t>较差</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得</w:t>
            </w:r>
            <w:r>
              <w:rPr>
                <w:rFonts w:hint="eastAsia" w:ascii="宋体" w:hAnsi="宋体" w:cs="宋体"/>
                <w:color w:val="auto"/>
                <w:kern w:val="0"/>
                <w:sz w:val="21"/>
                <w:szCs w:val="21"/>
                <w:lang w:val="en-US" w:eastAsia="zh-CN"/>
              </w:rPr>
              <w:t>0.5分；</w:t>
            </w:r>
          </w:p>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④</w:t>
            </w:r>
            <w:r>
              <w:rPr>
                <w:rFonts w:hint="eastAsia" w:ascii="宋体" w:hAnsi="宋体" w:cs="宋体"/>
                <w:color w:val="auto"/>
                <w:kern w:val="0"/>
                <w:sz w:val="21"/>
                <w:szCs w:val="21"/>
                <w:lang w:eastAsia="zh-CN"/>
              </w:rPr>
              <w:t>其它情况</w:t>
            </w:r>
            <w:r>
              <w:rPr>
                <w:rFonts w:hint="eastAsia" w:ascii="宋体" w:hAnsi="宋体" w:cs="宋体"/>
                <w:color w:val="auto"/>
                <w:kern w:val="0"/>
                <w:sz w:val="21"/>
                <w:szCs w:val="21"/>
                <w:lang w:val="en-US" w:eastAsia="zh-CN"/>
              </w:rPr>
              <w:t>不得分。</w:t>
            </w:r>
          </w:p>
        </w:tc>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auto"/>
                <w:kern w:val="0"/>
                <w:sz w:val="21"/>
                <w:szCs w:val="21"/>
              </w:rPr>
            </w:pPr>
            <w:r>
              <w:rPr>
                <w:rFonts w:hint="eastAsia" w:ascii="宋体" w:hAnsi="宋体" w:cs="宋体"/>
                <w:color w:val="auto"/>
                <w:kern w:val="0"/>
                <w:sz w:val="21"/>
                <w:szCs w:val="21"/>
              </w:rPr>
              <w:t>2</w:t>
            </w:r>
          </w:p>
        </w:tc>
      </w:tr>
      <w:tr>
        <w:tblPrEx>
          <w:tblCellMar>
            <w:top w:w="0" w:type="dxa"/>
            <w:left w:w="108" w:type="dxa"/>
            <w:bottom w:w="0" w:type="dxa"/>
            <w:right w:w="108" w:type="dxa"/>
          </w:tblCellMar>
        </w:tblPrEx>
        <w:trPr>
          <w:trHeight w:val="790" w:hRule="atLeast"/>
        </w:trPr>
        <w:tc>
          <w:tcPr>
            <w:tcW w:w="400"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06"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color w:val="auto"/>
                <w:sz w:val="21"/>
                <w:szCs w:val="21"/>
              </w:rPr>
            </w:pPr>
            <w:r>
              <w:rPr>
                <w:rFonts w:hint="eastAsia"/>
                <w:color w:val="auto"/>
                <w:sz w:val="21"/>
                <w:szCs w:val="21"/>
              </w:rPr>
              <w:t>其他优惠</w:t>
            </w:r>
          </w:p>
          <w:p>
            <w:pPr>
              <w:pStyle w:val="56"/>
              <w:spacing w:line="240" w:lineRule="auto"/>
              <w:jc w:val="center"/>
              <w:rPr>
                <w:rFonts w:hint="eastAsia" w:eastAsiaTheme="minorEastAsia"/>
                <w:color w:val="auto"/>
                <w:sz w:val="21"/>
                <w:szCs w:val="21"/>
                <w:lang w:val="en-US" w:eastAsia="zh-CN"/>
              </w:rPr>
            </w:pPr>
            <w:r>
              <w:rPr>
                <w:rFonts w:hint="eastAsia" w:asciiTheme="minorEastAsia" w:hAnsiTheme="minorEastAsia" w:eastAsiaTheme="minorEastAsia"/>
                <w:b w:val="0"/>
                <w:bCs/>
                <w:color w:val="auto"/>
                <w:sz w:val="21"/>
                <w:szCs w:val="21"/>
                <w:lang w:val="en-US" w:eastAsia="zh-CN"/>
              </w:rPr>
              <w:t>2分</w:t>
            </w:r>
          </w:p>
        </w:tc>
        <w:tc>
          <w:tcPr>
            <w:tcW w:w="3786" w:type="pct"/>
            <w:tcBorders>
              <w:top w:val="single" w:color="auto" w:sz="4" w:space="0"/>
              <w:left w:val="nil"/>
              <w:bottom w:val="single" w:color="auto" w:sz="4" w:space="0"/>
              <w:right w:val="single" w:color="auto" w:sz="4" w:space="0"/>
            </w:tcBorders>
            <w:shd w:val="clear" w:color="auto" w:fill="auto"/>
          </w:tcPr>
          <w:p>
            <w:pPr>
              <w:widowControl/>
              <w:spacing w:line="240" w:lineRule="auto"/>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根据投标人给出的优惠条件和特色服务承诺进行评分：</w:t>
            </w:r>
          </w:p>
          <w:p>
            <w:pPr>
              <w:widowControl/>
              <w:spacing w:line="240" w:lineRule="auto"/>
              <w:rPr>
                <w:rFonts w:hint="eastAsia" w:asciiTheme="minorEastAsia" w:hAnsiTheme="minorEastAsia" w:eastAsiaTheme="minorEastAsia"/>
                <w:color w:val="auto"/>
                <w:sz w:val="21"/>
                <w:szCs w:val="21"/>
              </w:rPr>
            </w:pP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1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①</w:t>
            </w:r>
            <w:r>
              <w:rPr>
                <w:rFonts w:asciiTheme="minorEastAsia" w:hAnsiTheme="minorEastAsia" w:eastAsiaTheme="minorEastAsia"/>
                <w:color w:val="auto"/>
                <w:sz w:val="21"/>
                <w:szCs w:val="21"/>
              </w:rPr>
              <w:fldChar w:fldCharType="end"/>
            </w:r>
            <w:r>
              <w:rPr>
                <w:rFonts w:hint="eastAsia" w:asciiTheme="minorEastAsia" w:hAnsiTheme="minorEastAsia" w:eastAsiaTheme="minorEastAsia"/>
                <w:color w:val="auto"/>
                <w:sz w:val="21"/>
                <w:szCs w:val="21"/>
              </w:rPr>
              <w:t>与本项目完全契合，具有实质性、科学性，重点突出得</w:t>
            </w:r>
            <w:r>
              <w:rPr>
                <w:rFonts w:hint="eastAsia" w:asciiTheme="minorEastAsia" w:hAnsiTheme="minorEastAsia" w:eastAsiaTheme="minorEastAsia"/>
                <w:color w:val="auto"/>
                <w:sz w:val="21"/>
                <w:szCs w:val="21"/>
                <w:lang w:val="en-US" w:eastAsia="zh-CN"/>
              </w:rPr>
              <w:t>2</w:t>
            </w:r>
            <w:r>
              <w:rPr>
                <w:rFonts w:hint="eastAsia" w:asciiTheme="minorEastAsia" w:hAnsiTheme="minorEastAsia" w:eastAsiaTheme="minorEastAsia"/>
                <w:color w:val="auto"/>
                <w:sz w:val="21"/>
                <w:szCs w:val="21"/>
              </w:rPr>
              <w:t>分；</w:t>
            </w:r>
          </w:p>
          <w:p>
            <w:pPr>
              <w:widowControl/>
              <w:spacing w:line="240" w:lineRule="auto"/>
              <w:rPr>
                <w:rFonts w:hint="eastAsia" w:asciiTheme="minorEastAsia" w:hAnsiTheme="minorEastAsia" w:eastAsiaTheme="minorEastAsia"/>
                <w:color w:val="auto"/>
                <w:sz w:val="21"/>
                <w:szCs w:val="21"/>
              </w:rPr>
            </w:pP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2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②</w:t>
            </w:r>
            <w:r>
              <w:rPr>
                <w:rFonts w:asciiTheme="minorEastAsia" w:hAnsiTheme="minorEastAsia" w:eastAsiaTheme="minorEastAsia"/>
                <w:color w:val="auto"/>
                <w:sz w:val="21"/>
                <w:szCs w:val="21"/>
              </w:rPr>
              <w:fldChar w:fldCharType="end"/>
            </w:r>
            <w:r>
              <w:rPr>
                <w:rFonts w:hint="eastAsia" w:asciiTheme="minorEastAsia" w:hAnsiTheme="minorEastAsia" w:eastAsiaTheme="minorEastAsia"/>
                <w:color w:val="auto"/>
                <w:sz w:val="21"/>
                <w:szCs w:val="21"/>
              </w:rPr>
              <w:t>与本项目契合</w:t>
            </w:r>
            <w:r>
              <w:rPr>
                <w:rFonts w:hint="eastAsia" w:asciiTheme="minorEastAsia" w:hAnsiTheme="minorEastAsia" w:eastAsiaTheme="minorEastAsia"/>
                <w:color w:val="auto"/>
                <w:sz w:val="21"/>
                <w:szCs w:val="21"/>
                <w:lang w:eastAsia="zh-CN"/>
              </w:rPr>
              <w:t>，基本</w:t>
            </w:r>
            <w:r>
              <w:rPr>
                <w:rFonts w:hint="eastAsia" w:asciiTheme="minorEastAsia" w:hAnsiTheme="minorEastAsia" w:eastAsiaTheme="minorEastAsia"/>
                <w:color w:val="auto"/>
                <w:sz w:val="21"/>
                <w:szCs w:val="21"/>
              </w:rPr>
              <w:t>具有实质性、科学性，得</w:t>
            </w:r>
            <w:r>
              <w:rPr>
                <w:rFonts w:hint="eastAsia" w:asciiTheme="minorEastAsia" w:hAnsiTheme="minorEastAsia" w:eastAsiaTheme="minorEastAsia"/>
                <w:color w:val="auto"/>
                <w:sz w:val="21"/>
                <w:szCs w:val="21"/>
                <w:lang w:val="en-US" w:eastAsia="zh-CN"/>
              </w:rPr>
              <w:t>1</w:t>
            </w:r>
            <w:r>
              <w:rPr>
                <w:rFonts w:hint="eastAsia" w:asciiTheme="minorEastAsia" w:hAnsiTheme="minorEastAsia" w:eastAsiaTheme="minorEastAsia"/>
                <w:color w:val="auto"/>
                <w:sz w:val="21"/>
                <w:szCs w:val="21"/>
              </w:rPr>
              <w:t>分；</w:t>
            </w:r>
          </w:p>
          <w:p>
            <w:pPr>
              <w:widowControl/>
              <w:spacing w:line="240" w:lineRule="auto"/>
              <w:rPr>
                <w:rFonts w:ascii="宋体" w:hAnsi="宋体" w:cs="宋体"/>
                <w:color w:val="auto"/>
                <w:kern w:val="0"/>
                <w:sz w:val="21"/>
                <w:szCs w:val="21"/>
              </w:rPr>
            </w:pP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3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③</w:t>
            </w:r>
            <w:r>
              <w:rPr>
                <w:rFonts w:asciiTheme="minorEastAsia" w:hAnsiTheme="minorEastAsia" w:eastAsiaTheme="minorEastAsia"/>
                <w:color w:val="auto"/>
                <w:sz w:val="21"/>
                <w:szCs w:val="21"/>
              </w:rPr>
              <w:fldChar w:fldCharType="end"/>
            </w:r>
            <w:r>
              <w:rPr>
                <w:rFonts w:hint="eastAsia" w:asciiTheme="minorEastAsia" w:hAnsiTheme="minorEastAsia" w:eastAsiaTheme="minorEastAsia"/>
                <w:color w:val="auto"/>
                <w:sz w:val="21"/>
                <w:szCs w:val="21"/>
              </w:rPr>
              <w:t>与本项目</w:t>
            </w:r>
            <w:r>
              <w:rPr>
                <w:rFonts w:hint="eastAsia" w:asciiTheme="minorEastAsia" w:hAnsiTheme="minorEastAsia" w:eastAsiaTheme="minorEastAsia"/>
                <w:color w:val="auto"/>
                <w:sz w:val="21"/>
                <w:szCs w:val="21"/>
                <w:lang w:eastAsia="zh-CN"/>
              </w:rPr>
              <w:t>不</w:t>
            </w:r>
            <w:r>
              <w:rPr>
                <w:rFonts w:hint="eastAsia" w:asciiTheme="minorEastAsia" w:hAnsiTheme="minorEastAsia" w:eastAsiaTheme="minorEastAsia"/>
                <w:color w:val="auto"/>
                <w:sz w:val="21"/>
                <w:szCs w:val="21"/>
              </w:rPr>
              <w:t>契合</w:t>
            </w:r>
            <w:r>
              <w:rPr>
                <w:rFonts w:hint="eastAsia" w:asciiTheme="minorEastAsia" w:hAnsiTheme="minorEastAsia" w:eastAsiaTheme="minorEastAsia"/>
                <w:color w:val="auto"/>
                <w:sz w:val="21"/>
                <w:szCs w:val="21"/>
                <w:lang w:eastAsia="zh-CN"/>
              </w:rPr>
              <w:t>，或</w:t>
            </w:r>
            <w:r>
              <w:rPr>
                <w:rFonts w:hint="eastAsia" w:asciiTheme="minorEastAsia" w:hAnsiTheme="minorEastAsia" w:eastAsiaTheme="minorEastAsia"/>
                <w:color w:val="auto"/>
                <w:sz w:val="21"/>
                <w:szCs w:val="21"/>
              </w:rPr>
              <w:t>未提供不得分。</w:t>
            </w:r>
          </w:p>
        </w:tc>
        <w:tc>
          <w:tcPr>
            <w:tcW w:w="406"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2</w:t>
            </w:r>
          </w:p>
        </w:tc>
      </w:tr>
      <w:tr>
        <w:tblPrEx>
          <w:tblCellMar>
            <w:top w:w="0" w:type="dxa"/>
            <w:left w:w="108" w:type="dxa"/>
            <w:bottom w:w="0" w:type="dxa"/>
            <w:right w:w="108" w:type="dxa"/>
          </w:tblCellMar>
        </w:tblPrEx>
        <w:trPr>
          <w:trHeight w:val="312" w:hRule="atLeast"/>
        </w:trPr>
        <w:tc>
          <w:tcPr>
            <w:tcW w:w="4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color w:val="auto"/>
                <w:kern w:val="0"/>
                <w:sz w:val="21"/>
                <w:szCs w:val="21"/>
              </w:rPr>
            </w:pPr>
            <w:r>
              <w:rPr>
                <w:rFonts w:hint="eastAsia" w:ascii="宋体" w:hAnsi="宋体" w:cs="宋体"/>
                <w:b/>
                <w:bCs/>
                <w:color w:val="auto"/>
                <w:kern w:val="0"/>
                <w:sz w:val="21"/>
                <w:szCs w:val="21"/>
              </w:rPr>
              <w:t>价格</w:t>
            </w:r>
            <w:r>
              <w:rPr>
                <w:rFonts w:hint="eastAsia" w:ascii="宋体" w:hAnsi="宋体" w:cs="宋体"/>
                <w:b/>
                <w:bCs/>
                <w:color w:val="auto"/>
                <w:kern w:val="0"/>
                <w:sz w:val="21"/>
                <w:szCs w:val="21"/>
                <w:lang w:val="en-US" w:eastAsia="zh-CN"/>
              </w:rPr>
              <w:t>2</w:t>
            </w:r>
            <w:r>
              <w:rPr>
                <w:rFonts w:hint="eastAsia" w:ascii="宋体" w:hAnsi="宋体" w:cs="宋体"/>
                <w:b/>
                <w:bCs/>
                <w:color w:val="auto"/>
                <w:kern w:val="0"/>
                <w:sz w:val="21"/>
                <w:szCs w:val="21"/>
              </w:rPr>
              <w:t>0分</w:t>
            </w:r>
          </w:p>
        </w:tc>
        <w:tc>
          <w:tcPr>
            <w:tcW w:w="4192"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auto"/>
                <w:kern w:val="0"/>
                <w:sz w:val="21"/>
                <w:szCs w:val="21"/>
              </w:rPr>
            </w:pPr>
            <w:r>
              <w:rPr>
                <w:rFonts w:hint="eastAsia" w:ascii="宋体" w:hAnsi="宋体" w:cs="宋体"/>
                <w:color w:val="auto"/>
                <w:kern w:val="0"/>
                <w:sz w:val="21"/>
                <w:szCs w:val="21"/>
              </w:rPr>
              <w:t>以投标合格供应商有效投标总报价中的最低价为基准价，基准价为</w:t>
            </w:r>
            <w:r>
              <w:rPr>
                <w:rFonts w:hint="eastAsia" w:ascii="宋体" w:hAnsi="宋体" w:cs="宋体"/>
                <w:color w:val="auto"/>
                <w:kern w:val="0"/>
                <w:sz w:val="21"/>
                <w:szCs w:val="21"/>
                <w:lang w:val="en-US" w:eastAsia="zh-CN"/>
              </w:rPr>
              <w:t>2</w:t>
            </w:r>
            <w:r>
              <w:rPr>
                <w:rFonts w:hint="eastAsia" w:ascii="宋体" w:hAnsi="宋体" w:cs="宋体"/>
                <w:color w:val="auto"/>
                <w:kern w:val="0"/>
                <w:sz w:val="21"/>
                <w:szCs w:val="21"/>
              </w:rPr>
              <w:t>0分。投标报价得分＝（评标基准价/最终投标报价）×</w:t>
            </w:r>
            <w:r>
              <w:rPr>
                <w:rFonts w:hint="eastAsia" w:ascii="宋体" w:hAnsi="宋体" w:cs="宋体"/>
                <w:color w:val="auto"/>
                <w:kern w:val="0"/>
                <w:sz w:val="21"/>
                <w:szCs w:val="21"/>
                <w:u w:val="single"/>
                <w:lang w:val="en-US" w:eastAsia="zh-CN"/>
              </w:rPr>
              <w:t>2</w:t>
            </w:r>
            <w:r>
              <w:rPr>
                <w:rFonts w:hint="eastAsia" w:ascii="宋体" w:hAnsi="宋体" w:cs="宋体"/>
                <w:color w:val="auto"/>
                <w:kern w:val="0"/>
                <w:sz w:val="21"/>
                <w:szCs w:val="21"/>
                <w:u w:val="single"/>
              </w:rPr>
              <w:t>0%</w:t>
            </w:r>
            <w:r>
              <w:rPr>
                <w:rFonts w:hint="eastAsia" w:ascii="宋体" w:hAnsi="宋体" w:cs="宋体"/>
                <w:color w:val="auto"/>
                <w:kern w:val="0"/>
                <w:sz w:val="21"/>
                <w:szCs w:val="21"/>
              </w:rPr>
              <w:t>×100（小数点后保留2位小数）。（</w:t>
            </w:r>
            <w:r>
              <w:rPr>
                <w:rFonts w:hint="eastAsia" w:asciiTheme="minorEastAsia" w:hAnsiTheme="minorEastAsia" w:eastAsiaTheme="minorEastAsia" w:cstheme="minorEastAsia"/>
                <w:color w:val="000000" w:themeColor="text1"/>
                <w:sz w:val="21"/>
                <w:szCs w:val="21"/>
                <w14:textFill>
                  <w14:solidFill>
                    <w14:schemeClr w14:val="tx1"/>
                  </w14:solidFill>
                </w14:textFill>
              </w:rPr>
              <w:t>注：</w:t>
            </w:r>
            <w:r>
              <w:rPr>
                <w:rFonts w:hint="eastAsia" w:asciiTheme="minorEastAsia" w:hAnsiTheme="minorEastAsia" w:eastAsiaTheme="minorEastAsia" w:cstheme="minorEastAsia"/>
                <w:sz w:val="21"/>
                <w:szCs w:val="21"/>
              </w:rPr>
              <w:t>符</w:t>
            </w:r>
            <w:r>
              <w:rPr>
                <w:rFonts w:hint="eastAsia" w:asciiTheme="minorEastAsia" w:hAnsiTheme="minorEastAsia" w:eastAsiaTheme="minorEastAsia" w:cstheme="minorEastAsia"/>
                <w:sz w:val="21"/>
                <w:szCs w:val="21"/>
                <w:highlight w:val="none"/>
              </w:rPr>
              <w:t>合本章第</w:t>
            </w:r>
            <w:r>
              <w:rPr>
                <w:rFonts w:hint="eastAsia" w:asciiTheme="minorEastAsia" w:hAnsiTheme="minorEastAsia" w:eastAsiaTheme="minorEastAsia" w:cstheme="minorEastAsia"/>
                <w:sz w:val="21"/>
                <w:szCs w:val="21"/>
                <w:highlight w:val="none"/>
                <w:lang w:val="en-US" w:eastAsia="zh-CN"/>
              </w:rPr>
              <w:t>七</w:t>
            </w:r>
            <w:r>
              <w:rPr>
                <w:rFonts w:hint="eastAsia" w:asciiTheme="minorEastAsia" w:hAnsiTheme="minorEastAsia" w:eastAsiaTheme="minorEastAsia" w:cstheme="minorEastAsia"/>
                <w:sz w:val="21"/>
                <w:szCs w:val="21"/>
                <w:highlight w:val="none"/>
              </w:rPr>
              <w:t>点政府采购政策的，</w:t>
            </w:r>
            <w:r>
              <w:rPr>
                <w:rFonts w:hint="eastAsia" w:asciiTheme="minorEastAsia" w:hAnsiTheme="minorEastAsia" w:eastAsiaTheme="minorEastAsia" w:cstheme="minorEastAsia"/>
                <w:sz w:val="21"/>
                <w:szCs w:val="21"/>
                <w:highlight w:val="none"/>
                <w:lang w:val="en-US" w:eastAsia="zh-CN"/>
              </w:rPr>
              <w:t>根据对应情形，</w:t>
            </w:r>
            <w:r>
              <w:rPr>
                <w:rFonts w:hint="eastAsia" w:asciiTheme="minorEastAsia" w:hAnsiTheme="minorEastAsia" w:eastAsiaTheme="minorEastAsia" w:cstheme="minorEastAsia"/>
                <w:sz w:val="21"/>
                <w:szCs w:val="21"/>
                <w:highlight w:val="none"/>
              </w:rPr>
              <w:t>对报价给予</w:t>
            </w:r>
            <w:r>
              <w:rPr>
                <w:rFonts w:hint="eastAsia" w:asciiTheme="minorEastAsia" w:hAnsiTheme="minorEastAsia" w:eastAsiaTheme="minorEastAsia" w:cstheme="minorEastAsia"/>
                <w:sz w:val="21"/>
                <w:szCs w:val="21"/>
                <w:highlight w:val="none"/>
                <w:u w:val="single"/>
                <w:lang w:val="en-US" w:eastAsia="zh-CN"/>
              </w:rPr>
              <w:t xml:space="preserve"> 20%</w:t>
            </w:r>
            <w:r>
              <w:rPr>
                <w:rFonts w:hint="eastAsia" w:asciiTheme="minorEastAsia" w:hAnsiTheme="minorEastAsia" w:eastAsiaTheme="minorEastAsia" w:cstheme="minorEastAsia"/>
                <w:sz w:val="21"/>
                <w:szCs w:val="21"/>
                <w:highlight w:val="none"/>
                <w:u w:val="none"/>
              </w:rPr>
              <w:t xml:space="preserve"> </w:t>
            </w:r>
            <w:r>
              <w:rPr>
                <w:rFonts w:hint="eastAsia" w:asciiTheme="minorEastAsia" w:hAnsiTheme="minorEastAsia" w:eastAsiaTheme="minorEastAsia" w:cstheme="minorEastAsia"/>
                <w:sz w:val="21"/>
                <w:szCs w:val="21"/>
                <w:highlight w:val="none"/>
                <w:u w:val="none"/>
                <w:lang w:val="en-US" w:eastAsia="zh-CN"/>
              </w:rPr>
              <w:t>或</w:t>
            </w:r>
            <w:r>
              <w:rPr>
                <w:rFonts w:hint="eastAsia" w:asciiTheme="minorEastAsia" w:hAnsiTheme="minorEastAsia" w:eastAsiaTheme="minorEastAsia" w:cstheme="minorEastAsia"/>
                <w:sz w:val="21"/>
                <w:szCs w:val="21"/>
                <w:highlight w:val="none"/>
                <w:u w:val="single"/>
                <w:lang w:val="en-US" w:eastAsia="zh-CN"/>
              </w:rPr>
              <w:t xml:space="preserve"> 6%</w:t>
            </w:r>
            <w:r>
              <w:rPr>
                <w:rFonts w:hint="eastAsia" w:asciiTheme="minorEastAsia" w:hAnsiTheme="minorEastAsia" w:eastAsiaTheme="minorEastAsia" w:cstheme="minorEastAsia"/>
                <w:sz w:val="21"/>
                <w:szCs w:val="21"/>
                <w:highlight w:val="none"/>
              </w:rPr>
              <w:t>的</w:t>
            </w:r>
            <w:r>
              <w:rPr>
                <w:rFonts w:hint="eastAsia" w:asciiTheme="minorEastAsia" w:hAnsiTheme="minorEastAsia" w:eastAsiaTheme="minorEastAsia" w:cstheme="minorEastAsia"/>
                <w:sz w:val="21"/>
                <w:szCs w:val="21"/>
              </w:rPr>
              <w:t>价格扣除，用扣除后的价格参与评审。</w:t>
            </w:r>
            <w:r>
              <w:rPr>
                <w:rFonts w:hint="eastAsia" w:ascii="宋体" w:hAnsi="宋体" w:cs="宋体"/>
                <w:color w:val="auto"/>
                <w:kern w:val="0"/>
                <w:sz w:val="21"/>
                <w:szCs w:val="21"/>
              </w:rPr>
              <w:t>)</w:t>
            </w:r>
          </w:p>
        </w:tc>
        <w:tc>
          <w:tcPr>
            <w:tcW w:w="40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lang w:val="en-US" w:eastAsia="zh-CN"/>
              </w:rPr>
              <w:t>2</w:t>
            </w:r>
            <w:r>
              <w:rPr>
                <w:rFonts w:hint="eastAsia" w:ascii="宋体" w:hAnsi="宋体" w:cs="宋体"/>
                <w:color w:val="auto"/>
                <w:kern w:val="0"/>
                <w:sz w:val="21"/>
                <w:szCs w:val="21"/>
              </w:rPr>
              <w:t>0</w:t>
            </w:r>
          </w:p>
        </w:tc>
      </w:tr>
      <w:tr>
        <w:tblPrEx>
          <w:tblCellMar>
            <w:top w:w="0" w:type="dxa"/>
            <w:left w:w="108" w:type="dxa"/>
            <w:bottom w:w="0" w:type="dxa"/>
            <w:right w:w="108" w:type="dxa"/>
          </w:tblCellMar>
        </w:tblPrEx>
        <w:trPr>
          <w:trHeight w:val="690" w:hRule="atLeast"/>
        </w:trPr>
        <w:tc>
          <w:tcPr>
            <w:tcW w:w="40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 w:val="21"/>
                <w:szCs w:val="21"/>
              </w:rPr>
            </w:pPr>
          </w:p>
        </w:tc>
        <w:tc>
          <w:tcPr>
            <w:tcW w:w="419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1"/>
                <w:szCs w:val="21"/>
              </w:rPr>
            </w:pPr>
          </w:p>
        </w:tc>
        <w:tc>
          <w:tcPr>
            <w:tcW w:w="406"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1"/>
                <w:szCs w:val="21"/>
              </w:rPr>
            </w:pPr>
          </w:p>
        </w:tc>
      </w:tr>
    </w:tbl>
    <w:p>
      <w:pPr>
        <w:autoSpaceDE w:val="0"/>
        <w:autoSpaceDN w:val="0"/>
        <w:adjustRightInd w:val="0"/>
        <w:spacing w:line="360" w:lineRule="auto"/>
        <w:rPr>
          <w:rFonts w:asciiTheme="minorEastAsia" w:hAnsiTheme="minorEastAsia" w:eastAsiaTheme="minorEastAsia"/>
          <w:sz w:val="24"/>
        </w:rPr>
      </w:pPr>
    </w:p>
    <w:p>
      <w:pPr>
        <w:spacing w:line="360" w:lineRule="auto"/>
      </w:pPr>
      <w:r>
        <w:rPr>
          <w:rFonts w:hint="eastAsia"/>
        </w:rPr>
        <w:t>注：①请扫描上传合同、证书、报告及其他相关证明材料的原件</w:t>
      </w:r>
      <w:r>
        <w:rPr>
          <w:rFonts w:hint="eastAsia"/>
          <w:lang w:val="en-US" w:eastAsia="zh-CN"/>
        </w:rPr>
        <w:t>扫描件</w:t>
      </w:r>
      <w:r>
        <w:rPr>
          <w:rFonts w:hint="eastAsia"/>
        </w:rPr>
        <w:t>至投标文件，并加盖公章。</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eastAsia="zh-CN"/>
        </w:rPr>
        <w:t>“</w:t>
      </w:r>
      <w:r>
        <w:rPr>
          <w:rFonts w:hint="eastAsia" w:ascii="宋体" w:hAnsi="宋体" w:cs="宋体"/>
          <w:sz w:val="24"/>
        </w:rPr>
        <w:t>政采云平台</w:t>
      </w:r>
      <w:r>
        <w:rPr>
          <w:rFonts w:hint="eastAsia" w:ascii="宋体" w:hAnsi="宋体" w:cs="宋体"/>
          <w:sz w:val="24"/>
          <w:lang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19"/>
        <w:spacing w:before="0" w:beforeAutospacing="0" w:after="0" w:afterAutospacing="0" w:line="360" w:lineRule="auto"/>
        <w:jc w:val="both"/>
        <w:rPr>
          <w:rFonts w:hint="default" w:asciiTheme="minorEastAsia" w:hAnsiTheme="minorEastAsia" w:eastAsiaTheme="minorEastAsia"/>
          <w:b/>
          <w:bCs/>
        </w:rPr>
      </w:pPr>
    </w:p>
    <w:p>
      <w:pPr>
        <w:rPr>
          <w:rFonts w:hint="default" w:asciiTheme="minorEastAsia" w:hAnsiTheme="minorEastAsia" w:eastAsiaTheme="minorEastAsia"/>
          <w:b/>
          <w:bCs/>
        </w:rPr>
      </w:pPr>
      <w:r>
        <w:rPr>
          <w:rFonts w:hint="default" w:asciiTheme="minorEastAsia" w:hAnsiTheme="minorEastAsia" w:eastAsiaTheme="minorEastAsia"/>
          <w:b/>
          <w:bCs/>
        </w:rPr>
        <w:br w:type="page"/>
      </w:r>
    </w:p>
    <w:p>
      <w:pPr>
        <w:pStyle w:val="19"/>
        <w:spacing w:before="0" w:beforeAutospacing="0" w:after="0" w:afterAutospacing="0" w:line="360" w:lineRule="auto"/>
        <w:ind w:firstLine="482" w:firstLineChars="200"/>
        <w:jc w:val="both"/>
        <w:rPr>
          <w:rFonts w:hint="default" w:asciiTheme="minorEastAsia" w:hAnsiTheme="minorEastAsia" w:eastAsiaTheme="minorEastAsia"/>
          <w:b/>
          <w:bCs/>
        </w:rPr>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第五章 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3"/>
        <w:snapToGrid w:val="0"/>
        <w:spacing w:line="360" w:lineRule="auto"/>
        <w:rPr>
          <w:rFonts w:hAnsi="宋体"/>
          <w:sz w:val="24"/>
        </w:rPr>
      </w:pPr>
      <w:r>
        <w:rPr>
          <w:rFonts w:hAnsi="宋体"/>
          <w:sz w:val="24"/>
        </w:rPr>
        <w:t>项目名称：                                项目编号：</w:t>
      </w:r>
    </w:p>
    <w:p>
      <w:pPr>
        <w:pStyle w:val="13"/>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3"/>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3"/>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3"/>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3"/>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19"/>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19"/>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19"/>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19"/>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3"/>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3"/>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3"/>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宋体" w:hAnsi="宋体"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3"/>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3"/>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3"/>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3"/>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3"/>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3"/>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3"/>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3"/>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3"/>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3"/>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52" w:name="_Toc5481_WPSOffice_Level1"/>
      <w:r>
        <w:rPr>
          <w:rFonts w:hint="eastAsia" w:asciiTheme="minorEastAsia" w:hAnsiTheme="minorEastAsia" w:eastAsiaTheme="minorEastAsia"/>
          <w:b/>
          <w:sz w:val="36"/>
          <w:szCs w:val="36"/>
        </w:rPr>
        <w:t>第六章 投标文件格式</w:t>
      </w:r>
      <w:bookmarkEnd w:id="52"/>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53" w:name="_Toc4956_WPSOffice_Level1"/>
      <w:bookmarkStart w:id="54" w:name="_Toc19093_WPSOffice_Level1"/>
      <w:bookmarkStart w:id="55" w:name="_Toc32372_WPSOffice_Level1"/>
      <w:r>
        <w:rPr>
          <w:rFonts w:hint="eastAsia"/>
          <w:sz w:val="52"/>
          <w:szCs w:val="52"/>
        </w:rPr>
        <w:t>项目名称</w:t>
      </w:r>
      <w:bookmarkEnd w:id="53"/>
      <w:bookmarkEnd w:id="54"/>
      <w:bookmarkEnd w:id="55"/>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1"/>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8"/>
        <w:rPr>
          <w:rFonts w:ascii="仿宋_GB2312" w:hAnsi="宋体" w:eastAsia="仿宋_GB2312"/>
          <w:b/>
          <w:sz w:val="36"/>
          <w:szCs w:val="36"/>
        </w:rPr>
      </w:pPr>
    </w:p>
    <w:p>
      <w:pPr>
        <w:pStyle w:val="8"/>
        <w:rPr>
          <w:rFonts w:ascii="仿宋_GB2312" w:hAnsi="宋体" w:eastAsia="仿宋_GB2312"/>
          <w:b/>
          <w:sz w:val="36"/>
          <w:szCs w:val="36"/>
        </w:rPr>
      </w:pPr>
    </w:p>
    <w:p>
      <w:pPr>
        <w:pStyle w:val="8"/>
        <w:rPr>
          <w:rFonts w:ascii="仿宋_GB2312" w:hAnsi="宋体" w:eastAsia="仿宋_GB2312"/>
          <w:b/>
          <w:sz w:val="36"/>
          <w:szCs w:val="36"/>
        </w:rPr>
      </w:pPr>
    </w:p>
    <w:p>
      <w:pPr>
        <w:pStyle w:val="8"/>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4"/>
        </w:numPr>
        <w:spacing w:line="360" w:lineRule="auto"/>
        <w:ind w:hanging="5"/>
        <w:rPr>
          <w:sz w:val="28"/>
          <w:szCs w:val="36"/>
        </w:rPr>
      </w:pPr>
      <w:bookmarkStart w:id="56" w:name="_Toc12587_WPSOffice_Level1"/>
      <w:bookmarkStart w:id="57" w:name="_Toc27049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56"/>
      <w:bookmarkEnd w:id="57"/>
    </w:p>
    <w:p>
      <w:pPr>
        <w:numPr>
          <w:ilvl w:val="0"/>
          <w:numId w:val="14"/>
        </w:numPr>
        <w:spacing w:line="360" w:lineRule="auto"/>
        <w:ind w:hanging="5"/>
        <w:rPr>
          <w:sz w:val="28"/>
          <w:szCs w:val="36"/>
        </w:rPr>
      </w:pPr>
      <w:bookmarkStart w:id="58" w:name="_Toc25574_WPSOffice_Level1"/>
      <w:bookmarkStart w:id="59" w:name="_Toc28306_WPSOffice_Level1"/>
      <w:r>
        <w:rPr>
          <w:rFonts w:hint="eastAsia"/>
          <w:sz w:val="28"/>
          <w:szCs w:val="36"/>
        </w:rPr>
        <w:t>授权委托书</w:t>
      </w:r>
      <w:r>
        <w:rPr>
          <w:rFonts w:hint="eastAsia"/>
          <w:sz w:val="28"/>
          <w:szCs w:val="36"/>
          <w:lang w:val="en-US" w:eastAsia="zh-CN"/>
        </w:rPr>
        <w:t>或联合体授权委托书</w:t>
      </w:r>
      <w:r>
        <w:rPr>
          <w:rFonts w:hint="eastAsia"/>
          <w:sz w:val="28"/>
          <w:szCs w:val="36"/>
        </w:rPr>
        <w:t>（法定代表人办理投标事宜的，则无需提交授权委托书</w:t>
      </w:r>
      <w:r>
        <w:rPr>
          <w:rFonts w:hint="eastAsia"/>
          <w:sz w:val="28"/>
          <w:szCs w:val="36"/>
          <w:lang w:eastAsia="zh-CN"/>
        </w:rPr>
        <w:t>；</w:t>
      </w:r>
      <w:r>
        <w:rPr>
          <w:rFonts w:hint="eastAsia"/>
          <w:sz w:val="28"/>
          <w:szCs w:val="36"/>
          <w:lang w:val="en-US" w:eastAsia="zh-CN"/>
        </w:rPr>
        <w:t>以联合体形式投标时需提供联合体授权委托书</w:t>
      </w:r>
      <w:r>
        <w:rPr>
          <w:rFonts w:hint="eastAsia"/>
          <w:sz w:val="28"/>
          <w:szCs w:val="36"/>
        </w:rPr>
        <w:t>)（附件</w:t>
      </w:r>
      <w:r>
        <w:rPr>
          <w:rFonts w:hint="eastAsia"/>
          <w:sz w:val="28"/>
          <w:szCs w:val="36"/>
          <w:lang w:val="en-US" w:eastAsia="zh-CN"/>
        </w:rPr>
        <w:t>2-1、附件2-2</w:t>
      </w:r>
      <w:r>
        <w:rPr>
          <w:rFonts w:hint="eastAsia"/>
          <w:sz w:val="28"/>
          <w:szCs w:val="36"/>
        </w:rPr>
        <w:t>）</w:t>
      </w:r>
      <w:bookmarkEnd w:id="58"/>
      <w:bookmarkEnd w:id="59"/>
    </w:p>
    <w:p>
      <w:pPr>
        <w:numPr>
          <w:ilvl w:val="0"/>
          <w:numId w:val="14"/>
        </w:numPr>
        <w:spacing w:line="360" w:lineRule="auto"/>
        <w:ind w:hanging="5"/>
        <w:rPr>
          <w:sz w:val="28"/>
          <w:szCs w:val="36"/>
        </w:rPr>
      </w:pPr>
      <w:r>
        <w:rPr>
          <w:rFonts w:hint="eastAsia" w:ascii="Times New Roman" w:hAnsi="Times New Roman" w:eastAsia="宋体" w:cs="Times New Roman"/>
          <w:sz w:val="28"/>
          <w:szCs w:val="36"/>
        </w:rPr>
        <w:t>联合体共同投标协议书</w:t>
      </w:r>
      <w:r>
        <w:rPr>
          <w:rFonts w:hint="eastAsia"/>
          <w:sz w:val="28"/>
          <w:szCs w:val="36"/>
        </w:rPr>
        <w:t>（</w:t>
      </w:r>
      <w:r>
        <w:rPr>
          <w:rFonts w:hint="eastAsia"/>
          <w:sz w:val="28"/>
          <w:szCs w:val="36"/>
          <w:lang w:val="en-US" w:eastAsia="zh-CN"/>
        </w:rPr>
        <w:t>以</w:t>
      </w:r>
      <w:r>
        <w:rPr>
          <w:rFonts w:hint="eastAsia"/>
          <w:sz w:val="28"/>
          <w:szCs w:val="36"/>
          <w:lang w:eastAsia="zh-CN"/>
        </w:rPr>
        <w:t>联合体</w:t>
      </w:r>
      <w:r>
        <w:rPr>
          <w:rFonts w:hint="eastAsia"/>
          <w:sz w:val="28"/>
          <w:szCs w:val="36"/>
          <w:lang w:val="en-US" w:eastAsia="zh-CN"/>
        </w:rPr>
        <w:t>形式</w:t>
      </w:r>
      <w:r>
        <w:rPr>
          <w:rFonts w:hint="eastAsia"/>
          <w:sz w:val="28"/>
          <w:szCs w:val="36"/>
          <w:lang w:eastAsia="zh-CN"/>
        </w:rPr>
        <w:t>投标时需提供）（</w:t>
      </w:r>
      <w:r>
        <w:rPr>
          <w:rFonts w:hint="eastAsia"/>
          <w:sz w:val="28"/>
          <w:szCs w:val="36"/>
          <w:lang w:val="en-US" w:eastAsia="zh-CN"/>
        </w:rPr>
        <w:t>附件3</w:t>
      </w:r>
      <w:r>
        <w:rPr>
          <w:rFonts w:hint="eastAsia"/>
          <w:sz w:val="28"/>
          <w:szCs w:val="36"/>
        </w:rPr>
        <w:t>）</w:t>
      </w:r>
    </w:p>
    <w:p>
      <w:pPr>
        <w:numPr>
          <w:ilvl w:val="0"/>
          <w:numId w:val="14"/>
        </w:numPr>
        <w:spacing w:line="360" w:lineRule="auto"/>
        <w:ind w:hanging="5"/>
        <w:rPr>
          <w:sz w:val="28"/>
          <w:szCs w:val="36"/>
        </w:rPr>
      </w:pPr>
      <w:bookmarkStart w:id="60" w:name="_Toc29616_WPSOffice_Level1"/>
      <w:bookmarkStart w:id="61" w:name="_Toc32100_WPSOffice_Level1"/>
      <w:r>
        <w:rPr>
          <w:rFonts w:hint="eastAsia"/>
          <w:sz w:val="28"/>
          <w:szCs w:val="36"/>
        </w:rPr>
        <w:t>法人或者其他组织的营业执照等证明文件，自然人的身份证明</w:t>
      </w:r>
      <w:bookmarkEnd w:id="60"/>
      <w:bookmarkEnd w:id="61"/>
    </w:p>
    <w:p>
      <w:pPr>
        <w:numPr>
          <w:ilvl w:val="0"/>
          <w:numId w:val="14"/>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14"/>
        </w:numPr>
        <w:spacing w:line="360" w:lineRule="auto"/>
        <w:ind w:hanging="5"/>
        <w:rPr>
          <w:sz w:val="28"/>
          <w:szCs w:val="36"/>
        </w:rPr>
      </w:pPr>
      <w:bookmarkStart w:id="62" w:name="_Toc2696_WPSOffice_Level1"/>
      <w:bookmarkStart w:id="63" w:name="_Toc30751_WPSOffice_Level1"/>
      <w:r>
        <w:rPr>
          <w:rFonts w:hint="eastAsia"/>
          <w:sz w:val="28"/>
          <w:szCs w:val="36"/>
        </w:rPr>
        <w:t>具备履行合同所必需的设备和专业技术能力的证明材料</w:t>
      </w:r>
      <w:bookmarkEnd w:id="62"/>
      <w:bookmarkEnd w:id="63"/>
    </w:p>
    <w:p>
      <w:pPr>
        <w:numPr>
          <w:ilvl w:val="0"/>
          <w:numId w:val="14"/>
        </w:numPr>
        <w:spacing w:line="360" w:lineRule="auto"/>
        <w:ind w:hanging="5"/>
        <w:rPr>
          <w:sz w:val="28"/>
          <w:szCs w:val="36"/>
        </w:rPr>
      </w:pPr>
      <w:bookmarkStart w:id="64" w:name="_Toc14150_WPSOffice_Level1"/>
      <w:bookmarkStart w:id="65" w:name="_Toc4587_WPSOffice_Level1"/>
      <w:r>
        <w:rPr>
          <w:rFonts w:hint="eastAsia"/>
          <w:sz w:val="28"/>
          <w:szCs w:val="36"/>
        </w:rPr>
        <w:t>本项目要求的特定资质证书</w:t>
      </w:r>
      <w:bookmarkEnd w:id="64"/>
      <w:bookmarkEnd w:id="65"/>
    </w:p>
    <w:p>
      <w:pPr>
        <w:spacing w:line="360" w:lineRule="auto"/>
        <w:rPr>
          <w:rFonts w:ascii="宋体" w:hAnsi="宋体"/>
          <w:b/>
          <w:sz w:val="28"/>
        </w:rPr>
      </w:pPr>
    </w:p>
    <w:p>
      <w:pPr>
        <w:spacing w:line="360" w:lineRule="auto"/>
        <w:ind w:left="420"/>
        <w:rPr>
          <w:rFonts w:ascii="宋体" w:hAnsi="宋体"/>
          <w:b/>
          <w:sz w:val="28"/>
        </w:rPr>
      </w:pPr>
    </w:p>
    <w:p>
      <w:pPr>
        <w:pStyle w:val="28"/>
        <w:rPr>
          <w:rFonts w:ascii="宋体" w:hAnsi="宋体"/>
          <w:b/>
          <w:sz w:val="28"/>
        </w:rPr>
      </w:pPr>
    </w:p>
    <w:p>
      <w:pPr>
        <w:pStyle w:val="28"/>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pStyle w:val="8"/>
        <w:rPr>
          <w:rFonts w:ascii="宋体" w:hAnsi="宋体"/>
          <w:b/>
          <w:sz w:val="28"/>
        </w:rPr>
      </w:pPr>
    </w:p>
    <w:p>
      <w:pPr>
        <w:rPr>
          <w:rFonts w:hint="eastAsia" w:ascii="宋体" w:hAnsi="宋体"/>
          <w:b/>
          <w:sz w:val="28"/>
        </w:rPr>
      </w:pP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66" w:name="_Toc30723_WPSOffice_Level1"/>
      <w:bookmarkStart w:id="67" w:name="_Toc31708_WPSOffice_Level1"/>
      <w:r>
        <w:rPr>
          <w:rFonts w:hint="eastAsia" w:ascii="宋体" w:hAnsi="宋体"/>
          <w:b/>
          <w:kern w:val="0"/>
          <w:sz w:val="32"/>
          <w:szCs w:val="32"/>
          <w:lang w:val="zh-CN"/>
        </w:rPr>
        <w:t>投标声明书</w:t>
      </w:r>
      <w:bookmarkEnd w:id="66"/>
      <w:bookmarkEnd w:id="67"/>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5"/>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5"/>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5"/>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5"/>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5"/>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5"/>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1"/>
        <w:ind w:left="0" w:leftChars="0" w:firstLine="0" w:firstLineChars="0"/>
        <w:rPr>
          <w:rFonts w:hint="eastAsia"/>
          <w:lang w:val="en-US" w:eastAsia="zh-CN"/>
        </w:rPr>
      </w:pPr>
    </w:p>
    <w:p>
      <w:pPr>
        <w:pStyle w:val="21"/>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68" w:name="_Toc6870_WPSOffice_Level1"/>
      <w:bookmarkStart w:id="69" w:name="_Toc24373_WPSOffice_Level1"/>
      <w:r>
        <w:rPr>
          <w:b/>
          <w:sz w:val="32"/>
          <w:szCs w:val="32"/>
        </w:rPr>
        <w:t>授权</w:t>
      </w:r>
      <w:r>
        <w:rPr>
          <w:rFonts w:hint="eastAsia"/>
          <w:b/>
          <w:sz w:val="32"/>
          <w:szCs w:val="32"/>
        </w:rPr>
        <w:t>委托</w:t>
      </w:r>
      <w:r>
        <w:rPr>
          <w:b/>
          <w:sz w:val="32"/>
          <w:szCs w:val="32"/>
        </w:rPr>
        <w:t>书</w:t>
      </w:r>
      <w:bookmarkEnd w:id="68"/>
      <w:bookmarkEnd w:id="69"/>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3"/>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ectPr>
          <w:headerReference r:id="rId8" w:type="first"/>
          <w:footerReference r:id="rId10" w:type="first"/>
          <w:headerReference r:id="rId7" w:type="default"/>
          <w:footerReference r:id="rId9" w:type="default"/>
          <w:pgSz w:w="11906" w:h="16838"/>
          <w:pgMar w:top="1701" w:right="1448" w:bottom="1531" w:left="1418" w:header="851" w:footer="851" w:gutter="0"/>
          <w:cols w:space="720" w:num="1"/>
          <w:docGrid w:linePitch="312" w:charSpace="0"/>
        </w:sectPr>
      </w:pPr>
      <w:r>
        <w:rPr>
          <w:rFonts w:hint="eastAsia" w:ascii="宋体" w:hAnsi="宋体"/>
          <w:b/>
          <w:sz w:val="28"/>
        </w:rPr>
        <w:br w:type="page"/>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3"/>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并代表我方全权办理针对上述项目的投标、开标、评标、签约等具体事务和签署相关文件。</w:t>
      </w:r>
      <w:r>
        <w:rPr>
          <w:rFonts w:hint="eastAsia" w:hAnsi="宋体"/>
          <w:sz w:val="24"/>
          <w:szCs w:val="24"/>
        </w:rPr>
        <w:t>我方对全权代表的签字事项负全部责任。</w:t>
      </w:r>
    </w:p>
    <w:p>
      <w:pPr>
        <w:pStyle w:val="13"/>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pStyle w:val="2"/>
        <w:numPr>
          <w:ilvl w:val="0"/>
          <w:numId w:val="0"/>
        </w:numPr>
        <w:jc w:val="both"/>
      </w:pPr>
    </w:p>
    <w:p>
      <w:pPr>
        <w:spacing w:line="360" w:lineRule="auto"/>
        <w:rPr>
          <w:b/>
          <w:sz w:val="24"/>
        </w:rPr>
      </w:pPr>
      <w:r>
        <w:rPr>
          <w:rFonts w:hint="eastAsia" w:ascii="宋体"/>
          <w:b/>
          <w:sz w:val="24"/>
        </w:rPr>
        <w:t>附：</w:t>
      </w:r>
    </w:p>
    <w:tbl>
      <w:tblPr>
        <w:tblStyle w:val="22"/>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2"/>
        <w:tblpPr w:leftFromText="180" w:rightFromText="180" w:vertAnchor="text" w:horzAnchor="page" w:tblpX="5940" w:tblpY="-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2"/>
        <w:tblpPr w:leftFromText="180" w:rightFromText="180" w:vertAnchor="text" w:horzAnchor="page" w:tblpX="5940" w:tblpY="4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jc w:val="center"/>
        <w:rPr>
          <w:rFonts w:hint="eastAsia" w:ascii="宋体" w:hAnsi="宋体" w:eastAsia="宋体" w:cs="宋体"/>
          <w:b/>
          <w:bCs/>
          <w:sz w:val="36"/>
          <w:szCs w:val="36"/>
          <w:lang w:eastAsia="zh-CN"/>
        </w:rPr>
      </w:pPr>
    </w:p>
    <w:p>
      <w:pPr>
        <w:pStyle w:val="8"/>
        <w:rPr>
          <w:rFonts w:hint="eastAsia" w:ascii="宋体" w:hAnsi="宋体" w:eastAsia="宋体" w:cs="宋体"/>
          <w:b/>
          <w:bCs/>
          <w:sz w:val="36"/>
          <w:szCs w:val="36"/>
          <w:lang w:eastAsia="zh-CN"/>
        </w:rPr>
      </w:pPr>
    </w:p>
    <w:p>
      <w:pPr>
        <w:pStyle w:val="8"/>
        <w:rPr>
          <w:rFonts w:hint="eastAsia" w:ascii="宋体" w:hAnsi="宋体" w:eastAsia="宋体" w:cs="宋体"/>
          <w:b/>
          <w:bCs/>
          <w:sz w:val="36"/>
          <w:szCs w:val="36"/>
          <w:lang w:eastAsia="zh-CN"/>
        </w:rPr>
      </w:pPr>
    </w:p>
    <w:p>
      <w:pPr>
        <w:pStyle w:val="8"/>
        <w:rPr>
          <w:rFonts w:hint="eastAsia" w:ascii="宋体" w:hAnsi="宋体" w:eastAsia="宋体" w:cs="宋体"/>
          <w:b/>
          <w:bCs/>
          <w:sz w:val="36"/>
          <w:szCs w:val="36"/>
          <w:lang w:eastAsia="zh-CN"/>
        </w:rPr>
      </w:pPr>
    </w:p>
    <w:p>
      <w:pPr>
        <w:pStyle w:val="8"/>
        <w:rPr>
          <w:rFonts w:hint="eastAsia" w:ascii="宋体" w:hAnsi="宋体" w:eastAsia="宋体" w:cs="宋体"/>
          <w:b/>
          <w:bCs/>
          <w:sz w:val="36"/>
          <w:szCs w:val="36"/>
          <w:lang w:eastAsia="zh-CN"/>
        </w:rPr>
      </w:pPr>
    </w:p>
    <w:p>
      <w:pPr>
        <w:pStyle w:val="8"/>
        <w:rPr>
          <w:rFonts w:hint="eastAsia" w:ascii="宋体" w:hAnsi="宋体" w:eastAsia="宋体" w:cs="宋体"/>
          <w:b/>
          <w:bCs/>
          <w:sz w:val="36"/>
          <w:szCs w:val="36"/>
          <w:lang w:eastAsia="zh-CN"/>
        </w:rPr>
      </w:pPr>
    </w:p>
    <w:p>
      <w:pPr>
        <w:pStyle w:val="8"/>
        <w:rPr>
          <w:rFonts w:hint="eastAsia" w:ascii="宋体" w:hAnsi="宋体" w:eastAsia="宋体" w:cs="宋体"/>
          <w:b/>
          <w:bCs/>
          <w:sz w:val="36"/>
          <w:szCs w:val="36"/>
          <w:lang w:eastAsia="zh-CN"/>
        </w:rPr>
      </w:pPr>
    </w:p>
    <w:p>
      <w:pPr>
        <w:pStyle w:val="8"/>
        <w:rPr>
          <w:rFonts w:hint="eastAsia" w:ascii="宋体" w:hAnsi="宋体" w:eastAsia="宋体" w:cs="宋体"/>
          <w:b/>
          <w:bCs/>
          <w:sz w:val="36"/>
          <w:szCs w:val="36"/>
          <w:lang w:eastAsia="zh-CN"/>
        </w:rPr>
      </w:pPr>
    </w:p>
    <w:p>
      <w:pPr>
        <w:pStyle w:val="8"/>
        <w:rPr>
          <w:rFonts w:hint="eastAsia" w:ascii="宋体" w:hAnsi="宋体" w:eastAsia="宋体" w:cs="宋体"/>
          <w:b/>
          <w:bCs/>
          <w:sz w:val="36"/>
          <w:szCs w:val="36"/>
          <w:lang w:eastAsia="zh-CN"/>
        </w:rPr>
      </w:pPr>
    </w:p>
    <w:p>
      <w:pPr>
        <w:pStyle w:val="8"/>
        <w:rPr>
          <w:rFonts w:hint="eastAsia" w:ascii="宋体" w:hAnsi="宋体" w:eastAsia="宋体" w:cs="宋体"/>
          <w:b/>
          <w:bCs/>
          <w:sz w:val="36"/>
          <w:szCs w:val="36"/>
          <w:lang w:eastAsia="zh-CN"/>
        </w:rPr>
      </w:pPr>
    </w:p>
    <w:p>
      <w:r>
        <w:br w:type="page"/>
      </w:r>
    </w:p>
    <w:p>
      <w:pPr>
        <w:adjustRightInd w:val="0"/>
        <w:snapToGrid w:val="0"/>
        <w:spacing w:line="360" w:lineRule="auto"/>
        <w:ind w:right="480"/>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16"/>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16"/>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物，负责合同实施阶段的主办、组织和协调工作。</w:t>
      </w:r>
    </w:p>
    <w:p>
      <w:pPr>
        <w:numPr>
          <w:ilvl w:val="0"/>
          <w:numId w:val="16"/>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16"/>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承担的工</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16"/>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16"/>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各方具体的的责任、权利、义务，在中标后经各方协商后报采购人同意后在合同中明确。</w:t>
      </w:r>
    </w:p>
    <w:p>
      <w:pPr>
        <w:numPr>
          <w:ilvl w:val="0"/>
          <w:numId w:val="16"/>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6"/>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8"/>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p>
    <w:p>
      <w:pPr>
        <w:jc w:val="both"/>
        <w:rPr>
          <w:rFonts w:hint="eastAsia"/>
          <w:sz w:val="52"/>
          <w:szCs w:val="52"/>
        </w:rPr>
      </w:pPr>
      <w:bookmarkStart w:id="70" w:name="_Toc16825_WPSOffice_Level1"/>
      <w:bookmarkStart w:id="71" w:name="_Toc26389_WPSOffice_Level1"/>
      <w:bookmarkStart w:id="72" w:name="_Toc12331_WPSOffice_Level1"/>
    </w:p>
    <w:p>
      <w:pPr>
        <w:jc w:val="center"/>
        <w:rPr>
          <w:rFonts w:hint="eastAsia"/>
          <w:sz w:val="52"/>
          <w:szCs w:val="52"/>
        </w:rPr>
      </w:pPr>
    </w:p>
    <w:p>
      <w:pPr>
        <w:jc w:val="center"/>
        <w:rPr>
          <w:sz w:val="52"/>
          <w:szCs w:val="52"/>
        </w:rPr>
      </w:pPr>
      <w:r>
        <w:rPr>
          <w:rFonts w:hint="eastAsia"/>
          <w:sz w:val="52"/>
          <w:szCs w:val="52"/>
        </w:rPr>
        <w:t>项目名称</w:t>
      </w:r>
      <w:bookmarkEnd w:id="70"/>
      <w:bookmarkEnd w:id="71"/>
      <w:bookmarkEnd w:id="7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p>
    <w:p>
      <w:pPr>
        <w:pStyle w:val="21"/>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8"/>
        <w:rPr>
          <w:rFonts w:ascii="仿宋_GB2312" w:hAnsi="宋体" w:eastAsia="仿宋_GB2312"/>
          <w:b/>
          <w:sz w:val="36"/>
          <w:szCs w:val="36"/>
        </w:rPr>
      </w:pPr>
    </w:p>
    <w:p>
      <w:pPr>
        <w:jc w:val="both"/>
        <w:rPr>
          <w:b/>
          <w:bCs/>
          <w:sz w:val="32"/>
          <w:szCs w:val="32"/>
          <w:lang w:val="zh-CN"/>
        </w:rPr>
      </w:pPr>
      <w:bookmarkStart w:id="73" w:name="_Toc5889_WPSOffice_Level1"/>
      <w:bookmarkStart w:id="74" w:name="_Toc11308_WPSOffice_Level1"/>
    </w:p>
    <w:p>
      <w:pPr>
        <w:rPr>
          <w:rFonts w:hint="eastAsia"/>
          <w:b/>
          <w:bCs/>
          <w:sz w:val="36"/>
          <w:szCs w:val="36"/>
          <w:lang w:val="zh-CN"/>
        </w:rPr>
      </w:pPr>
      <w:r>
        <w:rPr>
          <w:rFonts w:hint="eastAsia"/>
          <w:b/>
          <w:bCs/>
          <w:sz w:val="36"/>
          <w:szCs w:val="36"/>
          <w:lang w:val="zh-CN"/>
        </w:rPr>
        <w:br w:type="page"/>
      </w:r>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73"/>
      <w:bookmarkEnd w:id="74"/>
    </w:p>
    <w:p>
      <w:pPr>
        <w:spacing w:line="360" w:lineRule="auto"/>
        <w:rPr>
          <w:sz w:val="24"/>
          <w:szCs w:val="24"/>
        </w:rPr>
      </w:pPr>
    </w:p>
    <w:p>
      <w:pPr>
        <w:spacing w:line="360" w:lineRule="auto"/>
        <w:ind w:firstLine="562" w:firstLineChars="200"/>
        <w:rPr>
          <w:b/>
          <w:bCs/>
          <w:sz w:val="28"/>
          <w:szCs w:val="28"/>
        </w:rPr>
      </w:pPr>
      <w:bookmarkStart w:id="75" w:name="_Toc21250_WPSOffice_Level1"/>
      <w:bookmarkStart w:id="76" w:name="_Toc20529_WPSOffice_Level1"/>
      <w:r>
        <w:rPr>
          <w:rFonts w:hint="eastAsia"/>
          <w:b/>
          <w:bCs/>
          <w:sz w:val="28"/>
          <w:szCs w:val="28"/>
        </w:rPr>
        <w:t>第一部分  技术方案描述部分</w:t>
      </w:r>
      <w:bookmarkEnd w:id="75"/>
      <w:bookmarkEnd w:id="76"/>
    </w:p>
    <w:p>
      <w:pPr>
        <w:numPr>
          <w:ilvl w:val="0"/>
          <w:numId w:val="17"/>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4</w:t>
      </w:r>
      <w:r>
        <w:rPr>
          <w:rFonts w:hint="eastAsia"/>
          <w:sz w:val="28"/>
          <w:szCs w:val="28"/>
        </w:rPr>
        <w:t>）</w:t>
      </w:r>
    </w:p>
    <w:p>
      <w:pPr>
        <w:numPr>
          <w:ilvl w:val="0"/>
          <w:numId w:val="17"/>
        </w:numPr>
        <w:spacing w:line="360" w:lineRule="auto"/>
        <w:ind w:left="5" w:firstLine="415"/>
        <w:rPr>
          <w:sz w:val="28"/>
          <w:szCs w:val="28"/>
        </w:rPr>
      </w:pPr>
      <w:r>
        <w:rPr>
          <w:rFonts w:hint="eastAsia"/>
          <w:sz w:val="28"/>
          <w:szCs w:val="28"/>
        </w:rPr>
        <w:t>项目需求的理解与分析</w:t>
      </w:r>
    </w:p>
    <w:p>
      <w:pPr>
        <w:numPr>
          <w:ilvl w:val="0"/>
          <w:numId w:val="17"/>
        </w:numPr>
        <w:spacing w:line="360" w:lineRule="auto"/>
        <w:ind w:left="5" w:firstLine="415"/>
        <w:rPr>
          <w:sz w:val="28"/>
          <w:szCs w:val="28"/>
        </w:rPr>
      </w:pPr>
      <w:r>
        <w:rPr>
          <w:rFonts w:hint="eastAsia"/>
          <w:sz w:val="28"/>
          <w:szCs w:val="28"/>
        </w:rPr>
        <w:t>总体设计（技术、服务）方案</w:t>
      </w:r>
    </w:p>
    <w:p>
      <w:pPr>
        <w:numPr>
          <w:ilvl w:val="0"/>
          <w:numId w:val="17"/>
        </w:numPr>
        <w:spacing w:line="360" w:lineRule="auto"/>
        <w:ind w:left="5" w:firstLine="415"/>
        <w:rPr>
          <w:sz w:val="28"/>
          <w:szCs w:val="28"/>
        </w:rPr>
      </w:pPr>
      <w:r>
        <w:rPr>
          <w:rFonts w:hint="eastAsia"/>
          <w:sz w:val="28"/>
          <w:szCs w:val="28"/>
        </w:rPr>
        <w:t>功能设计方案</w:t>
      </w:r>
    </w:p>
    <w:p>
      <w:pPr>
        <w:numPr>
          <w:ilvl w:val="0"/>
          <w:numId w:val="17"/>
        </w:numPr>
        <w:spacing w:line="360" w:lineRule="auto"/>
        <w:ind w:left="5" w:firstLine="415"/>
        <w:rPr>
          <w:sz w:val="28"/>
          <w:szCs w:val="28"/>
        </w:rPr>
      </w:pPr>
      <w:r>
        <w:rPr>
          <w:rFonts w:hint="eastAsia"/>
          <w:sz w:val="28"/>
          <w:szCs w:val="28"/>
        </w:rPr>
        <w:t>质量保证方案</w:t>
      </w:r>
    </w:p>
    <w:p>
      <w:pPr>
        <w:numPr>
          <w:ilvl w:val="0"/>
          <w:numId w:val="17"/>
        </w:numPr>
        <w:spacing w:line="360" w:lineRule="auto"/>
        <w:ind w:left="5" w:firstLine="415"/>
        <w:rPr>
          <w:sz w:val="28"/>
          <w:szCs w:val="28"/>
        </w:rPr>
      </w:pPr>
      <w:r>
        <w:rPr>
          <w:rFonts w:hint="eastAsia"/>
          <w:sz w:val="28"/>
          <w:szCs w:val="28"/>
        </w:rPr>
        <w:t>项目实施方案</w:t>
      </w:r>
    </w:p>
    <w:p>
      <w:pPr>
        <w:numPr>
          <w:ilvl w:val="0"/>
          <w:numId w:val="17"/>
        </w:numPr>
        <w:spacing w:line="360" w:lineRule="auto"/>
        <w:ind w:left="5" w:firstLine="415"/>
        <w:rPr>
          <w:rFonts w:hint="eastAsia"/>
          <w:sz w:val="28"/>
          <w:szCs w:val="28"/>
        </w:rPr>
      </w:pPr>
      <w:r>
        <w:rPr>
          <w:rFonts w:hint="eastAsia"/>
          <w:sz w:val="28"/>
          <w:szCs w:val="28"/>
          <w:lang w:val="en-US" w:eastAsia="zh-CN"/>
        </w:rPr>
        <w:t>项目分包方案</w:t>
      </w:r>
    </w:p>
    <w:p>
      <w:pPr>
        <w:numPr>
          <w:ilvl w:val="0"/>
          <w:numId w:val="17"/>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5</w:t>
      </w:r>
      <w:r>
        <w:rPr>
          <w:rFonts w:hint="eastAsia"/>
          <w:sz w:val="28"/>
          <w:szCs w:val="28"/>
        </w:rPr>
        <w:t>）</w:t>
      </w:r>
    </w:p>
    <w:p>
      <w:pPr>
        <w:numPr>
          <w:ilvl w:val="0"/>
          <w:numId w:val="17"/>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6</w:t>
      </w:r>
      <w:r>
        <w:rPr>
          <w:rFonts w:hint="eastAsia"/>
          <w:sz w:val="28"/>
          <w:szCs w:val="28"/>
        </w:rPr>
        <w:t>）</w:t>
      </w:r>
    </w:p>
    <w:p>
      <w:pPr>
        <w:numPr>
          <w:ilvl w:val="0"/>
          <w:numId w:val="17"/>
        </w:numPr>
        <w:spacing w:line="360" w:lineRule="auto"/>
        <w:ind w:left="5" w:firstLine="415"/>
        <w:rPr>
          <w:sz w:val="28"/>
          <w:szCs w:val="28"/>
        </w:rPr>
      </w:pPr>
      <w:r>
        <w:rPr>
          <w:rFonts w:hint="eastAsia"/>
          <w:sz w:val="28"/>
          <w:szCs w:val="28"/>
        </w:rPr>
        <w:t>工程量/原材料、人工费清单（均不含报价）</w:t>
      </w:r>
    </w:p>
    <w:p>
      <w:pPr>
        <w:numPr>
          <w:ilvl w:val="0"/>
          <w:numId w:val="17"/>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7</w:t>
      </w:r>
      <w:r>
        <w:rPr>
          <w:rFonts w:hint="eastAsia"/>
          <w:sz w:val="28"/>
          <w:szCs w:val="28"/>
        </w:rPr>
        <w:t>）</w:t>
      </w:r>
    </w:p>
    <w:p>
      <w:pPr>
        <w:numPr>
          <w:ilvl w:val="0"/>
          <w:numId w:val="17"/>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7"/>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8</w:t>
      </w:r>
      <w:r>
        <w:rPr>
          <w:rFonts w:hint="eastAsia"/>
          <w:sz w:val="28"/>
          <w:szCs w:val="28"/>
        </w:rPr>
        <w:t>）</w:t>
      </w:r>
    </w:p>
    <w:p>
      <w:pPr>
        <w:numPr>
          <w:ilvl w:val="0"/>
          <w:numId w:val="17"/>
        </w:numPr>
        <w:spacing w:line="360" w:lineRule="auto"/>
        <w:ind w:left="5" w:firstLine="415"/>
        <w:rPr>
          <w:rFonts w:hint="default"/>
          <w:sz w:val="28"/>
          <w:szCs w:val="28"/>
          <w:lang w:val="en-US" w:eastAsia="zh-CN"/>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77" w:name="_Toc30029_WPSOffice_Level1"/>
      <w:bookmarkStart w:id="78" w:name="_Toc20986_WPSOffice_Level1"/>
      <w:r>
        <w:rPr>
          <w:rFonts w:hint="eastAsia"/>
          <w:b/>
          <w:bCs/>
          <w:sz w:val="28"/>
          <w:szCs w:val="28"/>
        </w:rPr>
        <w:t xml:space="preserve">第二部分  </w:t>
      </w:r>
      <w:bookmarkEnd w:id="77"/>
      <w:bookmarkEnd w:id="78"/>
      <w:r>
        <w:rPr>
          <w:rFonts w:hint="eastAsia"/>
          <w:b/>
          <w:bCs/>
          <w:sz w:val="28"/>
          <w:szCs w:val="28"/>
        </w:rPr>
        <w:t>商务响应及其他部分</w:t>
      </w:r>
    </w:p>
    <w:p>
      <w:pPr>
        <w:numPr>
          <w:ilvl w:val="0"/>
          <w:numId w:val="18"/>
        </w:numPr>
        <w:spacing w:line="360" w:lineRule="auto"/>
        <w:ind w:hanging="5"/>
        <w:rPr>
          <w:sz w:val="28"/>
          <w:szCs w:val="28"/>
        </w:rPr>
      </w:pPr>
      <w:r>
        <w:rPr>
          <w:rFonts w:hint="eastAsia"/>
          <w:sz w:val="28"/>
          <w:szCs w:val="28"/>
        </w:rPr>
        <w:t>证书一览表（附件</w:t>
      </w:r>
      <w:r>
        <w:rPr>
          <w:rFonts w:hint="eastAsia"/>
          <w:sz w:val="28"/>
          <w:szCs w:val="28"/>
          <w:lang w:val="en-US" w:eastAsia="zh-CN"/>
        </w:rPr>
        <w:t>9</w:t>
      </w:r>
      <w:r>
        <w:rPr>
          <w:rFonts w:hint="eastAsia"/>
          <w:sz w:val="28"/>
          <w:szCs w:val="28"/>
        </w:rPr>
        <w:t>）</w:t>
      </w:r>
    </w:p>
    <w:p>
      <w:pPr>
        <w:numPr>
          <w:ilvl w:val="0"/>
          <w:numId w:val="18"/>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10</w:t>
      </w:r>
      <w:r>
        <w:rPr>
          <w:rFonts w:hint="eastAsia"/>
          <w:sz w:val="28"/>
          <w:szCs w:val="28"/>
        </w:rPr>
        <w:t>）</w:t>
      </w:r>
    </w:p>
    <w:p>
      <w:pPr>
        <w:pStyle w:val="8"/>
        <w:numPr>
          <w:ilvl w:val="0"/>
          <w:numId w:val="18"/>
        </w:numPr>
        <w:spacing w:line="360" w:lineRule="auto"/>
        <w:ind w:hanging="5"/>
        <w:rPr>
          <w:sz w:val="28"/>
          <w:szCs w:val="28"/>
        </w:rPr>
      </w:pPr>
      <w:r>
        <w:rPr>
          <w:rFonts w:hint="eastAsia"/>
          <w:sz w:val="28"/>
          <w:szCs w:val="28"/>
        </w:rPr>
        <w:t>商务需求响应表（附件1</w:t>
      </w:r>
      <w:r>
        <w:rPr>
          <w:rFonts w:hint="eastAsia"/>
          <w:sz w:val="28"/>
          <w:szCs w:val="28"/>
          <w:lang w:val="en-US" w:eastAsia="zh-CN"/>
        </w:rPr>
        <w:t>1</w:t>
      </w:r>
      <w:r>
        <w:rPr>
          <w:rFonts w:hint="eastAsia"/>
          <w:sz w:val="28"/>
          <w:szCs w:val="28"/>
        </w:rPr>
        <w:t>）</w:t>
      </w:r>
    </w:p>
    <w:p>
      <w:pPr>
        <w:pStyle w:val="8"/>
        <w:spacing w:line="360" w:lineRule="auto"/>
        <w:ind w:firstLine="480" w:firstLineChars="200"/>
        <w:rPr>
          <w:sz w:val="24"/>
          <w:szCs w:val="24"/>
        </w:rPr>
      </w:pPr>
    </w:p>
    <w:p>
      <w:pPr>
        <w:pStyle w:val="8"/>
        <w:ind w:left="0" w:leftChars="0" w:firstLine="0" w:firstLineChars="0"/>
        <w:rPr>
          <w:sz w:val="28"/>
          <w:szCs w:val="28"/>
        </w:rPr>
      </w:pPr>
    </w:p>
    <w:p>
      <w:pPr>
        <w:rPr>
          <w:rFonts w:hint="eastAsia"/>
          <w:b/>
          <w:color w:val="auto"/>
          <w:sz w:val="28"/>
        </w:rPr>
      </w:pPr>
    </w:p>
    <w:p>
      <w:pPr>
        <w:pStyle w:val="32"/>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4</w:t>
      </w:r>
    </w:p>
    <w:p>
      <w:pPr>
        <w:pStyle w:val="32"/>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79" w:name="_Toc13307_WPSOffice_Level1"/>
      <w:bookmarkStart w:id="80" w:name="_Toc14261_WPSOffice_Level1"/>
      <w:r>
        <w:rPr>
          <w:rFonts w:hint="eastAsia"/>
          <w:b/>
          <w:color w:val="auto"/>
          <w:sz w:val="32"/>
          <w:szCs w:val="32"/>
        </w:rPr>
        <w:t>投标</w:t>
      </w:r>
      <w:r>
        <w:rPr>
          <w:rFonts w:hint="eastAsia"/>
          <w:b/>
          <w:bCs/>
          <w:color w:val="auto"/>
          <w:sz w:val="32"/>
          <w:szCs w:val="32"/>
        </w:rPr>
        <w:t>人基本情况表</w:t>
      </w:r>
      <w:bookmarkEnd w:id="79"/>
      <w:bookmarkEnd w:id="80"/>
    </w:p>
    <w:tbl>
      <w:tblPr>
        <w:tblStyle w:val="22"/>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1</w:t>
            </w:r>
            <w:r>
              <w:rPr>
                <w:rFonts w:hint="eastAsia"/>
                <w:bCs/>
              </w:rPr>
              <w:t>.</w:t>
            </w:r>
          </w:p>
          <w:p>
            <w:pPr>
              <w:pStyle w:val="32"/>
              <w:shd w:val="clear" w:color="auto" w:fill="FFFFFF"/>
              <w:spacing w:before="0" w:beforeAutospacing="0" w:after="0" w:afterAutospacing="0"/>
              <w:jc w:val="center"/>
              <w:rPr>
                <w:bCs/>
              </w:rPr>
            </w:pPr>
            <w:r>
              <w:rPr>
                <w:rFonts w:hint="eastAsia"/>
                <w:bCs/>
              </w:rPr>
              <w:t>企</w:t>
            </w:r>
          </w:p>
          <w:p>
            <w:pPr>
              <w:pStyle w:val="32"/>
              <w:shd w:val="clear" w:color="auto" w:fill="FFFFFF"/>
              <w:spacing w:before="0" w:beforeAutospacing="0" w:after="0" w:afterAutospacing="0"/>
              <w:jc w:val="center"/>
              <w:rPr>
                <w:bCs/>
              </w:rPr>
            </w:pPr>
            <w:r>
              <w:rPr>
                <w:rFonts w:hint="eastAsia"/>
                <w:bCs/>
              </w:rPr>
              <w:t>业</w:t>
            </w:r>
          </w:p>
          <w:p>
            <w:pPr>
              <w:pStyle w:val="32"/>
              <w:shd w:val="clear" w:color="auto" w:fill="FFFFFF"/>
              <w:spacing w:before="0" w:beforeAutospacing="0" w:after="0" w:afterAutospacing="0"/>
              <w:jc w:val="center"/>
              <w:rPr>
                <w:bCs/>
              </w:rPr>
            </w:pPr>
            <w:r>
              <w:rPr>
                <w:rFonts w:hint="eastAsia"/>
                <w:bCs/>
              </w:rPr>
              <w:t>概</w:t>
            </w:r>
          </w:p>
          <w:p>
            <w:pPr>
              <w:pStyle w:val="32"/>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平方米</w:t>
            </w:r>
          </w:p>
          <w:p>
            <w:pPr>
              <w:pStyle w:val="32"/>
              <w:shd w:val="clear" w:color="auto" w:fill="FFFFFF"/>
              <w:spacing w:before="0" w:beforeAutospacing="0" w:after="0" w:afterAutospacing="0"/>
              <w:jc w:val="center"/>
              <w:rPr>
                <w:bCs/>
              </w:rPr>
            </w:pPr>
            <w:r>
              <w:rPr>
                <w:rFonts w:hint="eastAsia"/>
                <w:bCs/>
              </w:rPr>
              <w:t>□自有</w:t>
            </w:r>
          </w:p>
          <w:p>
            <w:pPr>
              <w:pStyle w:val="32"/>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2</w:t>
            </w:r>
            <w:r>
              <w:rPr>
                <w:rFonts w:hint="eastAsia"/>
                <w:bCs/>
              </w:rPr>
              <w:t>．</w:t>
            </w:r>
          </w:p>
          <w:p>
            <w:pPr>
              <w:pStyle w:val="32"/>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2"/>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933" w:type="dxa"/>
            <w:tcMar>
              <w:top w:w="57" w:type="dxa"/>
              <w:left w:w="85" w:type="dxa"/>
              <w:bottom w:w="0" w:type="dxa"/>
              <w:right w:w="85" w:type="dxa"/>
            </w:tcMar>
            <w:vAlign w:val="center"/>
          </w:tcPr>
          <w:p>
            <w:pPr>
              <w:pStyle w:val="32"/>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bl>
    <w:p>
      <w:pPr>
        <w:pStyle w:val="32"/>
        <w:shd w:val="clear" w:color="auto" w:fill="FFFFFF"/>
        <w:spacing w:before="0" w:beforeAutospacing="0" w:after="0" w:afterAutospacing="0" w:line="360" w:lineRule="auto"/>
        <w:rPr>
          <w:b/>
          <w:sz w:val="21"/>
          <w:szCs w:val="21"/>
        </w:rPr>
      </w:pPr>
      <w:r>
        <w:rPr>
          <w:rFonts w:hint="eastAsia"/>
          <w:b/>
          <w:sz w:val="21"/>
          <w:szCs w:val="21"/>
        </w:rPr>
        <w:t>要求：</w:t>
      </w:r>
    </w:p>
    <w:p>
      <w:pPr>
        <w:pStyle w:val="32"/>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1"/>
      </w:pPr>
    </w:p>
    <w:p>
      <w:pPr>
        <w:pStyle w:val="21"/>
      </w:pPr>
    </w:p>
    <w:p>
      <w:pPr>
        <w:pStyle w:val="21"/>
      </w:pPr>
    </w:p>
    <w:p>
      <w:pPr>
        <w:pStyle w:val="21"/>
      </w:pPr>
    </w:p>
    <w:p>
      <w:pPr>
        <w:pStyle w:val="21"/>
      </w:pPr>
    </w:p>
    <w:p>
      <w:pPr>
        <w:pStyle w:val="21"/>
      </w:pPr>
    </w:p>
    <w:p>
      <w:pPr>
        <w:pStyle w:val="21"/>
      </w:pPr>
    </w:p>
    <w:p>
      <w:pPr>
        <w:pStyle w:val="21"/>
        <w:ind w:left="0" w:leftChars="0" w:firstLine="0" w:firstLineChars="0"/>
      </w:pPr>
    </w:p>
    <w:p>
      <w:pPr>
        <w:rPr>
          <w:rFonts w:hint="eastAsia" w:ascii="宋体" w:hAnsi="宋体"/>
          <w:b/>
          <w:sz w:val="28"/>
        </w:rPr>
      </w:pPr>
      <w:r>
        <w:rPr>
          <w:rFonts w:hint="eastAsia"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5</w:t>
      </w:r>
    </w:p>
    <w:p>
      <w:pPr>
        <w:spacing w:line="360" w:lineRule="auto"/>
        <w:jc w:val="center"/>
        <w:rPr>
          <w:rFonts w:ascii="宋体" w:hAnsi="宋体"/>
          <w:sz w:val="24"/>
        </w:rPr>
      </w:pPr>
      <w:bookmarkStart w:id="81" w:name="_Toc12856_WPSOffice_Level1"/>
      <w:bookmarkStart w:id="82" w:name="_Toc26601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81"/>
      <w:bookmarkEnd w:id="82"/>
    </w:p>
    <w:tbl>
      <w:tblPr>
        <w:tblStyle w:val="22"/>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4"/>
        <w:tabs>
          <w:tab w:val="left" w:pos="360"/>
        </w:tabs>
        <w:spacing w:line="360" w:lineRule="auto"/>
        <w:ind w:right="84" w:rightChars="40"/>
        <w:rPr>
          <w:rFonts w:ascii="宋体"/>
          <w:b/>
          <w:szCs w:val="21"/>
        </w:rPr>
      </w:pPr>
      <w:r>
        <w:rPr>
          <w:rFonts w:hint="eastAsia" w:ascii="宋体"/>
          <w:b/>
          <w:szCs w:val="21"/>
        </w:rPr>
        <w:t>要求：</w:t>
      </w:r>
    </w:p>
    <w:p>
      <w:pPr>
        <w:pStyle w:val="34"/>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4"/>
        <w:spacing w:line="360" w:lineRule="auto"/>
        <w:ind w:right="84" w:rightChars="40" w:firstLine="420" w:firstLineChars="200"/>
        <w:rPr>
          <w:rFonts w:hint="eastAsia" w:ascii="宋体" w:eastAsia="宋体"/>
          <w:b/>
          <w:bCs/>
          <w:color w:val="FF0000"/>
          <w:szCs w:val="21"/>
          <w:lang w:val="en-US" w:eastAsia="zh-CN"/>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r>
        <w:rPr>
          <w:rFonts w:hint="eastAsia" w:ascii="宋体"/>
          <w:b/>
          <w:bCs/>
          <w:color w:val="FF0000"/>
          <w:szCs w:val="21"/>
          <w:lang w:eastAsia="zh-CN"/>
        </w:rPr>
        <w:t>（特别说明：由于本项目需求内容较多，此项只需列出存在偏离的内容，</w:t>
      </w:r>
      <w:r>
        <w:rPr>
          <w:rFonts w:hint="eastAsia" w:ascii="宋体"/>
          <w:b/>
          <w:bCs/>
          <w:color w:val="FF0000"/>
          <w:szCs w:val="21"/>
          <w:lang w:val="en-US" w:eastAsia="zh-CN"/>
        </w:rPr>
        <w:t>并承诺</w:t>
      </w:r>
      <w:r>
        <w:rPr>
          <w:rFonts w:hint="eastAsia" w:ascii="宋体"/>
          <w:b/>
          <w:bCs/>
          <w:color w:val="FF0000"/>
          <w:szCs w:val="21"/>
          <w:lang w:eastAsia="zh-CN"/>
        </w:rPr>
        <w:t>其余无偏离）</w:t>
      </w:r>
    </w:p>
    <w:p>
      <w:pPr>
        <w:pStyle w:val="34"/>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6</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83" w:name="_Toc20569_WPSOffice_Level1"/>
      <w:bookmarkStart w:id="84" w:name="_Toc23671_WPSOffice_Level1"/>
      <w:r>
        <w:rPr>
          <w:rFonts w:hint="eastAsia" w:ascii="宋体" w:hAnsi="宋体"/>
          <w:b/>
          <w:sz w:val="32"/>
          <w:szCs w:val="32"/>
        </w:rPr>
        <w:t>项目实施人员一览表</w:t>
      </w:r>
      <w:bookmarkEnd w:id="83"/>
      <w:bookmarkEnd w:id="84"/>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2"/>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3"/>
        <w:spacing w:line="360" w:lineRule="auto"/>
        <w:ind w:left="424" w:leftChars="202"/>
        <w:rPr>
          <w:rFonts w:ascii="宋体" w:hAnsi="宋体"/>
          <w:szCs w:val="21"/>
        </w:rPr>
      </w:pPr>
      <w:r>
        <w:rPr>
          <w:rFonts w:hint="eastAsia" w:ascii="宋体" w:hAnsi="宋体"/>
          <w:szCs w:val="21"/>
        </w:rPr>
        <w:t>2.附人员证书。</w:t>
      </w:r>
    </w:p>
    <w:p>
      <w:pPr>
        <w:pStyle w:val="33"/>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1"/>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7</w:t>
      </w:r>
    </w:p>
    <w:p>
      <w:pPr>
        <w:spacing w:beforeLines="50" w:afterLines="50" w:line="360" w:lineRule="auto"/>
        <w:ind w:right="-10"/>
        <w:jc w:val="center"/>
        <w:rPr>
          <w:rFonts w:ascii="宋体" w:hAnsi="宋体"/>
          <w:b/>
          <w:bCs/>
          <w:sz w:val="32"/>
          <w:szCs w:val="32"/>
        </w:rPr>
      </w:pPr>
      <w:bookmarkStart w:id="85" w:name="_Toc12710_WPSOffice_Level1"/>
      <w:bookmarkStart w:id="86" w:name="_Toc23055_WPSOffice_Level1"/>
      <w:r>
        <w:rPr>
          <w:rFonts w:hint="eastAsia" w:ascii="宋体" w:hAnsi="宋体"/>
          <w:b/>
          <w:bCs/>
          <w:sz w:val="32"/>
          <w:szCs w:val="32"/>
        </w:rPr>
        <w:t>项目负责人资格情况表</w:t>
      </w:r>
      <w:bookmarkEnd w:id="85"/>
      <w:bookmarkEnd w:id="86"/>
    </w:p>
    <w:tbl>
      <w:tblPr>
        <w:tblStyle w:val="2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2"/>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7"/>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7"/>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7"/>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7"/>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7"/>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7"/>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p>
            <w:pPr>
              <w:pStyle w:val="37"/>
              <w:widowControl/>
              <w:spacing w:line="360" w:lineRule="auto"/>
              <w:jc w:val="left"/>
              <w:rPr>
                <w:rFonts w:ascii="宋体" w:hAnsi="宋体" w:cs="Arial"/>
                <w:bCs/>
                <w:sz w:val="21"/>
                <w:szCs w:val="21"/>
              </w:rPr>
            </w:pPr>
          </w:p>
          <w:p>
            <w:pPr>
              <w:pStyle w:val="37"/>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p>
            <w:pPr>
              <w:pStyle w:val="37"/>
              <w:widowControl/>
              <w:spacing w:line="360" w:lineRule="auto"/>
              <w:jc w:val="left"/>
              <w:rPr>
                <w:rFonts w:ascii="宋体" w:hAnsi="宋体" w:cs="Arial"/>
                <w:bCs/>
                <w:sz w:val="21"/>
                <w:szCs w:val="21"/>
              </w:rPr>
            </w:pPr>
          </w:p>
          <w:p>
            <w:pPr>
              <w:pStyle w:val="37"/>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1215"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5"/>
        <w:spacing w:line="360" w:lineRule="auto"/>
        <w:jc w:val="left"/>
        <w:rPr>
          <w:rFonts w:hint="eastAsia" w:ascii="宋体" w:hAnsi="宋体"/>
          <w:b/>
          <w:sz w:val="28"/>
        </w:rPr>
      </w:pPr>
    </w:p>
    <w:p>
      <w:pPr>
        <w:pStyle w:val="35"/>
        <w:spacing w:line="360" w:lineRule="auto"/>
        <w:jc w:val="left"/>
        <w:rPr>
          <w:rFonts w:hint="eastAsia" w:ascii="宋体" w:hAnsi="宋体"/>
          <w:b/>
          <w:sz w:val="28"/>
        </w:rPr>
      </w:pPr>
    </w:p>
    <w:p>
      <w:pPr>
        <w:pStyle w:val="35"/>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pStyle w:val="36"/>
        <w:spacing w:line="360" w:lineRule="auto"/>
        <w:jc w:val="center"/>
        <w:rPr>
          <w:rFonts w:ascii="宋体" w:hAnsi="宋体" w:cs="Arial"/>
          <w:sz w:val="28"/>
          <w:szCs w:val="28"/>
        </w:rPr>
      </w:pPr>
      <w:bookmarkStart w:id="87" w:name="_Toc17604_WPSOffice_Level1"/>
      <w:bookmarkStart w:id="88" w:name="_Toc11030_WPSOffice_Level1"/>
      <w:r>
        <w:rPr>
          <w:rFonts w:hint="eastAsia" w:ascii="宋体" w:hAnsi="宋体"/>
          <w:b/>
          <w:sz w:val="32"/>
          <w:szCs w:val="32"/>
        </w:rPr>
        <w:t>证书一览表</w:t>
      </w:r>
      <w:bookmarkEnd w:id="87"/>
      <w:bookmarkEnd w:id="88"/>
    </w:p>
    <w:tbl>
      <w:tblPr>
        <w:tblStyle w:val="22"/>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bl>
    <w:p>
      <w:pPr>
        <w:pStyle w:val="36"/>
        <w:tabs>
          <w:tab w:val="left" w:pos="1050"/>
        </w:tabs>
        <w:spacing w:line="360" w:lineRule="auto"/>
        <w:rPr>
          <w:rFonts w:ascii="宋体" w:hAnsi="宋体"/>
          <w:szCs w:val="21"/>
        </w:rPr>
      </w:pPr>
      <w:r>
        <w:rPr>
          <w:rFonts w:hint="eastAsia" w:ascii="宋体" w:hAnsi="宋体"/>
          <w:b/>
          <w:szCs w:val="21"/>
        </w:rPr>
        <w:t>要求：</w:t>
      </w:r>
    </w:p>
    <w:p>
      <w:pPr>
        <w:pStyle w:val="36"/>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6"/>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6"/>
        <w:tabs>
          <w:tab w:val="left" w:pos="1050"/>
        </w:tabs>
        <w:spacing w:line="360" w:lineRule="auto"/>
        <w:rPr>
          <w:rFonts w:ascii="仿宋_GB2312" w:hAnsi="宋体" w:eastAsia="仿宋_GB2312"/>
          <w:sz w:val="24"/>
        </w:rPr>
      </w:pPr>
    </w:p>
    <w:p>
      <w:pPr>
        <w:pStyle w:val="36"/>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1"/>
        <w:rPr>
          <w:rFonts w:ascii="宋体" w:hAnsi="宋体"/>
          <w:b/>
          <w:sz w:val="28"/>
        </w:rPr>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spacing w:line="360" w:lineRule="auto"/>
        <w:jc w:val="center"/>
        <w:rPr>
          <w:rFonts w:hint="eastAsia" w:ascii="宋体" w:hAnsi="宋体"/>
          <w:b/>
          <w:bCs/>
          <w:kern w:val="0"/>
          <w:sz w:val="32"/>
          <w:szCs w:val="32"/>
        </w:rPr>
      </w:pPr>
      <w:bookmarkStart w:id="89" w:name="_Toc19231_WPSOffice_Level1"/>
      <w:bookmarkStart w:id="90" w:name="_Toc7134_WPSOffice_Level1"/>
      <w:r>
        <w:rPr>
          <w:rFonts w:hint="eastAsia" w:ascii="宋体" w:hAnsi="宋体"/>
          <w:b/>
          <w:bCs/>
          <w:kern w:val="0"/>
          <w:sz w:val="32"/>
          <w:szCs w:val="32"/>
        </w:rPr>
        <w:t>投标人类似项目实施情况一览表</w:t>
      </w:r>
      <w:bookmarkEnd w:id="89"/>
      <w:bookmarkEnd w:id="90"/>
    </w:p>
    <w:tbl>
      <w:tblPr>
        <w:tblStyle w:val="22"/>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36"/>
        <w:tabs>
          <w:tab w:val="left" w:pos="1050"/>
        </w:tabs>
        <w:spacing w:line="360" w:lineRule="auto"/>
        <w:rPr>
          <w:rFonts w:ascii="宋体" w:hAnsi="宋体"/>
          <w:b/>
          <w:sz w:val="28"/>
        </w:rPr>
      </w:pPr>
    </w:p>
    <w:p>
      <w:pPr>
        <w:pStyle w:val="36"/>
        <w:tabs>
          <w:tab w:val="left" w:pos="1050"/>
        </w:tabs>
        <w:spacing w:line="360" w:lineRule="auto"/>
        <w:rPr>
          <w:rFonts w:hint="eastAsia" w:ascii="宋体" w:hAnsi="宋体"/>
          <w:b/>
          <w:sz w:val="28"/>
        </w:rPr>
      </w:pPr>
    </w:p>
    <w:p>
      <w:pPr>
        <w:pStyle w:val="36"/>
        <w:tabs>
          <w:tab w:val="left" w:pos="1050"/>
        </w:tabs>
        <w:spacing w:line="360" w:lineRule="auto"/>
        <w:rPr>
          <w:rFonts w:hint="eastAsia" w:ascii="宋体" w:hAnsi="宋体"/>
          <w:b/>
          <w:sz w:val="28"/>
        </w:rPr>
      </w:pPr>
    </w:p>
    <w:p>
      <w:pPr>
        <w:pStyle w:val="36"/>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11</w:t>
      </w:r>
    </w:p>
    <w:p>
      <w:pPr>
        <w:spacing w:line="360" w:lineRule="auto"/>
        <w:ind w:left="549" w:hanging="549" w:hangingChars="171"/>
        <w:jc w:val="center"/>
        <w:rPr>
          <w:rFonts w:ascii="宋体" w:hAnsi="宋体"/>
          <w:b/>
          <w:sz w:val="18"/>
          <w:szCs w:val="18"/>
        </w:rPr>
      </w:pPr>
      <w:bookmarkStart w:id="91" w:name="_Toc3068_WPSOffice_Level1"/>
      <w:bookmarkStart w:id="92" w:name="_Toc21582_WPSOffice_Level1"/>
      <w:r>
        <w:rPr>
          <w:rFonts w:hint="eastAsia" w:ascii="宋体" w:hAnsi="宋体"/>
          <w:b/>
          <w:sz w:val="32"/>
          <w:szCs w:val="32"/>
        </w:rPr>
        <w:t>商务需求响应表(第 标)</w:t>
      </w:r>
      <w:bookmarkEnd w:id="91"/>
      <w:bookmarkEnd w:id="92"/>
    </w:p>
    <w:tbl>
      <w:tblPr>
        <w:tblStyle w:val="22"/>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jc w:val="center"/>
        <w:rPr>
          <w:rFonts w:hint="eastAsia"/>
          <w:sz w:val="52"/>
          <w:szCs w:val="52"/>
        </w:rPr>
      </w:pPr>
      <w:bookmarkStart w:id="93" w:name="_Toc30468_WPSOffice_Level1"/>
      <w:bookmarkStart w:id="94" w:name="_Toc4615_WPSOffice_Level1"/>
      <w:bookmarkStart w:id="95" w:name="_Toc21322_WPSOffice_Level1"/>
    </w:p>
    <w:p>
      <w:pPr>
        <w:rPr>
          <w:rFonts w:hint="eastAsia"/>
          <w:sz w:val="52"/>
          <w:szCs w:val="52"/>
        </w:rPr>
      </w:pPr>
      <w:r>
        <w:rPr>
          <w:rFonts w:hint="eastAsia"/>
          <w:sz w:val="52"/>
          <w:szCs w:val="52"/>
        </w:rPr>
        <w:br w:type="page"/>
      </w:r>
    </w:p>
    <w:p>
      <w:pPr>
        <w:jc w:val="center"/>
        <w:rPr>
          <w:sz w:val="52"/>
          <w:szCs w:val="52"/>
        </w:rPr>
      </w:pPr>
      <w:r>
        <w:rPr>
          <w:rFonts w:hint="eastAsia"/>
          <w:sz w:val="52"/>
          <w:szCs w:val="52"/>
        </w:rPr>
        <w:t>项目名称</w:t>
      </w:r>
      <w:bookmarkEnd w:id="93"/>
      <w:bookmarkEnd w:id="94"/>
      <w:bookmarkEnd w:id="95"/>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rPr>
      </w:pPr>
      <w:bookmarkStart w:id="96" w:name="_Toc9453_WPSOffice_Level1"/>
      <w:bookmarkStart w:id="97" w:name="_Toc8885_WPSOffice_Level1"/>
      <w:r>
        <w:rPr>
          <w:rFonts w:hint="eastAsia"/>
          <w:sz w:val="84"/>
          <w:szCs w:val="84"/>
        </w:rPr>
        <w:t>报</w:t>
      </w:r>
      <w:bookmarkEnd w:id="96"/>
      <w:bookmarkEnd w:id="97"/>
    </w:p>
    <w:p>
      <w:pPr>
        <w:jc w:val="center"/>
        <w:rPr>
          <w:sz w:val="84"/>
          <w:szCs w:val="84"/>
        </w:rPr>
      </w:pPr>
      <w:bookmarkStart w:id="98" w:name="_Toc10910_WPSOffice_Level1"/>
      <w:bookmarkStart w:id="99" w:name="_Toc7485_WPSOffice_Level1"/>
      <w:r>
        <w:rPr>
          <w:rFonts w:hint="eastAsia"/>
          <w:sz w:val="84"/>
          <w:szCs w:val="84"/>
        </w:rPr>
        <w:t>价</w:t>
      </w:r>
      <w:bookmarkEnd w:id="98"/>
      <w:bookmarkEnd w:id="99"/>
    </w:p>
    <w:p>
      <w:pPr>
        <w:jc w:val="center"/>
        <w:rPr>
          <w:sz w:val="84"/>
          <w:szCs w:val="84"/>
        </w:rPr>
      </w:pPr>
      <w:bookmarkStart w:id="100" w:name="_Toc3932_WPSOffice_Level1"/>
      <w:bookmarkStart w:id="101" w:name="_Toc14572_WPSOffice_Level1"/>
      <w:r>
        <w:rPr>
          <w:rFonts w:hint="eastAsia"/>
          <w:sz w:val="84"/>
          <w:szCs w:val="84"/>
        </w:rPr>
        <w:t>文</w:t>
      </w:r>
      <w:bookmarkEnd w:id="100"/>
      <w:bookmarkEnd w:id="101"/>
    </w:p>
    <w:p>
      <w:pPr>
        <w:jc w:val="center"/>
        <w:rPr>
          <w:sz w:val="84"/>
          <w:szCs w:val="84"/>
        </w:rPr>
      </w:pPr>
      <w:bookmarkStart w:id="102" w:name="_Toc16973_WPSOffice_Level1"/>
      <w:bookmarkStart w:id="103" w:name="_Toc7562_WPSOffice_Level1"/>
      <w:r>
        <w:rPr>
          <w:rFonts w:hint="eastAsia"/>
          <w:sz w:val="84"/>
          <w:szCs w:val="84"/>
        </w:rPr>
        <w:t>件</w:t>
      </w:r>
      <w:bookmarkEnd w:id="102"/>
      <w:bookmarkEnd w:id="103"/>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104" w:name="_Toc26700_WPSOffice_Level1"/>
      <w:bookmarkStart w:id="105" w:name="_Toc4603_WPSOffice_Level1"/>
      <w:r>
        <w:rPr>
          <w:rFonts w:hint="eastAsia" w:ascii="宋体" w:hAnsi="宋体"/>
          <w:sz w:val="36"/>
          <w:szCs w:val="36"/>
        </w:rPr>
        <w:t>投标人全称（公章）：</w:t>
      </w:r>
      <w:bookmarkEnd w:id="104"/>
      <w:bookmarkEnd w:id="105"/>
    </w:p>
    <w:p>
      <w:pPr>
        <w:spacing w:line="360" w:lineRule="auto"/>
        <w:ind w:right="-108" w:firstLine="720" w:firstLineChars="200"/>
        <w:rPr>
          <w:rFonts w:ascii="宋体" w:hAnsi="宋体"/>
          <w:sz w:val="36"/>
          <w:szCs w:val="36"/>
        </w:rPr>
      </w:pPr>
      <w:bookmarkStart w:id="106" w:name="_Toc32593_WPSOffice_Level1"/>
      <w:bookmarkStart w:id="107" w:name="_Toc1391_WPSOffice_Level1"/>
      <w:r>
        <w:rPr>
          <w:rFonts w:hint="eastAsia" w:ascii="宋体" w:hAnsi="宋体"/>
          <w:sz w:val="36"/>
          <w:szCs w:val="36"/>
        </w:rPr>
        <w:t>地    址：</w:t>
      </w:r>
      <w:bookmarkEnd w:id="106"/>
      <w:bookmarkEnd w:id="107"/>
    </w:p>
    <w:p>
      <w:pPr>
        <w:spacing w:line="360" w:lineRule="auto"/>
        <w:ind w:right="-108" w:firstLine="720" w:firstLineChars="200"/>
        <w:rPr>
          <w:rFonts w:ascii="宋体" w:hAnsi="宋体"/>
          <w:sz w:val="36"/>
          <w:szCs w:val="36"/>
        </w:rPr>
      </w:pPr>
      <w:bookmarkStart w:id="108" w:name="_Toc3791_WPSOffice_Level1"/>
      <w:bookmarkStart w:id="109" w:name="_Toc20938_WPSOffice_Level1"/>
      <w:r>
        <w:rPr>
          <w:rFonts w:hint="eastAsia" w:ascii="宋体" w:hAnsi="宋体"/>
          <w:sz w:val="36"/>
          <w:szCs w:val="36"/>
        </w:rPr>
        <w:t>时    间：</w:t>
      </w:r>
      <w:bookmarkEnd w:id="108"/>
      <w:bookmarkEnd w:id="109"/>
    </w:p>
    <w:p>
      <w:pPr>
        <w:spacing w:line="360" w:lineRule="auto"/>
        <w:ind w:right="-108"/>
        <w:jc w:val="center"/>
        <w:rPr>
          <w:rFonts w:ascii="仿宋_GB2312" w:hAnsi="宋体" w:eastAsia="仿宋_GB2312"/>
          <w:b/>
          <w:sz w:val="36"/>
          <w:szCs w:val="36"/>
        </w:rPr>
      </w:pPr>
    </w:p>
    <w:p>
      <w:pPr>
        <w:pStyle w:val="21"/>
      </w:pPr>
    </w:p>
    <w:p>
      <w:pPr>
        <w:pStyle w:val="21"/>
      </w:pPr>
    </w:p>
    <w:p>
      <w:pPr>
        <w:pStyle w:val="21"/>
      </w:pPr>
    </w:p>
    <w:p>
      <w:pPr>
        <w:pStyle w:val="21"/>
      </w:pPr>
    </w:p>
    <w:p>
      <w:pPr>
        <w:pStyle w:val="21"/>
      </w:pPr>
    </w:p>
    <w:p>
      <w:pPr>
        <w:pStyle w:val="21"/>
      </w:pPr>
    </w:p>
    <w:p>
      <w:pPr>
        <w:pStyle w:val="21"/>
      </w:pPr>
    </w:p>
    <w:p>
      <w:pPr>
        <w:pStyle w:val="8"/>
        <w:rPr>
          <w:rFonts w:ascii="仿宋_GB2312" w:hAnsi="宋体" w:eastAsia="仿宋_GB2312"/>
          <w:b/>
          <w:sz w:val="36"/>
          <w:szCs w:val="36"/>
        </w:rPr>
      </w:pPr>
    </w:p>
    <w:p>
      <w:pPr>
        <w:spacing w:line="480" w:lineRule="auto"/>
        <w:jc w:val="center"/>
        <w:rPr>
          <w:rFonts w:hint="eastAsia" w:ascii="宋体" w:hAnsi="宋体"/>
          <w:b/>
          <w:bCs/>
          <w:sz w:val="36"/>
          <w:szCs w:val="36"/>
        </w:rPr>
      </w:pPr>
      <w:bookmarkStart w:id="110" w:name="_Toc29537_WPSOffice_Level1"/>
      <w:bookmarkStart w:id="111" w:name="_Toc19972_WPSOffice_Level1"/>
      <w:r>
        <w:rPr>
          <w:rFonts w:hint="eastAsia" w:ascii="宋体" w:hAnsi="宋体"/>
          <w:b/>
          <w:bCs/>
          <w:sz w:val="36"/>
          <w:szCs w:val="36"/>
        </w:rPr>
        <w:t>报价文件目录</w:t>
      </w:r>
      <w:bookmarkEnd w:id="110"/>
      <w:bookmarkEnd w:id="111"/>
    </w:p>
    <w:p>
      <w:pPr>
        <w:pStyle w:val="21"/>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112" w:name="_Toc29988_WPSOffice_Level1"/>
      <w:bookmarkStart w:id="113"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bookmarkEnd w:id="112"/>
      <w:bookmarkEnd w:id="113"/>
    </w:p>
    <w:p>
      <w:pPr>
        <w:spacing w:line="360" w:lineRule="auto"/>
        <w:jc w:val="both"/>
        <w:rPr>
          <w:rFonts w:hint="eastAsia" w:asciiTheme="minorEastAsia" w:hAnsiTheme="minorEastAsia" w:eastAsiaTheme="minorEastAsia" w:cstheme="minorEastAsia"/>
          <w:kern w:val="2"/>
          <w:sz w:val="28"/>
          <w:szCs w:val="28"/>
          <w:lang w:val="en-US" w:eastAsia="zh-CN" w:bidi="ar-SA"/>
        </w:rPr>
      </w:pPr>
      <w:bookmarkStart w:id="114" w:name="_Toc15601_WPSOffice_Level1"/>
      <w:bookmarkStart w:id="115" w:name="_Toc11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114"/>
      <w:bookmarkEnd w:id="115"/>
    </w:p>
    <w:p>
      <w:pPr>
        <w:pStyle w:val="13"/>
        <w:spacing w:line="360" w:lineRule="auto"/>
        <w:jc w:val="both"/>
        <w:outlineLvl w:val="1"/>
        <w:rPr>
          <w:rFonts w:hint="eastAsia" w:asciiTheme="minorEastAsia" w:hAnsiTheme="minorEastAsia" w:eastAsiaTheme="minorEastAsia" w:cstheme="minorEastAsia"/>
          <w:sz w:val="28"/>
          <w:szCs w:val="28"/>
        </w:rPr>
      </w:pPr>
      <w:bookmarkStart w:id="116" w:name="_Toc17543_WPSOffice_Level1"/>
      <w:bookmarkStart w:id="117" w:name="_Toc45_WPSOffice_Level1"/>
      <w:r>
        <w:rPr>
          <w:rFonts w:hint="eastAsia" w:asciiTheme="minorEastAsia" w:hAnsiTheme="minorEastAsia" w:eastAsiaTheme="minorEastAsia" w:cstheme="minorEastAsia"/>
          <w:kern w:val="2"/>
          <w:sz w:val="28"/>
          <w:szCs w:val="28"/>
          <w:lang w:val="en-US" w:eastAsia="zh-CN" w:bidi="ar-SA"/>
        </w:rPr>
        <w:t>3.中小企业声明函、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bookmarkEnd w:id="116"/>
      <w:bookmarkEnd w:id="117"/>
    </w:p>
    <w:p>
      <w:pPr>
        <w:spacing w:line="360" w:lineRule="auto"/>
        <w:jc w:val="both"/>
        <w:rPr>
          <w:rFonts w:hint="eastAsia" w:asciiTheme="minorEastAsia" w:hAnsiTheme="minorEastAsia" w:eastAsiaTheme="minorEastAsia" w:cstheme="minorEastAsia"/>
          <w:sz w:val="28"/>
          <w:szCs w:val="28"/>
        </w:rPr>
      </w:pPr>
      <w:bookmarkStart w:id="118" w:name="_Toc3001_WPSOffice_Level1"/>
      <w:bookmarkStart w:id="119" w:name="_Toc14672_WPSOffice_Level1"/>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针对报价投标人认为其他需要说明的</w:t>
      </w:r>
      <w:bookmarkEnd w:id="118"/>
      <w:bookmarkEnd w:id="119"/>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hint="eastAsia" w:ascii="宋体" w:hAnsi="宋体"/>
          <w:b/>
          <w:sz w:val="28"/>
        </w:rPr>
      </w:pPr>
      <w:r>
        <w:rPr>
          <w:rFonts w:hint="eastAsia"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2</w:t>
      </w:r>
    </w:p>
    <w:p>
      <w:pPr>
        <w:spacing w:line="360" w:lineRule="auto"/>
        <w:ind w:left="-2" w:hanging="2"/>
        <w:jc w:val="center"/>
        <w:rPr>
          <w:rFonts w:ascii="宋体" w:hAnsi="宋体"/>
          <w:b/>
          <w:sz w:val="32"/>
          <w:szCs w:val="32"/>
        </w:rPr>
      </w:pPr>
      <w:bookmarkStart w:id="120" w:name="_Toc30363_WPSOffice_Level1"/>
      <w:bookmarkStart w:id="121" w:name="_Toc16144_WPSOffice_Level1"/>
      <w:r>
        <w:rPr>
          <w:rFonts w:hint="eastAsia" w:ascii="宋体" w:hAnsi="宋体"/>
          <w:b/>
          <w:sz w:val="32"/>
          <w:szCs w:val="32"/>
        </w:rPr>
        <w:t xml:space="preserve">开标一览表 </w:t>
      </w:r>
      <w:bookmarkEnd w:id="120"/>
      <w:bookmarkEnd w:id="121"/>
    </w:p>
    <w:p>
      <w:pPr>
        <w:pStyle w:val="13"/>
        <w:spacing w:line="360" w:lineRule="auto"/>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pPr w:leftFromText="181" w:rightFromText="181" w:bottomFromText="170" w:vertAnchor="text" w:tblpXSpec="center" w:tblpY="1"/>
        <w:tblOverlap w:val="never"/>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220"/>
        <w:gridCol w:w="1995"/>
        <w:gridCol w:w="106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663" w:type="dxa"/>
            <w:tcMar>
              <w:top w:w="57"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序号</w:t>
            </w:r>
          </w:p>
        </w:tc>
        <w:tc>
          <w:tcPr>
            <w:tcW w:w="2220" w:type="dxa"/>
            <w:tcMar>
              <w:top w:w="57"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cs="宋体"/>
                <w:b/>
                <w:bCs/>
                <w:i w:val="0"/>
                <w:iCs w:val="0"/>
                <w:color w:val="auto"/>
                <w:kern w:val="0"/>
                <w:sz w:val="24"/>
                <w:szCs w:val="24"/>
                <w:u w:val="none"/>
                <w:lang w:val="en-US" w:eastAsia="zh-CN" w:bidi="ar"/>
              </w:rPr>
              <w:t>模块</w:t>
            </w:r>
            <w:r>
              <w:rPr>
                <w:rFonts w:hint="eastAsia" w:ascii="宋体" w:hAnsi="宋体" w:eastAsia="宋体" w:cs="宋体"/>
                <w:b/>
                <w:bCs/>
                <w:i w:val="0"/>
                <w:iCs w:val="0"/>
                <w:color w:val="auto"/>
                <w:kern w:val="0"/>
                <w:sz w:val="24"/>
                <w:szCs w:val="24"/>
                <w:u w:val="none"/>
                <w:lang w:val="en-US" w:eastAsia="zh-CN" w:bidi="ar"/>
              </w:rPr>
              <w:t>名称</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4"/>
                <w:szCs w:val="24"/>
              </w:rPr>
            </w:pPr>
            <w:r>
              <w:rPr>
                <w:rFonts w:hint="eastAsia" w:ascii="宋体" w:hAnsi="宋体" w:cs="宋体"/>
                <w:b/>
                <w:bCs/>
                <w:i w:val="0"/>
                <w:iCs w:val="0"/>
                <w:color w:val="auto"/>
                <w:kern w:val="0"/>
                <w:sz w:val="24"/>
                <w:szCs w:val="24"/>
                <w:u w:val="none"/>
                <w:lang w:val="en-US" w:eastAsia="zh-CN" w:bidi="ar"/>
              </w:rPr>
              <w:t>各模块报价一览（元）</w:t>
            </w:r>
          </w:p>
        </w:tc>
        <w:tc>
          <w:tcPr>
            <w:tcW w:w="4350" w:type="dxa"/>
            <w:gridSpan w:val="2"/>
            <w:tcMar>
              <w:top w:w="57" w:type="dxa"/>
              <w:left w:w="108" w:type="dxa"/>
              <w:bottom w:w="0" w:type="dxa"/>
              <w:right w:w="108" w:type="dxa"/>
            </w:tcMar>
            <w:vAlign w:val="center"/>
          </w:tcPr>
          <w:p>
            <w:pPr>
              <w:spacing w:line="240" w:lineRule="auto"/>
              <w:jc w:val="center"/>
              <w:rPr>
                <w:rFonts w:hint="eastAsia" w:ascii="宋体" w:hAnsi="宋体"/>
                <w:b/>
                <w:bCs/>
                <w:color w:val="auto"/>
                <w:sz w:val="24"/>
                <w:szCs w:val="24"/>
              </w:rPr>
            </w:pPr>
            <w:r>
              <w:rPr>
                <w:rFonts w:hint="eastAsia" w:ascii="宋体" w:hAnsi="宋体"/>
                <w:b/>
                <w:bCs/>
                <w:color w:val="auto"/>
                <w:sz w:val="24"/>
                <w:szCs w:val="24"/>
              </w:rPr>
              <w:t>投标总报价</w:t>
            </w:r>
            <w:r>
              <w:rPr>
                <w:rFonts w:hint="eastAsia" w:ascii="宋体" w:hAnsi="宋体" w:cs="宋体"/>
                <w:b/>
                <w:bCs/>
                <w:i w:val="0"/>
                <w:iCs w:val="0"/>
                <w:color w:val="auto"/>
                <w:kern w:val="0"/>
                <w:sz w:val="24"/>
                <w:szCs w:val="24"/>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eastAsia"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1</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应用融合管理模块</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restart"/>
            <w:tcMar>
              <w:top w:w="57" w:type="dxa"/>
              <w:left w:w="108" w:type="dxa"/>
              <w:bottom w:w="0" w:type="dxa"/>
              <w:right w:w="108" w:type="dxa"/>
            </w:tcMar>
            <w:vAlign w:val="center"/>
          </w:tcPr>
          <w:p>
            <w:pPr>
              <w:spacing w:line="240" w:lineRule="auto"/>
              <w:jc w:val="center"/>
              <w:rPr>
                <w:rFonts w:hint="default" w:ascii="宋体" w:hAnsi="宋体" w:eastAsia="宋体"/>
                <w:b/>
                <w:color w:val="auto"/>
                <w:sz w:val="21"/>
                <w:szCs w:val="21"/>
                <w:lang w:val="en-US" w:eastAsia="zh-CN"/>
              </w:rPr>
            </w:pPr>
            <w:r>
              <w:rPr>
                <w:rFonts w:hint="eastAsia" w:ascii="宋体" w:hAnsi="宋体"/>
                <w:b/>
                <w:color w:val="auto"/>
                <w:sz w:val="21"/>
                <w:szCs w:val="21"/>
                <w:lang w:val="en-US" w:eastAsia="zh-CN"/>
              </w:rPr>
              <w:t>大写</w:t>
            </w:r>
          </w:p>
        </w:tc>
        <w:tc>
          <w:tcPr>
            <w:tcW w:w="3285" w:type="dxa"/>
            <w:vMerge w:val="restart"/>
            <w:tcMar>
              <w:top w:w="57" w:type="dxa"/>
              <w:left w:w="108" w:type="dxa"/>
              <w:bottom w:w="0" w:type="dxa"/>
              <w:right w:w="108" w:type="dxa"/>
            </w:tcMar>
            <w:vAlign w:val="center"/>
          </w:tcPr>
          <w:p>
            <w:pPr>
              <w:spacing w:line="240" w:lineRule="auto"/>
              <w:jc w:val="center"/>
              <w:rPr>
                <w:rFonts w:hint="eastAsia" w:ascii="宋体" w:hAnsi="宋体"/>
                <w:b/>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eastAsia"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2</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数智实战模块</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328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eastAsia"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3</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数智决策模块</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328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eastAsia"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4</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高地一体化模块</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328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eastAsia"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5</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信号控制提升模块</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328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eastAsia"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6</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交通态势分析模块</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328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eastAsia"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7</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驾驶人学习防范模块</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328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eastAsia"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8</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运维管理模块</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restart"/>
            <w:tcMar>
              <w:top w:w="57" w:type="dxa"/>
              <w:left w:w="108" w:type="dxa"/>
              <w:bottom w:w="0" w:type="dxa"/>
              <w:right w:w="108" w:type="dxa"/>
            </w:tcMar>
            <w:vAlign w:val="center"/>
          </w:tcPr>
          <w:p>
            <w:pPr>
              <w:spacing w:line="240" w:lineRule="auto"/>
              <w:jc w:val="center"/>
              <w:rPr>
                <w:rFonts w:hint="default" w:ascii="宋体" w:hAnsi="宋体" w:eastAsia="宋体"/>
                <w:b/>
                <w:color w:val="auto"/>
                <w:sz w:val="21"/>
                <w:szCs w:val="21"/>
                <w:lang w:val="en-US" w:eastAsia="zh-CN"/>
              </w:rPr>
            </w:pPr>
            <w:r>
              <w:rPr>
                <w:rFonts w:hint="eastAsia" w:ascii="宋体" w:hAnsi="宋体"/>
                <w:b/>
                <w:color w:val="auto"/>
                <w:sz w:val="21"/>
                <w:szCs w:val="21"/>
                <w:lang w:val="en-US" w:eastAsia="zh-CN"/>
              </w:rPr>
              <w:t>小写</w:t>
            </w:r>
          </w:p>
        </w:tc>
        <w:tc>
          <w:tcPr>
            <w:tcW w:w="3285" w:type="dxa"/>
            <w:vMerge w:val="restart"/>
            <w:tcMar>
              <w:top w:w="57" w:type="dxa"/>
              <w:left w:w="108" w:type="dxa"/>
              <w:bottom w:w="0" w:type="dxa"/>
              <w:right w:w="108" w:type="dxa"/>
            </w:tcMar>
            <w:vAlign w:val="center"/>
          </w:tcPr>
          <w:p>
            <w:pPr>
              <w:spacing w:line="240" w:lineRule="auto"/>
              <w:jc w:val="center"/>
              <w:rPr>
                <w:rFonts w:hint="eastAsia" w:ascii="宋体" w:hAnsi="宋体"/>
                <w:b/>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eastAsia"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9</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移动应用模块</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328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default"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10</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事故可视化模块</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328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default"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11</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赋能中心</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328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default"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12</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数据中心</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328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default"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13</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系统集成</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328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3" w:type="dxa"/>
            <w:tcMar>
              <w:top w:w="57" w:type="dxa"/>
              <w:left w:w="108" w:type="dxa"/>
              <w:bottom w:w="0" w:type="dxa"/>
              <w:right w:w="108" w:type="dxa"/>
            </w:tcMar>
            <w:vAlign w:val="center"/>
          </w:tcPr>
          <w:p>
            <w:pPr>
              <w:spacing w:line="240" w:lineRule="auto"/>
              <w:jc w:val="center"/>
              <w:rPr>
                <w:rFonts w:hint="default" w:ascii="宋体" w:hAnsi="宋体" w:eastAsia="宋体"/>
                <w:b w:val="0"/>
                <w:bCs/>
                <w:color w:val="auto"/>
                <w:sz w:val="21"/>
                <w:szCs w:val="21"/>
                <w:lang w:val="en-US" w:eastAsia="zh-CN"/>
              </w:rPr>
            </w:pPr>
            <w:r>
              <w:rPr>
                <w:rFonts w:hint="eastAsia" w:ascii="宋体" w:hAnsi="宋体"/>
                <w:b w:val="0"/>
                <w:bCs/>
                <w:color w:val="auto"/>
                <w:sz w:val="21"/>
                <w:szCs w:val="21"/>
                <w:lang w:val="en-US" w:eastAsia="zh-CN"/>
              </w:rPr>
              <w:t>14</w:t>
            </w:r>
          </w:p>
        </w:tc>
        <w:tc>
          <w:tcPr>
            <w:tcW w:w="2220" w:type="dxa"/>
            <w:tcMar>
              <w:top w:w="57"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10人驻场运维</w:t>
            </w:r>
          </w:p>
        </w:tc>
        <w:tc>
          <w:tcPr>
            <w:tcW w:w="1995" w:type="dxa"/>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106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c>
          <w:tcPr>
            <w:tcW w:w="3285" w:type="dxa"/>
            <w:vMerge w:val="continue"/>
            <w:tcMar>
              <w:top w:w="57" w:type="dxa"/>
              <w:left w:w="108" w:type="dxa"/>
              <w:bottom w:w="0" w:type="dxa"/>
              <w:right w:w="108" w:type="dxa"/>
            </w:tcMar>
            <w:vAlign w:val="center"/>
          </w:tcPr>
          <w:p>
            <w:pPr>
              <w:spacing w:line="240" w:lineRule="auto"/>
              <w:jc w:val="center"/>
              <w:rPr>
                <w:rFonts w:hint="eastAsia" w:ascii="宋体" w:hAnsi="宋体"/>
                <w:b/>
                <w:color w:val="auto"/>
                <w:sz w:val="21"/>
                <w:szCs w:val="21"/>
              </w:rPr>
            </w:pPr>
          </w:p>
        </w:tc>
      </w:tr>
    </w:tbl>
    <w:p>
      <w:pPr>
        <w:spacing w:line="360" w:lineRule="auto"/>
        <w:rPr>
          <w:rFonts w:hint="eastAsia" w:ascii="宋体" w:hAnsi="宋体"/>
          <w:b/>
          <w:szCs w:val="21"/>
        </w:rPr>
      </w:pPr>
      <w:r>
        <w:rPr>
          <w:rFonts w:hint="eastAsia" w:ascii="宋体" w:hAnsi="宋体"/>
          <w:b/>
          <w:szCs w:val="21"/>
        </w:rPr>
        <w:t>填报要求：</w:t>
      </w:r>
    </w:p>
    <w:p>
      <w:pPr>
        <w:spacing w:line="360" w:lineRule="auto"/>
        <w:ind w:firstLine="420" w:firstLineChars="200"/>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spacing w:line="360" w:lineRule="auto"/>
        <w:ind w:firstLine="420" w:firstLineChars="200"/>
        <w:rPr>
          <w:rFonts w:hint="eastAsia" w:ascii="宋体" w:hAnsi="宋体"/>
          <w:sz w:val="24"/>
        </w:rPr>
      </w:pPr>
      <w:r>
        <w:rPr>
          <w:rFonts w:hint="eastAsia" w:ascii="宋体" w:hAnsi="宋体"/>
          <w:sz w:val="21"/>
          <w:szCs w:val="21"/>
          <w:lang w:val="en-US" w:eastAsia="zh-CN"/>
        </w:rPr>
        <w:t>▲2.各模块、系统集成和运维费用，在投标报价时不得超过“第三章 招标需求”中</w:t>
      </w:r>
      <w:r>
        <w:rPr>
          <w:rFonts w:hint="eastAsia" w:ascii="宋体" w:hAnsi="宋体"/>
          <w:sz w:val="21"/>
          <w:szCs w:val="21"/>
          <w:u w:val="single"/>
          <w:lang w:val="en-US" w:eastAsia="zh-CN"/>
        </w:rPr>
        <w:t>“附1 各模块预算清单”的各项价格。</w:t>
      </w:r>
    </w:p>
    <w:p>
      <w:pPr>
        <w:pStyle w:val="21"/>
        <w:ind w:left="0" w:leftChars="0" w:firstLine="0" w:firstLineChars="0"/>
        <w:rPr>
          <w:rFonts w:hint="eastAsia" w:ascii="宋体" w:hAnsi="宋体"/>
          <w:sz w:val="24"/>
        </w:rPr>
      </w:pPr>
    </w:p>
    <w:p>
      <w:pPr>
        <w:spacing w:line="360" w:lineRule="auto"/>
        <w:ind w:left="420"/>
        <w:rPr>
          <w:rFonts w:ascii="宋体" w:hAnsi="宋体"/>
          <w:sz w:val="24"/>
        </w:rPr>
      </w:pPr>
      <w:r>
        <w:rPr>
          <w:rFonts w:hint="eastAsia" w:ascii="宋体" w:hAnsi="宋体"/>
          <w:sz w:val="24"/>
        </w:rPr>
        <w:t>投标人名称（公章）：</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hint="eastAsia" w:ascii="宋体" w:hAnsi="宋体" w:eastAsia="宋体"/>
          <w:sz w:val="24"/>
          <w:lang w:eastAsia="zh-CN"/>
        </w:rPr>
      </w:pPr>
      <w:r>
        <w:rPr>
          <w:rFonts w:hint="eastAsia" w:ascii="宋体" w:hAnsi="宋体"/>
          <w:sz w:val="24"/>
        </w:rPr>
        <w:t>职        务</w:t>
      </w:r>
      <w:r>
        <w:rPr>
          <w:rFonts w:hint="eastAsia" w:ascii="宋体" w:hAnsi="宋体"/>
          <w:sz w:val="24"/>
          <w:lang w:eastAsia="zh-CN"/>
        </w:rPr>
        <w:t>：</w:t>
      </w:r>
    </w:p>
    <w:p>
      <w:pPr>
        <w:spacing w:line="360" w:lineRule="auto"/>
        <w:ind w:firstLine="435"/>
        <w:rPr>
          <w:rFonts w:ascii="宋体" w:hAnsi="宋体"/>
          <w:sz w:val="24"/>
        </w:rPr>
      </w:pPr>
      <w:r>
        <w:rPr>
          <w:rFonts w:hint="eastAsia" w:ascii="宋体" w:hAnsi="宋体"/>
          <w:sz w:val="24"/>
        </w:rPr>
        <w:t>日        期：</w:t>
      </w:r>
    </w:p>
    <w:p>
      <w:pPr>
        <w:rPr>
          <w:rFonts w:hint="eastAsia"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13</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3"/>
        <w:spacing w:line="360" w:lineRule="auto"/>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hint="eastAsia" w:ascii="宋体" w:hAnsi="宋体"/>
          <w:sz w:val="24"/>
          <w:lang w:eastAsia="zh-CN"/>
        </w:rPr>
      </w:pPr>
      <w:r>
        <w:rPr>
          <w:rFonts w:hAnsi="宋体"/>
          <w:b/>
          <w:sz w:val="24"/>
        </w:rPr>
        <w:t>项目名称：</w:t>
      </w:r>
      <w:r>
        <w:rPr>
          <w:rFonts w:hint="eastAsia" w:ascii="宋体" w:hAnsi="宋体"/>
          <w:sz w:val="24"/>
        </w:rPr>
        <w:t xml:space="preserve">                                     [货币单位：人民币元]</w:t>
      </w:r>
    </w:p>
    <w:p/>
    <w:tbl>
      <w:tblPr>
        <w:tblStyle w:val="22"/>
        <w:tblpPr w:leftFromText="181" w:rightFromText="181" w:bottomFromText="170" w:vertAnchor="text" w:tblpXSpec="center" w:tblpY="1"/>
        <w:tblOverlap w:val="never"/>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92"/>
        <w:gridCol w:w="1313"/>
        <w:gridCol w:w="1312"/>
        <w:gridCol w:w="1233"/>
        <w:gridCol w:w="612"/>
        <w:gridCol w:w="878"/>
        <w:gridCol w:w="760"/>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734" w:type="dxa"/>
            <w:vMerge w:val="restart"/>
            <w:tcMar>
              <w:top w:w="57" w:type="dxa"/>
              <w:left w:w="108" w:type="dxa"/>
              <w:bottom w:w="0" w:type="dxa"/>
              <w:right w:w="108" w:type="dxa"/>
            </w:tcMar>
            <w:vAlign w:val="center"/>
          </w:tcPr>
          <w:p>
            <w:pPr>
              <w:spacing w:line="360" w:lineRule="auto"/>
              <w:jc w:val="center"/>
              <w:rPr>
                <w:rFonts w:ascii="宋体" w:hAnsi="宋体"/>
                <w:b/>
                <w:color w:val="auto"/>
                <w:sz w:val="21"/>
                <w:szCs w:val="21"/>
              </w:rPr>
            </w:pPr>
            <w:r>
              <w:rPr>
                <w:rFonts w:hint="eastAsia" w:ascii="宋体" w:hAnsi="宋体"/>
                <w:b/>
                <w:color w:val="auto"/>
                <w:sz w:val="21"/>
                <w:szCs w:val="21"/>
              </w:rPr>
              <w:t>序号</w:t>
            </w:r>
          </w:p>
        </w:tc>
        <w:tc>
          <w:tcPr>
            <w:tcW w:w="4650" w:type="dxa"/>
            <w:gridSpan w:val="4"/>
            <w:tcMar>
              <w:top w:w="57" w:type="dxa"/>
              <w:left w:w="108" w:type="dxa"/>
              <w:bottom w:w="0" w:type="dxa"/>
              <w:right w:w="108" w:type="dxa"/>
            </w:tcMar>
            <w:vAlign w:val="center"/>
          </w:tcPr>
          <w:p>
            <w:pPr>
              <w:spacing w:line="360" w:lineRule="auto"/>
              <w:jc w:val="center"/>
              <w:rPr>
                <w:rFonts w:ascii="宋体" w:hAnsi="宋体"/>
                <w:b/>
                <w:color w:val="auto"/>
                <w:sz w:val="21"/>
                <w:szCs w:val="21"/>
              </w:rPr>
            </w:pPr>
            <w:r>
              <w:rPr>
                <w:rFonts w:hint="eastAsia" w:ascii="宋体" w:hAnsi="宋体"/>
                <w:b/>
                <w:color w:val="auto"/>
                <w:sz w:val="21"/>
                <w:szCs w:val="21"/>
              </w:rPr>
              <w:t>报价名称（成本组成内容）</w:t>
            </w:r>
          </w:p>
        </w:tc>
        <w:tc>
          <w:tcPr>
            <w:tcW w:w="612" w:type="dxa"/>
            <w:vMerge w:val="restart"/>
            <w:tcMar>
              <w:top w:w="57" w:type="dxa"/>
              <w:left w:w="108" w:type="dxa"/>
              <w:bottom w:w="0" w:type="dxa"/>
              <w:right w:w="108" w:type="dxa"/>
            </w:tcMar>
            <w:vAlign w:val="center"/>
          </w:tcPr>
          <w:p>
            <w:pPr>
              <w:spacing w:line="360" w:lineRule="auto"/>
              <w:ind w:left="152"/>
              <w:jc w:val="both"/>
              <w:rPr>
                <w:rFonts w:ascii="宋体" w:hAnsi="宋体"/>
                <w:b/>
                <w:color w:val="auto"/>
                <w:sz w:val="21"/>
                <w:szCs w:val="21"/>
              </w:rPr>
            </w:pPr>
            <w:r>
              <w:rPr>
                <w:rFonts w:hint="eastAsia" w:ascii="宋体" w:hAnsi="宋体"/>
                <w:b/>
                <w:color w:val="auto"/>
                <w:sz w:val="21"/>
                <w:szCs w:val="21"/>
              </w:rPr>
              <w:t>人员数量</w:t>
            </w:r>
          </w:p>
        </w:tc>
        <w:tc>
          <w:tcPr>
            <w:tcW w:w="878" w:type="dxa"/>
            <w:vMerge w:val="restart"/>
            <w:tcMar>
              <w:top w:w="57" w:type="dxa"/>
              <w:left w:w="108" w:type="dxa"/>
              <w:bottom w:w="0" w:type="dxa"/>
              <w:right w:w="108" w:type="dxa"/>
            </w:tcMar>
            <w:vAlign w:val="center"/>
          </w:tcPr>
          <w:p>
            <w:pPr>
              <w:spacing w:line="360" w:lineRule="auto"/>
              <w:jc w:val="center"/>
              <w:rPr>
                <w:rFonts w:ascii="宋体" w:hAnsi="宋体"/>
                <w:b/>
                <w:color w:val="auto"/>
                <w:sz w:val="21"/>
                <w:szCs w:val="21"/>
              </w:rPr>
            </w:pPr>
            <w:r>
              <w:rPr>
                <w:rFonts w:hint="eastAsia" w:ascii="宋体" w:hAnsi="宋体"/>
                <w:b/>
                <w:color w:val="auto"/>
                <w:sz w:val="21"/>
                <w:szCs w:val="21"/>
              </w:rPr>
              <w:t>单价（元/人/月）</w:t>
            </w:r>
          </w:p>
        </w:tc>
        <w:tc>
          <w:tcPr>
            <w:tcW w:w="760" w:type="dxa"/>
            <w:vMerge w:val="restart"/>
            <w:tcMar>
              <w:top w:w="57" w:type="dxa"/>
              <w:left w:w="108" w:type="dxa"/>
              <w:bottom w:w="0" w:type="dxa"/>
              <w:right w:w="108" w:type="dxa"/>
            </w:tcMar>
            <w:vAlign w:val="center"/>
          </w:tcPr>
          <w:p>
            <w:pPr>
              <w:spacing w:line="360" w:lineRule="auto"/>
              <w:jc w:val="center"/>
              <w:rPr>
                <w:rFonts w:ascii="宋体" w:hAnsi="宋体"/>
                <w:b/>
                <w:color w:val="auto"/>
                <w:sz w:val="21"/>
                <w:szCs w:val="21"/>
              </w:rPr>
            </w:pPr>
            <w:r>
              <w:rPr>
                <w:rFonts w:hint="eastAsia" w:ascii="宋体" w:hAnsi="宋体"/>
                <w:b/>
                <w:color w:val="auto"/>
                <w:sz w:val="21"/>
                <w:szCs w:val="21"/>
              </w:rPr>
              <w:t>小计</w:t>
            </w:r>
          </w:p>
        </w:tc>
        <w:tc>
          <w:tcPr>
            <w:tcW w:w="1266" w:type="dxa"/>
            <w:vMerge w:val="restart"/>
            <w:tcMar>
              <w:top w:w="57" w:type="dxa"/>
              <w:left w:w="108" w:type="dxa"/>
              <w:bottom w:w="0" w:type="dxa"/>
              <w:right w:w="108" w:type="dxa"/>
            </w:tcMar>
            <w:vAlign w:val="center"/>
          </w:tcPr>
          <w:p>
            <w:pPr>
              <w:spacing w:line="360" w:lineRule="auto"/>
              <w:jc w:val="center"/>
              <w:rPr>
                <w:rFonts w:ascii="宋体" w:hAnsi="宋体"/>
                <w:b/>
                <w:color w:val="auto"/>
                <w:sz w:val="21"/>
                <w:szCs w:val="21"/>
              </w:rPr>
            </w:pPr>
            <w:r>
              <w:rPr>
                <w:rFonts w:hint="eastAsia" w:ascii="宋体" w:hAnsi="宋体"/>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34" w:type="dxa"/>
            <w:vMerge w:val="continue"/>
            <w:tcMar>
              <w:top w:w="57" w:type="dxa"/>
              <w:left w:w="108" w:type="dxa"/>
              <w:bottom w:w="0" w:type="dxa"/>
              <w:right w:w="108" w:type="dxa"/>
            </w:tcMar>
            <w:vAlign w:val="center"/>
          </w:tcPr>
          <w:p>
            <w:pPr>
              <w:spacing w:line="360" w:lineRule="auto"/>
              <w:jc w:val="center"/>
              <w:rPr>
                <w:rFonts w:hint="eastAsia" w:ascii="宋体" w:hAnsi="宋体"/>
                <w:b/>
                <w:color w:val="auto"/>
                <w:sz w:val="21"/>
                <w:szCs w:val="21"/>
              </w:rPr>
            </w:pPr>
          </w:p>
        </w:tc>
        <w:tc>
          <w:tcPr>
            <w:tcW w:w="792" w:type="dxa"/>
            <w:tcMar>
              <w:top w:w="57" w:type="dxa"/>
              <w:left w:w="108" w:type="dxa"/>
              <w:bottom w:w="0" w:type="dxa"/>
              <w:right w:w="108" w:type="dxa"/>
            </w:tcMar>
            <w:vAlign w:val="center"/>
          </w:tcPr>
          <w:p>
            <w:pPr>
              <w:spacing w:line="360" w:lineRule="auto"/>
              <w:jc w:val="center"/>
              <w:rPr>
                <w:rFonts w:hint="eastAsia" w:ascii="宋体" w:hAnsi="宋体" w:eastAsia="宋体"/>
                <w:b/>
                <w:color w:val="auto"/>
                <w:sz w:val="21"/>
                <w:szCs w:val="21"/>
                <w:lang w:eastAsia="zh-CN"/>
              </w:rPr>
            </w:pPr>
            <w:r>
              <w:rPr>
                <w:rFonts w:hint="eastAsia" w:ascii="宋体" w:hAnsi="宋体"/>
                <w:b/>
                <w:color w:val="auto"/>
                <w:sz w:val="21"/>
                <w:szCs w:val="21"/>
                <w:lang w:eastAsia="zh-CN"/>
              </w:rPr>
              <w:t>模块名称</w:t>
            </w:r>
          </w:p>
        </w:tc>
        <w:tc>
          <w:tcPr>
            <w:tcW w:w="1313" w:type="dxa"/>
            <w:tcMar>
              <w:top w:w="57" w:type="dxa"/>
              <w:left w:w="108" w:type="dxa"/>
              <w:bottom w:w="0" w:type="dxa"/>
              <w:right w:w="108" w:type="dxa"/>
            </w:tcMar>
            <w:vAlign w:val="center"/>
          </w:tcPr>
          <w:p>
            <w:pPr>
              <w:spacing w:line="360" w:lineRule="auto"/>
              <w:jc w:val="center"/>
              <w:rPr>
                <w:rFonts w:hint="eastAsia" w:ascii="宋体" w:hAnsi="宋体" w:eastAsia="宋体"/>
                <w:b/>
                <w:color w:val="auto"/>
                <w:sz w:val="21"/>
                <w:szCs w:val="21"/>
                <w:lang w:eastAsia="zh-CN"/>
              </w:rPr>
            </w:pPr>
            <w:r>
              <w:rPr>
                <w:rFonts w:hint="eastAsia" w:ascii="宋体" w:hAnsi="宋体"/>
                <w:b/>
                <w:color w:val="auto"/>
                <w:sz w:val="21"/>
                <w:szCs w:val="21"/>
                <w:lang w:eastAsia="zh-CN"/>
              </w:rPr>
              <w:t>一级功能</w:t>
            </w:r>
          </w:p>
        </w:tc>
        <w:tc>
          <w:tcPr>
            <w:tcW w:w="1312" w:type="dxa"/>
            <w:tcMar>
              <w:top w:w="57" w:type="dxa"/>
              <w:left w:w="108" w:type="dxa"/>
              <w:bottom w:w="0" w:type="dxa"/>
              <w:right w:w="108" w:type="dxa"/>
            </w:tcMar>
            <w:vAlign w:val="center"/>
          </w:tcPr>
          <w:p>
            <w:pPr>
              <w:spacing w:line="360" w:lineRule="auto"/>
              <w:jc w:val="center"/>
              <w:rPr>
                <w:rFonts w:hint="eastAsia" w:ascii="宋体" w:hAnsi="宋体" w:eastAsia="宋体"/>
                <w:b/>
                <w:color w:val="auto"/>
                <w:sz w:val="21"/>
                <w:szCs w:val="21"/>
                <w:lang w:eastAsia="zh-CN"/>
              </w:rPr>
            </w:pPr>
            <w:r>
              <w:rPr>
                <w:rFonts w:hint="eastAsia" w:ascii="宋体" w:hAnsi="宋体"/>
                <w:b/>
                <w:color w:val="auto"/>
                <w:sz w:val="21"/>
                <w:szCs w:val="21"/>
                <w:lang w:eastAsia="zh-CN"/>
              </w:rPr>
              <w:t>二级功能</w:t>
            </w:r>
          </w:p>
        </w:tc>
        <w:tc>
          <w:tcPr>
            <w:tcW w:w="1233" w:type="dxa"/>
            <w:tcMar>
              <w:top w:w="57" w:type="dxa"/>
              <w:left w:w="108" w:type="dxa"/>
              <w:bottom w:w="0" w:type="dxa"/>
              <w:right w:w="108" w:type="dxa"/>
            </w:tcMar>
            <w:vAlign w:val="center"/>
          </w:tcPr>
          <w:p>
            <w:pPr>
              <w:spacing w:line="360" w:lineRule="auto"/>
              <w:jc w:val="center"/>
              <w:rPr>
                <w:rFonts w:hint="eastAsia" w:ascii="宋体" w:hAnsi="宋体" w:eastAsia="宋体"/>
                <w:b/>
                <w:color w:val="auto"/>
                <w:sz w:val="21"/>
                <w:szCs w:val="21"/>
                <w:lang w:eastAsia="zh-CN"/>
              </w:rPr>
            </w:pPr>
            <w:r>
              <w:rPr>
                <w:rFonts w:hint="eastAsia" w:ascii="宋体" w:hAnsi="宋体"/>
                <w:b/>
                <w:color w:val="auto"/>
                <w:sz w:val="21"/>
                <w:szCs w:val="21"/>
                <w:lang w:eastAsia="zh-CN"/>
              </w:rPr>
              <w:t>三级功能</w:t>
            </w:r>
          </w:p>
        </w:tc>
        <w:tc>
          <w:tcPr>
            <w:tcW w:w="612" w:type="dxa"/>
            <w:vMerge w:val="continue"/>
            <w:tcMar>
              <w:top w:w="57" w:type="dxa"/>
              <w:left w:w="108" w:type="dxa"/>
              <w:bottom w:w="0" w:type="dxa"/>
              <w:right w:w="108" w:type="dxa"/>
            </w:tcMar>
            <w:vAlign w:val="center"/>
          </w:tcPr>
          <w:p>
            <w:pPr>
              <w:spacing w:line="360" w:lineRule="auto"/>
              <w:ind w:left="152"/>
              <w:jc w:val="both"/>
              <w:rPr>
                <w:rFonts w:hint="eastAsia" w:ascii="宋体" w:hAnsi="宋体"/>
                <w:b/>
                <w:color w:val="auto"/>
                <w:sz w:val="21"/>
                <w:szCs w:val="21"/>
              </w:rPr>
            </w:pPr>
          </w:p>
        </w:tc>
        <w:tc>
          <w:tcPr>
            <w:tcW w:w="878" w:type="dxa"/>
            <w:vMerge w:val="continue"/>
            <w:tcMar>
              <w:top w:w="57" w:type="dxa"/>
              <w:left w:w="108" w:type="dxa"/>
              <w:bottom w:w="0" w:type="dxa"/>
              <w:right w:w="108" w:type="dxa"/>
            </w:tcMar>
            <w:vAlign w:val="center"/>
          </w:tcPr>
          <w:p>
            <w:pPr>
              <w:spacing w:line="360" w:lineRule="auto"/>
              <w:jc w:val="center"/>
              <w:rPr>
                <w:rFonts w:hint="eastAsia" w:ascii="宋体" w:hAnsi="宋体"/>
                <w:b/>
                <w:color w:val="auto"/>
                <w:sz w:val="21"/>
                <w:szCs w:val="21"/>
              </w:rPr>
            </w:pPr>
          </w:p>
        </w:tc>
        <w:tc>
          <w:tcPr>
            <w:tcW w:w="760" w:type="dxa"/>
            <w:vMerge w:val="continue"/>
            <w:tcMar>
              <w:top w:w="57" w:type="dxa"/>
              <w:left w:w="108" w:type="dxa"/>
              <w:bottom w:w="0" w:type="dxa"/>
              <w:right w:w="108" w:type="dxa"/>
            </w:tcMar>
            <w:vAlign w:val="center"/>
          </w:tcPr>
          <w:p>
            <w:pPr>
              <w:spacing w:line="360" w:lineRule="auto"/>
              <w:jc w:val="center"/>
              <w:rPr>
                <w:rFonts w:hint="eastAsia" w:ascii="宋体" w:hAnsi="宋体"/>
                <w:b/>
                <w:color w:val="auto"/>
                <w:sz w:val="21"/>
                <w:szCs w:val="21"/>
              </w:rPr>
            </w:pPr>
          </w:p>
        </w:tc>
        <w:tc>
          <w:tcPr>
            <w:tcW w:w="1266" w:type="dxa"/>
            <w:vMerge w:val="continue"/>
            <w:tcMar>
              <w:top w:w="57" w:type="dxa"/>
              <w:left w:w="108" w:type="dxa"/>
              <w:bottom w:w="0" w:type="dxa"/>
              <w:right w:w="108" w:type="dxa"/>
            </w:tcMar>
            <w:vAlign w:val="center"/>
          </w:tcPr>
          <w:p>
            <w:pPr>
              <w:spacing w:line="360" w:lineRule="auto"/>
              <w:jc w:val="center"/>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734" w:type="dxa"/>
            <w:tcMar>
              <w:top w:w="57" w:type="dxa"/>
              <w:left w:w="108" w:type="dxa"/>
              <w:bottom w:w="0" w:type="dxa"/>
              <w:right w:w="108" w:type="dxa"/>
            </w:tcMar>
          </w:tcPr>
          <w:p>
            <w:pPr>
              <w:pStyle w:val="57"/>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92"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131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1312"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123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612"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878" w:type="dxa"/>
            <w:tcMar>
              <w:top w:w="57" w:type="dxa"/>
              <w:left w:w="108" w:type="dxa"/>
              <w:bottom w:w="0" w:type="dxa"/>
              <w:right w:w="108"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0"/>
                <w:szCs w:val="20"/>
              </w:rPr>
              <w:t>人员费用（不含加班补贴）</w:t>
            </w:r>
          </w:p>
        </w:tc>
        <w:tc>
          <w:tcPr>
            <w:tcW w:w="7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1266"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734" w:type="dxa"/>
            <w:tcMar>
              <w:top w:w="57" w:type="dxa"/>
              <w:left w:w="108" w:type="dxa"/>
              <w:bottom w:w="0" w:type="dxa"/>
              <w:right w:w="108" w:type="dxa"/>
            </w:tcMar>
          </w:tcPr>
          <w:p>
            <w:pPr>
              <w:pStyle w:val="57"/>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792"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131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1312"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123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612"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878"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7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1266"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34" w:type="dxa"/>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792"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131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1312"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123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612"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878"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7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1266"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792"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3858" w:type="dxa"/>
            <w:gridSpan w:val="3"/>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612"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878"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7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c>
          <w:tcPr>
            <w:tcW w:w="1266"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8900" w:type="dxa"/>
            <w:gridSpan w:val="9"/>
            <w:tcMar>
              <w:top w:w="57" w:type="dxa"/>
              <w:left w:w="108" w:type="dxa"/>
              <w:bottom w:w="0" w:type="dxa"/>
              <w:right w:w="108" w:type="dxa"/>
            </w:tcMar>
            <w:vAlign w:val="center"/>
          </w:tcPr>
          <w:p>
            <w:pPr>
              <w:spacing w:line="360" w:lineRule="auto"/>
              <w:rPr>
                <w:rFonts w:ascii="宋体" w:hAnsi="宋体"/>
                <w:color w:val="auto"/>
                <w:sz w:val="24"/>
              </w:rPr>
            </w:pPr>
            <w:r>
              <w:rPr>
                <w:rFonts w:hint="eastAsia" w:ascii="宋体" w:hAnsi="宋体"/>
                <w:b/>
                <w:color w:val="auto"/>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hAnsi="宋体" w:cs="宋体"/>
          <w:kern w:val="0"/>
          <w:sz w:val="24"/>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hint="eastAsia" w:ascii="宋体" w:hAnsi="宋体"/>
          <w:b/>
          <w:sz w:val="28"/>
        </w:rPr>
      </w:pPr>
      <w:r>
        <w:rPr>
          <w:rFonts w:hint="eastAsia" w:ascii="宋体" w:hAnsi="宋体"/>
          <w:b/>
          <w:sz w:val="28"/>
        </w:rPr>
        <w:br w:type="page"/>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4</w:t>
      </w:r>
    </w:p>
    <w:p>
      <w:pPr>
        <w:pStyle w:val="42"/>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2"/>
        <w:spacing w:line="360" w:lineRule="auto"/>
        <w:jc w:val="center"/>
        <w:rPr>
          <w:rFonts w:ascii="宋体" w:hAnsi="宋体"/>
          <w:b/>
          <w:sz w:val="24"/>
          <w:lang w:val="en-GB"/>
        </w:rPr>
      </w:pPr>
    </w:p>
    <w:p>
      <w:pPr>
        <w:pStyle w:val="42"/>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2"/>
        <w:numPr>
          <w:ilvl w:val="0"/>
          <w:numId w:val="19"/>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2"/>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2"/>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2"/>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2"/>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2"/>
        <w:spacing w:line="360" w:lineRule="auto"/>
        <w:ind w:firstLine="480" w:firstLineChars="200"/>
        <w:rPr>
          <w:rFonts w:ascii="宋体" w:hAnsi="宋体" w:cs="Arial"/>
          <w:bCs/>
          <w:sz w:val="24"/>
        </w:rPr>
      </w:pPr>
    </w:p>
    <w:p>
      <w:pPr>
        <w:pStyle w:val="42"/>
        <w:spacing w:line="360" w:lineRule="auto"/>
        <w:rPr>
          <w:rFonts w:ascii="宋体" w:hAnsi="宋体"/>
          <w:sz w:val="24"/>
        </w:rPr>
      </w:pPr>
    </w:p>
    <w:p>
      <w:pPr>
        <w:pStyle w:val="42"/>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2"/>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8"/>
        <w:rPr>
          <w:rFonts w:ascii="宋体" w:hAnsi="宋体" w:cs="宋体"/>
          <w:sz w:val="24"/>
          <w:szCs w:val="24"/>
        </w:rPr>
      </w:pPr>
    </w:p>
    <w:p>
      <w:pPr>
        <w:pStyle w:val="8"/>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 AQAADwAAAGRycy9kb3ducmV2LnhtbE2PwU7DMBBE70j8g7VI3KgdCgWlcSqBhAQXJNIeOG6TbRJq r6PYbcPfs4hDOc7MauZtsZq8U0caYx/YQjYzoIjr0PTcWtisX24eQcWE3KALTBa+KcKqvLwoMG/C iT/oWKVWSQnHHC10KQ251rHuyGOchYFYsl0YPSaRY6ubEU9S7p2+NWahPfYsCx0O9NxRva8O3sJ7 tdm/6Wy6/4ru84kXmK3Nq7P2+iozS1CJpnQ+hl98QYdSmLbhwE1UzoJwJwvzuTwk6d2DEWP7Z+iy 0P/xyx9QSwMEFAAAAAgAh07iQG8SiXD2AQAA1AMAAA4AAABkcnMvZTJvRG9jLnhtbK1TzW4TMRC+ I/EOlu9k07SlYZVND43KBUEkygNMvXbWkv/kcbPJS/ACSNzgxJE7b0N5DMbebQjl0gM5OGOP55v5 Pn+7uNxZw7Yyovau4SeTKWfSCd9qt2n4h5vrF3POMIFrwXgnG76XyC+Xz58t+lDLme+8aWVkBOKw 7kPDu5RCXVUoOmkBJz5IR0nlo4VE27ip2gg9oVtTzabTl1XvYxuiFxKRTldDko+I8SmAXikt5MqL OytdGlCjNJCIEnY6IF+WaZWSIr1TCmVipuHENJWVmlB8m9dquYB6EyF0WowjwFNGeMTJgnbU9AC1 ggTsLup/oKwW0aNXaSK8rQYiRRFicTJ9pM37DoIsXEhqDAfR8f/BirfbdWS6bfgpZw4sPfj9p+8/ P3759eMzrfffvrLTLFIfsKa7V24dxx2GdcyMdyra/E9c2K4Iuz8IK3eJCTqcvZqfXZyR5uIhV/0p DBHTa+kty0HDjXaZM9SwfYOJmtHVhyv52PlrbUx5N+NYTxY+n1+cEzSQGRWZgEIbiBC6DWdgNuRy kWKBRG90m8szEO7xykS2BbIG+bP1/Q3Ny5kBTJQgEuWX2dMIf5XmeVaA3VBcUoOTrE70cRhtGz4/ rjYud5TFkCOrrOigYY5ufbsv0lZ5R49dmo7GzG463lN8/DEufwN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BiBAAAW0NvbnRlbnRfVHlwZXNdLnht bFBLAQIUAAoAAAAAAIdO4kAAAAAAAAAAAAAAAAAGAAAAAAAAAAAAEAAAAEQDAABfcmVscy9QSwEC FAAUAAAACACHTuJAihRmPNEAAACUAQAACwAAAAAAAAABACAAAABoAwAAX3JlbHMvLnJlbHNQSwEC FAAKAAAAAACHTuJAAAAAAAAAAAAAAAAABAAAAAAAAAAAABAAAAAAAAAAZHJzL1BLAQIUABQAAAAI AIdO4kDNFKqV0wAAAAYBAAAPAAAAAAAAAAEAIAAAACIAAABkcnMvZG93bnJldi54bWxQSwECFAAU AAAACACHTuJAbxKJcPYBAADUAwAADgAAAAAAAAABACAAAAAiAQAAZHJzL2Uyb0RvYy54bWxQSwUG AAAAAAYABgBZAQAAigUAAAAA ">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3"/>
        <w:spacing w:line="360" w:lineRule="auto"/>
        <w:jc w:val="center"/>
        <w:outlineLvl w:val="1"/>
        <w:rPr>
          <w:rFonts w:hAnsi="宋体" w:cs="宋体"/>
          <w:b/>
          <w:sz w:val="32"/>
          <w:szCs w:val="32"/>
          <w:lang w:val="en-GB"/>
        </w:rPr>
      </w:pPr>
      <w:bookmarkStart w:id="122" w:name="_Toc17646_WPSOffice_Level1"/>
      <w:bookmarkStart w:id="123" w:name="_Toc27483_WPSOffice_Level1"/>
      <w:r>
        <w:rPr>
          <w:rFonts w:hint="eastAsia" w:hAnsi="宋体" w:cs="宋体"/>
          <w:b/>
          <w:sz w:val="32"/>
          <w:szCs w:val="32"/>
          <w:lang w:val="en-GB"/>
        </w:rPr>
        <w:t>残疾人福利性单位声明函</w:t>
      </w:r>
      <w:bookmarkEnd w:id="122"/>
      <w:bookmarkEnd w:id="123"/>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1"/>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2"/>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2"/>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2"/>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366916"/>
    </w:sdtPr>
    <w:sdtContent>
      <w:sdt>
        <w:sdtPr>
          <w:id w:val="464167228"/>
        </w:sdtPr>
        <w:sdtContent>
          <w:p>
            <w:pPr>
              <w:pStyle w:val="16"/>
              <w:jc w:val="center"/>
            </w:pPr>
            <w:r>
              <w:rPr>
                <w:lang w:val="zh-CN"/>
              </w:rPr>
              <w:t xml:space="preserve"> </w:t>
            </w:r>
            <w:r>
              <w:rPr>
                <w:b/>
                <w:bCs/>
                <w:sz w:val="24"/>
              </w:rPr>
              <w:fldChar w:fldCharType="begin"/>
            </w:r>
            <w:r>
              <w:rPr>
                <w:b/>
                <w:bCs/>
              </w:rPr>
              <w:instrText xml:space="preserve">PAGE</w:instrText>
            </w:r>
            <w:r>
              <w:rPr>
                <w:b/>
                <w:bCs/>
                <w:sz w:val="24"/>
              </w:rPr>
              <w:fldChar w:fldCharType="separate"/>
            </w:r>
            <w:r>
              <w:rPr>
                <w:b/>
                <w:bCs/>
              </w:rPr>
              <w:t>32</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150</w:t>
            </w:r>
            <w:r>
              <w:rPr>
                <w:b/>
                <w:bCs/>
                <w:sz w:val="24"/>
              </w:rPr>
              <w:fldChar w:fldCharType="end"/>
            </w:r>
          </w:p>
        </w:sdtContent>
      </w:sdt>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11853"/>
    </w:sdtPr>
    <w:sdtContent>
      <w:sdt>
        <w:sdtPr>
          <w:id w:val="1293878501"/>
        </w:sdtPr>
        <w:sdtContent>
          <w:p>
            <w:pPr>
              <w:pStyle w:val="16"/>
              <w:jc w:val="center"/>
            </w:pPr>
            <w:r>
              <w:rPr>
                <w:lang w:val="zh-CN"/>
              </w:rPr>
              <w:t xml:space="preserve"> </w:t>
            </w:r>
            <w:r>
              <w:rPr>
                <w:b/>
                <w:bCs/>
                <w:sz w:val="24"/>
              </w:rPr>
              <w:fldChar w:fldCharType="begin"/>
            </w:r>
            <w:r>
              <w:rPr>
                <w:b/>
                <w:bCs/>
              </w:rPr>
              <w:instrText xml:space="preserve">PAGE</w:instrText>
            </w:r>
            <w:r>
              <w:rPr>
                <w:b/>
                <w:bCs/>
                <w:sz w:val="24"/>
              </w:rPr>
              <w:fldChar w:fldCharType="separate"/>
            </w:r>
            <w:r>
              <w:rPr>
                <w:b/>
                <w:bCs/>
              </w:rPr>
              <w:t>87</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150</w:t>
            </w:r>
            <w:r>
              <w:rPr>
                <w:b/>
                <w:bCs/>
                <w:sz w:val="24"/>
              </w:rPr>
              <w:fldChar w:fldCharType="end"/>
            </w:r>
          </w:p>
        </w:sdtContent>
      </w:sdt>
    </w:sdtContent>
  </w:sdt>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upMyU4AgAAbwQAAA4AAABkcnMvZTJvRG9jLnhtbK1UzY7TMBC+I/EO lu80aRG7VdV0VbYqQqrYlRbE2XWcJpL/ZLtNygPAG3Diwp3n6nPw2Wm6aOGwBy7p2DP+Zr5vZjq/ 6ZQkB+F8Y3RBx6OcEqG5KRu9K+inj+tXU0p8YLpk0mhR0KPw9Gbx8sW8tTMxMbWRpXAEINrPWlvQ OgQ7yzLPa6GYHxkrNJyVcYoFHN0uKx1rga5kNsnzq6w1rrTOcOE9ble9k54R3XMATVU1XKwM3yuh Q4/qhGQBlHzdWE8XqdqqEjzcVZUXgciCgmlIXySBvY3fbDFns51jtm74uQT2nBKecFKs0Uh6gVqx wMjeNX9BqYY7400VRtyorCeSFAGLcf5Em4eaWZG4QGpvL6L7/wfLPxzuHWnKgl5ToplCw0/fv51+ /Dr9/Equozyt9TNEPVjEhe6t6TA0w73HZWTdVU7FX/Ah8EPc40Vc0QXC46PpZDrN4eLwDQfgZ4/P rfPhnTCKRKOgDt1LorLDxoc+dAiJ2bRZN1KmDkpN2oJevX6TpwcXD8CljrEizcIZJlLqS49W6Lbd mefWlEfQdKafE2/5ukEpG+bDPXMYDJSP1Ql3+FTSIKU5W5TUxn35132MR7/gpaTFoBVUY68oke81 +gjAMBhuMLaDoffq1mByx1hJy5OJBy7IwaycUZ+xT8uYAy6mOTIVNAzmbeiHHfvIxXKZgvbWNbu6 f4AptCxs9IPlMU2UytvlPkDapHgUqFcFnYoHzGHq2Xln4qD/eU5Rj/8Ti9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e6kzJTgCAABvBAAADgAAAAAAAAABACAAAAAfAQAAZHJzL2Uyb0RvYy54 bWxQSwUGAAAAAAYABgBZAQAAyQUAAAAA ">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BR89qo3AgAAbw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RFTtF2zRQafvn+7fLj 1+XnVzKL8jTWzxG1s4gL7VvTYmiGe4/LyLotnYq/4EPgh7jnq7iiDYTHR7PpbDaGi8M3HICfPT63 zod3wigSjZw6dC+Jyk5bH7rQISRm02ZTS5k6KDVpcnrz+s04Pbh6AC51jBVpFnqYSKkrPVqh3bc9 z70pzqDpTDcn3vJNjVK2zIcH5jAYKB+rE+7xKaVBStNblFTGffnXfYxHv+ClpMGg5VRjryiR7zX6 CMAwGG4w9oOhj+rOYHInWEnLk4kHLsjBLJ1Rn7FPq5gDLqY5MuU0DOZd6IYd+8jFapWCjtbVh6p7 gCm0LGz1zvKYJkrl7eoYIG1SPArUqYJOxQPmMPWs35k46H+eU9Tj/8TyN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LNJWO7QAAAABQEAAA8AAAAAAAAAAQAgAAAAIgAAAGRycy9kb3ducmV2LnhtbFBL AQIUABQAAAAIAIdO4kAUfPaqNwIAAG8EAAAOAAAAAAAAAAEAIAAAAB8BAABkcnMvZTJvRG9jLnht bFBLBQYAAAAABgAGAFkBAADIBQAAAAA= ">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jc w:val="left"/>
      <w:rPr>
        <w:b/>
        <w:color w:val="000000" w:themeColor="text1"/>
        <w:sz w:val="10"/>
        <w14:textFill>
          <w14:solidFill>
            <w14:schemeClr w14:val="tx1"/>
          </w14:solidFill>
        </w14:textFill>
      </w:rPr>
    </w:pPr>
    <w:r>
      <w:rPr>
        <w:rFonts w:hint="eastAsia"/>
        <w:b/>
        <w:i/>
        <w:color w:val="000000" w:themeColor="text1"/>
        <w:kern w:val="0"/>
        <w:sz w:val="18"/>
        <w14:textFill>
          <w14:solidFill>
            <w14:schemeClr w14:val="tx1"/>
          </w14:solidFill>
        </w14:textFill>
      </w:rPr>
      <w:t xml:space="preserve">台州市政府采购招标文件 </w:t>
    </w:r>
    <w:r>
      <w:rPr>
        <w:b/>
        <w:i/>
        <w:color w:val="000000" w:themeColor="text1"/>
        <w:kern w:val="0"/>
        <w:sz w:val="18"/>
        <w14:textFill>
          <w14:solidFill>
            <w14:schemeClr w14:val="tx1"/>
          </w14:solidFill>
        </w14:textFill>
      </w:rPr>
      <w:t xml:space="preserve">                                                                                                                      </w:t>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jc w:val="left"/>
      <w:rPr>
        <w:b/>
        <w:color w:val="000000" w:themeColor="text1"/>
        <w:sz w:val="10"/>
        <w14:textFill>
          <w14:solidFill>
            <w14:schemeClr w14:val="tx1"/>
          </w14:solidFill>
        </w14:textFill>
      </w:rPr>
    </w:pPr>
    <w:r>
      <w:rPr>
        <w:rFonts w:hint="eastAsia"/>
        <w:b/>
        <w:i/>
        <w:color w:val="000000" w:themeColor="text1"/>
        <w:kern w:val="0"/>
        <w:sz w:val="18"/>
        <w14:textFill>
          <w14:solidFill>
            <w14:schemeClr w14:val="tx1"/>
          </w14:solidFill>
        </w14:textFill>
      </w:rPr>
      <w:t xml:space="preserve">台州市政府采购招标文件 </w:t>
    </w:r>
    <w:r>
      <w:rPr>
        <w:b/>
        <w:i/>
        <w:color w:val="000000" w:themeColor="text1"/>
        <w:kern w:val="0"/>
        <w:sz w:val="18"/>
        <w14:textFill>
          <w14:solidFill>
            <w14:schemeClr w14:val="tx1"/>
          </w14:solidFill>
        </w14:textFill>
      </w:rPr>
      <w:t xml:space="preserve">                                                                                                                      </w:t>
    </w:r>
  </w:p>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政府采购文件公开招标服务类示范文本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val="en-US" w:eastAsia="zh-CN"/>
        <w14:textFill>
          <w14:solidFill>
            <w14:schemeClr w14:val="tx1"/>
          </w14:solidFill>
        </w14:textFill>
      </w:rPr>
      <w:t>台州市</w:t>
    </w:r>
    <w:r>
      <w:rPr>
        <w:rFonts w:hint="eastAsia"/>
        <w:b/>
        <w:i/>
        <w:color w:val="000000" w:themeColor="text1"/>
        <w:kern w:val="0"/>
        <w:sz w:val="18"/>
        <w:u w:val="single"/>
        <w:lang w:eastAsia="zh-CN"/>
        <w14:textFill>
          <w14:solidFill>
            <w14:schemeClr w14:val="tx1"/>
          </w14:solidFill>
        </w14:textFill>
      </w:rPr>
      <w:t>政府采购招标</w:t>
    </w:r>
    <w:r>
      <w:rPr>
        <w:rFonts w:hint="eastAsia"/>
        <w:b/>
        <w:i/>
        <w:color w:val="000000" w:themeColor="text1"/>
        <w:kern w:val="0"/>
        <w:sz w:val="18"/>
        <w:u w:val="single"/>
        <w:lang w:val="en-US" w:eastAsia="zh-CN"/>
        <w14:textFill>
          <w14:solidFill>
            <w14:schemeClr w14:val="tx1"/>
          </w14:solidFill>
        </w14:textFill>
      </w:rPr>
      <w:t>文件</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8ABD96A5"/>
    <w:multiLevelType w:val="singleLevel"/>
    <w:tmpl w:val="8ABD96A5"/>
    <w:lvl w:ilvl="0" w:tentative="0">
      <w:start w:val="2"/>
      <w:numFmt w:val="chineseCounting"/>
      <w:suff w:val="nothing"/>
      <w:lvlText w:val="%1、"/>
      <w:lvlJc w:val="left"/>
      <w:rPr>
        <w:rFonts w:hint="eastAsia"/>
      </w:rPr>
    </w:lvl>
  </w:abstractNum>
  <w:abstractNum w:abstractNumId="3">
    <w:nsid w:val="C8F99F11"/>
    <w:multiLevelType w:val="singleLevel"/>
    <w:tmpl w:val="C8F99F11"/>
    <w:lvl w:ilvl="0" w:tentative="0">
      <w:start w:val="1"/>
      <w:numFmt w:val="decimal"/>
      <w:lvlText w:val="%1."/>
      <w:lvlJc w:val="left"/>
      <w:pPr>
        <w:ind w:left="425" w:hanging="425"/>
      </w:pPr>
      <w:rPr>
        <w:rFonts w:hint="default"/>
      </w:rPr>
    </w:lvl>
  </w:abstractNum>
  <w:abstractNum w:abstractNumId="4">
    <w:nsid w:val="DB9645F2"/>
    <w:multiLevelType w:val="singleLevel"/>
    <w:tmpl w:val="DB9645F2"/>
    <w:lvl w:ilvl="0" w:tentative="0">
      <w:start w:val="2"/>
      <w:numFmt w:val="chineseCounting"/>
      <w:suff w:val="nothing"/>
      <w:lvlText w:val="（%1）"/>
      <w:lvlJc w:val="left"/>
      <w:rPr>
        <w:rFonts w:hint="eastAsia"/>
      </w:rPr>
    </w:lvl>
  </w:abstractNum>
  <w:abstractNum w:abstractNumId="5">
    <w:nsid w:val="E5436C65"/>
    <w:multiLevelType w:val="singleLevel"/>
    <w:tmpl w:val="E5436C65"/>
    <w:lvl w:ilvl="0" w:tentative="0">
      <w:start w:val="1"/>
      <w:numFmt w:val="decimal"/>
      <w:suff w:val="nothing"/>
      <w:lvlText w:val="%1、"/>
      <w:lvlJc w:val="left"/>
    </w:lvl>
  </w:abstractNum>
  <w:abstractNum w:abstractNumId="6">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7">
    <w:nsid w:val="F41E3C25"/>
    <w:multiLevelType w:val="singleLevel"/>
    <w:tmpl w:val="F41E3C25"/>
    <w:lvl w:ilvl="0" w:tentative="0">
      <w:start w:val="1"/>
      <w:numFmt w:val="decimal"/>
      <w:suff w:val="nothing"/>
      <w:lvlText w:val="%1、"/>
      <w:lvlJc w:val="left"/>
    </w:lvl>
  </w:abstractNum>
  <w:abstractNum w:abstractNumId="8">
    <w:nsid w:val="0C5E5456"/>
    <w:multiLevelType w:val="multilevel"/>
    <w:tmpl w:val="0C5E5456"/>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rPr>
        <w:rFonts w:hint="eastAsia" w:ascii="Times New Roman" w:hAnsi="Times New Roman" w:cs="Times New Roman"/>
        <w:b w:val="0"/>
        <w:bCs w:val="0"/>
        <w:i w:val="0"/>
        <w:iCs w:val="0"/>
        <w:caps w:val="0"/>
        <w:smallCaps w:val="0"/>
        <w:strike w:val="0"/>
        <w:dstrike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b w:val="0"/>
        <w:bCs w:val="0"/>
        <w:i w:val="0"/>
        <w:iCs w:val="0"/>
        <w:caps w:val="0"/>
        <w:smallCaps w:val="0"/>
        <w:strike w:val="0"/>
        <w:dstrike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b w:val="0"/>
        <w:bCs w:val="0"/>
        <w:i w:val="0"/>
        <w:iCs w:val="0"/>
        <w:caps w:val="0"/>
        <w:smallCaps w:val="0"/>
        <w:strike w:val="0"/>
        <w:dstrike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9">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10">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11">
    <w:nsid w:val="337906AA"/>
    <w:multiLevelType w:val="singleLevel"/>
    <w:tmpl w:val="337906AA"/>
    <w:lvl w:ilvl="0" w:tentative="0">
      <w:start w:val="1"/>
      <w:numFmt w:val="decimal"/>
      <w:suff w:val="nothing"/>
      <w:lvlText w:val="%1、"/>
      <w:lvlJc w:val="left"/>
    </w:lvl>
  </w:abstractNum>
  <w:abstractNum w:abstractNumId="12">
    <w:nsid w:val="461E5E94"/>
    <w:multiLevelType w:val="singleLevel"/>
    <w:tmpl w:val="461E5E94"/>
    <w:lvl w:ilvl="0" w:tentative="0">
      <w:start w:val="2"/>
      <w:numFmt w:val="chineseCounting"/>
      <w:suff w:val="space"/>
      <w:lvlText w:val="第%1章"/>
      <w:lvlJc w:val="left"/>
      <w:rPr>
        <w:rFonts w:hint="eastAsia"/>
      </w:rPr>
    </w:lvl>
  </w:abstractNum>
  <w:abstractNum w:abstractNumId="13">
    <w:nsid w:val="53F985B4"/>
    <w:multiLevelType w:val="singleLevel"/>
    <w:tmpl w:val="53F985B4"/>
    <w:lvl w:ilvl="0" w:tentative="0">
      <w:start w:val="1"/>
      <w:numFmt w:val="decimal"/>
      <w:lvlText w:val="%1."/>
      <w:lvlJc w:val="left"/>
      <w:pPr>
        <w:tabs>
          <w:tab w:val="left" w:pos="312"/>
        </w:tabs>
      </w:pPr>
    </w:lvl>
  </w:abstractNum>
  <w:abstractNum w:abstractNumId="14">
    <w:nsid w:val="5BE338C7"/>
    <w:multiLevelType w:val="singleLevel"/>
    <w:tmpl w:val="5BE338C7"/>
    <w:lvl w:ilvl="0" w:tentative="0">
      <w:start w:val="1"/>
      <w:numFmt w:val="decimal"/>
      <w:lvlText w:val="%1."/>
      <w:lvlJc w:val="left"/>
      <w:pPr>
        <w:ind w:left="425" w:hanging="425"/>
      </w:pPr>
      <w:rPr>
        <w:rFonts w:hint="default"/>
      </w:rPr>
    </w:lvl>
  </w:abstractNum>
  <w:abstractNum w:abstractNumId="15">
    <w:nsid w:val="636567A2"/>
    <w:multiLevelType w:val="multilevel"/>
    <w:tmpl w:val="636567A2"/>
    <w:lvl w:ilvl="0" w:tentative="0">
      <w:start w:val="1"/>
      <w:numFmt w:val="decimal"/>
      <w:pStyle w:val="2"/>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6">
    <w:nsid w:val="63C5C08C"/>
    <w:multiLevelType w:val="singleLevel"/>
    <w:tmpl w:val="63C5C08C"/>
    <w:lvl w:ilvl="0" w:tentative="0">
      <w:start w:val="1"/>
      <w:numFmt w:val="decimal"/>
      <w:suff w:val="nothing"/>
      <w:lvlText w:val="%1、"/>
      <w:lvlJc w:val="left"/>
    </w:lvl>
  </w:abstractNum>
  <w:abstractNum w:abstractNumId="17">
    <w:nsid w:val="66DDD653"/>
    <w:multiLevelType w:val="singleLevel"/>
    <w:tmpl w:val="66DDD653"/>
    <w:lvl w:ilvl="0" w:tentative="0">
      <w:start w:val="1"/>
      <w:numFmt w:val="chineseCounting"/>
      <w:suff w:val="space"/>
      <w:lvlText w:val="第%1章"/>
      <w:lvlJc w:val="left"/>
      <w:rPr>
        <w:rFonts w:hint="eastAsia"/>
      </w:rPr>
    </w:lvl>
  </w:abstractNum>
  <w:abstractNum w:abstractNumId="18">
    <w:nsid w:val="7488A27B"/>
    <w:multiLevelType w:val="singleLevel"/>
    <w:tmpl w:val="7488A27B"/>
    <w:lvl w:ilvl="0" w:tentative="0">
      <w:start w:val="1"/>
      <w:numFmt w:val="decimal"/>
      <w:lvlText w:val="%1."/>
      <w:lvlJc w:val="left"/>
      <w:pPr>
        <w:ind w:left="425" w:hanging="425"/>
      </w:pPr>
      <w:rPr>
        <w:rFonts w:hint="default"/>
      </w:rPr>
    </w:lvl>
  </w:abstractNum>
  <w:num w:numId="1">
    <w:abstractNumId w:val="15"/>
  </w:num>
  <w:num w:numId="2">
    <w:abstractNumId w:val="8"/>
  </w:num>
  <w:num w:numId="3">
    <w:abstractNumId w:val="10"/>
  </w:num>
  <w:num w:numId="4">
    <w:abstractNumId w:val="17"/>
  </w:num>
  <w:num w:numId="5">
    <w:abstractNumId w:val="12"/>
  </w:num>
  <w:num w:numId="6">
    <w:abstractNumId w:val="6"/>
  </w:num>
  <w:num w:numId="7">
    <w:abstractNumId w:val="9"/>
  </w:num>
  <w:num w:numId="8">
    <w:abstractNumId w:val="4"/>
  </w:num>
  <w:num w:numId="9">
    <w:abstractNumId w:val="2"/>
  </w:num>
  <w:num w:numId="10">
    <w:abstractNumId w:val="5"/>
  </w:num>
  <w:num w:numId="11">
    <w:abstractNumId w:val="7"/>
  </w:num>
  <w:num w:numId="12">
    <w:abstractNumId w:val="16"/>
  </w:num>
  <w:num w:numId="13">
    <w:abstractNumId w:val="11"/>
  </w:num>
  <w:num w:numId="14">
    <w:abstractNumId w:val="0"/>
  </w:num>
  <w:num w:numId="15">
    <w:abstractNumId w:val="14"/>
  </w:num>
  <w:num w:numId="16">
    <w:abstractNumId w:val="1"/>
  </w:num>
  <w:num w:numId="17">
    <w:abstractNumId w:val="18"/>
  </w:num>
  <w:num w:numId="18">
    <w:abstractNumId w:val="3"/>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ebra">
    <w15:presenceInfo w15:providerId="WPS Office" w15:userId="2964510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OWFiN2RiMzkzNDk5ZGMwZjViNzVlYjhkMzAwMmUifQ=="/>
  </w:docVars>
  <w:rsids>
    <w:rsidRoot w:val="00172A27"/>
    <w:rsid w:val="0002799D"/>
    <w:rsid w:val="00032DC5"/>
    <w:rsid w:val="00037F4A"/>
    <w:rsid w:val="00072A3F"/>
    <w:rsid w:val="000E538F"/>
    <w:rsid w:val="001136A2"/>
    <w:rsid w:val="001B51C8"/>
    <w:rsid w:val="001C4F91"/>
    <w:rsid w:val="001E6CF9"/>
    <w:rsid w:val="00242A20"/>
    <w:rsid w:val="002A4418"/>
    <w:rsid w:val="00312C7C"/>
    <w:rsid w:val="00315916"/>
    <w:rsid w:val="003201FA"/>
    <w:rsid w:val="00330F75"/>
    <w:rsid w:val="003C4BB8"/>
    <w:rsid w:val="003E7404"/>
    <w:rsid w:val="00401AC8"/>
    <w:rsid w:val="00494691"/>
    <w:rsid w:val="005240D4"/>
    <w:rsid w:val="00565F77"/>
    <w:rsid w:val="005B7FA6"/>
    <w:rsid w:val="00623A21"/>
    <w:rsid w:val="00627077"/>
    <w:rsid w:val="00627D71"/>
    <w:rsid w:val="0066350B"/>
    <w:rsid w:val="006F24A9"/>
    <w:rsid w:val="006F679D"/>
    <w:rsid w:val="0072317A"/>
    <w:rsid w:val="007E4962"/>
    <w:rsid w:val="0093255C"/>
    <w:rsid w:val="00987EDA"/>
    <w:rsid w:val="00A921FD"/>
    <w:rsid w:val="00A97E75"/>
    <w:rsid w:val="00AA020C"/>
    <w:rsid w:val="00AB49B7"/>
    <w:rsid w:val="00B023A2"/>
    <w:rsid w:val="00B44061"/>
    <w:rsid w:val="00BD378A"/>
    <w:rsid w:val="00C4791F"/>
    <w:rsid w:val="00CF3329"/>
    <w:rsid w:val="00D00C48"/>
    <w:rsid w:val="00D0546E"/>
    <w:rsid w:val="00D07E9B"/>
    <w:rsid w:val="00DB1E3F"/>
    <w:rsid w:val="00DC1336"/>
    <w:rsid w:val="00E32B23"/>
    <w:rsid w:val="00E41EBA"/>
    <w:rsid w:val="00E448AC"/>
    <w:rsid w:val="00E66CDC"/>
    <w:rsid w:val="00EC04A9"/>
    <w:rsid w:val="00EF43FF"/>
    <w:rsid w:val="00F26F1C"/>
    <w:rsid w:val="010742D5"/>
    <w:rsid w:val="01077B6C"/>
    <w:rsid w:val="011C2867"/>
    <w:rsid w:val="011E4134"/>
    <w:rsid w:val="012355F0"/>
    <w:rsid w:val="012B6D61"/>
    <w:rsid w:val="015C2A86"/>
    <w:rsid w:val="015F789E"/>
    <w:rsid w:val="01851778"/>
    <w:rsid w:val="01877B5A"/>
    <w:rsid w:val="018A3D3F"/>
    <w:rsid w:val="01AE11E6"/>
    <w:rsid w:val="01B70CE3"/>
    <w:rsid w:val="01D10A61"/>
    <w:rsid w:val="01D61DCE"/>
    <w:rsid w:val="01F170ED"/>
    <w:rsid w:val="01F53A09"/>
    <w:rsid w:val="01F916C8"/>
    <w:rsid w:val="02040004"/>
    <w:rsid w:val="022115FB"/>
    <w:rsid w:val="02292E42"/>
    <w:rsid w:val="02375009"/>
    <w:rsid w:val="02536BAE"/>
    <w:rsid w:val="0277756A"/>
    <w:rsid w:val="0294584C"/>
    <w:rsid w:val="029A4E8A"/>
    <w:rsid w:val="02BD7D6C"/>
    <w:rsid w:val="02C73731"/>
    <w:rsid w:val="032A675A"/>
    <w:rsid w:val="032C58C3"/>
    <w:rsid w:val="036059A4"/>
    <w:rsid w:val="037628ED"/>
    <w:rsid w:val="03804F1D"/>
    <w:rsid w:val="038D5F87"/>
    <w:rsid w:val="03996F9E"/>
    <w:rsid w:val="03A92BAF"/>
    <w:rsid w:val="03AD4EC4"/>
    <w:rsid w:val="03DC5B25"/>
    <w:rsid w:val="041155D0"/>
    <w:rsid w:val="04315D2A"/>
    <w:rsid w:val="04431C4F"/>
    <w:rsid w:val="044D523C"/>
    <w:rsid w:val="04604D98"/>
    <w:rsid w:val="046212F9"/>
    <w:rsid w:val="04663F34"/>
    <w:rsid w:val="04686D1E"/>
    <w:rsid w:val="04C20C5E"/>
    <w:rsid w:val="04E746F0"/>
    <w:rsid w:val="04E87471"/>
    <w:rsid w:val="050A0D5B"/>
    <w:rsid w:val="050D23B9"/>
    <w:rsid w:val="05162537"/>
    <w:rsid w:val="051E7487"/>
    <w:rsid w:val="053E2DA0"/>
    <w:rsid w:val="053F0EAC"/>
    <w:rsid w:val="053F23D3"/>
    <w:rsid w:val="056B3DBF"/>
    <w:rsid w:val="057D6BFC"/>
    <w:rsid w:val="057E41A9"/>
    <w:rsid w:val="05B01B1D"/>
    <w:rsid w:val="05B226DF"/>
    <w:rsid w:val="05BC5BB6"/>
    <w:rsid w:val="05CB2372"/>
    <w:rsid w:val="05F31C88"/>
    <w:rsid w:val="05FD1629"/>
    <w:rsid w:val="06221E50"/>
    <w:rsid w:val="064B5558"/>
    <w:rsid w:val="06653309"/>
    <w:rsid w:val="06653EC4"/>
    <w:rsid w:val="067544C8"/>
    <w:rsid w:val="0699402C"/>
    <w:rsid w:val="069C64C8"/>
    <w:rsid w:val="06A0112C"/>
    <w:rsid w:val="06AD7687"/>
    <w:rsid w:val="06B864B2"/>
    <w:rsid w:val="06D372D6"/>
    <w:rsid w:val="06D64E56"/>
    <w:rsid w:val="06F061D6"/>
    <w:rsid w:val="0703081A"/>
    <w:rsid w:val="070C5153"/>
    <w:rsid w:val="070E765D"/>
    <w:rsid w:val="07157529"/>
    <w:rsid w:val="071747A0"/>
    <w:rsid w:val="071E2C8A"/>
    <w:rsid w:val="07347410"/>
    <w:rsid w:val="07425FC3"/>
    <w:rsid w:val="074273EB"/>
    <w:rsid w:val="07463A3E"/>
    <w:rsid w:val="074E4D14"/>
    <w:rsid w:val="079F3EE7"/>
    <w:rsid w:val="07AE41DE"/>
    <w:rsid w:val="07D85507"/>
    <w:rsid w:val="07DF5164"/>
    <w:rsid w:val="07E50580"/>
    <w:rsid w:val="07F46C10"/>
    <w:rsid w:val="07F520AE"/>
    <w:rsid w:val="07F9224F"/>
    <w:rsid w:val="07FA589D"/>
    <w:rsid w:val="082E5DF2"/>
    <w:rsid w:val="085403A4"/>
    <w:rsid w:val="085E020A"/>
    <w:rsid w:val="086951C1"/>
    <w:rsid w:val="08696EDC"/>
    <w:rsid w:val="087075EB"/>
    <w:rsid w:val="088D6A54"/>
    <w:rsid w:val="08941B48"/>
    <w:rsid w:val="08BD6586"/>
    <w:rsid w:val="08C60C4A"/>
    <w:rsid w:val="08C72312"/>
    <w:rsid w:val="08DC3175"/>
    <w:rsid w:val="08F0261B"/>
    <w:rsid w:val="08F81693"/>
    <w:rsid w:val="08FC23B7"/>
    <w:rsid w:val="09060203"/>
    <w:rsid w:val="090A0832"/>
    <w:rsid w:val="095406F9"/>
    <w:rsid w:val="0955362C"/>
    <w:rsid w:val="09566590"/>
    <w:rsid w:val="09583EB5"/>
    <w:rsid w:val="095D7A37"/>
    <w:rsid w:val="09875848"/>
    <w:rsid w:val="09B565E4"/>
    <w:rsid w:val="09BB0BBA"/>
    <w:rsid w:val="09BB6CF7"/>
    <w:rsid w:val="09C77B1C"/>
    <w:rsid w:val="09E70A54"/>
    <w:rsid w:val="09E77E14"/>
    <w:rsid w:val="09E9749A"/>
    <w:rsid w:val="09F232F3"/>
    <w:rsid w:val="09F46495"/>
    <w:rsid w:val="09F623EB"/>
    <w:rsid w:val="09FF3A0A"/>
    <w:rsid w:val="0A082AE0"/>
    <w:rsid w:val="0A0D5A3B"/>
    <w:rsid w:val="0A172426"/>
    <w:rsid w:val="0A2355D9"/>
    <w:rsid w:val="0A3432A2"/>
    <w:rsid w:val="0A4573B3"/>
    <w:rsid w:val="0A53599E"/>
    <w:rsid w:val="0A6767AA"/>
    <w:rsid w:val="0A744A82"/>
    <w:rsid w:val="0A8528D5"/>
    <w:rsid w:val="0A903A5E"/>
    <w:rsid w:val="0A904AA4"/>
    <w:rsid w:val="0A93374C"/>
    <w:rsid w:val="0A972E8D"/>
    <w:rsid w:val="0AAA5EAC"/>
    <w:rsid w:val="0AB40849"/>
    <w:rsid w:val="0ABB2280"/>
    <w:rsid w:val="0AD56F1F"/>
    <w:rsid w:val="0AE30D6F"/>
    <w:rsid w:val="0AE946CC"/>
    <w:rsid w:val="0AEA3C8C"/>
    <w:rsid w:val="0AEE0D1E"/>
    <w:rsid w:val="0AFC0782"/>
    <w:rsid w:val="0B1701D0"/>
    <w:rsid w:val="0B1E0CF0"/>
    <w:rsid w:val="0B556C34"/>
    <w:rsid w:val="0B6C389D"/>
    <w:rsid w:val="0B760351"/>
    <w:rsid w:val="0B846791"/>
    <w:rsid w:val="0B8B536A"/>
    <w:rsid w:val="0BCC7711"/>
    <w:rsid w:val="0BCD0049"/>
    <w:rsid w:val="0BE83010"/>
    <w:rsid w:val="0BEA0DB9"/>
    <w:rsid w:val="0C061D9D"/>
    <w:rsid w:val="0C0F3325"/>
    <w:rsid w:val="0C1358B4"/>
    <w:rsid w:val="0C35472E"/>
    <w:rsid w:val="0C4551B9"/>
    <w:rsid w:val="0C480F3E"/>
    <w:rsid w:val="0C4813D5"/>
    <w:rsid w:val="0C585BE0"/>
    <w:rsid w:val="0C7E2237"/>
    <w:rsid w:val="0C9F1CEA"/>
    <w:rsid w:val="0CBE1DF9"/>
    <w:rsid w:val="0CC9599A"/>
    <w:rsid w:val="0CE0341A"/>
    <w:rsid w:val="0D10283C"/>
    <w:rsid w:val="0D3F7F2E"/>
    <w:rsid w:val="0D494870"/>
    <w:rsid w:val="0D5456F5"/>
    <w:rsid w:val="0D5955C7"/>
    <w:rsid w:val="0D705EC6"/>
    <w:rsid w:val="0D7C5049"/>
    <w:rsid w:val="0D83675C"/>
    <w:rsid w:val="0D8C75B3"/>
    <w:rsid w:val="0D9E0018"/>
    <w:rsid w:val="0DB757B9"/>
    <w:rsid w:val="0DE7555E"/>
    <w:rsid w:val="0DF06351"/>
    <w:rsid w:val="0E0979BF"/>
    <w:rsid w:val="0E2F5189"/>
    <w:rsid w:val="0E5A014C"/>
    <w:rsid w:val="0E5E4DB8"/>
    <w:rsid w:val="0E5F6E07"/>
    <w:rsid w:val="0E607B1B"/>
    <w:rsid w:val="0E6126CF"/>
    <w:rsid w:val="0E635AF2"/>
    <w:rsid w:val="0E7F77A7"/>
    <w:rsid w:val="0E8405CA"/>
    <w:rsid w:val="0E8D5133"/>
    <w:rsid w:val="0EB1236A"/>
    <w:rsid w:val="0F197C6F"/>
    <w:rsid w:val="0F270991"/>
    <w:rsid w:val="0F3E6F11"/>
    <w:rsid w:val="0F6F7789"/>
    <w:rsid w:val="0FC27645"/>
    <w:rsid w:val="101F02CE"/>
    <w:rsid w:val="105C5738"/>
    <w:rsid w:val="107907CC"/>
    <w:rsid w:val="10843C5D"/>
    <w:rsid w:val="109909D1"/>
    <w:rsid w:val="10B73F1D"/>
    <w:rsid w:val="10BE1B05"/>
    <w:rsid w:val="10C84882"/>
    <w:rsid w:val="10D1178C"/>
    <w:rsid w:val="10E07EE2"/>
    <w:rsid w:val="10F630E0"/>
    <w:rsid w:val="11112CBE"/>
    <w:rsid w:val="11163418"/>
    <w:rsid w:val="111818B8"/>
    <w:rsid w:val="113B439C"/>
    <w:rsid w:val="11537715"/>
    <w:rsid w:val="11565610"/>
    <w:rsid w:val="11674F62"/>
    <w:rsid w:val="1171000D"/>
    <w:rsid w:val="118A244C"/>
    <w:rsid w:val="11950BDB"/>
    <w:rsid w:val="119C5B20"/>
    <w:rsid w:val="11A0203A"/>
    <w:rsid w:val="11A2124C"/>
    <w:rsid w:val="11AC592C"/>
    <w:rsid w:val="11AD389E"/>
    <w:rsid w:val="11C20C82"/>
    <w:rsid w:val="11C768FF"/>
    <w:rsid w:val="11D675CB"/>
    <w:rsid w:val="11E52A91"/>
    <w:rsid w:val="12063740"/>
    <w:rsid w:val="12101447"/>
    <w:rsid w:val="12275F24"/>
    <w:rsid w:val="12300982"/>
    <w:rsid w:val="123756C9"/>
    <w:rsid w:val="125F1817"/>
    <w:rsid w:val="12631B42"/>
    <w:rsid w:val="12655569"/>
    <w:rsid w:val="12695551"/>
    <w:rsid w:val="127F2662"/>
    <w:rsid w:val="128435EC"/>
    <w:rsid w:val="129643EF"/>
    <w:rsid w:val="12B83A98"/>
    <w:rsid w:val="12BB4641"/>
    <w:rsid w:val="12BF6231"/>
    <w:rsid w:val="12CD4F26"/>
    <w:rsid w:val="12CE1F8E"/>
    <w:rsid w:val="13024F62"/>
    <w:rsid w:val="1307442E"/>
    <w:rsid w:val="130B3F40"/>
    <w:rsid w:val="13244721"/>
    <w:rsid w:val="13285985"/>
    <w:rsid w:val="133A1A09"/>
    <w:rsid w:val="133C703D"/>
    <w:rsid w:val="13494163"/>
    <w:rsid w:val="134C77A5"/>
    <w:rsid w:val="134D2BB6"/>
    <w:rsid w:val="135D3F89"/>
    <w:rsid w:val="135E6A8D"/>
    <w:rsid w:val="13731B39"/>
    <w:rsid w:val="1381791C"/>
    <w:rsid w:val="13A11F77"/>
    <w:rsid w:val="13A75515"/>
    <w:rsid w:val="13C30E6E"/>
    <w:rsid w:val="140769BE"/>
    <w:rsid w:val="1413430F"/>
    <w:rsid w:val="141613F9"/>
    <w:rsid w:val="14203CB8"/>
    <w:rsid w:val="143A0B7C"/>
    <w:rsid w:val="143C354F"/>
    <w:rsid w:val="144646A7"/>
    <w:rsid w:val="14545F32"/>
    <w:rsid w:val="14596F4E"/>
    <w:rsid w:val="146F011F"/>
    <w:rsid w:val="147632A2"/>
    <w:rsid w:val="14872049"/>
    <w:rsid w:val="14936552"/>
    <w:rsid w:val="149D6433"/>
    <w:rsid w:val="14C272D2"/>
    <w:rsid w:val="14E463A0"/>
    <w:rsid w:val="14EA3450"/>
    <w:rsid w:val="14F767B6"/>
    <w:rsid w:val="14FB222F"/>
    <w:rsid w:val="14FF79DA"/>
    <w:rsid w:val="150F0D42"/>
    <w:rsid w:val="151C2838"/>
    <w:rsid w:val="153E582F"/>
    <w:rsid w:val="159016BB"/>
    <w:rsid w:val="15E5000F"/>
    <w:rsid w:val="16031113"/>
    <w:rsid w:val="16213B9C"/>
    <w:rsid w:val="165F0C7D"/>
    <w:rsid w:val="16674FC6"/>
    <w:rsid w:val="16692CA6"/>
    <w:rsid w:val="16725D01"/>
    <w:rsid w:val="168F227C"/>
    <w:rsid w:val="16F45F36"/>
    <w:rsid w:val="16F64319"/>
    <w:rsid w:val="16FC1D97"/>
    <w:rsid w:val="171F0861"/>
    <w:rsid w:val="17372639"/>
    <w:rsid w:val="173D243C"/>
    <w:rsid w:val="17534ECF"/>
    <w:rsid w:val="175F0E7A"/>
    <w:rsid w:val="1767434D"/>
    <w:rsid w:val="178B2122"/>
    <w:rsid w:val="17BA77C8"/>
    <w:rsid w:val="17C93C3F"/>
    <w:rsid w:val="17D71645"/>
    <w:rsid w:val="17DD1E28"/>
    <w:rsid w:val="17E01BB1"/>
    <w:rsid w:val="17E21891"/>
    <w:rsid w:val="181011F1"/>
    <w:rsid w:val="181C38B0"/>
    <w:rsid w:val="181E053B"/>
    <w:rsid w:val="18205336"/>
    <w:rsid w:val="184F29B3"/>
    <w:rsid w:val="185751B3"/>
    <w:rsid w:val="18810539"/>
    <w:rsid w:val="18AA0A18"/>
    <w:rsid w:val="18C732E0"/>
    <w:rsid w:val="18DF40DC"/>
    <w:rsid w:val="18F45107"/>
    <w:rsid w:val="18F47AF6"/>
    <w:rsid w:val="190A522C"/>
    <w:rsid w:val="191C0124"/>
    <w:rsid w:val="192349BD"/>
    <w:rsid w:val="19297C63"/>
    <w:rsid w:val="192A06DB"/>
    <w:rsid w:val="192C0B58"/>
    <w:rsid w:val="192D288C"/>
    <w:rsid w:val="194335B5"/>
    <w:rsid w:val="197467ED"/>
    <w:rsid w:val="198218DD"/>
    <w:rsid w:val="19A01ECA"/>
    <w:rsid w:val="19BF2F9E"/>
    <w:rsid w:val="19C56581"/>
    <w:rsid w:val="19EE41FA"/>
    <w:rsid w:val="1A002E3D"/>
    <w:rsid w:val="1A0E78C9"/>
    <w:rsid w:val="1A5A6066"/>
    <w:rsid w:val="1A777345"/>
    <w:rsid w:val="1A7A4184"/>
    <w:rsid w:val="1A8D59A2"/>
    <w:rsid w:val="1A8E3BCD"/>
    <w:rsid w:val="1A937E07"/>
    <w:rsid w:val="1AD15B84"/>
    <w:rsid w:val="1AD75407"/>
    <w:rsid w:val="1ADA6CD0"/>
    <w:rsid w:val="1AF47380"/>
    <w:rsid w:val="1B0C0005"/>
    <w:rsid w:val="1B251F48"/>
    <w:rsid w:val="1B3833FF"/>
    <w:rsid w:val="1B396BED"/>
    <w:rsid w:val="1B4C6CA1"/>
    <w:rsid w:val="1B52759D"/>
    <w:rsid w:val="1B612ED3"/>
    <w:rsid w:val="1B6A011C"/>
    <w:rsid w:val="1B705E15"/>
    <w:rsid w:val="1B8C6B7B"/>
    <w:rsid w:val="1BA0571E"/>
    <w:rsid w:val="1BA72C10"/>
    <w:rsid w:val="1BB91038"/>
    <w:rsid w:val="1BBF65FB"/>
    <w:rsid w:val="1BD162E3"/>
    <w:rsid w:val="1BDE64F1"/>
    <w:rsid w:val="1BEA1EEC"/>
    <w:rsid w:val="1BF657FB"/>
    <w:rsid w:val="1BF765A0"/>
    <w:rsid w:val="1BF868AD"/>
    <w:rsid w:val="1C0503E8"/>
    <w:rsid w:val="1C126363"/>
    <w:rsid w:val="1C2023D8"/>
    <w:rsid w:val="1C38518D"/>
    <w:rsid w:val="1C766429"/>
    <w:rsid w:val="1C771298"/>
    <w:rsid w:val="1C786858"/>
    <w:rsid w:val="1C800114"/>
    <w:rsid w:val="1C9A155D"/>
    <w:rsid w:val="1CAB69CA"/>
    <w:rsid w:val="1CB15134"/>
    <w:rsid w:val="1CC92F95"/>
    <w:rsid w:val="1CE5165E"/>
    <w:rsid w:val="1CFA7EEF"/>
    <w:rsid w:val="1CFB1146"/>
    <w:rsid w:val="1D077978"/>
    <w:rsid w:val="1D0E75B6"/>
    <w:rsid w:val="1D2331DE"/>
    <w:rsid w:val="1D312AFC"/>
    <w:rsid w:val="1D325ED3"/>
    <w:rsid w:val="1D37062D"/>
    <w:rsid w:val="1D4105A8"/>
    <w:rsid w:val="1D487EB6"/>
    <w:rsid w:val="1D7B204C"/>
    <w:rsid w:val="1DB72E7F"/>
    <w:rsid w:val="1E317170"/>
    <w:rsid w:val="1E331E3B"/>
    <w:rsid w:val="1E3C1C1F"/>
    <w:rsid w:val="1E4914EC"/>
    <w:rsid w:val="1E561B49"/>
    <w:rsid w:val="1E5B5B74"/>
    <w:rsid w:val="1E925E44"/>
    <w:rsid w:val="1EDB21B2"/>
    <w:rsid w:val="1EE21D29"/>
    <w:rsid w:val="1F0B37C8"/>
    <w:rsid w:val="1F280F4B"/>
    <w:rsid w:val="1F3E1D5D"/>
    <w:rsid w:val="1F441C9D"/>
    <w:rsid w:val="1F6E3177"/>
    <w:rsid w:val="1F6F04BA"/>
    <w:rsid w:val="1F6F7A87"/>
    <w:rsid w:val="1F7742A1"/>
    <w:rsid w:val="1F832B7E"/>
    <w:rsid w:val="1F8C15A6"/>
    <w:rsid w:val="1F986F45"/>
    <w:rsid w:val="1F9F6666"/>
    <w:rsid w:val="1FBA5A84"/>
    <w:rsid w:val="1FC40F5C"/>
    <w:rsid w:val="1FCD6552"/>
    <w:rsid w:val="1FE07634"/>
    <w:rsid w:val="1FF829ED"/>
    <w:rsid w:val="20027E74"/>
    <w:rsid w:val="201047BC"/>
    <w:rsid w:val="2019412B"/>
    <w:rsid w:val="2024650C"/>
    <w:rsid w:val="204E5FD2"/>
    <w:rsid w:val="20703E6E"/>
    <w:rsid w:val="207A428C"/>
    <w:rsid w:val="20835E3C"/>
    <w:rsid w:val="208A0C45"/>
    <w:rsid w:val="208F1332"/>
    <w:rsid w:val="209C08EE"/>
    <w:rsid w:val="20AA71C2"/>
    <w:rsid w:val="20B10A0D"/>
    <w:rsid w:val="20B9166B"/>
    <w:rsid w:val="20D02ECC"/>
    <w:rsid w:val="20DC2970"/>
    <w:rsid w:val="20E04669"/>
    <w:rsid w:val="20FA7410"/>
    <w:rsid w:val="21076B87"/>
    <w:rsid w:val="21094E07"/>
    <w:rsid w:val="21113681"/>
    <w:rsid w:val="21250156"/>
    <w:rsid w:val="212B3666"/>
    <w:rsid w:val="21523AD1"/>
    <w:rsid w:val="215C6880"/>
    <w:rsid w:val="216D19EE"/>
    <w:rsid w:val="21860B2C"/>
    <w:rsid w:val="218F0080"/>
    <w:rsid w:val="21DE79E0"/>
    <w:rsid w:val="21E13F03"/>
    <w:rsid w:val="22084595"/>
    <w:rsid w:val="2225605D"/>
    <w:rsid w:val="222A72A4"/>
    <w:rsid w:val="222F2404"/>
    <w:rsid w:val="22423882"/>
    <w:rsid w:val="226C1BBE"/>
    <w:rsid w:val="227334E7"/>
    <w:rsid w:val="22734646"/>
    <w:rsid w:val="228B5E91"/>
    <w:rsid w:val="22AE1EDE"/>
    <w:rsid w:val="22C23296"/>
    <w:rsid w:val="22DD6CC1"/>
    <w:rsid w:val="2307360A"/>
    <w:rsid w:val="230F0CC5"/>
    <w:rsid w:val="231E1E30"/>
    <w:rsid w:val="23223517"/>
    <w:rsid w:val="23243D93"/>
    <w:rsid w:val="232931CF"/>
    <w:rsid w:val="233E3FBC"/>
    <w:rsid w:val="23444415"/>
    <w:rsid w:val="234D2AE9"/>
    <w:rsid w:val="23505F5A"/>
    <w:rsid w:val="235F3612"/>
    <w:rsid w:val="23666663"/>
    <w:rsid w:val="23693289"/>
    <w:rsid w:val="23757B5B"/>
    <w:rsid w:val="237B0E89"/>
    <w:rsid w:val="238732D2"/>
    <w:rsid w:val="23887728"/>
    <w:rsid w:val="239147E1"/>
    <w:rsid w:val="23920DB7"/>
    <w:rsid w:val="239C1E68"/>
    <w:rsid w:val="23BB34F7"/>
    <w:rsid w:val="23D167C1"/>
    <w:rsid w:val="23FE2934"/>
    <w:rsid w:val="24105169"/>
    <w:rsid w:val="24145543"/>
    <w:rsid w:val="2415164D"/>
    <w:rsid w:val="242853E9"/>
    <w:rsid w:val="24372605"/>
    <w:rsid w:val="24426206"/>
    <w:rsid w:val="247921D2"/>
    <w:rsid w:val="24D40FD8"/>
    <w:rsid w:val="24DE5C48"/>
    <w:rsid w:val="24E51E80"/>
    <w:rsid w:val="24F64777"/>
    <w:rsid w:val="24FB1C59"/>
    <w:rsid w:val="24FE0E05"/>
    <w:rsid w:val="25517809"/>
    <w:rsid w:val="256C1BBD"/>
    <w:rsid w:val="256F2571"/>
    <w:rsid w:val="2576124C"/>
    <w:rsid w:val="258130F7"/>
    <w:rsid w:val="259402E7"/>
    <w:rsid w:val="25AF3989"/>
    <w:rsid w:val="25B82D92"/>
    <w:rsid w:val="25C73339"/>
    <w:rsid w:val="25C772BF"/>
    <w:rsid w:val="25D05B49"/>
    <w:rsid w:val="25D62822"/>
    <w:rsid w:val="25F82554"/>
    <w:rsid w:val="25FD1357"/>
    <w:rsid w:val="260B3061"/>
    <w:rsid w:val="26205FC9"/>
    <w:rsid w:val="262931EB"/>
    <w:rsid w:val="262E591A"/>
    <w:rsid w:val="263771C4"/>
    <w:rsid w:val="26400EA4"/>
    <w:rsid w:val="265B4748"/>
    <w:rsid w:val="26622CD9"/>
    <w:rsid w:val="266372C2"/>
    <w:rsid w:val="267961DB"/>
    <w:rsid w:val="268C7D4E"/>
    <w:rsid w:val="26A60A07"/>
    <w:rsid w:val="26B424FB"/>
    <w:rsid w:val="26CC1B59"/>
    <w:rsid w:val="26D10703"/>
    <w:rsid w:val="26D10ECC"/>
    <w:rsid w:val="26EF57DC"/>
    <w:rsid w:val="27083115"/>
    <w:rsid w:val="27142A2D"/>
    <w:rsid w:val="271B4881"/>
    <w:rsid w:val="271F6195"/>
    <w:rsid w:val="27214C90"/>
    <w:rsid w:val="272414C7"/>
    <w:rsid w:val="272A2ED5"/>
    <w:rsid w:val="273E547E"/>
    <w:rsid w:val="27685524"/>
    <w:rsid w:val="276959E0"/>
    <w:rsid w:val="276F555C"/>
    <w:rsid w:val="27702C8E"/>
    <w:rsid w:val="27827E3D"/>
    <w:rsid w:val="27A028B7"/>
    <w:rsid w:val="27AB6605"/>
    <w:rsid w:val="27BF3604"/>
    <w:rsid w:val="27D26786"/>
    <w:rsid w:val="27EA6257"/>
    <w:rsid w:val="27FD3CE9"/>
    <w:rsid w:val="2831638E"/>
    <w:rsid w:val="284F457A"/>
    <w:rsid w:val="28503B39"/>
    <w:rsid w:val="285117F8"/>
    <w:rsid w:val="28583EAA"/>
    <w:rsid w:val="288445F5"/>
    <w:rsid w:val="28883EBB"/>
    <w:rsid w:val="28885F5E"/>
    <w:rsid w:val="28901CD3"/>
    <w:rsid w:val="28907627"/>
    <w:rsid w:val="28A908AA"/>
    <w:rsid w:val="28C3120E"/>
    <w:rsid w:val="28D9203E"/>
    <w:rsid w:val="290A1459"/>
    <w:rsid w:val="290D2770"/>
    <w:rsid w:val="2927239E"/>
    <w:rsid w:val="293430C2"/>
    <w:rsid w:val="29394DC3"/>
    <w:rsid w:val="294D3F3D"/>
    <w:rsid w:val="296A69AB"/>
    <w:rsid w:val="296E2E4C"/>
    <w:rsid w:val="297A28A9"/>
    <w:rsid w:val="29871168"/>
    <w:rsid w:val="299C3570"/>
    <w:rsid w:val="299C610E"/>
    <w:rsid w:val="299F7580"/>
    <w:rsid w:val="29B24934"/>
    <w:rsid w:val="29B661A7"/>
    <w:rsid w:val="29C25DAC"/>
    <w:rsid w:val="29EF59E7"/>
    <w:rsid w:val="29F869C7"/>
    <w:rsid w:val="29FA460F"/>
    <w:rsid w:val="2A081208"/>
    <w:rsid w:val="2A19132F"/>
    <w:rsid w:val="2A1E3A2B"/>
    <w:rsid w:val="2A3714C4"/>
    <w:rsid w:val="2A4E1459"/>
    <w:rsid w:val="2A5E24DB"/>
    <w:rsid w:val="2A926984"/>
    <w:rsid w:val="2AA908E7"/>
    <w:rsid w:val="2AC017A8"/>
    <w:rsid w:val="2AC36155"/>
    <w:rsid w:val="2AF2488D"/>
    <w:rsid w:val="2B1C1A99"/>
    <w:rsid w:val="2B334F71"/>
    <w:rsid w:val="2B50394A"/>
    <w:rsid w:val="2B753191"/>
    <w:rsid w:val="2B7D6E07"/>
    <w:rsid w:val="2B9444D2"/>
    <w:rsid w:val="2BE340CE"/>
    <w:rsid w:val="2BFC3479"/>
    <w:rsid w:val="2BFD1056"/>
    <w:rsid w:val="2C1E1CA1"/>
    <w:rsid w:val="2C214447"/>
    <w:rsid w:val="2C232160"/>
    <w:rsid w:val="2C4D6F1B"/>
    <w:rsid w:val="2C587217"/>
    <w:rsid w:val="2C825683"/>
    <w:rsid w:val="2C8D63B1"/>
    <w:rsid w:val="2CBB44E5"/>
    <w:rsid w:val="2CBC77F6"/>
    <w:rsid w:val="2CDB55D6"/>
    <w:rsid w:val="2D1D236A"/>
    <w:rsid w:val="2D292626"/>
    <w:rsid w:val="2D7A0C46"/>
    <w:rsid w:val="2DAB174B"/>
    <w:rsid w:val="2DAC3053"/>
    <w:rsid w:val="2DB21AB3"/>
    <w:rsid w:val="2DC70AE2"/>
    <w:rsid w:val="2DCA6026"/>
    <w:rsid w:val="2DCD4928"/>
    <w:rsid w:val="2DE96603"/>
    <w:rsid w:val="2E096E66"/>
    <w:rsid w:val="2E1729D6"/>
    <w:rsid w:val="2E1A0C6A"/>
    <w:rsid w:val="2E347EE6"/>
    <w:rsid w:val="2E374A38"/>
    <w:rsid w:val="2E3A1850"/>
    <w:rsid w:val="2E3C5510"/>
    <w:rsid w:val="2E4A61BB"/>
    <w:rsid w:val="2E6305D7"/>
    <w:rsid w:val="2E690638"/>
    <w:rsid w:val="2E875B98"/>
    <w:rsid w:val="2EA37EAA"/>
    <w:rsid w:val="2EBD7031"/>
    <w:rsid w:val="2EF73B32"/>
    <w:rsid w:val="2F011E82"/>
    <w:rsid w:val="2F240791"/>
    <w:rsid w:val="2F492921"/>
    <w:rsid w:val="2F4C7446"/>
    <w:rsid w:val="2F6858EF"/>
    <w:rsid w:val="2F6A0B1E"/>
    <w:rsid w:val="2F784161"/>
    <w:rsid w:val="2F7B48B5"/>
    <w:rsid w:val="2F853233"/>
    <w:rsid w:val="2FAF333B"/>
    <w:rsid w:val="2FC27E67"/>
    <w:rsid w:val="2FCD2C96"/>
    <w:rsid w:val="2FE66FC1"/>
    <w:rsid w:val="30160CDB"/>
    <w:rsid w:val="301B2075"/>
    <w:rsid w:val="30243B4E"/>
    <w:rsid w:val="30287A71"/>
    <w:rsid w:val="3046030C"/>
    <w:rsid w:val="30613F93"/>
    <w:rsid w:val="306162D4"/>
    <w:rsid w:val="30635A86"/>
    <w:rsid w:val="30640592"/>
    <w:rsid w:val="30797BE5"/>
    <w:rsid w:val="308146B4"/>
    <w:rsid w:val="309F27BB"/>
    <w:rsid w:val="30A9101A"/>
    <w:rsid w:val="30C01081"/>
    <w:rsid w:val="30C81567"/>
    <w:rsid w:val="30CD46BC"/>
    <w:rsid w:val="31013135"/>
    <w:rsid w:val="311763B6"/>
    <w:rsid w:val="31257A15"/>
    <w:rsid w:val="31452A71"/>
    <w:rsid w:val="31527289"/>
    <w:rsid w:val="31834561"/>
    <w:rsid w:val="318F2514"/>
    <w:rsid w:val="31AC658F"/>
    <w:rsid w:val="31B2519D"/>
    <w:rsid w:val="31B37BA1"/>
    <w:rsid w:val="31BA1E9E"/>
    <w:rsid w:val="31EE6D68"/>
    <w:rsid w:val="31F241E6"/>
    <w:rsid w:val="31FD2600"/>
    <w:rsid w:val="32114B98"/>
    <w:rsid w:val="32127E75"/>
    <w:rsid w:val="32210BD1"/>
    <w:rsid w:val="322658D9"/>
    <w:rsid w:val="32361B53"/>
    <w:rsid w:val="32400891"/>
    <w:rsid w:val="32493248"/>
    <w:rsid w:val="324C0B81"/>
    <w:rsid w:val="3272558C"/>
    <w:rsid w:val="327403EA"/>
    <w:rsid w:val="328B3A46"/>
    <w:rsid w:val="3299612B"/>
    <w:rsid w:val="32C25872"/>
    <w:rsid w:val="32CB1F44"/>
    <w:rsid w:val="32D473D1"/>
    <w:rsid w:val="32DA51AD"/>
    <w:rsid w:val="32DC671C"/>
    <w:rsid w:val="33091096"/>
    <w:rsid w:val="33232830"/>
    <w:rsid w:val="33247F6A"/>
    <w:rsid w:val="33442827"/>
    <w:rsid w:val="33462AFF"/>
    <w:rsid w:val="337E52FC"/>
    <w:rsid w:val="33843CA1"/>
    <w:rsid w:val="338604C2"/>
    <w:rsid w:val="338F2A0F"/>
    <w:rsid w:val="33996246"/>
    <w:rsid w:val="33DC7649"/>
    <w:rsid w:val="340639D6"/>
    <w:rsid w:val="34105AD1"/>
    <w:rsid w:val="34731AFC"/>
    <w:rsid w:val="347728F4"/>
    <w:rsid w:val="348B54C8"/>
    <w:rsid w:val="34915550"/>
    <w:rsid w:val="349D56AC"/>
    <w:rsid w:val="349D6BA5"/>
    <w:rsid w:val="34A11B7B"/>
    <w:rsid w:val="34A6697A"/>
    <w:rsid w:val="34AF7E71"/>
    <w:rsid w:val="34B33A72"/>
    <w:rsid w:val="34BF1760"/>
    <w:rsid w:val="34D5280E"/>
    <w:rsid w:val="34E20D20"/>
    <w:rsid w:val="350C7DB7"/>
    <w:rsid w:val="354445B6"/>
    <w:rsid w:val="3562042D"/>
    <w:rsid w:val="356608C9"/>
    <w:rsid w:val="35850AE6"/>
    <w:rsid w:val="35DE1818"/>
    <w:rsid w:val="35E06871"/>
    <w:rsid w:val="35E6061B"/>
    <w:rsid w:val="36146F55"/>
    <w:rsid w:val="362C64F3"/>
    <w:rsid w:val="36787E34"/>
    <w:rsid w:val="36BC0067"/>
    <w:rsid w:val="36CE5C77"/>
    <w:rsid w:val="36D40786"/>
    <w:rsid w:val="36D974F7"/>
    <w:rsid w:val="36E03CF2"/>
    <w:rsid w:val="36E05B33"/>
    <w:rsid w:val="36E77649"/>
    <w:rsid w:val="36EB68C6"/>
    <w:rsid w:val="36FC06E4"/>
    <w:rsid w:val="37002BA5"/>
    <w:rsid w:val="372A57D1"/>
    <w:rsid w:val="373006D6"/>
    <w:rsid w:val="373215AF"/>
    <w:rsid w:val="37395AAC"/>
    <w:rsid w:val="374A6DB2"/>
    <w:rsid w:val="37533A9C"/>
    <w:rsid w:val="37554C2A"/>
    <w:rsid w:val="376C2F8C"/>
    <w:rsid w:val="37733C45"/>
    <w:rsid w:val="37EA244F"/>
    <w:rsid w:val="3801691A"/>
    <w:rsid w:val="38022911"/>
    <w:rsid w:val="38053C44"/>
    <w:rsid w:val="3816564C"/>
    <w:rsid w:val="382A2A0E"/>
    <w:rsid w:val="383C5D00"/>
    <w:rsid w:val="383F5E4A"/>
    <w:rsid w:val="38622194"/>
    <w:rsid w:val="38684F32"/>
    <w:rsid w:val="387A7CA5"/>
    <w:rsid w:val="387E3BF1"/>
    <w:rsid w:val="388E0F50"/>
    <w:rsid w:val="388E2941"/>
    <w:rsid w:val="38941E98"/>
    <w:rsid w:val="38983F5E"/>
    <w:rsid w:val="38EC1118"/>
    <w:rsid w:val="38F96580"/>
    <w:rsid w:val="38FD1A72"/>
    <w:rsid w:val="39056352"/>
    <w:rsid w:val="392F5095"/>
    <w:rsid w:val="3938092E"/>
    <w:rsid w:val="39413193"/>
    <w:rsid w:val="39465433"/>
    <w:rsid w:val="395B6912"/>
    <w:rsid w:val="39667865"/>
    <w:rsid w:val="39750ACE"/>
    <w:rsid w:val="398A61BC"/>
    <w:rsid w:val="399510E7"/>
    <w:rsid w:val="399B683C"/>
    <w:rsid w:val="399D3FE9"/>
    <w:rsid w:val="39A3139D"/>
    <w:rsid w:val="39B51F60"/>
    <w:rsid w:val="39BD1693"/>
    <w:rsid w:val="39BE3B67"/>
    <w:rsid w:val="39E932D4"/>
    <w:rsid w:val="39EA0C0C"/>
    <w:rsid w:val="39FB25CF"/>
    <w:rsid w:val="3A1C6D85"/>
    <w:rsid w:val="3A3F6C87"/>
    <w:rsid w:val="3A531373"/>
    <w:rsid w:val="3A5B021A"/>
    <w:rsid w:val="3A772970"/>
    <w:rsid w:val="3A7D6D38"/>
    <w:rsid w:val="3AB971E4"/>
    <w:rsid w:val="3ADF78F0"/>
    <w:rsid w:val="3AE00107"/>
    <w:rsid w:val="3AE428CE"/>
    <w:rsid w:val="3B023CD3"/>
    <w:rsid w:val="3B140F58"/>
    <w:rsid w:val="3B170940"/>
    <w:rsid w:val="3B2A2C19"/>
    <w:rsid w:val="3B376B70"/>
    <w:rsid w:val="3B7A7129"/>
    <w:rsid w:val="3B7D7576"/>
    <w:rsid w:val="3B7F1E8C"/>
    <w:rsid w:val="3B890DAC"/>
    <w:rsid w:val="3BA25DBC"/>
    <w:rsid w:val="3BC76E9C"/>
    <w:rsid w:val="3BCB467A"/>
    <w:rsid w:val="3BE90506"/>
    <w:rsid w:val="3BEB6832"/>
    <w:rsid w:val="3BF45DB6"/>
    <w:rsid w:val="3BFA06DC"/>
    <w:rsid w:val="3C2E5ED4"/>
    <w:rsid w:val="3C3B6FA3"/>
    <w:rsid w:val="3C40766B"/>
    <w:rsid w:val="3C424805"/>
    <w:rsid w:val="3C7F621D"/>
    <w:rsid w:val="3C8B47EB"/>
    <w:rsid w:val="3CB57E54"/>
    <w:rsid w:val="3CB94393"/>
    <w:rsid w:val="3CBB6AC9"/>
    <w:rsid w:val="3CBD35C8"/>
    <w:rsid w:val="3D0E3E15"/>
    <w:rsid w:val="3D1456AE"/>
    <w:rsid w:val="3D145DCC"/>
    <w:rsid w:val="3D1C0002"/>
    <w:rsid w:val="3D2962ED"/>
    <w:rsid w:val="3D2D7B94"/>
    <w:rsid w:val="3D340B81"/>
    <w:rsid w:val="3D4E706F"/>
    <w:rsid w:val="3D6D5435"/>
    <w:rsid w:val="3D8311E9"/>
    <w:rsid w:val="3DAA319C"/>
    <w:rsid w:val="3DC27AF5"/>
    <w:rsid w:val="3E036111"/>
    <w:rsid w:val="3E512635"/>
    <w:rsid w:val="3E5D6B5C"/>
    <w:rsid w:val="3E7E4756"/>
    <w:rsid w:val="3E8106B7"/>
    <w:rsid w:val="3E845265"/>
    <w:rsid w:val="3E9A3719"/>
    <w:rsid w:val="3EC254C0"/>
    <w:rsid w:val="3ED07987"/>
    <w:rsid w:val="3EED10F8"/>
    <w:rsid w:val="3EFE25BA"/>
    <w:rsid w:val="3F310FA6"/>
    <w:rsid w:val="3F337D20"/>
    <w:rsid w:val="3F394E7F"/>
    <w:rsid w:val="3F3E3D7D"/>
    <w:rsid w:val="3F506818"/>
    <w:rsid w:val="3F684E6E"/>
    <w:rsid w:val="3F6A3676"/>
    <w:rsid w:val="3F710A6F"/>
    <w:rsid w:val="3F7E1F67"/>
    <w:rsid w:val="3F83420A"/>
    <w:rsid w:val="3F8F7315"/>
    <w:rsid w:val="3F9A203F"/>
    <w:rsid w:val="3FA67005"/>
    <w:rsid w:val="3FAE6184"/>
    <w:rsid w:val="3FE36C1C"/>
    <w:rsid w:val="3FE72AEA"/>
    <w:rsid w:val="3FEB19D5"/>
    <w:rsid w:val="3FFDE5B1"/>
    <w:rsid w:val="403B55F7"/>
    <w:rsid w:val="403D5505"/>
    <w:rsid w:val="404C5FC4"/>
    <w:rsid w:val="40632B44"/>
    <w:rsid w:val="408853C4"/>
    <w:rsid w:val="40D75E60"/>
    <w:rsid w:val="40DA0CED"/>
    <w:rsid w:val="40F2437B"/>
    <w:rsid w:val="40FD48E0"/>
    <w:rsid w:val="40FE1BCF"/>
    <w:rsid w:val="40FE520F"/>
    <w:rsid w:val="41353E3C"/>
    <w:rsid w:val="414562FD"/>
    <w:rsid w:val="414C3B30"/>
    <w:rsid w:val="41563B9A"/>
    <w:rsid w:val="41731331"/>
    <w:rsid w:val="417B7161"/>
    <w:rsid w:val="418579D7"/>
    <w:rsid w:val="418C6B85"/>
    <w:rsid w:val="4196095F"/>
    <w:rsid w:val="41961CCB"/>
    <w:rsid w:val="419D72A2"/>
    <w:rsid w:val="419E2D19"/>
    <w:rsid w:val="41A0236E"/>
    <w:rsid w:val="41A36E47"/>
    <w:rsid w:val="41A96728"/>
    <w:rsid w:val="41AB6899"/>
    <w:rsid w:val="41F95353"/>
    <w:rsid w:val="42076836"/>
    <w:rsid w:val="420F1D94"/>
    <w:rsid w:val="423B1FA8"/>
    <w:rsid w:val="424E4424"/>
    <w:rsid w:val="42520C0B"/>
    <w:rsid w:val="42666B2A"/>
    <w:rsid w:val="429325D1"/>
    <w:rsid w:val="429B53DF"/>
    <w:rsid w:val="429E3CF8"/>
    <w:rsid w:val="42BC7452"/>
    <w:rsid w:val="42D12138"/>
    <w:rsid w:val="42F7079D"/>
    <w:rsid w:val="430D4AC0"/>
    <w:rsid w:val="431E047F"/>
    <w:rsid w:val="431E65EF"/>
    <w:rsid w:val="43522956"/>
    <w:rsid w:val="43624EAD"/>
    <w:rsid w:val="437750CA"/>
    <w:rsid w:val="438D45B9"/>
    <w:rsid w:val="43985D00"/>
    <w:rsid w:val="43986BA3"/>
    <w:rsid w:val="43AB2F4E"/>
    <w:rsid w:val="43AC3F44"/>
    <w:rsid w:val="43B1210D"/>
    <w:rsid w:val="43DE77F3"/>
    <w:rsid w:val="43EE5AE9"/>
    <w:rsid w:val="43EF7EFB"/>
    <w:rsid w:val="43FA2050"/>
    <w:rsid w:val="4400649E"/>
    <w:rsid w:val="441910A9"/>
    <w:rsid w:val="44500782"/>
    <w:rsid w:val="446871A0"/>
    <w:rsid w:val="4478624B"/>
    <w:rsid w:val="447B6681"/>
    <w:rsid w:val="4493367B"/>
    <w:rsid w:val="44961F17"/>
    <w:rsid w:val="44A84176"/>
    <w:rsid w:val="44AB74B4"/>
    <w:rsid w:val="44BB301C"/>
    <w:rsid w:val="450A3185"/>
    <w:rsid w:val="450E61CB"/>
    <w:rsid w:val="451037D6"/>
    <w:rsid w:val="452458BF"/>
    <w:rsid w:val="452905F3"/>
    <w:rsid w:val="45582FC6"/>
    <w:rsid w:val="4568103F"/>
    <w:rsid w:val="45801D53"/>
    <w:rsid w:val="45953C03"/>
    <w:rsid w:val="45AE2DF6"/>
    <w:rsid w:val="45B30A95"/>
    <w:rsid w:val="45F459D1"/>
    <w:rsid w:val="46052F0A"/>
    <w:rsid w:val="460C379B"/>
    <w:rsid w:val="462B2635"/>
    <w:rsid w:val="463427FB"/>
    <w:rsid w:val="464A3711"/>
    <w:rsid w:val="466B4F4C"/>
    <w:rsid w:val="469246C4"/>
    <w:rsid w:val="46977D08"/>
    <w:rsid w:val="46AF3AB5"/>
    <w:rsid w:val="46E25CA4"/>
    <w:rsid w:val="46E37251"/>
    <w:rsid w:val="46F40267"/>
    <w:rsid w:val="47017932"/>
    <w:rsid w:val="47270E54"/>
    <w:rsid w:val="47294A71"/>
    <w:rsid w:val="474C71DB"/>
    <w:rsid w:val="475662DB"/>
    <w:rsid w:val="47756FD4"/>
    <w:rsid w:val="479B7297"/>
    <w:rsid w:val="47A214C1"/>
    <w:rsid w:val="47D626EF"/>
    <w:rsid w:val="47DE0285"/>
    <w:rsid w:val="47E81AB8"/>
    <w:rsid w:val="47F3460E"/>
    <w:rsid w:val="47F77566"/>
    <w:rsid w:val="47F94BE6"/>
    <w:rsid w:val="4812405E"/>
    <w:rsid w:val="481A3D49"/>
    <w:rsid w:val="481C1F20"/>
    <w:rsid w:val="481E50BE"/>
    <w:rsid w:val="48220E04"/>
    <w:rsid w:val="48225672"/>
    <w:rsid w:val="482454C6"/>
    <w:rsid w:val="48297C86"/>
    <w:rsid w:val="48370969"/>
    <w:rsid w:val="4844625B"/>
    <w:rsid w:val="486B4E85"/>
    <w:rsid w:val="48801F0A"/>
    <w:rsid w:val="488C6B30"/>
    <w:rsid w:val="48913C4F"/>
    <w:rsid w:val="489757F5"/>
    <w:rsid w:val="489C3512"/>
    <w:rsid w:val="489C7EA5"/>
    <w:rsid w:val="48AF592F"/>
    <w:rsid w:val="48DB5184"/>
    <w:rsid w:val="48DC4BB3"/>
    <w:rsid w:val="48F11175"/>
    <w:rsid w:val="48FC5916"/>
    <w:rsid w:val="49035E3C"/>
    <w:rsid w:val="49161A6F"/>
    <w:rsid w:val="491B567A"/>
    <w:rsid w:val="492819DC"/>
    <w:rsid w:val="49336FEA"/>
    <w:rsid w:val="493E22D0"/>
    <w:rsid w:val="49415896"/>
    <w:rsid w:val="4953162D"/>
    <w:rsid w:val="495C3D14"/>
    <w:rsid w:val="496A4A80"/>
    <w:rsid w:val="497C5511"/>
    <w:rsid w:val="498E2725"/>
    <w:rsid w:val="499C6D01"/>
    <w:rsid w:val="49A3132A"/>
    <w:rsid w:val="49B65DC9"/>
    <w:rsid w:val="49C828D8"/>
    <w:rsid w:val="49D94123"/>
    <w:rsid w:val="49E228BF"/>
    <w:rsid w:val="49E82B6B"/>
    <w:rsid w:val="49E970EA"/>
    <w:rsid w:val="49EE0415"/>
    <w:rsid w:val="49EF7646"/>
    <w:rsid w:val="4A0805D0"/>
    <w:rsid w:val="4A26545B"/>
    <w:rsid w:val="4A3E1268"/>
    <w:rsid w:val="4A560AA6"/>
    <w:rsid w:val="4A631F60"/>
    <w:rsid w:val="4A7B659D"/>
    <w:rsid w:val="4A852671"/>
    <w:rsid w:val="4A8F76FA"/>
    <w:rsid w:val="4AD018B4"/>
    <w:rsid w:val="4AD122F6"/>
    <w:rsid w:val="4AFB6678"/>
    <w:rsid w:val="4B12483C"/>
    <w:rsid w:val="4B281AD9"/>
    <w:rsid w:val="4B286964"/>
    <w:rsid w:val="4B462533"/>
    <w:rsid w:val="4B497516"/>
    <w:rsid w:val="4B5F395F"/>
    <w:rsid w:val="4B887ABD"/>
    <w:rsid w:val="4B927D05"/>
    <w:rsid w:val="4B9A0568"/>
    <w:rsid w:val="4BA71700"/>
    <w:rsid w:val="4BC40127"/>
    <w:rsid w:val="4BCF7C38"/>
    <w:rsid w:val="4BD1718E"/>
    <w:rsid w:val="4BD95ACE"/>
    <w:rsid w:val="4C000F41"/>
    <w:rsid w:val="4C024636"/>
    <w:rsid w:val="4C1E38AF"/>
    <w:rsid w:val="4C1F09E8"/>
    <w:rsid w:val="4C6A4F05"/>
    <w:rsid w:val="4C6B7BE3"/>
    <w:rsid w:val="4C771D65"/>
    <w:rsid w:val="4C783020"/>
    <w:rsid w:val="4C9743B6"/>
    <w:rsid w:val="4CD104DB"/>
    <w:rsid w:val="4CD46FC7"/>
    <w:rsid w:val="4CEE4DA0"/>
    <w:rsid w:val="4CFA5EBA"/>
    <w:rsid w:val="4CFB7F02"/>
    <w:rsid w:val="4D0B09F5"/>
    <w:rsid w:val="4D243AE6"/>
    <w:rsid w:val="4D362180"/>
    <w:rsid w:val="4D3C4079"/>
    <w:rsid w:val="4D4152D2"/>
    <w:rsid w:val="4D420722"/>
    <w:rsid w:val="4D5D2973"/>
    <w:rsid w:val="4D670A85"/>
    <w:rsid w:val="4D743D70"/>
    <w:rsid w:val="4D806473"/>
    <w:rsid w:val="4D9A3F67"/>
    <w:rsid w:val="4DA27E03"/>
    <w:rsid w:val="4DB87F6B"/>
    <w:rsid w:val="4DDE1879"/>
    <w:rsid w:val="4DE22211"/>
    <w:rsid w:val="4DF85FC0"/>
    <w:rsid w:val="4E001052"/>
    <w:rsid w:val="4E2B135E"/>
    <w:rsid w:val="4E3F2EE6"/>
    <w:rsid w:val="4E457068"/>
    <w:rsid w:val="4E4E4B6D"/>
    <w:rsid w:val="4E625DA3"/>
    <w:rsid w:val="4E7B029B"/>
    <w:rsid w:val="4E94139D"/>
    <w:rsid w:val="4ED36E10"/>
    <w:rsid w:val="4ED61833"/>
    <w:rsid w:val="4EDA18B9"/>
    <w:rsid w:val="4EEA1FB8"/>
    <w:rsid w:val="4F1214F9"/>
    <w:rsid w:val="4F37236C"/>
    <w:rsid w:val="4F400F3C"/>
    <w:rsid w:val="4F573543"/>
    <w:rsid w:val="4FA24E56"/>
    <w:rsid w:val="4FA613D6"/>
    <w:rsid w:val="4FAE4B93"/>
    <w:rsid w:val="4FB43984"/>
    <w:rsid w:val="4FB80520"/>
    <w:rsid w:val="4FCE557D"/>
    <w:rsid w:val="4FCF67B8"/>
    <w:rsid w:val="4FFE7F33"/>
    <w:rsid w:val="50070139"/>
    <w:rsid w:val="500E331C"/>
    <w:rsid w:val="500F7F8E"/>
    <w:rsid w:val="5010363B"/>
    <w:rsid w:val="501802EF"/>
    <w:rsid w:val="501A6EB3"/>
    <w:rsid w:val="501C4E89"/>
    <w:rsid w:val="502E6EC7"/>
    <w:rsid w:val="503C452B"/>
    <w:rsid w:val="50401C90"/>
    <w:rsid w:val="50520469"/>
    <w:rsid w:val="50611E04"/>
    <w:rsid w:val="50705EA7"/>
    <w:rsid w:val="508A0BD0"/>
    <w:rsid w:val="508E4B33"/>
    <w:rsid w:val="50971876"/>
    <w:rsid w:val="50DD3BA3"/>
    <w:rsid w:val="50E61CAB"/>
    <w:rsid w:val="50EE7DC2"/>
    <w:rsid w:val="514136A1"/>
    <w:rsid w:val="514A20B0"/>
    <w:rsid w:val="515463AA"/>
    <w:rsid w:val="51680F94"/>
    <w:rsid w:val="517609BA"/>
    <w:rsid w:val="517D1FD1"/>
    <w:rsid w:val="51820F0A"/>
    <w:rsid w:val="51B00924"/>
    <w:rsid w:val="51BD4A0F"/>
    <w:rsid w:val="51BF1CEA"/>
    <w:rsid w:val="51C55B60"/>
    <w:rsid w:val="51C720FB"/>
    <w:rsid w:val="51D2101C"/>
    <w:rsid w:val="51E441B2"/>
    <w:rsid w:val="51E878B5"/>
    <w:rsid w:val="51EE3F4A"/>
    <w:rsid w:val="51F83860"/>
    <w:rsid w:val="51F8599D"/>
    <w:rsid w:val="52144845"/>
    <w:rsid w:val="522B4481"/>
    <w:rsid w:val="52305123"/>
    <w:rsid w:val="523F3431"/>
    <w:rsid w:val="52433E33"/>
    <w:rsid w:val="52461D9B"/>
    <w:rsid w:val="525549DF"/>
    <w:rsid w:val="52556F68"/>
    <w:rsid w:val="526131D0"/>
    <w:rsid w:val="527A0BC1"/>
    <w:rsid w:val="528E5F94"/>
    <w:rsid w:val="52B73817"/>
    <w:rsid w:val="53014F84"/>
    <w:rsid w:val="530724DA"/>
    <w:rsid w:val="53081FE2"/>
    <w:rsid w:val="53290DEF"/>
    <w:rsid w:val="53757657"/>
    <w:rsid w:val="53836E13"/>
    <w:rsid w:val="5399393C"/>
    <w:rsid w:val="53BC34C4"/>
    <w:rsid w:val="53CE29B7"/>
    <w:rsid w:val="5423339D"/>
    <w:rsid w:val="54451376"/>
    <w:rsid w:val="545B0024"/>
    <w:rsid w:val="54623CCF"/>
    <w:rsid w:val="54783F91"/>
    <w:rsid w:val="54C52C01"/>
    <w:rsid w:val="54DE257B"/>
    <w:rsid w:val="551B052F"/>
    <w:rsid w:val="551F503D"/>
    <w:rsid w:val="55242A1A"/>
    <w:rsid w:val="552E7B6C"/>
    <w:rsid w:val="55356F21"/>
    <w:rsid w:val="553B1566"/>
    <w:rsid w:val="553D5A1E"/>
    <w:rsid w:val="554E66B4"/>
    <w:rsid w:val="55623019"/>
    <w:rsid w:val="55696548"/>
    <w:rsid w:val="55732742"/>
    <w:rsid w:val="559508F1"/>
    <w:rsid w:val="55A0704C"/>
    <w:rsid w:val="55CD2AA4"/>
    <w:rsid w:val="55CD5B20"/>
    <w:rsid w:val="55DD38ED"/>
    <w:rsid w:val="55E33C19"/>
    <w:rsid w:val="55E3492A"/>
    <w:rsid w:val="55E63D84"/>
    <w:rsid w:val="55FB5288"/>
    <w:rsid w:val="560F5295"/>
    <w:rsid w:val="56182AD9"/>
    <w:rsid w:val="56536DD0"/>
    <w:rsid w:val="56686459"/>
    <w:rsid w:val="56A16CF1"/>
    <w:rsid w:val="56C569E8"/>
    <w:rsid w:val="56EA1F97"/>
    <w:rsid w:val="56FE7B3D"/>
    <w:rsid w:val="57115A76"/>
    <w:rsid w:val="57356CE5"/>
    <w:rsid w:val="57400691"/>
    <w:rsid w:val="57477A7D"/>
    <w:rsid w:val="574C5991"/>
    <w:rsid w:val="575E0275"/>
    <w:rsid w:val="57685E63"/>
    <w:rsid w:val="576E359C"/>
    <w:rsid w:val="57761A73"/>
    <w:rsid w:val="57803A91"/>
    <w:rsid w:val="578F63E0"/>
    <w:rsid w:val="57974CC5"/>
    <w:rsid w:val="57AA5D1A"/>
    <w:rsid w:val="57B717AF"/>
    <w:rsid w:val="57C06BFC"/>
    <w:rsid w:val="57D0016E"/>
    <w:rsid w:val="57D46CDD"/>
    <w:rsid w:val="57DD461C"/>
    <w:rsid w:val="57DE15F7"/>
    <w:rsid w:val="57F052A5"/>
    <w:rsid w:val="57F56DA8"/>
    <w:rsid w:val="580F5DBC"/>
    <w:rsid w:val="58372026"/>
    <w:rsid w:val="584809DA"/>
    <w:rsid w:val="587316C8"/>
    <w:rsid w:val="588A1881"/>
    <w:rsid w:val="588C1B3F"/>
    <w:rsid w:val="588C3DE2"/>
    <w:rsid w:val="58952B75"/>
    <w:rsid w:val="589923E8"/>
    <w:rsid w:val="58C03641"/>
    <w:rsid w:val="58D3199A"/>
    <w:rsid w:val="58DA5821"/>
    <w:rsid w:val="58E146E6"/>
    <w:rsid w:val="59043E08"/>
    <w:rsid w:val="5934326C"/>
    <w:rsid w:val="59471B28"/>
    <w:rsid w:val="59763E82"/>
    <w:rsid w:val="597F5245"/>
    <w:rsid w:val="598A3666"/>
    <w:rsid w:val="59A3232E"/>
    <w:rsid w:val="59A63822"/>
    <w:rsid w:val="59B8355B"/>
    <w:rsid w:val="59FE08FA"/>
    <w:rsid w:val="5A257E94"/>
    <w:rsid w:val="5A2A02BF"/>
    <w:rsid w:val="5A5106AE"/>
    <w:rsid w:val="5A60741A"/>
    <w:rsid w:val="5A7A608F"/>
    <w:rsid w:val="5A976E36"/>
    <w:rsid w:val="5A9D694A"/>
    <w:rsid w:val="5AA2358A"/>
    <w:rsid w:val="5AA24080"/>
    <w:rsid w:val="5AAD1EF8"/>
    <w:rsid w:val="5ACF7403"/>
    <w:rsid w:val="5B365C08"/>
    <w:rsid w:val="5B46719F"/>
    <w:rsid w:val="5B5C0955"/>
    <w:rsid w:val="5B60313C"/>
    <w:rsid w:val="5B705B09"/>
    <w:rsid w:val="5B9331F3"/>
    <w:rsid w:val="5B983712"/>
    <w:rsid w:val="5B997CCC"/>
    <w:rsid w:val="5B9D7438"/>
    <w:rsid w:val="5BA42A14"/>
    <w:rsid w:val="5BC52ADE"/>
    <w:rsid w:val="5BFD6721"/>
    <w:rsid w:val="5C552C55"/>
    <w:rsid w:val="5C60141A"/>
    <w:rsid w:val="5C691962"/>
    <w:rsid w:val="5C6C4390"/>
    <w:rsid w:val="5C8D4642"/>
    <w:rsid w:val="5CA70BEA"/>
    <w:rsid w:val="5CFA70E0"/>
    <w:rsid w:val="5CFF3634"/>
    <w:rsid w:val="5D0B0214"/>
    <w:rsid w:val="5D1A0A42"/>
    <w:rsid w:val="5D1C06B0"/>
    <w:rsid w:val="5D282771"/>
    <w:rsid w:val="5D3A4C89"/>
    <w:rsid w:val="5D42151C"/>
    <w:rsid w:val="5D4F1710"/>
    <w:rsid w:val="5D5D43F4"/>
    <w:rsid w:val="5D71045F"/>
    <w:rsid w:val="5D9A4060"/>
    <w:rsid w:val="5DAB19D1"/>
    <w:rsid w:val="5DBE340A"/>
    <w:rsid w:val="5DD263B9"/>
    <w:rsid w:val="5DE41D76"/>
    <w:rsid w:val="5DE555FC"/>
    <w:rsid w:val="5DF27C61"/>
    <w:rsid w:val="5E4A015A"/>
    <w:rsid w:val="5E617327"/>
    <w:rsid w:val="5E772D56"/>
    <w:rsid w:val="5E843AB7"/>
    <w:rsid w:val="5E9A1FB9"/>
    <w:rsid w:val="5EA510F1"/>
    <w:rsid w:val="5EB11CC9"/>
    <w:rsid w:val="5EB7165F"/>
    <w:rsid w:val="5EDA2E6C"/>
    <w:rsid w:val="5EDF49B6"/>
    <w:rsid w:val="5EE31948"/>
    <w:rsid w:val="5EE659E4"/>
    <w:rsid w:val="5EF029BA"/>
    <w:rsid w:val="5EF2401E"/>
    <w:rsid w:val="5EF37A12"/>
    <w:rsid w:val="5F19063B"/>
    <w:rsid w:val="5F2A58BF"/>
    <w:rsid w:val="5F2D2E3D"/>
    <w:rsid w:val="5F3F28CF"/>
    <w:rsid w:val="5F4D6034"/>
    <w:rsid w:val="5FBE3FE5"/>
    <w:rsid w:val="5FC03792"/>
    <w:rsid w:val="5FC939D5"/>
    <w:rsid w:val="5FDA399F"/>
    <w:rsid w:val="5FF22D36"/>
    <w:rsid w:val="5FFA79ED"/>
    <w:rsid w:val="60075E39"/>
    <w:rsid w:val="600D0AF4"/>
    <w:rsid w:val="60273573"/>
    <w:rsid w:val="60276DC2"/>
    <w:rsid w:val="602A54A3"/>
    <w:rsid w:val="60315C67"/>
    <w:rsid w:val="60370997"/>
    <w:rsid w:val="603F1014"/>
    <w:rsid w:val="604F40FC"/>
    <w:rsid w:val="605A259A"/>
    <w:rsid w:val="6060154E"/>
    <w:rsid w:val="606D0EF6"/>
    <w:rsid w:val="60996EA6"/>
    <w:rsid w:val="60B07C9E"/>
    <w:rsid w:val="60D06270"/>
    <w:rsid w:val="60EA7F29"/>
    <w:rsid w:val="61013040"/>
    <w:rsid w:val="611128E5"/>
    <w:rsid w:val="611C35B8"/>
    <w:rsid w:val="61315EF6"/>
    <w:rsid w:val="613A0A49"/>
    <w:rsid w:val="614E56CB"/>
    <w:rsid w:val="615440FF"/>
    <w:rsid w:val="616E368F"/>
    <w:rsid w:val="6184566A"/>
    <w:rsid w:val="619012C2"/>
    <w:rsid w:val="61AE7556"/>
    <w:rsid w:val="61D41854"/>
    <w:rsid w:val="61E3363C"/>
    <w:rsid w:val="62282B27"/>
    <w:rsid w:val="623743B3"/>
    <w:rsid w:val="623E7108"/>
    <w:rsid w:val="625A6442"/>
    <w:rsid w:val="626A1CE1"/>
    <w:rsid w:val="626C134E"/>
    <w:rsid w:val="62841688"/>
    <w:rsid w:val="629B22CB"/>
    <w:rsid w:val="62A3229B"/>
    <w:rsid w:val="62A45588"/>
    <w:rsid w:val="62A57C35"/>
    <w:rsid w:val="62B952CA"/>
    <w:rsid w:val="62E07553"/>
    <w:rsid w:val="63081C9E"/>
    <w:rsid w:val="633671EC"/>
    <w:rsid w:val="633F56A1"/>
    <w:rsid w:val="63421845"/>
    <w:rsid w:val="634A387E"/>
    <w:rsid w:val="6361478E"/>
    <w:rsid w:val="636E52EB"/>
    <w:rsid w:val="638B4892"/>
    <w:rsid w:val="639279AF"/>
    <w:rsid w:val="63944825"/>
    <w:rsid w:val="63D762DC"/>
    <w:rsid w:val="63EC2A57"/>
    <w:rsid w:val="63FE5C95"/>
    <w:rsid w:val="640E22EE"/>
    <w:rsid w:val="641222ED"/>
    <w:rsid w:val="64156B80"/>
    <w:rsid w:val="642B5582"/>
    <w:rsid w:val="642F3826"/>
    <w:rsid w:val="643B040A"/>
    <w:rsid w:val="645D1336"/>
    <w:rsid w:val="64643953"/>
    <w:rsid w:val="64681876"/>
    <w:rsid w:val="649122E0"/>
    <w:rsid w:val="6491381F"/>
    <w:rsid w:val="64B77EFF"/>
    <w:rsid w:val="64BB209D"/>
    <w:rsid w:val="64FB2F8F"/>
    <w:rsid w:val="65077676"/>
    <w:rsid w:val="651722E7"/>
    <w:rsid w:val="65347231"/>
    <w:rsid w:val="65740427"/>
    <w:rsid w:val="6577651D"/>
    <w:rsid w:val="658C66C4"/>
    <w:rsid w:val="65A05658"/>
    <w:rsid w:val="65AC2EFD"/>
    <w:rsid w:val="65B46375"/>
    <w:rsid w:val="65D37A5B"/>
    <w:rsid w:val="65F4511D"/>
    <w:rsid w:val="65F47DC0"/>
    <w:rsid w:val="65FF7596"/>
    <w:rsid w:val="66096B05"/>
    <w:rsid w:val="6627721E"/>
    <w:rsid w:val="66537DD0"/>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1A0D2D"/>
    <w:rsid w:val="67200F9C"/>
    <w:rsid w:val="672252C1"/>
    <w:rsid w:val="67340A1D"/>
    <w:rsid w:val="674A4FC0"/>
    <w:rsid w:val="674D101A"/>
    <w:rsid w:val="675249FA"/>
    <w:rsid w:val="67683CFC"/>
    <w:rsid w:val="67B406DA"/>
    <w:rsid w:val="67C75EAB"/>
    <w:rsid w:val="67D13F82"/>
    <w:rsid w:val="67D47556"/>
    <w:rsid w:val="67E83BD3"/>
    <w:rsid w:val="67FE0A51"/>
    <w:rsid w:val="68277D0D"/>
    <w:rsid w:val="683021EA"/>
    <w:rsid w:val="6831292C"/>
    <w:rsid w:val="683A5F07"/>
    <w:rsid w:val="683D4EA1"/>
    <w:rsid w:val="68482B4B"/>
    <w:rsid w:val="6857517B"/>
    <w:rsid w:val="685F2B0C"/>
    <w:rsid w:val="68615AEE"/>
    <w:rsid w:val="686465B8"/>
    <w:rsid w:val="686E2F1C"/>
    <w:rsid w:val="686E4CA0"/>
    <w:rsid w:val="686F3D4E"/>
    <w:rsid w:val="6892121B"/>
    <w:rsid w:val="689E473A"/>
    <w:rsid w:val="68A772BD"/>
    <w:rsid w:val="68AD32C0"/>
    <w:rsid w:val="68B055E0"/>
    <w:rsid w:val="68C163CF"/>
    <w:rsid w:val="68E01B05"/>
    <w:rsid w:val="68F77559"/>
    <w:rsid w:val="690B67A2"/>
    <w:rsid w:val="693053C2"/>
    <w:rsid w:val="69577852"/>
    <w:rsid w:val="697A46A8"/>
    <w:rsid w:val="69AA61FA"/>
    <w:rsid w:val="69B022B6"/>
    <w:rsid w:val="69B72806"/>
    <w:rsid w:val="69B83AE8"/>
    <w:rsid w:val="69C21FC2"/>
    <w:rsid w:val="69D05774"/>
    <w:rsid w:val="69DD68EF"/>
    <w:rsid w:val="69F431E5"/>
    <w:rsid w:val="6A0B12F9"/>
    <w:rsid w:val="6A387A83"/>
    <w:rsid w:val="6A4E3481"/>
    <w:rsid w:val="6A906D98"/>
    <w:rsid w:val="6AB0358F"/>
    <w:rsid w:val="6AC81DFB"/>
    <w:rsid w:val="6ACC4B2B"/>
    <w:rsid w:val="6AD5470C"/>
    <w:rsid w:val="6B156F01"/>
    <w:rsid w:val="6B1823F4"/>
    <w:rsid w:val="6B302155"/>
    <w:rsid w:val="6B5061B8"/>
    <w:rsid w:val="6B5541CC"/>
    <w:rsid w:val="6B594757"/>
    <w:rsid w:val="6B794694"/>
    <w:rsid w:val="6BB10ECA"/>
    <w:rsid w:val="6BB80CD3"/>
    <w:rsid w:val="6BD97443"/>
    <w:rsid w:val="6BE154D6"/>
    <w:rsid w:val="6BFA34BF"/>
    <w:rsid w:val="6C1E27AA"/>
    <w:rsid w:val="6C253A83"/>
    <w:rsid w:val="6C282E9B"/>
    <w:rsid w:val="6C4C1DDE"/>
    <w:rsid w:val="6C60775B"/>
    <w:rsid w:val="6C787CBB"/>
    <w:rsid w:val="6C8A4E5F"/>
    <w:rsid w:val="6C8C5CC8"/>
    <w:rsid w:val="6C9165B6"/>
    <w:rsid w:val="6CA87474"/>
    <w:rsid w:val="6CAE0CBE"/>
    <w:rsid w:val="6CBA4949"/>
    <w:rsid w:val="6CFC1435"/>
    <w:rsid w:val="6D0D5EB2"/>
    <w:rsid w:val="6D1075E9"/>
    <w:rsid w:val="6D2F4343"/>
    <w:rsid w:val="6D353D8C"/>
    <w:rsid w:val="6D4E6285"/>
    <w:rsid w:val="6D5C18AC"/>
    <w:rsid w:val="6D6B1613"/>
    <w:rsid w:val="6D886D51"/>
    <w:rsid w:val="6DCC4C0D"/>
    <w:rsid w:val="6DEA0A67"/>
    <w:rsid w:val="6DEC6437"/>
    <w:rsid w:val="6DFC561D"/>
    <w:rsid w:val="6E0F76B0"/>
    <w:rsid w:val="6E382FA7"/>
    <w:rsid w:val="6E395E9E"/>
    <w:rsid w:val="6E4341AC"/>
    <w:rsid w:val="6E5126B4"/>
    <w:rsid w:val="6E567C0C"/>
    <w:rsid w:val="6E5D6868"/>
    <w:rsid w:val="6E626372"/>
    <w:rsid w:val="6E683231"/>
    <w:rsid w:val="6E7C1EB5"/>
    <w:rsid w:val="6EB664D0"/>
    <w:rsid w:val="6EC9421A"/>
    <w:rsid w:val="6ECC638C"/>
    <w:rsid w:val="6ED36BB1"/>
    <w:rsid w:val="6EE110A6"/>
    <w:rsid w:val="6EF03BAE"/>
    <w:rsid w:val="6F155D21"/>
    <w:rsid w:val="6F1E3244"/>
    <w:rsid w:val="6F286746"/>
    <w:rsid w:val="6F287ED0"/>
    <w:rsid w:val="6F2B2506"/>
    <w:rsid w:val="6F436F8F"/>
    <w:rsid w:val="6F451BBF"/>
    <w:rsid w:val="6F4C08A5"/>
    <w:rsid w:val="6F634567"/>
    <w:rsid w:val="6F8D6B1D"/>
    <w:rsid w:val="6FAE4748"/>
    <w:rsid w:val="6FD91F90"/>
    <w:rsid w:val="6FE31AA8"/>
    <w:rsid w:val="70045D42"/>
    <w:rsid w:val="700A0D6E"/>
    <w:rsid w:val="704D2ABA"/>
    <w:rsid w:val="706717CB"/>
    <w:rsid w:val="707200F0"/>
    <w:rsid w:val="707663A9"/>
    <w:rsid w:val="707F274F"/>
    <w:rsid w:val="70950CE0"/>
    <w:rsid w:val="709D2458"/>
    <w:rsid w:val="70A2698B"/>
    <w:rsid w:val="70AA312E"/>
    <w:rsid w:val="70C24A2F"/>
    <w:rsid w:val="70CC0C4C"/>
    <w:rsid w:val="70E41087"/>
    <w:rsid w:val="70E65326"/>
    <w:rsid w:val="70E80F60"/>
    <w:rsid w:val="70F11D57"/>
    <w:rsid w:val="71014D29"/>
    <w:rsid w:val="710A2B65"/>
    <w:rsid w:val="71191A27"/>
    <w:rsid w:val="711F713E"/>
    <w:rsid w:val="71217371"/>
    <w:rsid w:val="712E54D4"/>
    <w:rsid w:val="71321C7C"/>
    <w:rsid w:val="714A1780"/>
    <w:rsid w:val="71637917"/>
    <w:rsid w:val="7170146E"/>
    <w:rsid w:val="71705776"/>
    <w:rsid w:val="717268C8"/>
    <w:rsid w:val="71802D0E"/>
    <w:rsid w:val="7184096F"/>
    <w:rsid w:val="71880353"/>
    <w:rsid w:val="718F5890"/>
    <w:rsid w:val="71981E73"/>
    <w:rsid w:val="71C16BD6"/>
    <w:rsid w:val="71C363B8"/>
    <w:rsid w:val="71C578FA"/>
    <w:rsid w:val="71D14144"/>
    <w:rsid w:val="71DB5AF0"/>
    <w:rsid w:val="72143089"/>
    <w:rsid w:val="72150CEA"/>
    <w:rsid w:val="721F1006"/>
    <w:rsid w:val="721F4F40"/>
    <w:rsid w:val="7227177D"/>
    <w:rsid w:val="723419F5"/>
    <w:rsid w:val="7235573F"/>
    <w:rsid w:val="72477BAC"/>
    <w:rsid w:val="7255330E"/>
    <w:rsid w:val="726C56B8"/>
    <w:rsid w:val="72760CB0"/>
    <w:rsid w:val="7288771C"/>
    <w:rsid w:val="728B0825"/>
    <w:rsid w:val="729326C7"/>
    <w:rsid w:val="72A458E1"/>
    <w:rsid w:val="72B13FB1"/>
    <w:rsid w:val="72C13E7C"/>
    <w:rsid w:val="72CD388B"/>
    <w:rsid w:val="72CE592F"/>
    <w:rsid w:val="72D21B1B"/>
    <w:rsid w:val="73003897"/>
    <w:rsid w:val="73014E33"/>
    <w:rsid w:val="730770A2"/>
    <w:rsid w:val="73197AE0"/>
    <w:rsid w:val="73221860"/>
    <w:rsid w:val="732F2FC7"/>
    <w:rsid w:val="733A4EF6"/>
    <w:rsid w:val="733D0234"/>
    <w:rsid w:val="733D1497"/>
    <w:rsid w:val="735F4C52"/>
    <w:rsid w:val="73702641"/>
    <w:rsid w:val="737405D6"/>
    <w:rsid w:val="73773239"/>
    <w:rsid w:val="73884BE2"/>
    <w:rsid w:val="739D4E7F"/>
    <w:rsid w:val="73A52CA9"/>
    <w:rsid w:val="73C82E30"/>
    <w:rsid w:val="73FA14E3"/>
    <w:rsid w:val="73FD29BB"/>
    <w:rsid w:val="740A7F35"/>
    <w:rsid w:val="740B686A"/>
    <w:rsid w:val="74193434"/>
    <w:rsid w:val="7436153F"/>
    <w:rsid w:val="744401CE"/>
    <w:rsid w:val="745819FD"/>
    <w:rsid w:val="746C366D"/>
    <w:rsid w:val="748200B4"/>
    <w:rsid w:val="749C71E6"/>
    <w:rsid w:val="74AC77E0"/>
    <w:rsid w:val="74DE6D4A"/>
    <w:rsid w:val="74E725F5"/>
    <w:rsid w:val="75045F44"/>
    <w:rsid w:val="75050729"/>
    <w:rsid w:val="75154170"/>
    <w:rsid w:val="751F2CCD"/>
    <w:rsid w:val="75334F10"/>
    <w:rsid w:val="754A3843"/>
    <w:rsid w:val="755E6626"/>
    <w:rsid w:val="75714F21"/>
    <w:rsid w:val="75801690"/>
    <w:rsid w:val="75841DF5"/>
    <w:rsid w:val="75883FFE"/>
    <w:rsid w:val="759118EE"/>
    <w:rsid w:val="759A0BFF"/>
    <w:rsid w:val="75A12E25"/>
    <w:rsid w:val="75A62B5C"/>
    <w:rsid w:val="75B660D9"/>
    <w:rsid w:val="75BC0475"/>
    <w:rsid w:val="75DA056C"/>
    <w:rsid w:val="75FA2F4D"/>
    <w:rsid w:val="76177C7F"/>
    <w:rsid w:val="761E4555"/>
    <w:rsid w:val="7652518B"/>
    <w:rsid w:val="765661CE"/>
    <w:rsid w:val="766B1FE7"/>
    <w:rsid w:val="767737E8"/>
    <w:rsid w:val="7687321E"/>
    <w:rsid w:val="769C5380"/>
    <w:rsid w:val="769D488D"/>
    <w:rsid w:val="76A648DB"/>
    <w:rsid w:val="76AA6FCA"/>
    <w:rsid w:val="76AD33AB"/>
    <w:rsid w:val="76AE1A33"/>
    <w:rsid w:val="76B645C9"/>
    <w:rsid w:val="76CB05E9"/>
    <w:rsid w:val="76F557EA"/>
    <w:rsid w:val="76FB601C"/>
    <w:rsid w:val="771E0B46"/>
    <w:rsid w:val="77243900"/>
    <w:rsid w:val="7745626C"/>
    <w:rsid w:val="774A218D"/>
    <w:rsid w:val="77534E7F"/>
    <w:rsid w:val="77765B6B"/>
    <w:rsid w:val="777D79D9"/>
    <w:rsid w:val="7788271D"/>
    <w:rsid w:val="778A3CA6"/>
    <w:rsid w:val="77AB127E"/>
    <w:rsid w:val="77B8759C"/>
    <w:rsid w:val="77CA7AD8"/>
    <w:rsid w:val="77F04589"/>
    <w:rsid w:val="780776F7"/>
    <w:rsid w:val="78375502"/>
    <w:rsid w:val="785D4AC2"/>
    <w:rsid w:val="786E2373"/>
    <w:rsid w:val="78755AD9"/>
    <w:rsid w:val="78867CFB"/>
    <w:rsid w:val="7895518B"/>
    <w:rsid w:val="78DA375A"/>
    <w:rsid w:val="78FB6861"/>
    <w:rsid w:val="790C30F7"/>
    <w:rsid w:val="79182F94"/>
    <w:rsid w:val="791E6626"/>
    <w:rsid w:val="791F15A3"/>
    <w:rsid w:val="791F1ABD"/>
    <w:rsid w:val="792A6014"/>
    <w:rsid w:val="792A77CA"/>
    <w:rsid w:val="792C1C9C"/>
    <w:rsid w:val="79534836"/>
    <w:rsid w:val="795F47C4"/>
    <w:rsid w:val="7972F281"/>
    <w:rsid w:val="79880110"/>
    <w:rsid w:val="79894347"/>
    <w:rsid w:val="799447B2"/>
    <w:rsid w:val="79993DEC"/>
    <w:rsid w:val="79A91848"/>
    <w:rsid w:val="79B155D3"/>
    <w:rsid w:val="79BE02AE"/>
    <w:rsid w:val="79C15287"/>
    <w:rsid w:val="79C44E91"/>
    <w:rsid w:val="79D75B18"/>
    <w:rsid w:val="79F45759"/>
    <w:rsid w:val="79F9227E"/>
    <w:rsid w:val="7A03141B"/>
    <w:rsid w:val="7A2F5A98"/>
    <w:rsid w:val="7A340EA4"/>
    <w:rsid w:val="7A3F5F0E"/>
    <w:rsid w:val="7A402127"/>
    <w:rsid w:val="7A677819"/>
    <w:rsid w:val="7A75750A"/>
    <w:rsid w:val="7A7C3110"/>
    <w:rsid w:val="7A9E603E"/>
    <w:rsid w:val="7AA5799A"/>
    <w:rsid w:val="7AAE7A48"/>
    <w:rsid w:val="7AF259C5"/>
    <w:rsid w:val="7B12265C"/>
    <w:rsid w:val="7B2F6298"/>
    <w:rsid w:val="7B4E1237"/>
    <w:rsid w:val="7B557668"/>
    <w:rsid w:val="7B5721B8"/>
    <w:rsid w:val="7B5C6BFD"/>
    <w:rsid w:val="7B884D33"/>
    <w:rsid w:val="7BA630A7"/>
    <w:rsid w:val="7BBB6A08"/>
    <w:rsid w:val="7BCB5994"/>
    <w:rsid w:val="7BCF7576"/>
    <w:rsid w:val="7BED154E"/>
    <w:rsid w:val="7BED6B05"/>
    <w:rsid w:val="7C1946E0"/>
    <w:rsid w:val="7C42078B"/>
    <w:rsid w:val="7C953CBE"/>
    <w:rsid w:val="7C9B322A"/>
    <w:rsid w:val="7C9C6D51"/>
    <w:rsid w:val="7CA326C8"/>
    <w:rsid w:val="7CAA5F0D"/>
    <w:rsid w:val="7CE6217B"/>
    <w:rsid w:val="7D0A7122"/>
    <w:rsid w:val="7D16490F"/>
    <w:rsid w:val="7D25417D"/>
    <w:rsid w:val="7D470375"/>
    <w:rsid w:val="7D5A124C"/>
    <w:rsid w:val="7D6B3C9C"/>
    <w:rsid w:val="7D6C7837"/>
    <w:rsid w:val="7D7134A3"/>
    <w:rsid w:val="7D87483A"/>
    <w:rsid w:val="7D886B89"/>
    <w:rsid w:val="7D8A3047"/>
    <w:rsid w:val="7D92427A"/>
    <w:rsid w:val="7D9414CC"/>
    <w:rsid w:val="7D9B4E14"/>
    <w:rsid w:val="7DA653E8"/>
    <w:rsid w:val="7DAB4450"/>
    <w:rsid w:val="7DAE4568"/>
    <w:rsid w:val="7DC3009F"/>
    <w:rsid w:val="7DC80DDA"/>
    <w:rsid w:val="7DDC30D5"/>
    <w:rsid w:val="7DEE7639"/>
    <w:rsid w:val="7E0B16A2"/>
    <w:rsid w:val="7E12506E"/>
    <w:rsid w:val="7E1B5179"/>
    <w:rsid w:val="7E3610F8"/>
    <w:rsid w:val="7E594E0B"/>
    <w:rsid w:val="7E7C766D"/>
    <w:rsid w:val="7E833262"/>
    <w:rsid w:val="7E932FC5"/>
    <w:rsid w:val="7E9B5F2D"/>
    <w:rsid w:val="7ECE4E91"/>
    <w:rsid w:val="7ECE6209"/>
    <w:rsid w:val="7EDB5D8D"/>
    <w:rsid w:val="7EDD4604"/>
    <w:rsid w:val="7EE626A2"/>
    <w:rsid w:val="7F0A31ED"/>
    <w:rsid w:val="7F165CD8"/>
    <w:rsid w:val="7F243837"/>
    <w:rsid w:val="7F2B17D8"/>
    <w:rsid w:val="7F3C05D3"/>
    <w:rsid w:val="7F4E60A4"/>
    <w:rsid w:val="7F676C28"/>
    <w:rsid w:val="7F751E64"/>
    <w:rsid w:val="7F7A4953"/>
    <w:rsid w:val="7F806C96"/>
    <w:rsid w:val="7F90721E"/>
    <w:rsid w:val="7F990359"/>
    <w:rsid w:val="7F9A1827"/>
    <w:rsid w:val="7FAC08C1"/>
    <w:rsid w:val="7FAD0277"/>
    <w:rsid w:val="7FB25E32"/>
    <w:rsid w:val="7FB44E0C"/>
    <w:rsid w:val="7FCF5193"/>
    <w:rsid w:val="7FD06104"/>
    <w:rsid w:val="7FDD445B"/>
    <w:rsid w:val="7FF03D02"/>
    <w:rsid w:val="9F5D3C7B"/>
    <w:rsid w:val="B7DF2E86"/>
    <w:rsid w:val="DFF70B63"/>
    <w:rsid w:val="F5FBFE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3">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4">
    <w:name w:val="heading 3"/>
    <w:basedOn w:val="1"/>
    <w:next w:val="1"/>
    <w:unhideWhenUsed/>
    <w:qFormat/>
    <w:uiPriority w:val="0"/>
    <w:pPr>
      <w:keepNext/>
      <w:keepLines/>
      <w:tabs>
        <w:tab w:val="left" w:pos="8280"/>
      </w:tabs>
      <w:spacing w:before="260" w:after="260" w:line="416" w:lineRule="auto"/>
      <w:outlineLvl w:val="2"/>
    </w:pPr>
    <w:rPr>
      <w:bCs/>
      <w:szCs w:val="32"/>
    </w:rPr>
  </w:style>
  <w:style w:type="paragraph" w:styleId="5">
    <w:name w:val="heading 4"/>
    <w:basedOn w:val="1"/>
    <w:next w:val="1"/>
    <w:unhideWhenUsed/>
    <w:qFormat/>
    <w:uiPriority w:val="9"/>
    <w:pPr>
      <w:keepNext/>
      <w:keepLines/>
      <w:spacing w:before="280" w:after="290" w:line="376" w:lineRule="auto"/>
      <w:outlineLvl w:val="3"/>
    </w:pPr>
    <w:rPr>
      <w:rFonts w:ascii="等线 Light" w:hAnsi="等线 Light" w:eastAsia="等线 Light" w:cs="Times New Roman"/>
      <w:b/>
      <w:bCs/>
      <w:sz w:val="28"/>
      <w:szCs w:val="28"/>
    </w:rPr>
  </w:style>
  <w:style w:type="paragraph" w:styleId="6">
    <w:name w:val="heading 5"/>
    <w:basedOn w:val="1"/>
    <w:next w:val="1"/>
    <w:qFormat/>
    <w:uiPriority w:val="0"/>
    <w:pPr>
      <w:keepNext/>
      <w:keepLines/>
      <w:numPr>
        <w:ilvl w:val="4"/>
        <w:numId w:val="2"/>
      </w:numPr>
      <w:tabs>
        <w:tab w:val="left" w:pos="142"/>
      </w:tabs>
      <w:spacing w:line="360" w:lineRule="auto"/>
      <w:outlineLvl w:val="4"/>
    </w:pPr>
    <w:rPr>
      <w:rFonts w:ascii="黑体" w:hAnsi="黑体" w:eastAsia="黑体"/>
      <w:b/>
      <w:bCs/>
      <w:sz w:val="24"/>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List Number"/>
    <w:basedOn w:val="1"/>
    <w:qFormat/>
    <w:uiPriority w:val="0"/>
    <w:pPr>
      <w:numPr>
        <w:ilvl w:val="0"/>
        <w:numId w:val="3"/>
      </w:numPr>
    </w:pPr>
  </w:style>
  <w:style w:type="paragraph" w:styleId="8">
    <w:name w:val="Normal Indent"/>
    <w:basedOn w:val="1"/>
    <w:next w:val="1"/>
    <w:qFormat/>
    <w:uiPriority w:val="0"/>
    <w:pPr>
      <w:ind w:firstLine="420"/>
    </w:pPr>
    <w:rPr>
      <w:szCs w:val="20"/>
    </w:rPr>
  </w:style>
  <w:style w:type="paragraph" w:styleId="9">
    <w:name w:val="annotation text"/>
    <w:basedOn w:val="1"/>
    <w:qFormat/>
    <w:uiPriority w:val="0"/>
    <w:pPr>
      <w:jc w:val="left"/>
    </w:pPr>
  </w:style>
  <w:style w:type="paragraph" w:styleId="10">
    <w:name w:val="Body Text"/>
    <w:basedOn w:val="1"/>
    <w:qFormat/>
    <w:uiPriority w:val="0"/>
    <w:pPr>
      <w:spacing w:line="360" w:lineRule="exact"/>
    </w:pPr>
    <w:rPr>
      <w:sz w:val="24"/>
    </w:rPr>
  </w:style>
  <w:style w:type="paragraph" w:styleId="11">
    <w:name w:val="Body Text Indent"/>
    <w:basedOn w:val="1"/>
    <w:next w:val="1"/>
    <w:qFormat/>
    <w:uiPriority w:val="0"/>
    <w:pPr>
      <w:spacing w:after="120"/>
      <w:ind w:left="420" w:leftChars="200"/>
    </w:pPr>
  </w:style>
  <w:style w:type="paragraph" w:styleId="12">
    <w:name w:val="Block Text"/>
    <w:basedOn w:val="1"/>
    <w:next w:val="5"/>
    <w:qFormat/>
    <w:uiPriority w:val="0"/>
    <w:pPr>
      <w:spacing w:after="120"/>
    </w:pPr>
  </w:style>
  <w:style w:type="paragraph" w:styleId="13">
    <w:name w:val="Plain Text"/>
    <w:basedOn w:val="1"/>
    <w:next w:val="14"/>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5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9">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0">
    <w:name w:val="Body Text First Indent"/>
    <w:basedOn w:val="1"/>
    <w:qFormat/>
    <w:uiPriority w:val="0"/>
    <w:pPr>
      <w:ind w:firstLine="200" w:firstLineChars="200"/>
    </w:pPr>
  </w:style>
  <w:style w:type="paragraph" w:styleId="21">
    <w:name w:val="Body Text First Indent 2"/>
    <w:basedOn w:val="11"/>
    <w:qFormat/>
    <w:uiPriority w:val="0"/>
    <w:pPr>
      <w:ind w:firstLine="420"/>
    </w:pPr>
  </w:style>
  <w:style w:type="table" w:styleId="23">
    <w:name w:val="Table Grid"/>
    <w:basedOn w:val="22"/>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5">
    <w:name w:val="FollowedHyperlink"/>
    <w:basedOn w:val="24"/>
    <w:qFormat/>
    <w:uiPriority w:val="0"/>
    <w:rPr>
      <w:color w:val="800080"/>
      <w:u w:val="single"/>
    </w:rPr>
  </w:style>
  <w:style w:type="character" w:styleId="26">
    <w:name w:val="Hyperlink"/>
    <w:qFormat/>
    <w:uiPriority w:val="0"/>
    <w:rPr>
      <w:color w:val="0000FF"/>
      <w:u w:val="single"/>
    </w:rPr>
  </w:style>
  <w:style w:type="character" w:styleId="27">
    <w:name w:val="annotation reference"/>
    <w:basedOn w:val="24"/>
    <w:qFormat/>
    <w:uiPriority w:val="0"/>
    <w:rPr>
      <w:sz w:val="21"/>
      <w:szCs w:val="21"/>
    </w:rPr>
  </w:style>
  <w:style w:type="paragraph" w:customStyle="1" w:styleId="28">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9">
    <w:name w:val="List Paragraph"/>
    <w:basedOn w:val="1"/>
    <w:qFormat/>
    <w:uiPriority w:val="34"/>
    <w:pPr>
      <w:ind w:firstLine="420" w:firstLineChars="200"/>
    </w:pPr>
    <w:rPr>
      <w:rFonts w:ascii="Calibri" w:hAnsi="Calibri"/>
      <w:szCs w:val="22"/>
    </w:rPr>
  </w:style>
  <w:style w:type="paragraph" w:customStyle="1" w:styleId="30">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1">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4"/>
    <w:qFormat/>
    <w:uiPriority w:val="0"/>
    <w:rPr>
      <w:rFonts w:ascii="Times New Roman" w:hAnsi="Times New Roman" w:eastAsia="宋体" w:cs="Times New Roman"/>
      <w:sz w:val="21"/>
      <w:szCs w:val="22"/>
      <w:lang w:val="en-US" w:eastAsia="zh-CN" w:bidi="ar-SA"/>
    </w:rPr>
  </w:style>
  <w:style w:type="paragraph" w:customStyle="1" w:styleId="3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纯文本_3"/>
    <w:basedOn w:val="37"/>
    <w:qFormat/>
    <w:uiPriority w:val="0"/>
    <w:pPr>
      <w:widowControl/>
      <w:jc w:val="left"/>
    </w:pPr>
    <w:rPr>
      <w:rFonts w:ascii="宋体" w:hAnsi="Courier New" w:eastAsiaTheme="minorEastAsia" w:cstheme="minorBidi"/>
      <w:szCs w:val="21"/>
    </w:rPr>
  </w:style>
  <w:style w:type="paragraph" w:customStyle="1" w:styleId="39">
    <w:name w:val="纯文本_0_1"/>
    <w:basedOn w:val="1"/>
    <w:qFormat/>
    <w:uiPriority w:val="0"/>
    <w:pPr>
      <w:widowControl/>
      <w:jc w:val="left"/>
    </w:pPr>
    <w:rPr>
      <w:rFonts w:ascii="宋体" w:hAnsi="Courier New" w:eastAsiaTheme="minorEastAsia" w:cstheme="minorBidi"/>
      <w:szCs w:val="21"/>
    </w:rPr>
  </w:style>
  <w:style w:type="paragraph" w:customStyle="1" w:styleId="4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font21"/>
    <w:basedOn w:val="24"/>
    <w:qFormat/>
    <w:uiPriority w:val="0"/>
    <w:rPr>
      <w:rFonts w:hint="default" w:ascii="Arial" w:hAnsi="Arial" w:cs="Arial"/>
      <w:color w:val="000000"/>
      <w:sz w:val="20"/>
      <w:szCs w:val="20"/>
      <w:u w:val="none"/>
    </w:rPr>
  </w:style>
  <w:style w:type="character" w:customStyle="1" w:styleId="45">
    <w:name w:val="font01"/>
    <w:basedOn w:val="24"/>
    <w:qFormat/>
    <w:uiPriority w:val="0"/>
    <w:rPr>
      <w:rFonts w:hint="eastAsia" w:ascii="宋体" w:hAnsi="宋体" w:eastAsia="宋体" w:cs="宋体"/>
      <w:color w:val="000000"/>
      <w:sz w:val="20"/>
      <w:szCs w:val="20"/>
      <w:u w:val="none"/>
    </w:rPr>
  </w:style>
  <w:style w:type="paragraph" w:customStyle="1" w:styleId="46">
    <w:name w:val="纯文本1"/>
    <w:basedOn w:val="47"/>
    <w:qFormat/>
    <w:uiPriority w:val="0"/>
    <w:pPr>
      <w:widowControl/>
      <w:jc w:val="left"/>
    </w:pPr>
    <w:rPr>
      <w:rFonts w:ascii="宋体" w:hAnsi="Courier New"/>
    </w:rPr>
  </w:style>
  <w:style w:type="paragraph" w:customStyle="1" w:styleId="47">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8">
    <w:name w:val="Table Paragraph"/>
    <w:basedOn w:val="1"/>
    <w:qFormat/>
    <w:uiPriority w:val="1"/>
    <w:rPr>
      <w:rFonts w:ascii="宋体" w:hAnsi="宋体" w:cs="宋体"/>
    </w:rPr>
  </w:style>
  <w:style w:type="paragraph" w:customStyle="1" w:styleId="49">
    <w:name w:val="WPSOffice手动目录 1"/>
    <w:qFormat/>
    <w:uiPriority w:val="0"/>
    <w:rPr>
      <w:rFonts w:ascii="Times New Roman" w:hAnsi="Times New Roman" w:eastAsia="宋体" w:cs="Times New Roman"/>
      <w:lang w:val="en-US" w:eastAsia="zh-CN" w:bidi="ar-SA"/>
    </w:rPr>
  </w:style>
  <w:style w:type="character" w:customStyle="1" w:styleId="50">
    <w:name w:val="标题 1 Char Char"/>
    <w:basedOn w:val="24"/>
    <w:qFormat/>
    <w:uiPriority w:val="0"/>
    <w:rPr>
      <w:rFonts w:eastAsia="宋体"/>
      <w:b/>
      <w:spacing w:val="-2"/>
      <w:sz w:val="24"/>
      <w:lang w:val="en-US" w:eastAsia="zh-CN" w:bidi="ar-SA"/>
    </w:rPr>
  </w:style>
  <w:style w:type="character" w:customStyle="1" w:styleId="51">
    <w:name w:val="批注框文本 Char"/>
    <w:basedOn w:val="24"/>
    <w:link w:val="15"/>
    <w:qFormat/>
    <w:uiPriority w:val="0"/>
    <w:rPr>
      <w:kern w:val="2"/>
      <w:sz w:val="18"/>
      <w:szCs w:val="18"/>
    </w:rPr>
  </w:style>
  <w:style w:type="character" w:customStyle="1" w:styleId="52">
    <w:name w:val="font41"/>
    <w:basedOn w:val="24"/>
    <w:unhideWhenUsed/>
    <w:qFormat/>
    <w:uiPriority w:val="0"/>
    <w:rPr>
      <w:rFonts w:hint="eastAsia" w:ascii="宋体" w:hAnsi="宋体" w:eastAsia="宋体" w:cs="宋体"/>
      <w:color w:val="000000"/>
      <w:sz w:val="18"/>
      <w:szCs w:val="18"/>
    </w:rPr>
  </w:style>
  <w:style w:type="character" w:customStyle="1" w:styleId="53">
    <w:name w:val="font121"/>
    <w:basedOn w:val="24"/>
    <w:unhideWhenUsed/>
    <w:qFormat/>
    <w:uiPriority w:val="0"/>
    <w:rPr>
      <w:rFonts w:hint="eastAsia" w:ascii="宋体" w:hAnsi="宋体" w:eastAsia="宋体" w:cs="宋体"/>
      <w:color w:val="FF0000"/>
      <w:sz w:val="18"/>
      <w:szCs w:val="18"/>
    </w:rPr>
  </w:style>
  <w:style w:type="character" w:customStyle="1" w:styleId="54">
    <w:name w:val="font51"/>
    <w:basedOn w:val="24"/>
    <w:unhideWhenUsed/>
    <w:qFormat/>
    <w:uiPriority w:val="0"/>
    <w:rPr>
      <w:rFonts w:hint="eastAsia" w:ascii="宋体" w:hAnsi="宋体" w:eastAsia="宋体" w:cs="宋体"/>
      <w:color w:val="000000"/>
      <w:sz w:val="20"/>
      <w:szCs w:val="20"/>
    </w:rPr>
  </w:style>
  <w:style w:type="paragraph" w:customStyle="1" w:styleId="55">
    <w:name w:val="=正文="/>
    <w:qFormat/>
    <w:uiPriority w:val="0"/>
    <w:pPr>
      <w:widowControl w:val="0"/>
      <w:spacing w:before="50" w:beforeLines="50" w:line="360" w:lineRule="auto"/>
      <w:ind w:firstLine="200" w:firstLineChars="200"/>
      <w:jc w:val="both"/>
    </w:pPr>
    <w:rPr>
      <w:rFonts w:ascii="宋体" w:hAnsi="宋体" w:eastAsia="宋体" w:cstheme="minorBidi"/>
      <w:kern w:val="2"/>
      <w:sz w:val="24"/>
      <w:szCs w:val="21"/>
      <w:lang w:val="en-US" w:eastAsia="zh-CN" w:bidi="ar-SA"/>
    </w:rPr>
  </w:style>
  <w:style w:type="paragraph" w:customStyle="1" w:styleId="56">
    <w:name w:val="表格文字"/>
    <w:basedOn w:val="1"/>
    <w:next w:val="10"/>
    <w:unhideWhenUsed/>
    <w:qFormat/>
    <w:uiPriority w:val="99"/>
    <w:pPr>
      <w:spacing w:beforeLines="0" w:afterLines="0"/>
      <w:jc w:val="left"/>
    </w:pPr>
    <w:rPr>
      <w:rFonts w:hint="eastAsia"/>
      <w:sz w:val="21"/>
      <w:szCs w:val="24"/>
    </w:rPr>
  </w:style>
  <w:style w:type="paragraph" w:customStyle="1" w:styleId="57">
    <w:name w:val="默认段落字体 Para Char Char Char Char Char Char Char Char Char1 Char Char Char Char"/>
    <w:basedOn w:val="1"/>
    <w:qFormat/>
    <w:uiPriority w:val="0"/>
    <w:rPr>
      <w:rFonts w:ascii="Tahoma" w:hAnsi="Tahoma"/>
      <w:sz w:val="24"/>
      <w:szCs w:val="20"/>
    </w:rPr>
  </w:style>
  <w:style w:type="paragraph" w:customStyle="1" w:styleId="58">
    <w:name w:val="样式1"/>
    <w:basedOn w:val="1"/>
    <w:qFormat/>
    <w:uiPriority w:val="0"/>
    <w:pPr>
      <w:spacing w:line="360" w:lineRule="exact"/>
      <w:ind w:firstLine="200" w:firstLineChars="200"/>
    </w:pPr>
    <w:rPr>
      <w:rFonts w:ascii="Arial" w:hAnsi="Arial"/>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header5.xml" Type="http://schemas.openxmlformats.org/officeDocument/2006/relationships/header"/><Relationship Id="rId12" Target="footer5.xml" Type="http://schemas.openxmlformats.org/officeDocument/2006/relationships/footer"/><Relationship Id="rId13" Target="theme/theme1.xml" Type="http://schemas.openxmlformats.org/officeDocument/2006/relationships/theme"/><Relationship Id="rId14" Target="media/image1.jpeg" Type="http://schemas.openxmlformats.org/officeDocument/2006/relationships/image"/><Relationship Id="rId15" Target="media/image2.png" Type="http://schemas.openxmlformats.org/officeDocument/2006/relationships/image"/><Relationship Id="rId16" Target="../customXml/item1.xml" Type="http://schemas.openxmlformats.org/officeDocument/2006/relationships/customXml"/><Relationship Id="rId17" Target="numbering.xml" Type="http://schemas.openxmlformats.org/officeDocument/2006/relationships/numbering"/><Relationship Id="rId18" Target="fontTable.xml" Type="http://schemas.openxmlformats.org/officeDocument/2006/relationships/fontTable"/><Relationship Id="rId19" Target="people.xml" Type="http://schemas.microsoft.com/office/2011/relationships/peop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header3.xml" Type="http://schemas.openxmlformats.org/officeDocument/2006/relationships/head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134</Pages>
  <Words>92273</Words>
  <Characters>94466</Characters>
  <Lines>174</Lines>
  <Paragraphs>49</Paragraphs>
  <TotalTime>85</TotalTime>
  <ScaleCrop>false</ScaleCrop>
  <LinksUpToDate>false</LinksUpToDate>
  <CharactersWithSpaces>96453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2021-02-05T17:06:00Z</dcterms:created>
  <dc:creator>Thorpe521</dc:creator>
  <cp:lastModifiedBy>zebra</cp:lastModifiedBy>
  <cp:lastPrinted>2022-07-28T08:18:00Z</cp:lastPrinted>
  <dcterms:modified xsi:type="dcterms:W3CDTF">2022-08-09T02:53:35Z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56099B2E4D2A4F63A2AAC9078C67EC41</vt:lpwstr>
  </property>
  <property fmtid="{D5CDD505-2E9C-101B-9397-08002B2CF9AE}" pid="4" name="woTemplateTypoMode" linkTarget="0">
    <vt:lpwstr>web</vt:lpwstr>
  </property>
  <property fmtid="{D5CDD505-2E9C-101B-9397-08002B2CF9AE}" pid="5" name="woTemplate" linkTarget="0">
    <vt:i4>1</vt:i4>
  </property>
</Properties>
</file>