
<file path=[Content_Types].xml><?xml version="1.0" encoding="utf-8"?>
<Types xmlns="http://schemas.openxmlformats.org/package/2006/content-types">
  <Default ContentType="image/jpeg" Extension="jpeg"/>
  <Default ContentType="image/.jp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0" w:leftChars="0" w:right="30" w:rightChars="0" w:firstLine="0" w:firstLineChars="0"/>
        <w:jc w:val="center"/>
        <w:rPr>
          <w:rFonts w:ascii="宋体"/>
          <w:b/>
          <w:kern w:val="0"/>
          <w:sz w:val="52"/>
          <w:szCs w:val="52"/>
        </w:rPr>
      </w:pPr>
      <w:r>
        <w:rPr>
          <w:rFonts w:hint="eastAsia" w:ascii="宋体"/>
          <w:b/>
          <w:color w:val="auto"/>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4" cstate="print"/>
                    <a:stretch>
                      <a:fillRect/>
                    </a:stretch>
                  </pic:blipFill>
                  <pic:spPr>
                    <a:xfrm>
                      <a:off x="0" y="0"/>
                      <a:ext cx="562610" cy="560070"/>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ascii="宋体"/>
          <w:b/>
          <w:kern w:val="0"/>
          <w:sz w:val="52"/>
          <w:szCs w:val="52"/>
        </w:rPr>
      </w:pPr>
      <w:r>
        <w:rPr>
          <w:rFonts w:hint="eastAsia" w:ascii="宋体"/>
          <w:b/>
          <w:kern w:val="0"/>
          <w:sz w:val="52"/>
          <w:szCs w:val="52"/>
          <w:lang w:val="en-US" w:eastAsia="zh-CN"/>
        </w:rPr>
        <w:t>台州市</w:t>
      </w:r>
      <w:r>
        <w:rPr>
          <w:rFonts w:hint="eastAsia" w:ascii="宋体"/>
          <w:b/>
          <w:kern w:val="0"/>
          <w:sz w:val="52"/>
          <w:szCs w:val="52"/>
        </w:rPr>
        <w:t>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30" w:rightChars="0" w:hanging="6" w:firstLineChars="0"/>
        <w:jc w:val="center"/>
        <w:rPr>
          <w:rFonts w:ascii="宋体"/>
          <w:b/>
          <w:kern w:val="0"/>
          <w:sz w:val="32"/>
        </w:rPr>
      </w:pPr>
      <w:r>
        <w:rPr>
          <w:rFonts w:hint="eastAsia" w:ascii="宋体"/>
          <w:b/>
          <w:kern w:val="0"/>
          <w:sz w:val="32"/>
          <w:lang w:val="en-US" w:eastAsia="zh-CN"/>
        </w:rPr>
        <w:t>TZCG-2022-G</w:t>
      </w:r>
      <w:r>
        <w:rPr>
          <w:rFonts w:hint="eastAsia" w:ascii="宋体"/>
          <w:b/>
          <w:color w:val="auto"/>
          <w:kern w:val="0"/>
          <w:sz w:val="32"/>
          <w:lang w:val="en-US" w:eastAsia="zh-CN"/>
        </w:rPr>
        <w:t>K016</w:t>
      </w:r>
      <w:r>
        <w:rPr>
          <w:rFonts w:hint="eastAsia" w:ascii="宋体"/>
          <w:b/>
          <w:kern w:val="0"/>
          <w:sz w:val="32"/>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center"/>
        <w:rPr>
          <w:rFonts w:ascii="宋体"/>
          <w:kern w:val="0"/>
          <w:sz w:val="28"/>
        </w:rPr>
      </w:pPr>
    </w:p>
    <w:p>
      <w:pPr>
        <w:autoSpaceDE w:val="0"/>
        <w:autoSpaceDN w:val="0"/>
        <w:adjustRightInd w:val="0"/>
        <w:spacing w:line="360" w:lineRule="auto"/>
        <w:ind w:left="0" w:leftChars="0" w:firstLine="0" w:firstLineChars="0"/>
        <w:jc w:val="center"/>
        <w:rPr>
          <w:rFonts w:hint="eastAsia" w:ascii="宋体"/>
          <w:kern w:val="0"/>
          <w:sz w:val="28"/>
          <w:lang w:val="en-US" w:eastAsia="zh-CN"/>
        </w:rPr>
      </w:pPr>
      <w:r>
        <w:rPr>
          <w:rFonts w:hint="eastAsia" w:ascii="宋体"/>
          <w:kern w:val="0"/>
          <w:sz w:val="28"/>
        </w:rPr>
        <w:t>采购项目：台州智慧交管工程（协同应用）项目</w:t>
      </w:r>
      <w:r>
        <w:rPr>
          <w:rFonts w:hint="eastAsia" w:ascii="宋体"/>
          <w:kern w:val="0"/>
          <w:sz w:val="28"/>
          <w:lang w:val="en-US" w:eastAsia="zh-CN"/>
        </w:rPr>
        <w:t>_软件部分</w:t>
      </w:r>
    </w:p>
    <w:p>
      <w:pPr>
        <w:autoSpaceDE w:val="0"/>
        <w:autoSpaceDN w:val="0"/>
        <w:adjustRightInd w:val="0"/>
        <w:spacing w:line="360" w:lineRule="auto"/>
        <w:jc w:val="center"/>
        <w:rPr>
          <w:rFonts w:ascii="宋体"/>
          <w:kern w:val="0"/>
          <w:sz w:val="28"/>
        </w:rPr>
      </w:pPr>
      <w:r>
        <w:rPr>
          <w:rFonts w:hint="eastAsia" w:ascii="宋体"/>
          <w:kern w:val="0"/>
          <w:sz w:val="28"/>
        </w:rPr>
        <w:t>采 购 人：台州市公安局交通警察局</w:t>
      </w:r>
    </w:p>
    <w:p>
      <w:pPr>
        <w:autoSpaceDE w:val="0"/>
        <w:autoSpaceDN w:val="0"/>
        <w:adjustRightInd w:val="0"/>
        <w:spacing w:line="360" w:lineRule="auto"/>
        <w:ind w:left="0" w:leftChars="0" w:firstLine="0" w:firstLineChars="0"/>
        <w:jc w:val="center"/>
        <w:rPr>
          <w:rFonts w:ascii="宋体"/>
          <w:kern w:val="0"/>
          <w:sz w:val="28"/>
        </w:rPr>
      </w:pP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lang w:val="en-US" w:eastAsia="zh-CN"/>
        </w:rPr>
        <w:t>台州市</w:t>
      </w:r>
      <w:r>
        <w:rPr>
          <w:rFonts w:hint="eastAsia" w:ascii="宋体" w:hAnsi="宋体" w:cs="宋体"/>
          <w:kern w:val="0"/>
          <w:sz w:val="28"/>
          <w:szCs w:val="28"/>
        </w:rPr>
        <w:t>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pPr>
      <w:r>
        <w:rPr>
          <w:rFonts w:hint="eastAsia" w:ascii="宋体" w:hAnsi="宋体" w:cs="宋体"/>
          <w:kern w:val="0"/>
          <w:sz w:val="28"/>
          <w:szCs w:val="28"/>
          <w:lang w:val="en-US" w:eastAsia="zh-CN"/>
        </w:rPr>
        <w:t>2022</w:t>
      </w:r>
      <w:r>
        <w:rPr>
          <w:rFonts w:hint="eastAsia" w:ascii="宋体" w:hAnsi="宋体" w:cs="宋体"/>
          <w:kern w:val="0"/>
          <w:sz w:val="28"/>
          <w:szCs w:val="28"/>
        </w:rPr>
        <w:t xml:space="preserve">年 </w:t>
      </w:r>
      <w:r>
        <w:rPr>
          <w:rFonts w:hint="eastAsia" w:ascii="宋体" w:hAnsi="宋体" w:cs="宋体"/>
          <w:kern w:val="0"/>
          <w:sz w:val="28"/>
          <w:szCs w:val="28"/>
          <w:lang w:val="en-US" w:eastAsia="zh-CN"/>
        </w:rPr>
        <w:t>7</w:t>
      </w:r>
      <w:r>
        <w:rPr>
          <w:rFonts w:hint="eastAsia" w:ascii="宋体" w:hAnsi="宋体" w:cs="宋体"/>
          <w:kern w:val="0"/>
          <w:sz w:val="28"/>
          <w:szCs w:val="28"/>
        </w:rPr>
        <w:t xml:space="preserve"> 月</w:t>
      </w:r>
      <w:r>
        <w:rPr>
          <w:rFonts w:hint="eastAsia" w:ascii="宋体" w:hAnsi="宋体" w:cs="宋体"/>
          <w:kern w:val="0"/>
          <w:sz w:val="28"/>
          <w:szCs w:val="28"/>
          <w:lang w:val="en-US" w:eastAsia="zh-CN"/>
        </w:rPr>
        <w:t xml:space="preserve"> 27 </w:t>
      </w:r>
      <w:r>
        <w:rPr>
          <w:rFonts w:hint="eastAsia" w:ascii="宋体" w:hAnsi="宋体" w:cs="宋体"/>
          <w:kern w:val="0"/>
          <w:sz w:val="28"/>
          <w:szCs w:val="28"/>
        </w:rPr>
        <w:t>日</w:t>
      </w:r>
    </w:p>
    <w:p>
      <w:pPr>
        <w:spacing w:line="360" w:lineRule="auto"/>
      </w:pPr>
    </w:p>
    <w:p>
      <w:pPr>
        <w:pStyle w:val="21"/>
      </w:pPr>
    </w:p>
    <w:p>
      <w:pPr>
        <w:pStyle w:val="21"/>
      </w:pPr>
    </w:p>
    <w:p>
      <w:pPr>
        <w:pStyle w:val="21"/>
      </w:pPr>
    </w:p>
    <w:p>
      <w:pPr>
        <w:pStyle w:val="21"/>
      </w:pPr>
    </w:p>
    <w:p>
      <w:pPr>
        <w:pStyle w:val="21"/>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pPr>
            <w:spacing w:line="480" w:lineRule="auto"/>
            <w:jc w:val="both"/>
            <w:rPr>
              <w:rFonts w:ascii="宋体" w:hAnsi="宋体"/>
              <w:kern w:val="0"/>
              <w:sz w:val="28"/>
              <w:szCs w:val="28"/>
            </w:rPr>
          </w:pPr>
          <w:bookmarkStart w:id="0" w:name="_Toc25017_WPSOffice_Type1"/>
        </w:p>
        <w:p>
          <w:pPr>
            <w:pStyle w:val="21"/>
          </w:pPr>
        </w:p>
        <w:p>
          <w:pPr>
            <w:spacing w:line="480" w:lineRule="auto"/>
            <w:jc w:val="center"/>
            <w:rPr>
              <w:rFonts w:hint="eastAsia" w:ascii="宋体" w:hAnsi="宋体"/>
              <w:b/>
              <w:bCs/>
              <w:sz w:val="36"/>
              <w:szCs w:val="36"/>
            </w:rPr>
          </w:pPr>
          <w:r>
            <w:rPr>
              <w:rFonts w:hint="eastAsia" w:ascii="宋体" w:hAnsi="宋体"/>
              <w:b/>
              <w:bCs/>
              <w:sz w:val="36"/>
              <w:szCs w:val="36"/>
            </w:rPr>
            <w:t>目  录</w:t>
          </w:r>
        </w:p>
        <w:p>
          <w:pPr>
            <w:pStyle w:val="18"/>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"_Toc4350_WPSOffice_Level1" </w:instrText>
          </w:r>
          <w:r>
            <w:rPr>
              <w:rFonts w:eastAsiaTheme="minorEastAsia" w:cstheme="minorBidi"/>
              <w:sz w:val="28"/>
              <w:szCs w:val="28"/>
            </w:rPr>
            <w:fldChar w:fldCharType="separate"/>
          </w:r>
          <w:r>
            <w:rPr>
              <w:rFonts w:hint="eastAsia" w:eastAsiaTheme="minorEastAsia" w:cstheme="minorBidi"/>
              <w:sz w:val="28"/>
              <w:szCs w:val="28"/>
            </w:rPr>
            <w:t>第一章 投标邀请</w:t>
          </w:r>
          <w:r>
            <w:rPr>
              <w:rFonts w:hint="eastAsia" w:eastAsiaTheme="minorEastAsia" w:cstheme="minorBidi"/>
              <w:sz w:val="28"/>
              <w:szCs w:val="28"/>
            </w:rPr>
            <w:tab/>
          </w:r>
          <w:bookmarkStart w:id="1" w:name="_Toc4350_WPSOffice_Level1Page"/>
          <w:r>
            <w:rPr>
              <w:rFonts w:hint="eastAsia" w:eastAsiaTheme="minorEastAsia" w:cstheme="minorBidi"/>
              <w:sz w:val="28"/>
              <w:szCs w:val="28"/>
            </w:rPr>
            <w:t>3</w:t>
          </w:r>
          <w:bookmarkEnd w:id="1"/>
          <w:r>
            <w:rPr>
              <w:rFonts w:hint="eastAsia" w:eastAsiaTheme="minorEastAsia" w:cstheme="minorBidi"/>
              <w:sz w:val="28"/>
              <w:szCs w:val="28"/>
            </w:rPr>
            <w:fldChar w:fldCharType="end"/>
          </w:r>
        </w:p>
        <w:p>
          <w:pPr>
            <w:pStyle w:val="18"/>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"_Toc25017_WPSOffice_Level1" </w:instrText>
          </w:r>
          <w:r>
            <w:rPr>
              <w:rFonts w:eastAsiaTheme="minorEastAsia" w:cstheme="minorBidi"/>
              <w:sz w:val="28"/>
              <w:szCs w:val="28"/>
            </w:rPr>
            <w:fldChar w:fldCharType="separate"/>
          </w:r>
          <w:r>
            <w:rPr>
              <w:rFonts w:hint="eastAsia" w:eastAsiaTheme="minorEastAsia" w:cstheme="minorBidi"/>
              <w:sz w:val="28"/>
              <w:szCs w:val="28"/>
            </w:rPr>
            <w:t>第二章 投标人须知</w:t>
          </w:r>
          <w:r>
            <w:rPr>
              <w:rFonts w:hint="eastAsia"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pPr>
            <w:pStyle w:val="18"/>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"_Toc13072_WPSOffice_Level1" </w:instrText>
          </w:r>
          <w:r>
            <w:rPr>
              <w:rFonts w:eastAsiaTheme="minorEastAsia" w:cstheme="minorBidi"/>
              <w:sz w:val="28"/>
              <w:szCs w:val="28"/>
            </w:rPr>
            <w:fldChar w:fldCharType="separate"/>
          </w:r>
          <w:r>
            <w:rPr>
              <w:rFonts w:hint="eastAsia" w:eastAsiaTheme="minorEastAsia" w:cstheme="minorBidi"/>
              <w:sz w:val="28"/>
              <w:szCs w:val="28"/>
            </w:rPr>
            <w:t>第三章 招标需求</w:t>
          </w:r>
          <w:r>
            <w:rPr>
              <w:rFonts w:hint="eastAsia"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rPr>
            <w:t>4</w:t>
          </w:r>
        </w:p>
        <w:p>
          <w:pPr>
            <w:pStyle w:val="18"/>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"_Toc31173_WPSOffice_Level1" </w:instrText>
          </w:r>
          <w:r>
            <w:rPr>
              <w:rFonts w:eastAsiaTheme="minorEastAsia" w:cstheme="minorBidi"/>
              <w:sz w:val="28"/>
              <w:szCs w:val="28"/>
            </w:rPr>
            <w:fldChar w:fldCharType="separate"/>
          </w:r>
          <w:r>
            <w:rPr>
              <w:rFonts w:hint="eastAsia" w:eastAsiaTheme="minorEastAsia" w:cstheme="minorBidi"/>
              <w:sz w:val="28"/>
              <w:szCs w:val="28"/>
            </w:rPr>
            <w:t>第四章 评标</w:t>
          </w:r>
          <w:r>
            <w:rPr>
              <w:rFonts w:hint="eastAsia" w:eastAsiaTheme="minorEastAsia" w:cstheme="minorBidi"/>
              <w:sz w:val="28"/>
              <w:szCs w:val="28"/>
            </w:rPr>
            <w:tab/>
          </w:r>
          <w:bookmarkStart w:id="2" w:name="_Toc31173_WPSOffice_Level1Page"/>
          <w:r>
            <w:rPr>
              <w:rFonts w:hint="eastAsia" w:eastAsiaTheme="minorEastAsia" w:cstheme="minorBidi"/>
              <w:sz w:val="28"/>
              <w:szCs w:val="28"/>
            </w:rPr>
            <w:t>22</w:t>
          </w:r>
          <w:bookmarkEnd w:id="2"/>
          <w:r>
            <w:rPr>
              <w:rFonts w:hint="eastAsia" w:eastAsiaTheme="minorEastAsia" w:cstheme="minorBidi"/>
              <w:sz w:val="28"/>
              <w:szCs w:val="28"/>
            </w:rPr>
            <w:fldChar w:fldCharType="end"/>
          </w:r>
        </w:p>
        <w:p>
          <w:pPr>
            <w:pStyle w:val="18"/>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"_Toc27944_WPSOffice_Level1" </w:instrText>
          </w:r>
          <w:r>
            <w:rPr>
              <w:rFonts w:eastAsiaTheme="minorEastAsia" w:cstheme="minorBidi"/>
              <w:sz w:val="28"/>
              <w:szCs w:val="28"/>
            </w:rPr>
            <w:fldChar w:fldCharType="separate"/>
          </w:r>
          <w:r>
            <w:rPr>
              <w:rFonts w:hint="eastAsia" w:eastAsiaTheme="minorEastAsia" w:cstheme="minorBidi"/>
              <w:sz w:val="28"/>
              <w:szCs w:val="28"/>
            </w:rPr>
            <w:t>第五章 拟签订的合同文本</w:t>
          </w:r>
          <w:r>
            <w:rPr>
              <w:rFonts w:hint="eastAsia" w:eastAsiaTheme="minorEastAsia" w:cstheme="minorBidi"/>
              <w:sz w:val="28"/>
              <w:szCs w:val="28"/>
            </w:rPr>
            <w:tab/>
          </w:r>
          <w:bookmarkStart w:id="3" w:name="_Toc27944_WPSOffice_Level1Page"/>
          <w:r>
            <w:rPr>
              <w:rFonts w:hint="eastAsia" w:eastAsiaTheme="minorEastAsia" w:cstheme="minorBidi"/>
              <w:sz w:val="28"/>
              <w:szCs w:val="28"/>
            </w:rPr>
            <w:t>35</w:t>
          </w:r>
          <w:bookmarkEnd w:id="3"/>
          <w:r>
            <w:rPr>
              <w:rFonts w:hint="eastAsia" w:eastAsiaTheme="minorEastAsia" w:cstheme="minorBidi"/>
              <w:sz w:val="28"/>
              <w:szCs w:val="28"/>
            </w:rPr>
            <w:fldChar w:fldCharType="end"/>
          </w:r>
        </w:p>
        <w:p>
          <w:pPr>
            <w:pStyle w:val="18"/>
            <w:tabs>
              <w:tab w:val="right" w:leader="dot" w:pos="8620"/>
            </w:tabs>
          </w:pPr>
          <w:r>
            <w:rPr>
              <w:rFonts w:eastAsiaTheme="minorEastAsia" w:cstheme="minorBidi"/>
              <w:sz w:val="28"/>
              <w:szCs w:val="28"/>
            </w:rPr>
            <w:fldChar w:fldCharType="begin"/>
          </w:r>
          <w:r>
            <w:rPr>
              <w:rFonts w:eastAsiaTheme="minorEastAsia" w:cstheme="minorBidi"/>
              <w:sz w:val="28"/>
              <w:szCs w:val="28"/>
            </w:rPr>
            <w:instrText xml:space="preserve"> HYPERLINK \l "_Toc5481_WPSOffice_Level1" </w:instrText>
          </w:r>
          <w:r>
            <w:rPr>
              <w:rFonts w:eastAsiaTheme="minorEastAsia" w:cstheme="minorBidi"/>
              <w:sz w:val="28"/>
              <w:szCs w:val="28"/>
            </w:rPr>
            <w:fldChar w:fldCharType="separate"/>
          </w:r>
          <w:r>
            <w:rPr>
              <w:rFonts w:hint="eastAsia" w:eastAsiaTheme="minorEastAsia" w:cstheme="minorBidi"/>
              <w:sz w:val="28"/>
              <w:szCs w:val="28"/>
            </w:rPr>
            <w:t>第六章 投标文件格式</w:t>
          </w:r>
          <w:r>
            <w:rPr>
              <w:rFonts w:hint="eastAsia" w:eastAsiaTheme="minorEastAsia" w:cstheme="minorBidi"/>
              <w:sz w:val="28"/>
              <w:szCs w:val="28"/>
            </w:rPr>
            <w:tab/>
          </w:r>
          <w:bookmarkStart w:id="4" w:name="_Toc5481_WPSOffice_Level1Page"/>
          <w:r>
            <w:rPr>
              <w:rFonts w:hint="eastAsia" w:eastAsiaTheme="minorEastAsia" w:cstheme="minorBidi"/>
              <w:sz w:val="28"/>
              <w:szCs w:val="28"/>
            </w:rPr>
            <w:t>41</w:t>
          </w:r>
          <w:bookmarkEnd w:id="4"/>
          <w:r>
            <w:rPr>
              <w:rFonts w:hint="eastAsia" w:eastAsiaTheme="minorEastAsia" w:cstheme="minorBidi"/>
              <w:sz w:val="28"/>
              <w:szCs w:val="28"/>
            </w:rPr>
            <w:fldChar w:fldCharType="end"/>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numPr>
          <w:ilvl w:val="0"/>
          <w:numId w:val="4"/>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5" w:name="_Toc4350_WPSOffice_Level1"/>
      <w:r>
        <w:rPr>
          <w:rFonts w:hint="eastAsia" w:ascii="宋体" w:hAnsi="宋体" w:cs="宋体"/>
          <w:b/>
          <w:kern w:val="0"/>
          <w:sz w:val="36"/>
          <w:szCs w:val="36"/>
        </w:rPr>
        <w:t>投标邀请</w:t>
      </w:r>
      <w:bookmarkEnd w:id="5"/>
    </w:p>
    <w:p>
      <w:pPr>
        <w:pStyle w:val="3"/>
        <w:ind w:firstLine="480" w:firstLineChars="200"/>
        <w:rPr>
          <w:rFonts w:cs="宋体"/>
          <w:b w:val="0"/>
          <w:sz w:val="24"/>
          <w:szCs w:val="24"/>
        </w:rPr>
      </w:pPr>
      <w:bookmarkStart w:id="6" w:name="_Toc35393790"/>
      <w:bookmarkStart w:id="7" w:name="_Toc28359079"/>
      <w:bookmarkStart w:id="8" w:name="_Toc28359002"/>
      <w:bookmarkStart w:id="9" w:name="_Toc35393621"/>
      <w:bookmarkStart w:id="10" w:name="_Hlk24379207"/>
      <w:r>
        <w:rPr>
          <w:rFonts w:hint="eastAsia" w:cs="宋体"/>
          <w:b w:val="0"/>
          <w:sz w:val="24"/>
          <w:szCs w:val="24"/>
          <w:lang w:val="en-US" w:eastAsia="zh-CN"/>
        </w:rPr>
        <w:t>台州市</w:t>
      </w:r>
      <w:r>
        <w:rPr>
          <w:rFonts w:hint="eastAsia" w:cs="宋体"/>
          <w:b w:val="0"/>
          <w:sz w:val="24"/>
          <w:szCs w:val="24"/>
        </w:rPr>
        <w:t>政府采购</w:t>
      </w:r>
      <w:r>
        <w:rPr>
          <w:rFonts w:hint="eastAsia" w:ascii="宋体" w:hAnsi="宋体" w:eastAsia="宋体" w:cs="宋体"/>
          <w:b w:val="0"/>
          <w:sz w:val="24"/>
          <w:szCs w:val="24"/>
        </w:rPr>
        <w:t>中心受台州市公安局交通警察局委托，就台州智慧交管工程（协同应用）项目</w:t>
      </w:r>
      <w:r>
        <w:rPr>
          <w:rFonts w:hint="eastAsia" w:ascii="宋体" w:hAnsi="宋体" w:eastAsia="宋体" w:cs="宋体"/>
          <w:b w:val="0"/>
          <w:sz w:val="24"/>
          <w:szCs w:val="24"/>
          <w:lang w:val="en-US" w:eastAsia="zh-CN"/>
        </w:rPr>
        <w:t>_软件部分</w:t>
      </w:r>
      <w:r>
        <w:rPr>
          <w:rFonts w:hint="eastAsia" w:ascii="宋体" w:hAnsi="宋体" w:eastAsia="宋体" w:cs="宋体"/>
          <w:b w:val="0"/>
          <w:sz w:val="24"/>
          <w:szCs w:val="24"/>
        </w:rPr>
        <w:t>项目进</w:t>
      </w:r>
      <w:r>
        <w:rPr>
          <w:rFonts w:hint="eastAsia" w:cs="宋体"/>
          <w:b w:val="0"/>
          <w:sz w:val="24"/>
          <w:szCs w:val="24"/>
        </w:rPr>
        <w:t>行公开招标，欢迎符合资格条件的国内投标人参加投标。</w:t>
      </w:r>
    </w:p>
    <w:p>
      <w:pPr>
        <w:pStyle w:val="3"/>
        <w:ind w:firstLine="482" w:firstLineChars="200"/>
        <w:rPr>
          <w:rFonts w:cs="宋体"/>
          <w:bCs/>
          <w:sz w:val="24"/>
          <w:szCs w:val="24"/>
        </w:rPr>
      </w:pPr>
      <w:r>
        <w:rPr>
          <w:rFonts w:hint="eastAsia" w:cs="宋体"/>
          <w:bCs/>
          <w:sz w:val="24"/>
          <w:szCs w:val="24"/>
        </w:rPr>
        <w:t>一、项目基本情况</w:t>
      </w:r>
      <w:bookmarkEnd w:id="6"/>
      <w:bookmarkEnd w:id="7"/>
      <w:bookmarkEnd w:id="8"/>
      <w:bookmarkEnd w:id="9"/>
    </w:p>
    <w:p>
      <w:pPr>
        <w:spacing w:line="360" w:lineRule="auto"/>
        <w:ind w:firstLine="480" w:firstLineChars="200"/>
        <w:rPr>
          <w:rFonts w:ascii="宋体" w:hAnsi="宋体" w:cs="宋体"/>
          <w:sz w:val="24"/>
        </w:rPr>
      </w:pPr>
      <w:r>
        <w:rPr>
          <w:rFonts w:hint="eastAsia" w:ascii="宋体" w:hAnsi="宋体" w:cs="宋体"/>
          <w:sz w:val="24"/>
        </w:rPr>
        <w:t>项目编号：</w:t>
      </w:r>
      <w:r>
        <w:rPr>
          <w:rFonts w:hint="eastAsia" w:ascii="宋体" w:hAnsi="宋体" w:cs="宋体"/>
          <w:sz w:val="24"/>
          <w:lang w:val="en-US" w:eastAsia="zh-CN"/>
        </w:rPr>
        <w:t>TZCG-2022-G</w:t>
      </w:r>
      <w:r>
        <w:rPr>
          <w:rFonts w:hint="eastAsia" w:ascii="宋体" w:hAnsi="宋体" w:cs="宋体"/>
          <w:color w:val="auto"/>
          <w:sz w:val="24"/>
          <w:lang w:val="en-US" w:eastAsia="zh-CN"/>
        </w:rPr>
        <w:t>K016</w:t>
      </w:r>
      <w:r>
        <w:rPr>
          <w:rFonts w:hint="eastAsia" w:asciiTheme="minorEastAsia" w:hAnsiTheme="minorEastAsia" w:eastAsiaTheme="minorEastAsia" w:cstheme="minorEastAsia"/>
          <w:sz w:val="24"/>
        </w:rPr>
        <w:t>号</w:t>
      </w:r>
    </w:p>
    <w:bookmarkEnd w:id="10"/>
    <w:p>
      <w:pPr>
        <w:spacing w:line="360" w:lineRule="auto"/>
        <w:ind w:firstLine="480" w:firstLineChars="200"/>
        <w:rPr>
          <w:rFonts w:hint="eastAsia" w:ascii="宋体" w:hAnsi="宋体" w:cs="宋体"/>
          <w:kern w:val="0"/>
          <w:sz w:val="24"/>
        </w:rPr>
      </w:pPr>
      <w:r>
        <w:rPr>
          <w:rFonts w:hint="eastAsia" w:ascii="宋体" w:hAnsi="宋体" w:cs="宋体"/>
          <w:sz w:val="24"/>
        </w:rPr>
        <w:t>项目名称：</w:t>
      </w:r>
      <w:r>
        <w:rPr>
          <w:rFonts w:hint="eastAsia" w:ascii="宋体" w:hAnsi="宋体" w:eastAsia="宋体" w:cs="宋体"/>
          <w:b w:val="0"/>
          <w:sz w:val="24"/>
          <w:szCs w:val="24"/>
        </w:rPr>
        <w:t>台州智慧交管工程（协同应用）项目</w:t>
      </w:r>
      <w:r>
        <w:rPr>
          <w:rFonts w:hint="eastAsia" w:ascii="宋体" w:hAnsi="宋体" w:eastAsia="宋体" w:cs="宋体"/>
          <w:b w:val="0"/>
          <w:sz w:val="24"/>
          <w:szCs w:val="24"/>
          <w:lang w:val="en-US" w:eastAsia="zh-CN"/>
        </w:rPr>
        <w:t>_软件部分</w:t>
      </w:r>
      <w:r>
        <w:rPr>
          <w:rFonts w:hint="eastAsia" w:ascii="宋体" w:hAnsi="宋体" w:eastAsia="宋体" w:cs="宋体"/>
          <w:b w:val="0"/>
          <w:sz w:val="24"/>
          <w:szCs w:val="24"/>
        </w:rPr>
        <w:t>项目</w:t>
      </w:r>
    </w:p>
    <w:tbl>
      <w:tblPr>
        <w:tblStyle w:val="22"/>
        <w:tblpPr w:leftFromText="181" w:rightFromText="181" w:bottomFromText="170" w:vertAnchor="text" w:tblpXSpec="center" w:tblpY="1"/>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741"/>
        <w:gridCol w:w="999"/>
        <w:gridCol w:w="979"/>
        <w:gridCol w:w="130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标项号</w:t>
            </w:r>
          </w:p>
        </w:tc>
        <w:tc>
          <w:tcPr>
            <w:tcW w:w="2741" w:type="dxa"/>
            <w:vAlign w:val="center"/>
          </w:tcPr>
          <w:p>
            <w:pPr>
              <w:tabs>
                <w:tab w:val="left" w:pos="8280"/>
              </w:tabs>
              <w:autoSpaceDE w:val="0"/>
              <w:autoSpaceDN w:val="0"/>
              <w:adjustRightInd w:val="0"/>
              <w:ind w:firstLine="105" w:firstLineChars="50"/>
              <w:jc w:val="center"/>
              <w:rPr>
                <w:rFonts w:ascii="宋体" w:hAnsi="宋体" w:cs="宋体"/>
                <w:b/>
                <w:sz w:val="21"/>
                <w:szCs w:val="21"/>
              </w:rPr>
            </w:pPr>
            <w:r>
              <w:rPr>
                <w:rFonts w:hint="eastAsia" w:ascii="宋体" w:hAnsi="宋体" w:cs="宋体"/>
                <w:b/>
                <w:sz w:val="21"/>
                <w:szCs w:val="21"/>
              </w:rPr>
              <w:t>标项名称</w:t>
            </w:r>
          </w:p>
        </w:tc>
        <w:tc>
          <w:tcPr>
            <w:tcW w:w="999"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kern w:val="0"/>
                <w:sz w:val="21"/>
                <w:szCs w:val="21"/>
              </w:rPr>
              <w:t>数量</w:t>
            </w:r>
          </w:p>
        </w:tc>
        <w:tc>
          <w:tcPr>
            <w:tcW w:w="979"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单位</w:t>
            </w:r>
          </w:p>
        </w:tc>
        <w:tc>
          <w:tcPr>
            <w:tcW w:w="130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预算</w:t>
            </w:r>
          </w:p>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（万元）</w:t>
            </w:r>
          </w:p>
        </w:tc>
        <w:tc>
          <w:tcPr>
            <w:tcW w:w="1585" w:type="dxa"/>
            <w:vAlign w:val="center"/>
          </w:tcPr>
          <w:p>
            <w:pPr>
              <w:jc w:val="center"/>
              <w:rPr>
                <w:rFonts w:ascii="宋体" w:hAnsi="宋体" w:cs="宋体"/>
                <w:b/>
                <w:sz w:val="21"/>
                <w:szCs w:val="21"/>
              </w:rPr>
            </w:pPr>
            <w:r>
              <w:rPr>
                <w:rFonts w:hint="eastAsia" w:ascii="宋体" w:hAnsi="宋体" w:cs="宋体"/>
                <w:b/>
                <w:sz w:val="21"/>
                <w:szCs w:val="21"/>
              </w:rPr>
              <w:t>最高限价</w:t>
            </w:r>
          </w:p>
          <w:p>
            <w:pPr>
              <w:jc w:val="center"/>
              <w:rPr>
                <w:rFonts w:ascii="宋体" w:hAnsi="宋体" w:cs="宋体"/>
                <w:b/>
                <w:sz w:val="21"/>
                <w:szCs w:val="21"/>
              </w:rPr>
            </w:pPr>
            <w:r>
              <w:rPr>
                <w:rFonts w:hint="eastAsia" w:ascii="宋体" w:hAnsi="宋体" w:cs="宋体"/>
                <w:b/>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33" w:type="dxa"/>
            <w:vAlign w:val="center"/>
          </w:tcPr>
          <w:p>
            <w:pPr>
              <w:tabs>
                <w:tab w:val="left" w:pos="8280"/>
              </w:tabs>
              <w:autoSpaceDE w:val="0"/>
              <w:autoSpaceDN w:val="0"/>
              <w:adjustRightInd w:val="0"/>
              <w:jc w:val="center"/>
              <w:rPr>
                <w:rFonts w:ascii="宋体" w:hAnsi="宋体" w:cs="宋体"/>
                <w:b w:val="0"/>
                <w:bCs/>
                <w:sz w:val="21"/>
                <w:szCs w:val="21"/>
              </w:rPr>
            </w:pPr>
            <w:r>
              <w:rPr>
                <w:rFonts w:hint="eastAsia" w:ascii="宋体" w:hAnsi="宋体" w:cs="宋体"/>
                <w:b w:val="0"/>
                <w:bCs/>
                <w:sz w:val="21"/>
                <w:szCs w:val="21"/>
              </w:rPr>
              <w:t>1</w:t>
            </w:r>
          </w:p>
        </w:tc>
        <w:tc>
          <w:tcPr>
            <w:tcW w:w="2741" w:type="dxa"/>
            <w:vAlign w:val="center"/>
          </w:tcPr>
          <w:p>
            <w:pPr>
              <w:tabs>
                <w:tab w:val="left" w:pos="8280"/>
              </w:tabs>
              <w:autoSpaceDE w:val="0"/>
              <w:autoSpaceDN w:val="0"/>
              <w:adjustRightInd w:val="0"/>
              <w:jc w:val="center"/>
              <w:rPr>
                <w:rFonts w:hint="default" w:ascii="宋体" w:hAnsi="宋体" w:eastAsia="宋体" w:cs="宋体"/>
                <w:b w:val="0"/>
                <w:bCs/>
                <w:sz w:val="21"/>
                <w:szCs w:val="21"/>
                <w:lang w:val="en-US" w:eastAsia="zh-CN"/>
              </w:rPr>
            </w:pPr>
            <w:r>
              <w:rPr>
                <w:rFonts w:hint="eastAsia" w:ascii="宋体" w:hAnsi="宋体" w:eastAsia="宋体" w:cs="宋体"/>
                <w:b w:val="0"/>
                <w:sz w:val="21"/>
                <w:szCs w:val="21"/>
              </w:rPr>
              <w:t>台州智慧交管工程（协同应用）项目</w:t>
            </w:r>
            <w:r>
              <w:rPr>
                <w:rFonts w:hint="eastAsia" w:ascii="宋体" w:hAnsi="宋体" w:eastAsia="宋体" w:cs="宋体"/>
                <w:b w:val="0"/>
                <w:sz w:val="21"/>
                <w:szCs w:val="21"/>
                <w:lang w:val="en-US" w:eastAsia="zh-CN"/>
              </w:rPr>
              <w:t>_软件部分</w:t>
            </w:r>
          </w:p>
        </w:tc>
        <w:tc>
          <w:tcPr>
            <w:tcW w:w="999" w:type="dxa"/>
            <w:vAlign w:val="center"/>
          </w:tcPr>
          <w:p>
            <w:pPr>
              <w:tabs>
                <w:tab w:val="left" w:pos="8280"/>
              </w:tabs>
              <w:autoSpaceDE w:val="0"/>
              <w:autoSpaceDN w:val="0"/>
              <w:adjustRightInd w:val="0"/>
              <w:jc w:val="center"/>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1</w:t>
            </w:r>
          </w:p>
        </w:tc>
        <w:tc>
          <w:tcPr>
            <w:tcW w:w="979" w:type="dxa"/>
            <w:vAlign w:val="center"/>
          </w:tcPr>
          <w:p>
            <w:pPr>
              <w:tabs>
                <w:tab w:val="left" w:pos="8280"/>
              </w:tabs>
              <w:autoSpaceDE w:val="0"/>
              <w:autoSpaceDN w:val="0"/>
              <w:adjustRightInd w:val="0"/>
              <w:jc w:val="center"/>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项</w:t>
            </w:r>
          </w:p>
        </w:tc>
        <w:tc>
          <w:tcPr>
            <w:tcW w:w="1303" w:type="dxa"/>
            <w:vAlign w:val="center"/>
          </w:tcPr>
          <w:p>
            <w:pPr>
              <w:tabs>
                <w:tab w:val="left" w:pos="8280"/>
              </w:tabs>
              <w:autoSpaceDE w:val="0"/>
              <w:autoSpaceDN w:val="0"/>
              <w:adjustRightInd w:val="0"/>
              <w:jc w:val="center"/>
              <w:rPr>
                <w:rFonts w:hint="default" w:ascii="宋体" w:hAnsi="宋体" w:eastAsia="宋体" w:cs="宋体"/>
                <w:b w:val="0"/>
                <w:bCs/>
                <w:sz w:val="21"/>
                <w:szCs w:val="21"/>
                <w:lang w:val="en-US" w:eastAsia="zh-CN"/>
              </w:rPr>
            </w:pPr>
            <w:r>
              <w:rPr>
                <w:rFonts w:hint="eastAsia" w:ascii="宋体" w:hAnsi="宋体"/>
                <w:b w:val="0"/>
                <w:bCs/>
                <w:color w:val="auto"/>
                <w:sz w:val="21"/>
                <w:szCs w:val="24"/>
                <w:lang w:val="en-US" w:eastAsia="zh-CN"/>
              </w:rPr>
              <w:t>2927.83</w:t>
            </w:r>
          </w:p>
        </w:tc>
        <w:tc>
          <w:tcPr>
            <w:tcW w:w="1585" w:type="dxa"/>
            <w:vAlign w:val="center"/>
          </w:tcPr>
          <w:p>
            <w:pPr>
              <w:tabs>
                <w:tab w:val="left" w:pos="8280"/>
              </w:tabs>
              <w:autoSpaceDE w:val="0"/>
              <w:autoSpaceDN w:val="0"/>
              <w:adjustRightInd w:val="0"/>
              <w:jc w:val="center"/>
              <w:rPr>
                <w:rFonts w:hint="default" w:ascii="宋体" w:hAnsi="宋体" w:eastAsia="宋体" w:cs="宋体"/>
                <w:b w:val="0"/>
                <w:bCs/>
                <w:sz w:val="21"/>
                <w:szCs w:val="21"/>
                <w:lang w:val="en-US" w:eastAsia="zh-CN"/>
              </w:rPr>
            </w:pPr>
            <w:r>
              <w:rPr>
                <w:rFonts w:hint="eastAsia" w:ascii="宋体" w:hAnsi="宋体" w:eastAsia="宋体" w:cs="宋体"/>
                <w:i w:val="0"/>
                <w:iCs w:val="0"/>
                <w:color w:val="auto"/>
                <w:kern w:val="2"/>
                <w:sz w:val="21"/>
                <w:szCs w:val="21"/>
                <w:highlight w:val="none"/>
                <w:u w:val="none"/>
                <w:lang w:val="en-US" w:eastAsia="zh-CN" w:bidi="ar-SA"/>
              </w:rPr>
              <w:t>2867.45</w:t>
            </w:r>
          </w:p>
        </w:tc>
      </w:tr>
    </w:tbl>
    <w:p>
      <w:pPr>
        <w:pStyle w:val="3"/>
        <w:ind w:right="0" w:firstLine="482" w:firstLineChars="200"/>
        <w:rPr>
          <w:rFonts w:cs="宋体"/>
          <w:bCs/>
          <w:sz w:val="24"/>
          <w:szCs w:val="24"/>
        </w:rPr>
      </w:pPr>
      <w:bookmarkStart w:id="11" w:name="_Toc35393791"/>
      <w:bookmarkStart w:id="12" w:name="_Toc35393622"/>
      <w:bookmarkStart w:id="13" w:name="_Toc28359003"/>
      <w:bookmarkStart w:id="14" w:name="_Toc28359080"/>
      <w:r>
        <w:rPr>
          <w:rFonts w:hint="eastAsia" w:cs="宋体"/>
          <w:bCs/>
          <w:sz w:val="24"/>
          <w:szCs w:val="24"/>
        </w:rPr>
        <w:t>二、投标人的资格要求</w:t>
      </w:r>
      <w:bookmarkEnd w:id="11"/>
      <w:bookmarkEnd w:id="12"/>
      <w:bookmarkEnd w:id="13"/>
      <w:bookmarkEnd w:id="14"/>
    </w:p>
    <w:p>
      <w:pPr>
        <w:spacing w:line="360" w:lineRule="auto"/>
        <w:ind w:firstLine="480" w:firstLineChars="200"/>
        <w:rPr>
          <w:rFonts w:ascii="宋体" w:hAnsi="宋体" w:cs="宋体"/>
          <w:sz w:val="24"/>
        </w:rPr>
      </w:pPr>
      <w:r>
        <w:rPr>
          <w:rFonts w:hint="eastAsia" w:ascii="宋体" w:hAnsi="宋体" w:cs="宋体"/>
          <w:sz w:val="24"/>
        </w:rPr>
        <w:t>（一）满足《中华人民共和国政府采购法》第二十二条规定</w:t>
      </w:r>
      <w:bookmarkStart w:id="15" w:name="_Toc28359081"/>
      <w:bookmarkStart w:id="16" w:name="_Toc35393792"/>
      <w:bookmarkStart w:id="17" w:name="_Toc35393623"/>
      <w:bookmarkStart w:id="18" w:name="_Toc28359004"/>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二</w:t>
      </w:r>
      <w:r>
        <w:rPr>
          <w:rFonts w:hint="eastAsia" w:ascii="宋体" w:hAnsi="宋体" w:cs="宋体"/>
          <w:sz w:val="24"/>
        </w:rPr>
        <w:t>）信用记录：未被列入“信用中国”失信被执行人或重大税收违法案件当事人名单；未处于“中国政府采购网”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三</w:t>
      </w:r>
      <w:r>
        <w:rPr>
          <w:rFonts w:hint="eastAsia" w:ascii="宋体" w:hAnsi="宋体" w:cs="宋体"/>
          <w:sz w:val="24"/>
        </w:rPr>
        <w:t>）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pPr>
        <w:pStyle w:val="3"/>
        <w:ind w:right="0" w:firstLine="482" w:firstLineChars="200"/>
        <w:rPr>
          <w:rFonts w:cs="宋体"/>
          <w:bCs/>
          <w:sz w:val="24"/>
          <w:szCs w:val="24"/>
        </w:rPr>
      </w:pPr>
      <w:r>
        <w:rPr>
          <w:rFonts w:hint="eastAsia" w:cs="宋体"/>
          <w:bCs/>
          <w:sz w:val="24"/>
          <w:szCs w:val="24"/>
        </w:rPr>
        <w:t>三、获取招标文件</w:t>
      </w:r>
      <w:bookmarkEnd w:id="15"/>
      <w:bookmarkEnd w:id="16"/>
      <w:bookmarkEnd w:id="17"/>
      <w:bookmarkEnd w:id="18"/>
    </w:p>
    <w:p>
      <w:pPr>
        <w:spacing w:line="360" w:lineRule="auto"/>
        <w:ind w:firstLine="480" w:firstLineChars="200"/>
        <w:rPr>
          <w:rFonts w:ascii="宋体" w:hAnsi="宋体" w:cs="宋体"/>
          <w:sz w:val="24"/>
        </w:rPr>
      </w:pPr>
      <w:r>
        <w:rPr>
          <w:rFonts w:hint="eastAsia" w:ascii="宋体" w:hAnsi="宋体" w:cs="宋体"/>
          <w:sz w:val="24"/>
        </w:rPr>
        <w:t>（一）时间：</w:t>
      </w:r>
      <w:r>
        <w:rPr>
          <w:rFonts w:hint="eastAsia" w:ascii="宋体" w:hAnsi="宋体" w:cs="宋体"/>
          <w:color w:val="0000FF"/>
          <w:sz w:val="24"/>
          <w:u w:val="single"/>
          <w:lang w:val="en-US" w:eastAsia="zh-CN"/>
        </w:rPr>
        <w:t>2022</w:t>
      </w:r>
      <w:r>
        <w:rPr>
          <w:rFonts w:hint="eastAsia" w:ascii="宋体" w:hAnsi="宋体" w:cs="宋体"/>
          <w:color w:val="0000FF"/>
          <w:sz w:val="24"/>
          <w:u w:val="single"/>
        </w:rPr>
        <w:t>年</w:t>
      </w:r>
      <w:r>
        <w:rPr>
          <w:rFonts w:hint="eastAsia" w:ascii="宋体" w:hAnsi="宋体" w:cs="宋体"/>
          <w:color w:val="0000FF"/>
          <w:sz w:val="24"/>
          <w:u w:val="single"/>
          <w:lang w:val="en-US" w:eastAsia="zh-CN"/>
        </w:rPr>
        <w:t>8</w:t>
      </w:r>
      <w:r>
        <w:rPr>
          <w:rFonts w:hint="eastAsia" w:ascii="宋体" w:hAnsi="宋体" w:cs="宋体"/>
          <w:color w:val="0000FF"/>
          <w:sz w:val="24"/>
          <w:u w:val="single"/>
        </w:rPr>
        <w:t>月</w:t>
      </w:r>
      <w:r>
        <w:rPr>
          <w:rFonts w:hint="eastAsia" w:ascii="宋体" w:hAnsi="宋体" w:cs="宋体"/>
          <w:color w:val="0000FF"/>
          <w:sz w:val="24"/>
          <w:u w:val="single"/>
          <w:lang w:val="en-US" w:eastAsia="zh-CN"/>
        </w:rPr>
        <w:t>9</w:t>
      </w:r>
      <w:r>
        <w:rPr>
          <w:rFonts w:hint="eastAsia" w:ascii="宋体" w:hAnsi="宋体" w:cs="宋体"/>
          <w:color w:val="0000FF"/>
          <w:sz w:val="24"/>
          <w:u w:val="single"/>
        </w:rPr>
        <w:t>日</w:t>
      </w:r>
      <w:r>
        <w:rPr>
          <w:rFonts w:hint="eastAsia" w:ascii="宋体" w:hAnsi="宋体" w:cs="宋体"/>
          <w:color w:val="0000FF"/>
          <w:sz w:val="24"/>
        </w:rPr>
        <w:t>至</w:t>
      </w:r>
      <w:r>
        <w:rPr>
          <w:rFonts w:hint="eastAsia" w:ascii="宋体" w:hAnsi="宋体" w:cs="宋体"/>
          <w:color w:val="0000FF"/>
          <w:sz w:val="24"/>
          <w:u w:val="single"/>
          <w:lang w:val="en-US" w:eastAsia="zh-CN"/>
        </w:rPr>
        <w:t>2022</w:t>
      </w:r>
      <w:r>
        <w:rPr>
          <w:rFonts w:hint="eastAsia" w:ascii="宋体" w:hAnsi="宋体" w:cs="宋体"/>
          <w:color w:val="0000FF"/>
          <w:sz w:val="24"/>
          <w:u w:val="single"/>
        </w:rPr>
        <w:t>年</w:t>
      </w:r>
      <w:r>
        <w:rPr>
          <w:rFonts w:hint="eastAsia" w:ascii="宋体" w:hAnsi="宋体" w:cs="宋体"/>
          <w:color w:val="0000FF"/>
          <w:sz w:val="24"/>
          <w:u w:val="single"/>
          <w:lang w:val="en-US" w:eastAsia="zh-CN"/>
        </w:rPr>
        <w:t>8</w:t>
      </w:r>
      <w:r>
        <w:rPr>
          <w:rFonts w:hint="eastAsia" w:ascii="宋体" w:hAnsi="宋体" w:cs="宋体"/>
          <w:color w:val="0000FF"/>
          <w:sz w:val="24"/>
          <w:u w:val="single"/>
        </w:rPr>
        <w:t>月</w:t>
      </w:r>
      <w:r>
        <w:rPr>
          <w:rFonts w:hint="eastAsia" w:ascii="宋体" w:hAnsi="宋体" w:cs="宋体"/>
          <w:color w:val="0000FF"/>
          <w:sz w:val="24"/>
          <w:u w:val="single"/>
          <w:lang w:val="en-US" w:eastAsia="zh-CN"/>
        </w:rPr>
        <w:t>16</w:t>
      </w:r>
      <w:r>
        <w:rPr>
          <w:rFonts w:hint="eastAsia" w:ascii="宋体" w:hAnsi="宋体" w:cs="宋体"/>
          <w:color w:val="0000FF"/>
          <w:sz w:val="24"/>
          <w:u w:val="single"/>
        </w:rPr>
        <w:t>日</w:t>
      </w:r>
    </w:p>
    <w:p>
      <w:pPr>
        <w:pStyle w:val="28"/>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（二）方式：浙江政府采购网</w:t>
      </w:r>
      <w:r>
        <w:rPr>
          <w:rFonts w:hint="eastAsia" w:ascii="宋体" w:hAnsi="宋体" w:eastAsia="宋体" w:cs="宋体"/>
          <w:kern w:val="2"/>
          <w:sz w:val="24"/>
          <w:szCs w:val="24"/>
        </w:rPr>
        <w:t>（https://zfcg.czt.zj.gov.cn）</w:t>
      </w:r>
      <w:r>
        <w:rPr>
          <w:rFonts w:hint="eastAsia" w:ascii="宋体" w:hAnsi="宋体" w:eastAsia="宋体" w:cs="宋体"/>
          <w:sz w:val="24"/>
          <w:szCs w:val="24"/>
        </w:rPr>
        <w:t>免费下载</w:t>
      </w:r>
    </w:p>
    <w:p>
      <w:pPr>
        <w:pStyle w:val="3"/>
        <w:ind w:right="0" w:firstLine="482" w:firstLineChars="200"/>
        <w:rPr>
          <w:rFonts w:cs="宋体"/>
          <w:bCs/>
          <w:sz w:val="24"/>
          <w:szCs w:val="24"/>
        </w:rPr>
      </w:pPr>
      <w:bookmarkStart w:id="19" w:name="_Toc35393793"/>
      <w:bookmarkStart w:id="20" w:name="_Toc28359082"/>
      <w:bookmarkStart w:id="21" w:name="_Toc28359005"/>
      <w:bookmarkStart w:id="22" w:name="_Toc35393624"/>
      <w:r>
        <w:rPr>
          <w:rFonts w:hint="eastAsia" w:cs="宋体"/>
          <w:bCs/>
          <w:sz w:val="24"/>
          <w:szCs w:val="24"/>
        </w:rPr>
        <w:t>四、提交投标文件</w:t>
      </w:r>
      <w:bookmarkEnd w:id="19"/>
      <w:bookmarkEnd w:id="20"/>
      <w:bookmarkEnd w:id="21"/>
      <w:bookmarkEnd w:id="22"/>
    </w:p>
    <w:p>
      <w:pPr>
        <w:spacing w:line="360" w:lineRule="auto"/>
        <w:ind w:firstLine="480" w:firstLineChars="200"/>
        <w:rPr>
          <w:rFonts w:ascii="宋体" w:hAnsi="宋体" w:cs="宋体"/>
          <w:iCs/>
          <w:sz w:val="24"/>
          <w:u w:val="single"/>
        </w:rPr>
      </w:pPr>
      <w:bookmarkStart w:id="23" w:name="_Toc35393625"/>
      <w:bookmarkStart w:id="24" w:name="_Toc28359084"/>
      <w:bookmarkStart w:id="25" w:name="_Toc28359007"/>
      <w:bookmarkStart w:id="26" w:name="_Toc35393794"/>
      <w:r>
        <w:rPr>
          <w:rFonts w:hint="eastAsia" w:ascii="宋体" w:hAnsi="宋体" w:cs="宋体"/>
          <w:sz w:val="24"/>
        </w:rPr>
        <w:t>（一）截止时间（开标时间）：</w:t>
      </w:r>
      <w:r>
        <w:rPr>
          <w:rFonts w:hint="eastAsia" w:ascii="宋体" w:hAnsi="宋体" w:cs="宋体"/>
          <w:bCs/>
          <w:color w:val="0000FF"/>
          <w:sz w:val="24"/>
          <w:u w:val="single"/>
          <w:lang w:val="en-US" w:eastAsia="zh-CN"/>
        </w:rPr>
        <w:t>2022</w:t>
      </w:r>
      <w:r>
        <w:rPr>
          <w:rFonts w:hint="eastAsia" w:ascii="宋体" w:hAnsi="宋体" w:cs="宋体"/>
          <w:bCs/>
          <w:color w:val="0000FF"/>
          <w:sz w:val="24"/>
          <w:u w:val="single"/>
        </w:rPr>
        <w:t>年</w:t>
      </w:r>
      <w:r>
        <w:rPr>
          <w:rFonts w:hint="eastAsia" w:ascii="宋体" w:hAnsi="宋体" w:cs="宋体"/>
          <w:color w:val="0000FF"/>
          <w:sz w:val="24"/>
          <w:u w:val="single"/>
          <w:lang w:val="en-US" w:eastAsia="zh-CN"/>
        </w:rPr>
        <w:t xml:space="preserve">8 </w:t>
      </w:r>
      <w:r>
        <w:rPr>
          <w:rFonts w:hint="eastAsia" w:ascii="宋体" w:hAnsi="宋体" w:cs="宋体"/>
          <w:bCs/>
          <w:color w:val="0000FF"/>
          <w:sz w:val="24"/>
          <w:u w:val="single"/>
        </w:rPr>
        <w:t>月</w:t>
      </w:r>
      <w:r>
        <w:rPr>
          <w:rFonts w:hint="eastAsia" w:ascii="宋体" w:hAnsi="宋体" w:cs="宋体"/>
          <w:color w:val="0000FF"/>
          <w:sz w:val="24"/>
          <w:u w:val="single"/>
          <w:lang w:val="en-US" w:eastAsia="zh-CN"/>
        </w:rPr>
        <w:t xml:space="preserve"> 30</w:t>
      </w:r>
      <w:r>
        <w:rPr>
          <w:rFonts w:hint="eastAsia" w:ascii="宋体" w:hAnsi="宋体" w:cs="宋体"/>
          <w:bCs/>
          <w:color w:val="0000FF"/>
          <w:sz w:val="24"/>
          <w:u w:val="single"/>
        </w:rPr>
        <w:t>日</w:t>
      </w:r>
      <w:r>
        <w:rPr>
          <w:rFonts w:hint="eastAsia" w:ascii="宋体" w:hAnsi="宋体" w:cs="宋体"/>
          <w:bCs/>
          <w:color w:val="0000FF"/>
          <w:sz w:val="24"/>
          <w:u w:val="single"/>
          <w:lang w:val="en-US" w:eastAsia="zh-CN"/>
        </w:rPr>
        <w:t>9</w:t>
      </w:r>
      <w:r>
        <w:rPr>
          <w:rFonts w:hint="eastAsia" w:ascii="宋体" w:hAnsi="宋体" w:cs="宋体"/>
          <w:bCs/>
          <w:color w:val="0000FF"/>
          <w:sz w:val="24"/>
          <w:u w:val="single"/>
        </w:rPr>
        <w:t>点整</w:t>
      </w:r>
      <w:r>
        <w:rPr>
          <w:rFonts w:hint="eastAsia" w:ascii="宋体" w:hAnsi="宋体" w:cs="宋体"/>
          <w:bCs/>
          <w:color w:val="0000FF"/>
          <w:sz w:val="24"/>
        </w:rPr>
        <w:t>（</w:t>
      </w:r>
      <w:r>
        <w:rPr>
          <w:rFonts w:hint="eastAsia" w:ascii="宋体" w:hAnsi="宋体" w:cs="宋体"/>
          <w:bCs/>
          <w:sz w:val="24"/>
        </w:rPr>
        <w:t>北京时间）</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（二）投标网址：浙江政府采购云平台（http://www.zcygov.cn）</w:t>
      </w:r>
    </w:p>
    <w:bookmarkEnd w:id="23"/>
    <w:bookmarkEnd w:id="24"/>
    <w:bookmarkEnd w:id="25"/>
    <w:bookmarkEnd w:id="26"/>
    <w:p>
      <w:pPr>
        <w:pStyle w:val="21"/>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21"/>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kern w:val="0"/>
          <w:sz w:val="24"/>
          <w:lang w:eastAsia="zh-CN"/>
        </w:rPr>
        <w:t>、</w:t>
      </w:r>
      <w:r>
        <w:rPr>
          <w:rFonts w:hint="eastAsia" w:ascii="宋体" w:hAnsi="宋体" w:cs="宋体"/>
          <w:kern w:val="0"/>
          <w:sz w:val="24"/>
        </w:rPr>
        <w:t>台州市公共资源交易网（https://tzztb.zjtz.gov.cn）</w:t>
      </w:r>
    </w:p>
    <w:p>
      <w:pPr>
        <w:pStyle w:val="21"/>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3"/>
        <w:ind w:right="0" w:firstLine="482" w:firstLineChars="200"/>
        <w:rPr>
          <w:rFonts w:cs="宋体"/>
          <w:bCs/>
          <w:sz w:val="24"/>
          <w:szCs w:val="24"/>
        </w:rPr>
      </w:pPr>
      <w:bookmarkStart w:id="27" w:name="_Toc35393795"/>
      <w:bookmarkStart w:id="28" w:name="_Toc35393626"/>
      <w:r>
        <w:rPr>
          <w:rFonts w:hint="eastAsia" w:cs="宋体"/>
          <w:bCs/>
          <w:sz w:val="24"/>
          <w:szCs w:val="24"/>
        </w:rPr>
        <w:t>六、</w:t>
      </w:r>
      <w:bookmarkEnd w:id="27"/>
      <w:bookmarkEnd w:id="28"/>
      <w:r>
        <w:rPr>
          <w:rFonts w:hint="eastAsia" w:cs="宋体"/>
          <w:bCs/>
          <w:sz w:val="24"/>
          <w:szCs w:val="24"/>
        </w:rPr>
        <w:t>注册报名</w:t>
      </w:r>
    </w:p>
    <w:p>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pPr>
        <w:pStyle w:val="3"/>
        <w:ind w:right="0" w:firstLine="482" w:firstLineChars="200"/>
        <w:rPr>
          <w:rFonts w:cs="宋体"/>
          <w:bCs/>
          <w:sz w:val="24"/>
          <w:szCs w:val="24"/>
        </w:rPr>
      </w:pPr>
      <w:bookmarkStart w:id="29" w:name="_Toc28359008"/>
      <w:bookmarkStart w:id="30" w:name="_Toc28359085"/>
      <w:bookmarkStart w:id="31" w:name="_Toc35393627"/>
      <w:bookmarkStart w:id="32" w:name="_Toc35393796"/>
      <w:r>
        <w:rPr>
          <w:rFonts w:hint="eastAsia" w:cs="宋体"/>
          <w:bCs/>
          <w:sz w:val="24"/>
          <w:szCs w:val="24"/>
        </w:rPr>
        <w:t>七、联系</w:t>
      </w:r>
      <w:bookmarkEnd w:id="29"/>
      <w:bookmarkEnd w:id="30"/>
      <w:bookmarkEnd w:id="31"/>
      <w:bookmarkEnd w:id="32"/>
      <w:r>
        <w:rPr>
          <w:rFonts w:hint="eastAsia" w:cs="宋体"/>
          <w:bCs/>
          <w:sz w:val="24"/>
          <w:szCs w:val="24"/>
        </w:rPr>
        <w:t>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名 称</w:t>
      </w:r>
      <w:r>
        <w:rPr>
          <w:rFonts w:hint="eastAsia" w:ascii="宋体" w:hAnsi="宋体" w:cs="宋体"/>
          <w:sz w:val="24"/>
          <w:u w:val="none"/>
        </w:rPr>
        <w:t>：</w:t>
      </w:r>
      <w:r>
        <w:rPr>
          <w:rFonts w:hint="eastAsia" w:ascii="宋体" w:hAnsi="宋体" w:cs="宋体"/>
          <w:sz w:val="24"/>
          <w:szCs w:val="24"/>
          <w:lang w:eastAsia="zh-CN"/>
        </w:rPr>
        <w:t>台州市公安局交通警察局</w:t>
      </w:r>
    </w:p>
    <w:p>
      <w:pPr>
        <w:spacing w:line="360" w:lineRule="auto"/>
        <w:ind w:firstLine="480" w:firstLineChars="200"/>
        <w:jc w:val="left"/>
        <w:rPr>
          <w:rFonts w:hint="eastAsia" w:ascii="宋体" w:hAnsi="宋体" w:cs="宋体"/>
          <w:sz w:val="24"/>
          <w:u w:val="single"/>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w:t>
      </w:r>
      <w:r>
        <w:rPr>
          <w:rFonts w:hint="eastAsia" w:ascii="宋体" w:hAnsi="宋体" w:eastAsia="宋体" w:cs="宋体"/>
          <w:sz w:val="24"/>
          <w:szCs w:val="24"/>
          <w:lang w:eastAsia="zh-CN"/>
        </w:rPr>
        <w:t>台州市台州湾新区机场路</w:t>
      </w:r>
      <w:r>
        <w:rPr>
          <w:rFonts w:hint="eastAsia" w:ascii="宋体" w:hAnsi="宋体" w:eastAsia="宋体" w:cs="宋体"/>
          <w:sz w:val="24"/>
          <w:szCs w:val="24"/>
          <w:lang w:val="en-US" w:eastAsia="zh-CN"/>
        </w:rPr>
        <w:t>451号</w:t>
      </w:r>
    </w:p>
    <w:p>
      <w:pPr>
        <w:spacing w:line="360" w:lineRule="auto"/>
        <w:ind w:firstLine="480" w:firstLineChars="200"/>
        <w:jc w:val="left"/>
        <w:rPr>
          <w:rFonts w:hint="default" w:ascii="宋体" w:hAnsi="宋体" w:cs="宋体"/>
          <w:sz w:val="24"/>
          <w:u w:val="single"/>
          <w:lang w:val="en-US"/>
        </w:rPr>
      </w:pPr>
      <w:r>
        <w:rPr>
          <w:rFonts w:hint="eastAsia" w:ascii="宋体" w:hAnsi="宋体" w:cs="宋体"/>
          <w:sz w:val="24"/>
        </w:rPr>
        <w:t>联系人：</w:t>
      </w:r>
      <w:bookmarkStart w:id="33" w:name="_Toc28359009"/>
      <w:bookmarkStart w:id="34" w:name="_Toc28359086"/>
      <w:r>
        <w:rPr>
          <w:rFonts w:hint="eastAsia" w:ascii="宋体" w:hAnsi="宋体" w:cs="宋体"/>
          <w:sz w:val="24"/>
          <w:lang w:val="en-US" w:eastAsia="zh-CN"/>
        </w:rPr>
        <w:t>徐先生</w:t>
      </w:r>
    </w:p>
    <w:p>
      <w:pPr>
        <w:spacing w:line="360" w:lineRule="auto"/>
        <w:ind w:firstLine="480" w:firstLineChars="200"/>
        <w:jc w:val="left"/>
        <w:rPr>
          <w:rFonts w:ascii="宋体" w:hAnsi="宋体" w:cs="宋体"/>
          <w:sz w:val="24"/>
          <w:u w:val="single"/>
        </w:rPr>
      </w:pPr>
      <w:r>
        <w:rPr>
          <w:rFonts w:hint="eastAsia" w:ascii="宋体" w:hAnsi="宋体" w:cs="宋体"/>
          <w:sz w:val="24"/>
        </w:rPr>
        <w:t>联系电话：</w:t>
      </w:r>
      <w:r>
        <w:rPr>
          <w:rFonts w:hint="eastAsia" w:ascii="宋体" w:hAnsi="宋体" w:eastAsia="宋体" w:cs="宋体"/>
          <w:sz w:val="24"/>
          <w:szCs w:val="24"/>
          <w:lang w:val="en-US" w:eastAsia="zh-CN"/>
        </w:rPr>
        <w:t>13957679108</w:t>
      </w:r>
    </w:p>
    <w:bookmarkEnd w:id="33"/>
    <w:bookmarkEnd w:id="34"/>
    <w:p>
      <w:pPr>
        <w:spacing w:line="360" w:lineRule="auto"/>
        <w:ind w:firstLine="480" w:firstLineChars="200"/>
        <w:jc w:val="left"/>
        <w:rPr>
          <w:rFonts w:ascii="宋体" w:hAnsi="宋体" w:cs="宋体"/>
          <w:sz w:val="24"/>
        </w:rPr>
      </w:pPr>
      <w:r>
        <w:rPr>
          <w:rFonts w:hint="eastAsia" w:ascii="宋体" w:hAnsi="宋体" w:cs="宋体"/>
          <w:sz w:val="24"/>
        </w:rPr>
        <w:t>（二）</w:t>
      </w:r>
      <w:r>
        <w:rPr>
          <w:rFonts w:hint="eastAsia" w:ascii="宋体" w:hAnsi="宋体" w:cs="宋体"/>
          <w:b/>
          <w:bCs/>
          <w:sz w:val="24"/>
        </w:rPr>
        <w:t>采购组织机构</w:t>
      </w:r>
    </w:p>
    <w:p>
      <w:pPr>
        <w:spacing w:line="360" w:lineRule="auto"/>
        <w:ind w:firstLine="480" w:firstLineChars="200"/>
        <w:jc w:val="left"/>
        <w:rPr>
          <w:rFonts w:hint="default" w:ascii="宋体" w:hAnsi="宋体" w:eastAsia="宋体" w:cs="宋体"/>
          <w:sz w:val="24"/>
          <w:u w:val="single"/>
          <w:lang w:val="en-US" w:eastAsia="zh-CN"/>
        </w:rPr>
      </w:pPr>
      <w:bookmarkStart w:id="35" w:name="_Toc28359087"/>
      <w:bookmarkStart w:id="36" w:name="_Toc28359010"/>
      <w:r>
        <w:rPr>
          <w:rFonts w:hint="eastAsia" w:ascii="宋体" w:hAnsi="宋体" w:cs="宋体"/>
          <w:sz w:val="24"/>
        </w:rPr>
        <w:t>名 称：</w:t>
      </w:r>
      <w:r>
        <w:rPr>
          <w:rFonts w:hint="eastAsia" w:ascii="宋体" w:hAnsi="宋体" w:cs="宋体"/>
          <w:sz w:val="24"/>
          <w:u w:val="none"/>
          <w:lang w:val="en-US" w:eastAsia="zh-CN"/>
        </w:rPr>
        <w:t>台州市政府采购中心</w:t>
      </w:r>
    </w:p>
    <w:p>
      <w:pPr>
        <w:spacing w:line="360" w:lineRule="auto"/>
        <w:ind w:firstLine="480" w:firstLineChars="200"/>
        <w:jc w:val="left"/>
        <w:rPr>
          <w:rFonts w:ascii="宋体" w:hAnsi="宋体" w:cs="宋体"/>
          <w:sz w:val="24"/>
          <w:u w:val="single"/>
        </w:rPr>
      </w:pPr>
      <w:r>
        <w:rPr>
          <w:rFonts w:hint="eastAsia" w:ascii="宋体" w:hAnsi="宋体" w:cs="宋体"/>
          <w:sz w:val="24"/>
        </w:rPr>
        <w:t>地　址：台州市市府大道777号</w:t>
      </w:r>
    </w:p>
    <w:p>
      <w:pPr>
        <w:spacing w:line="360" w:lineRule="auto"/>
        <w:ind w:firstLine="480" w:firstLineChars="200"/>
        <w:jc w:val="left"/>
        <w:rPr>
          <w:rFonts w:hint="default" w:ascii="宋体" w:hAnsi="宋体" w:eastAsia="宋体" w:cs="宋体"/>
          <w:sz w:val="24"/>
          <w:u w:val="none"/>
          <w:lang w:val="en-US" w:eastAsia="zh-CN"/>
        </w:rPr>
      </w:pPr>
      <w:r>
        <w:rPr>
          <w:rFonts w:hint="eastAsia" w:ascii="宋体" w:hAnsi="宋体" w:cs="宋体"/>
          <w:sz w:val="24"/>
        </w:rPr>
        <w:t>项目联系人：</w:t>
      </w:r>
      <w:r>
        <w:rPr>
          <w:rFonts w:hint="eastAsia" w:ascii="宋体" w:hAnsi="宋体" w:cs="宋体"/>
          <w:sz w:val="24"/>
          <w:u w:val="none"/>
          <w:lang w:val="en-US" w:eastAsia="zh-CN"/>
        </w:rPr>
        <w:t>郑女士</w:t>
      </w:r>
    </w:p>
    <w:p>
      <w:pPr>
        <w:spacing w:line="360" w:lineRule="auto"/>
        <w:ind w:firstLine="480" w:firstLineChars="200"/>
        <w:jc w:val="left"/>
        <w:rPr>
          <w:rFonts w:hint="default" w:ascii="宋体" w:hAnsi="宋体" w:eastAsia="宋体" w:cs="宋体"/>
          <w:sz w:val="24"/>
          <w:u w:val="none"/>
          <w:lang w:val="en-US" w:eastAsia="zh-CN"/>
        </w:rPr>
      </w:pPr>
      <w:r>
        <w:rPr>
          <w:rFonts w:hint="eastAsia" w:ascii="宋体" w:hAnsi="宋体" w:cs="宋体"/>
          <w:sz w:val="24"/>
        </w:rPr>
        <w:t>联系电话：</w:t>
      </w:r>
      <w:r>
        <w:rPr>
          <w:rFonts w:hint="eastAsia" w:ascii="宋体" w:hAnsi="宋体" w:cs="宋体"/>
          <w:sz w:val="24"/>
          <w:u w:val="none"/>
        </w:rPr>
        <w:t>0576-</w:t>
      </w:r>
      <w:r>
        <w:rPr>
          <w:rFonts w:hint="eastAsia" w:ascii="宋体" w:hAnsi="宋体" w:cs="宋体"/>
          <w:sz w:val="24"/>
          <w:u w:val="none"/>
          <w:lang w:val="en-US" w:eastAsia="zh-CN"/>
        </w:rPr>
        <w:t>88685058</w:t>
      </w:r>
    </w:p>
    <w:p>
      <w:pPr>
        <w:spacing w:line="360" w:lineRule="auto"/>
        <w:ind w:firstLine="480" w:firstLineChars="200"/>
        <w:jc w:val="left"/>
        <w:rPr>
          <w:rFonts w:ascii="宋体" w:hAnsi="宋体" w:cs="宋体"/>
          <w:sz w:val="24"/>
          <w:u w:val="single"/>
        </w:rPr>
      </w:pPr>
      <w:r>
        <w:rPr>
          <w:rFonts w:hint="eastAsia" w:ascii="宋体" w:hAnsi="宋体" w:cs="宋体"/>
          <w:sz w:val="24"/>
        </w:rPr>
        <w:t>受理联系人：</w:t>
      </w:r>
      <w:r>
        <w:rPr>
          <w:rFonts w:hint="eastAsia" w:ascii="宋体" w:hAnsi="宋体" w:cs="宋体"/>
          <w:sz w:val="24"/>
          <w:lang w:val="en-US" w:eastAsia="zh-CN"/>
        </w:rPr>
        <w:t>侯</w:t>
      </w:r>
      <w:r>
        <w:rPr>
          <w:rFonts w:hint="eastAsia" w:ascii="宋体" w:hAnsi="宋体" w:cs="宋体"/>
          <w:sz w:val="24"/>
        </w:rPr>
        <w:t>女士</w:t>
      </w:r>
      <w:r>
        <w:rPr>
          <w:rFonts w:hint="eastAsia" w:ascii="宋体" w:hAnsi="宋体" w:cs="宋体"/>
          <w:sz w:val="24"/>
          <w:u w:val="none"/>
        </w:rPr>
        <w:t>（受理注册、中标结果相关质疑及答复）</w:t>
      </w:r>
    </w:p>
    <w:p>
      <w:pPr>
        <w:spacing w:line="360" w:lineRule="auto"/>
        <w:ind w:firstLine="480" w:firstLineChars="200"/>
        <w:jc w:val="left"/>
        <w:rPr>
          <w:rFonts w:ascii="宋体" w:hAnsi="宋体" w:cs="宋体"/>
          <w:sz w:val="24"/>
          <w:u w:val="none"/>
        </w:rPr>
      </w:pPr>
      <w:r>
        <w:rPr>
          <w:rFonts w:hint="eastAsia" w:ascii="宋体" w:hAnsi="宋体" w:cs="宋体"/>
          <w:sz w:val="24"/>
        </w:rPr>
        <w:t>联系电话：</w:t>
      </w:r>
      <w:r>
        <w:rPr>
          <w:rFonts w:hint="eastAsia" w:ascii="宋体" w:hAnsi="宋体" w:cs="宋体"/>
          <w:sz w:val="24"/>
          <w:u w:val="none"/>
        </w:rPr>
        <w:t>0576-88685121</w:t>
      </w:r>
    </w:p>
    <w:p>
      <w:pPr>
        <w:spacing w:line="360" w:lineRule="auto"/>
        <w:ind w:firstLine="482" w:firstLineChars="200"/>
        <w:jc w:val="left"/>
        <w:rPr>
          <w:rFonts w:ascii="宋体" w:hAnsi="宋体" w:cs="宋体"/>
          <w:b/>
          <w:sz w:val="24"/>
        </w:rPr>
      </w:pPr>
      <w:r>
        <w:rPr>
          <w:rFonts w:hint="eastAsia" w:ascii="宋体" w:hAnsi="宋体" w:cs="宋体"/>
          <w:b/>
          <w:sz w:val="24"/>
        </w:rPr>
        <w:t>（三）同级政府采购监管机构</w:t>
      </w:r>
    </w:p>
    <w:p>
      <w:pPr>
        <w:spacing w:line="360" w:lineRule="auto"/>
        <w:ind w:firstLine="480" w:firstLineChars="200"/>
        <w:jc w:val="left"/>
        <w:rPr>
          <w:rFonts w:hint="eastAsia" w:ascii="宋体" w:hAnsi="宋体" w:cs="宋体"/>
          <w:sz w:val="24"/>
        </w:rPr>
      </w:pPr>
      <w:r>
        <w:rPr>
          <w:rFonts w:hint="eastAsia" w:ascii="宋体" w:hAnsi="宋体" w:cs="宋体"/>
          <w:sz w:val="24"/>
        </w:rPr>
        <w:t>名 称：台州市采监处</w:t>
      </w:r>
    </w:p>
    <w:p>
      <w:pPr>
        <w:spacing w:line="360" w:lineRule="auto"/>
        <w:ind w:firstLine="480" w:firstLineChars="200"/>
        <w:jc w:val="left"/>
        <w:rPr>
          <w:rFonts w:hint="eastAsia" w:ascii="宋体" w:hAnsi="宋体" w:cs="宋体"/>
          <w:sz w:val="24"/>
        </w:rPr>
      </w:pPr>
      <w:r>
        <w:rPr>
          <w:rFonts w:hint="eastAsia" w:ascii="宋体" w:hAnsi="宋体" w:cs="宋体"/>
          <w:sz w:val="24"/>
        </w:rPr>
        <w:t>地 址：台州市财政局</w:t>
      </w:r>
    </w:p>
    <w:p>
      <w:pPr>
        <w:spacing w:line="360" w:lineRule="auto"/>
        <w:ind w:firstLine="480" w:firstLineChars="200"/>
        <w:jc w:val="left"/>
        <w:rPr>
          <w:rFonts w:ascii="宋体" w:hAnsi="宋体" w:cs="宋体"/>
          <w:sz w:val="24"/>
          <w:u w:val="single"/>
        </w:rPr>
      </w:pPr>
      <w:r>
        <w:rPr>
          <w:rFonts w:hint="eastAsia" w:ascii="宋体" w:hAnsi="宋体" w:cs="宋体"/>
          <w:sz w:val="24"/>
        </w:rPr>
        <w:t>联系人：</w:t>
      </w:r>
      <w:r>
        <w:rPr>
          <w:rFonts w:hint="eastAsia" w:ascii="宋体" w:hAnsi="宋体" w:cs="宋体"/>
          <w:sz w:val="24"/>
          <w:u w:val="none"/>
          <w:lang w:val="en-US" w:eastAsia="zh-CN"/>
        </w:rPr>
        <w:t>陈</w:t>
      </w:r>
      <w:r>
        <w:rPr>
          <w:rFonts w:hint="eastAsia" w:ascii="宋体" w:hAnsi="宋体" w:cs="宋体"/>
          <w:sz w:val="24"/>
          <w:u w:val="none"/>
        </w:rPr>
        <w:t>女士</w:t>
      </w:r>
    </w:p>
    <w:p>
      <w:pPr>
        <w:spacing w:line="360" w:lineRule="auto"/>
        <w:ind w:firstLine="480" w:firstLineChars="200"/>
        <w:jc w:val="left"/>
        <w:rPr>
          <w:rFonts w:hint="eastAsia" w:ascii="宋体" w:hAnsi="宋体" w:cs="宋体"/>
          <w:sz w:val="24"/>
          <w:u w:val="none"/>
          <w:lang w:val="en-US" w:eastAsia="zh-CN"/>
        </w:rPr>
      </w:pPr>
      <w:r>
        <w:rPr>
          <w:rFonts w:hint="eastAsia" w:ascii="宋体" w:hAnsi="宋体" w:cs="宋体"/>
          <w:sz w:val="24"/>
        </w:rPr>
        <w:t>联系电话：</w:t>
      </w:r>
      <w:r>
        <w:rPr>
          <w:rFonts w:hint="eastAsia" w:ascii="宋体" w:hAnsi="宋体" w:cs="宋体"/>
          <w:sz w:val="24"/>
          <w:u w:val="none"/>
        </w:rPr>
        <w:t>0576-</w:t>
      </w:r>
      <w:r>
        <w:rPr>
          <w:rFonts w:hint="eastAsia" w:ascii="宋体" w:hAnsi="宋体" w:cs="宋体"/>
          <w:sz w:val="24"/>
          <w:u w:val="none"/>
          <w:lang w:val="en-US" w:eastAsia="zh-CN"/>
        </w:rPr>
        <w:t>88206705</w:t>
      </w:r>
    </w:p>
    <w:p>
      <w:pPr>
        <w:spacing w:line="360" w:lineRule="auto"/>
        <w:ind w:firstLine="482" w:firstLineChars="200"/>
        <w:jc w:val="left"/>
        <w:rPr>
          <w:rFonts w:hint="eastAsia" w:ascii="宋体" w:hAnsi="宋体" w:cs="宋体"/>
          <w:b/>
          <w:sz w:val="24"/>
        </w:rPr>
      </w:pPr>
      <w:r>
        <w:rPr>
          <w:rFonts w:hint="eastAsia" w:ascii="宋体" w:hAnsi="宋体" w:cs="宋体"/>
          <w:b/>
          <w:sz w:val="24"/>
        </w:rPr>
        <w:t>（四）政采云平台</w:t>
      </w:r>
    </w:p>
    <w:p>
      <w:pPr>
        <w:spacing w:line="360" w:lineRule="auto"/>
        <w:ind w:firstLine="480" w:firstLineChars="200"/>
        <w:jc w:val="left"/>
        <w:rPr>
          <w:rFonts w:hint="eastAsia" w:ascii="宋体" w:hAnsi="宋体" w:cs="宋体"/>
          <w:sz w:val="24"/>
          <w:u w:val="none"/>
        </w:rPr>
      </w:pPr>
      <w:r>
        <w:rPr>
          <w:rFonts w:hint="eastAsia" w:ascii="宋体" w:hAnsi="宋体" w:cs="宋体"/>
          <w:sz w:val="24"/>
        </w:rPr>
        <w:t>联系电话</w:t>
      </w:r>
      <w:r>
        <w:rPr>
          <w:rFonts w:hint="eastAsia" w:ascii="宋体" w:hAnsi="宋体" w:cs="宋体"/>
          <w:sz w:val="24"/>
          <w:u w:val="none"/>
        </w:rPr>
        <w:t>：4008817190</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hint="eastAsia" w:ascii="宋体" w:hAnsi="宋体" w:cs="宋体"/>
          <w:sz w:val="24"/>
          <w:shd w:val="clear" w:color="auto" w:fill="FFFFFF"/>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sz w:val="24"/>
        </w:rPr>
      </w:pPr>
      <w:r>
        <w:rPr>
          <w:rFonts w:hint="eastAsia" w:ascii="宋体" w:hAnsi="宋体" w:cs="宋体"/>
          <w:sz w:val="24"/>
          <w:shd w:val="clear" w:color="auto" w:fill="FFFFFF"/>
          <w:lang w:val="en-US" w:eastAsia="zh-CN"/>
        </w:rPr>
        <w:t>台州市</w:t>
      </w:r>
      <w:r>
        <w:rPr>
          <w:rFonts w:hint="eastAsia" w:ascii="宋体" w:hAnsi="宋体" w:cs="宋体"/>
          <w:sz w:val="24"/>
          <w:shd w:val="clear" w:color="auto" w:fill="FFFFFF"/>
        </w:rPr>
        <w:t>政府采购中心</w:t>
      </w:r>
      <w:r>
        <w:rPr>
          <w:rFonts w:hint="eastAsia" w:ascii="宋体" w:hAnsi="宋体" w:cs="宋体"/>
          <w:kern w:val="0"/>
          <w:sz w:val="24"/>
        </w:rPr>
        <w:t xml:space="preserve"> </w:t>
      </w:r>
    </w:p>
    <w:p>
      <w:pPr>
        <w:widowControl/>
        <w:spacing w:line="360" w:lineRule="auto"/>
        <w:jc w:val="right"/>
        <w:rPr>
          <w:rFonts w:hint="eastAsia" w:ascii="宋体" w:hAnsi="宋体" w:cs="宋体"/>
          <w:kern w:val="0"/>
          <w:sz w:val="24"/>
        </w:rPr>
      </w:pPr>
      <w:r>
        <w:rPr>
          <w:rFonts w:hint="eastAsia" w:ascii="宋体" w:hAnsi="宋体" w:cs="宋体"/>
          <w:kern w:val="0"/>
          <w:sz w:val="24"/>
        </w:rPr>
        <w:t xml:space="preserve">                                    </w:t>
      </w:r>
      <w:r>
        <w:rPr>
          <w:rFonts w:hint="eastAsia" w:asciiTheme="minorEastAsia" w:hAnsiTheme="minorEastAsia" w:eastAsiaTheme="minorEastAsia" w:cstheme="minorEastAsia"/>
          <w:kern w:val="0"/>
          <w:sz w:val="24"/>
          <w:lang w:val="en-US" w:eastAsia="zh-CN"/>
        </w:rPr>
        <w:t>2022</w:t>
      </w:r>
      <w:r>
        <w:rPr>
          <w:rFonts w:hint="eastAsia" w:asciiTheme="minorEastAsia" w:hAnsiTheme="minorEastAsia" w:eastAsiaTheme="minorEastAsia" w:cstheme="minorEastAsia"/>
          <w:kern w:val="0"/>
          <w:sz w:val="24"/>
        </w:rPr>
        <w:t>年</w:t>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kern w:val="0"/>
          <w:sz w:val="24"/>
        </w:rPr>
        <w:t>月</w:t>
      </w:r>
      <w:r>
        <w:rPr>
          <w:rFonts w:hint="eastAsia" w:asciiTheme="minorEastAsia" w:hAnsiTheme="minorEastAsia" w:eastAsiaTheme="minorEastAsia" w:cstheme="minorEastAsia"/>
          <w:kern w:val="0"/>
          <w:sz w:val="24"/>
          <w:lang w:val="en-US" w:eastAsia="zh-CN"/>
        </w:rPr>
        <w:t>27</w:t>
      </w:r>
      <w:r>
        <w:rPr>
          <w:rFonts w:hint="eastAsia" w:asciiTheme="minorEastAsia" w:hAnsiTheme="minorEastAsia" w:eastAsiaTheme="minorEastAsia" w:cstheme="minorEastAsia"/>
          <w:kern w:val="0"/>
          <w:sz w:val="24"/>
        </w:rPr>
        <w:t>日</w:t>
      </w:r>
    </w:p>
    <w:p>
      <w:r>
        <w:br w:type="page"/>
      </w:r>
    </w:p>
    <w:bookmarkEnd w:id="35"/>
    <w:bookmarkEnd w:id="36"/>
    <w:p>
      <w:pPr>
        <w:numPr>
          <w:ilvl w:val="0"/>
          <w:numId w:val="5"/>
        </w:numPr>
        <w:spacing w:line="360" w:lineRule="auto"/>
        <w:jc w:val="center"/>
        <w:rPr>
          <w:rFonts w:asciiTheme="minorEastAsia" w:hAnsiTheme="minorEastAsia" w:eastAsiaTheme="minorEastAsia"/>
          <w:b/>
          <w:sz w:val="36"/>
          <w:szCs w:val="36"/>
        </w:rPr>
      </w:pPr>
      <w:bookmarkStart w:id="37" w:name="_Toc25017_WPSOffice_Level1"/>
      <w:r>
        <w:rPr>
          <w:rFonts w:hint="eastAsia" w:asciiTheme="minorEastAsia" w:hAnsiTheme="minorEastAsia" w:eastAsiaTheme="minorEastAsia"/>
          <w:b/>
          <w:sz w:val="36"/>
          <w:szCs w:val="36"/>
        </w:rPr>
        <w:t>投标人须知</w:t>
      </w:r>
      <w:bookmarkEnd w:id="37"/>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22"/>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b/>
                <w:bCs/>
              </w:rPr>
              <w:t>序号</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b/>
                <w:bCs/>
              </w:rPr>
              <w:t>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是否允许联合体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auto"/>
              </w:rPr>
            </w:pPr>
            <w:r>
              <w:rPr>
                <w:rFonts w:hint="eastAsia" w:ascii="宋体" w:hAnsi="宋体" w:cs="宋体"/>
                <w:color w:val="auto"/>
                <w:lang w:eastAsia="zh-CN"/>
              </w:rPr>
              <w:sym w:font="Wingdings 2" w:char="0052"/>
            </w:r>
            <w:r>
              <w:rPr>
                <w:rFonts w:hint="eastAsia" w:ascii="宋体" w:hAnsi="宋体" w:eastAsia="宋体" w:cs="宋体"/>
                <w:color w:val="auto"/>
              </w:rPr>
              <w:t>是 /</w:t>
            </w:r>
            <w:r>
              <w:rPr>
                <w:rFonts w:hint="eastAsia" w:ascii="宋体" w:hAnsi="宋体" w:cs="宋体"/>
                <w:color w:val="auto"/>
                <w:lang w:eastAsia="zh-CN"/>
              </w:rPr>
              <w:t>□</w:t>
            </w:r>
            <w:r>
              <w:rPr>
                <w:rFonts w:hint="eastAsia" w:ascii="宋体" w:hAnsi="宋体" w:eastAsia="宋体" w:cs="宋体"/>
                <w:color w:val="auto"/>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是否允许分包</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sym w:font="Wingdings 2" w:char="0052"/>
            </w:r>
            <w:r>
              <w:rPr>
                <w:rFonts w:hint="eastAsia" w:ascii="宋体" w:hAnsi="宋体" w:eastAsia="宋体" w:cs="宋体"/>
                <w:color w:val="auto"/>
              </w:rPr>
              <w:t>是</w:t>
            </w:r>
            <w:r>
              <w:rPr>
                <w:rFonts w:hint="eastAsia" w:ascii="宋体" w:hAnsi="宋体" w:eastAsia="宋体" w:cs="宋体"/>
                <w:color w:val="auto"/>
                <w:highlight w:val="none"/>
              </w:rPr>
              <w:t>（但主体部分不得分包，详见招标需求内容）</w:t>
            </w:r>
            <w:r>
              <w:rPr>
                <w:rFonts w:hint="eastAsia" w:ascii="宋体" w:hAnsi="宋体" w:eastAsia="宋体" w:cs="宋体"/>
                <w:color w:val="auto"/>
              </w:rPr>
              <w:t>/</w:t>
            </w:r>
            <w:r>
              <w:rPr>
                <w:rFonts w:hint="eastAsia" w:ascii="宋体" w:hAnsi="宋体" w:cs="宋体"/>
                <w:color w:val="auto"/>
                <w:lang w:eastAsia="zh-CN"/>
              </w:rPr>
              <w:t>□</w:t>
            </w:r>
            <w:r>
              <w:rPr>
                <w:rFonts w:hint="eastAsia" w:ascii="宋体" w:hAnsi="宋体" w:eastAsia="宋体" w:cs="宋体"/>
                <w:color w:val="auto"/>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是否包含政府强制采购节能产品</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□是（具体清单见招标需求）/</w:t>
            </w:r>
            <w:r>
              <w:rPr>
                <w:rFonts w:hint="eastAsia" w:ascii="宋体" w:hAnsi="宋体" w:cs="宋体"/>
                <w:color w:val="auto"/>
                <w:highlight w:val="none"/>
                <w:lang w:eastAsia="zh-CN"/>
              </w:rPr>
              <w:t>☑</w:t>
            </w:r>
            <w:r>
              <w:rPr>
                <w:rFonts w:hint="eastAsia" w:ascii="宋体" w:hAnsi="宋体" w:eastAsia="宋体" w:cs="宋体"/>
                <w:color w:val="auto"/>
                <w:highlight w:val="none"/>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spacing w:line="30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答疑会或</w:t>
            </w:r>
          </w:p>
          <w:p>
            <w:pPr>
              <w:keepNext w:val="0"/>
              <w:keepLines w:val="0"/>
              <w:pageBreakBefore w:val="0"/>
              <w:kinsoku/>
              <w:wordWrap/>
              <w:overflowPunct/>
              <w:topLinePunct w:val="0"/>
              <w:bidi w:val="0"/>
              <w:spacing w:line="30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szCs w:val="21"/>
              </w:rPr>
              <w:t>现场踏勘</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ind w:firstLine="420" w:firstLineChars="200"/>
              <w:jc w:val="left"/>
              <w:rPr>
                <w:rFonts w:hint="eastAsia" w:ascii="宋体" w:hAnsi="宋体" w:eastAsia="宋体" w:cs="宋体"/>
                <w:color w:val="auto"/>
                <w:highlight w:val="none"/>
              </w:rPr>
            </w:pPr>
            <w:r>
              <w:rPr>
                <w:rFonts w:hint="eastAsia" w:ascii="宋体" w:hAnsi="宋体" w:cs="宋体"/>
                <w:color w:val="auto"/>
                <w:kern w:val="2"/>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rPr>
              <w:t>投标文件的制作和投标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请投标人在投标前仔细阅读</w:t>
            </w:r>
            <w:r>
              <w:rPr>
                <w:rFonts w:hint="eastAsia" w:ascii="宋体" w:hAnsi="宋体" w:cs="宋体"/>
                <w:lang w:eastAsia="zh-CN"/>
              </w:rPr>
              <w:t>《</w:t>
            </w:r>
            <w:r>
              <w:rPr>
                <w:rFonts w:hint="eastAsia" w:ascii="宋体" w:hAnsi="宋体" w:eastAsia="宋体" w:cs="宋体"/>
              </w:rPr>
              <w:t>政府采购项目电子交易操作指南</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1.投标文件的制作：投标人按照本项目招标文件和政采云平台的要求，通过“政采云电子交易客户端”编制、加密并递交投标文件（下载网址：</w:t>
            </w:r>
            <w:r>
              <w:rPr>
                <w:rFonts w:hint="eastAsia" w:ascii="宋体" w:hAnsi="宋体" w:eastAsia="宋体" w:cs="宋体"/>
              </w:rPr>
              <w:fldChar w:fldCharType="begin"/>
            </w:r>
            <w:r>
              <w:rPr>
                <w:rFonts w:hint="eastAsia" w:ascii="宋体" w:hAnsi="宋体" w:eastAsia="宋体" w:cs="宋体"/>
              </w:rPr>
              <w:instrText xml:space="preserve"> HYPERLINK "http://www.zjzfcg.gov.cn/bidClientTemplate/2019-09-24/12975.html）。" </w:instrText>
            </w:r>
            <w:r>
              <w:rPr>
                <w:rFonts w:hint="eastAsia" w:ascii="宋体" w:hAnsi="宋体" w:eastAsia="宋体" w:cs="宋体"/>
              </w:rPr>
              <w:fldChar w:fldCharType="separate"/>
            </w:r>
            <w:r>
              <w:rPr>
                <w:rFonts w:hint="eastAsia" w:ascii="宋体" w:hAnsi="宋体" w:eastAsia="宋体" w:cs="宋体"/>
              </w:rPr>
              <w:t>https://zfcg.czt.zj.gov.cn/download/index.html）。</w:t>
            </w:r>
            <w:r>
              <w:rPr>
                <w:rFonts w:hint="eastAsia" w:ascii="宋体" w:hAnsi="宋体" w:eastAsia="宋体" w:cs="宋体"/>
              </w:rPr>
              <w:fldChar w:fldCharType="end"/>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2.投标：投标人应当在投标截止时间前（开标当天北京时间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）完成投标文件的传输递交，逾期上传的投标文件恕不接受。补充或者修改投标文件的，应当先行撤回原文件，补充、修改后重新传输递交。投标截止时间前未完成上传的，视为撤回投标文件。</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kern w:val="0"/>
                <w:szCs w:val="21"/>
              </w:rPr>
            </w:pPr>
            <w:r>
              <w:rPr>
                <w:rFonts w:hint="eastAsia" w:ascii="宋体" w:hAnsi="宋体" w:eastAsia="宋体" w:cs="宋体"/>
              </w:rPr>
              <w:t>3.投标文件解密：投标人应在开标当天北京时间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至</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30</w:t>
            </w:r>
            <w:r>
              <w:rPr>
                <w:rFonts w:hint="eastAsia" w:ascii="宋体" w:hAnsi="宋体" w:eastAsia="宋体" w:cs="宋体"/>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rPr>
              <w:t>备份投标文件的递交</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备份投标文件是通过政采云电子交易客户端制作投标文件产生的备份文件，请投标人自行妥善保管。</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1.使用前提：在解密截止时间前，投标人自行在线解密操作失败</w:t>
            </w:r>
            <w:r>
              <w:rPr>
                <w:rFonts w:hint="eastAsia" w:ascii="宋体" w:hAnsi="宋体" w:eastAsia="宋体" w:cs="宋体"/>
                <w:sz w:val="21"/>
                <w:szCs w:val="21"/>
                <w:lang w:eastAsia="zh-CN"/>
              </w:rPr>
              <w:t>，</w:t>
            </w:r>
            <w:r>
              <w:rPr>
                <w:rFonts w:hint="eastAsia" w:ascii="宋体" w:hAnsi="宋体" w:eastAsia="宋体" w:cs="宋体"/>
                <w:sz w:val="21"/>
                <w:szCs w:val="21"/>
              </w:rPr>
              <w:t>又未能及时联系技术人员帮助解密，或者投标人寻求技术人员帮助仍无法完成解密。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2.递交截止时间：开标当天</w:t>
            </w:r>
            <w:r>
              <w:rPr>
                <w:rFonts w:hint="eastAsia" w:ascii="宋体" w:hAnsi="宋体" w:cs="宋体"/>
                <w:sz w:val="21"/>
                <w:szCs w:val="21"/>
                <w:u w:val="single"/>
                <w:lang w:val="en-US" w:eastAsia="zh-CN"/>
              </w:rPr>
              <w:t>09</w:t>
            </w:r>
            <w:r>
              <w:rPr>
                <w:rFonts w:hint="eastAsia" w:ascii="宋体" w:hAnsi="宋体" w:eastAsia="宋体" w:cs="宋体"/>
                <w:sz w:val="21"/>
                <w:szCs w:val="21"/>
                <w:u w:val="single"/>
              </w:rPr>
              <w:t>:</w:t>
            </w:r>
            <w:r>
              <w:rPr>
                <w:rFonts w:hint="eastAsia" w:ascii="宋体" w:hAnsi="宋体" w:cs="宋体"/>
                <w:sz w:val="21"/>
                <w:szCs w:val="21"/>
                <w:u w:val="single"/>
                <w:lang w:val="en-US" w:eastAsia="zh-CN"/>
              </w:rPr>
              <w:t>50</w:t>
            </w:r>
            <w:r>
              <w:rPr>
                <w:rFonts w:hint="eastAsia" w:ascii="宋体" w:hAnsi="宋体" w:eastAsia="宋体" w:cs="宋体"/>
                <w:sz w:val="21"/>
                <w:szCs w:val="21"/>
              </w:rPr>
              <w:t>（北京时间）。</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3.投递邮箱：开标当天公布的指定邮箱。</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4.未按上述要求递交备份投标文件或所提供的备份投标文件不符合要求的视同放弃投标，仅提交备份投标文件的，投标无效。</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8"/>
              <w:keepNext w:val="0"/>
              <w:keepLines w:val="0"/>
              <w:pageBreakBefore w:val="0"/>
              <w:kinsoku/>
              <w:wordWrap/>
              <w:overflowPunct/>
              <w:topLinePunct w:val="0"/>
              <w:bidi w:val="0"/>
              <w:adjustRightInd/>
              <w:snapToGrid/>
              <w:spacing w:line="300" w:lineRule="auto"/>
              <w:ind w:firstLine="0"/>
              <w:jc w:val="center"/>
              <w:textAlignment w:val="auto"/>
              <w:rPr>
                <w:rFonts w:hint="eastAsia" w:ascii="宋体" w:hAnsi="宋体" w:eastAsia="宋体" w:cs="宋体"/>
                <w:szCs w:val="21"/>
              </w:rPr>
            </w:pPr>
            <w:r>
              <w:rPr>
                <w:rFonts w:hint="eastAsia" w:ascii="宋体" w:hAnsi="宋体" w:eastAsia="宋体" w:cs="宋体"/>
                <w:szCs w:val="21"/>
              </w:rPr>
              <w:t>不见面开标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9"/>
              <w:keepNext w:val="0"/>
              <w:keepLines w:val="0"/>
              <w:pageBreakBefore w:val="0"/>
              <w:kinsoku/>
              <w:wordWrap/>
              <w:overflowPunct/>
              <w:topLinePunct w:val="0"/>
              <w:bidi w:val="0"/>
              <w:adjustRightInd/>
              <w:snapToGrid/>
              <w:spacing w:before="0" w:beforeAutospacing="0" w:after="0" w:afterAutospacing="0"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本项目开评标环节实行全流程电子化，采取政采云不见面开标大厅实现，</w:t>
            </w:r>
            <w:r>
              <w:rPr>
                <w:rFonts w:hint="eastAsia" w:ascii="宋体" w:hAnsi="宋体" w:eastAsia="宋体" w:cs="宋体"/>
                <w:sz w:val="21"/>
                <w:szCs w:val="21"/>
                <w:lang w:eastAsia="zh-CN"/>
              </w:rPr>
              <w:t>投标人</w:t>
            </w:r>
            <w:r>
              <w:rPr>
                <w:rFonts w:hint="eastAsia" w:ascii="宋体" w:hAnsi="宋体" w:eastAsia="宋体" w:cs="宋体"/>
                <w:sz w:val="21"/>
                <w:szCs w:val="21"/>
              </w:rPr>
              <w:t>可自行登录政采云平台进入开标大厅观看现场直播画面。采购组织机构按照采购文件规定的时间通过电子交易平台组织开标、开启</w:t>
            </w:r>
            <w:r>
              <w:rPr>
                <w:rFonts w:hint="eastAsia" w:ascii="宋体" w:hAnsi="宋体" w:eastAsia="宋体" w:cs="宋体"/>
                <w:sz w:val="21"/>
                <w:szCs w:val="21"/>
                <w:lang w:eastAsia="zh-CN"/>
              </w:rPr>
              <w:t>投标</w:t>
            </w:r>
            <w:r>
              <w:rPr>
                <w:rFonts w:hint="eastAsia" w:ascii="宋体" w:hAnsi="宋体" w:eastAsia="宋体" w:cs="宋体"/>
                <w:sz w:val="21"/>
                <w:szCs w:val="21"/>
              </w:rPr>
              <w:t>文件，所有</w:t>
            </w:r>
            <w:r>
              <w:rPr>
                <w:rFonts w:hint="eastAsia" w:ascii="宋体" w:hAnsi="宋体" w:eastAsia="宋体" w:cs="宋体"/>
                <w:sz w:val="21"/>
                <w:szCs w:val="21"/>
                <w:lang w:eastAsia="zh-CN"/>
              </w:rPr>
              <w:t>投标人</w:t>
            </w:r>
            <w:r>
              <w:rPr>
                <w:rFonts w:hint="eastAsia" w:ascii="宋体" w:hAnsi="宋体" w:eastAsia="宋体" w:cs="宋体"/>
                <w:sz w:val="21"/>
                <w:szCs w:val="21"/>
              </w:rPr>
              <w:t>均应当准时在线参加。如未参加，造成无法响应或响应失败等后果由</w:t>
            </w:r>
            <w:r>
              <w:rPr>
                <w:rFonts w:hint="eastAsia" w:ascii="宋体" w:hAnsi="宋体" w:eastAsia="宋体" w:cs="宋体"/>
                <w:sz w:val="21"/>
                <w:szCs w:val="21"/>
                <w:lang w:eastAsia="zh-CN"/>
              </w:rPr>
              <w:t>投标人</w:t>
            </w:r>
            <w:r>
              <w:rPr>
                <w:rFonts w:hint="eastAsia" w:ascii="宋体" w:hAnsi="宋体" w:eastAsia="宋体" w:cs="宋体"/>
                <w:sz w:val="21"/>
                <w:szCs w:val="21"/>
              </w:rPr>
              <w:t>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lang w:val="en-US" w:eastAsia="zh-CN"/>
              </w:rPr>
              <w:t>远程询标/</w:t>
            </w:r>
            <w:r>
              <w:rPr>
                <w:rFonts w:hint="eastAsia" w:ascii="宋体" w:hAnsi="宋体" w:eastAsia="宋体" w:cs="宋体"/>
                <w:szCs w:val="21"/>
              </w:rPr>
              <w:t>远程在线演示要求</w:t>
            </w:r>
          </w:p>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szCs w:val="21"/>
                <w:lang w:val="en-US" w:eastAsia="zh-CN"/>
              </w:rPr>
              <w:t>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1.评审</w:t>
            </w:r>
            <w:r>
              <w:rPr>
                <w:rFonts w:hint="eastAsia" w:ascii="宋体" w:hAnsi="宋体" w:eastAsia="宋体" w:cs="宋体"/>
                <w:sz w:val="21"/>
                <w:szCs w:val="21"/>
                <w:lang w:val="en-US" w:eastAsia="zh-CN"/>
              </w:rPr>
              <w:t>小组可能</w:t>
            </w:r>
            <w:r>
              <w:rPr>
                <w:rFonts w:hint="eastAsia" w:ascii="宋体" w:hAnsi="宋体" w:cs="宋体"/>
                <w:sz w:val="21"/>
                <w:szCs w:val="21"/>
                <w:lang w:val="en-US" w:eastAsia="zh-CN"/>
              </w:rPr>
              <w:t>向投标人</w:t>
            </w:r>
            <w:r>
              <w:rPr>
                <w:rFonts w:hint="eastAsia" w:ascii="宋体" w:hAnsi="宋体" w:eastAsia="宋体" w:cs="宋体"/>
                <w:sz w:val="21"/>
                <w:szCs w:val="21"/>
                <w:lang w:val="en-US" w:eastAsia="zh-CN"/>
              </w:rPr>
              <w:t>发起远程询标，</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需提前做好准备。</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本项目是否需要远程在线演示要求详见</w:t>
            </w:r>
            <w:r>
              <w:rPr>
                <w:rFonts w:hint="eastAsia" w:ascii="宋体" w:hAnsi="宋体" w:cs="宋体"/>
                <w:sz w:val="21"/>
                <w:szCs w:val="21"/>
                <w:lang w:val="en-US" w:eastAsia="zh-CN"/>
              </w:rPr>
              <w:t>采购</w:t>
            </w:r>
            <w:r>
              <w:rPr>
                <w:rFonts w:hint="eastAsia" w:ascii="宋体" w:hAnsi="宋体" w:eastAsia="宋体" w:cs="宋体"/>
                <w:sz w:val="21"/>
                <w:szCs w:val="21"/>
                <w:lang w:val="en-US" w:eastAsia="zh-CN"/>
              </w:rPr>
              <w:t>需求。</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远程询标/远程在线演示要求通过“政采云视频讲标系统”进行线上问答，</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在接到政采云</w:t>
            </w:r>
            <w:r>
              <w:rPr>
                <w:rFonts w:hint="eastAsia" w:ascii="宋体" w:hAnsi="宋体" w:cs="宋体"/>
                <w:sz w:val="21"/>
                <w:szCs w:val="21"/>
                <w:lang w:val="en-US" w:eastAsia="zh-CN"/>
              </w:rPr>
              <w:t>信息推送</w:t>
            </w:r>
            <w:r>
              <w:rPr>
                <w:rFonts w:hint="eastAsia" w:ascii="宋体" w:hAnsi="宋体" w:eastAsia="宋体" w:cs="宋体"/>
                <w:sz w:val="21"/>
                <w:szCs w:val="21"/>
                <w:lang w:val="en-US" w:eastAsia="zh-CN"/>
              </w:rPr>
              <w:t>后登录政采云系统--进入开标大厅--进入本项目进行操作，单方面视频下回答评委询问。</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4.投标人进行远程</w:t>
            </w:r>
            <w:r>
              <w:rPr>
                <w:rFonts w:hint="eastAsia" w:ascii="宋体" w:hAnsi="宋体" w:eastAsia="宋体" w:cs="宋体"/>
                <w:szCs w:val="21"/>
              </w:rPr>
              <w:t>在线演示</w:t>
            </w:r>
            <w:r>
              <w:rPr>
                <w:rFonts w:hint="eastAsia" w:ascii="宋体" w:hAnsi="宋体" w:cs="宋体"/>
                <w:szCs w:val="21"/>
                <w:lang w:eastAsia="zh-CN"/>
              </w:rPr>
              <w:t>可通过共享桌面来实现，</w:t>
            </w:r>
            <w:r>
              <w:rPr>
                <w:rFonts w:hint="eastAsia" w:ascii="宋体" w:hAnsi="宋体" w:eastAsia="宋体" w:cs="宋体"/>
                <w:sz w:val="21"/>
                <w:szCs w:val="21"/>
                <w:lang w:val="en-US" w:eastAsia="zh-CN"/>
              </w:rPr>
              <w:t>具体操作指南在《政府采购项目电子交易管理操作指南-供应商》2.4.4项。</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kern w:val="0"/>
                <w:sz w:val="21"/>
                <w:szCs w:val="21"/>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政采云视频讲标系统”目前不支持手机端，投标人需配置带高清摄像头的电脑、音箱、麦克风等设备，以及足够的网络带宽保障远程询标顺利进行（建议用谷歌浏览器，网络带宽不少于50兆，有线网线、中档及以上摄像头，提前调试音响麦克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9</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eastAsia="宋体" w:cs="宋体"/>
                <w:szCs w:val="21"/>
              </w:rPr>
              <w:t>投标与开标注意事项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3"/>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1.本项目实行电子投标，投标人自行承担投标一切费用。</w:t>
            </w:r>
          </w:p>
          <w:p>
            <w:pPr>
              <w:pStyle w:val="13"/>
              <w:keepNext w:val="0"/>
              <w:keepLines w:val="0"/>
              <w:pageBreakBefore w:val="0"/>
              <w:kinsoku/>
              <w:wordWrap/>
              <w:overflowPunct/>
              <w:topLinePunct w:val="0"/>
              <w:bidi w:val="0"/>
              <w:adjustRightInd/>
              <w:snapToGrid/>
              <w:spacing w:line="300" w:lineRule="auto"/>
              <w:ind w:firstLine="420" w:firstLineChars="200"/>
              <w:textAlignment w:val="auto"/>
              <w:rPr>
                <w:rFonts w:hint="default"/>
                <w:lang w:val="en-US" w:eastAsia="zh-CN"/>
              </w:rPr>
            </w:pPr>
            <w:r>
              <w:rPr>
                <w:rFonts w:hint="eastAsia" w:ascii="宋体" w:hAnsi="宋体" w:eastAsia="宋体" w:cs="宋体"/>
                <w:bCs/>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default" w:ascii="宋体" w:hAnsi="宋体" w:eastAsia="宋体" w:cs="宋体"/>
                <w:kern w:val="2"/>
                <w:sz w:val="21"/>
                <w:szCs w:val="21"/>
                <w:lang w:val="en-US" w:eastAsia="zh-CN" w:bidi="ar-SA"/>
              </w:rPr>
            </w:pPr>
            <w:r>
              <w:rPr>
                <w:rFonts w:hint="eastAsia" w:ascii="宋体" w:hAnsi="宋体" w:cs="宋体"/>
                <w:szCs w:val="21"/>
                <w:lang w:val="en-US" w:eastAsia="zh-CN"/>
              </w:rPr>
              <w:t>10</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信用信息查询渠道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rPr>
              <w:t>信用中国（网址：</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Fonts w:hint="eastAsia" w:ascii="宋体" w:hAnsi="宋体" w:eastAsia="宋体" w:cs="宋体"/>
                <w:szCs w:val="21"/>
              </w:rPr>
              <w:t>http://www.creditchina.gov.cn</w:t>
            </w:r>
            <w:r>
              <w:rPr>
                <w:rFonts w:hint="eastAsia" w:ascii="宋体" w:hAnsi="宋体" w:eastAsia="宋体" w:cs="宋体"/>
                <w:szCs w:val="21"/>
              </w:rPr>
              <w:fldChar w:fldCharType="end"/>
            </w:r>
            <w:r>
              <w:rPr>
                <w:rFonts w:hint="eastAsia" w:ascii="宋体" w:hAnsi="宋体" w:cs="宋体"/>
                <w:szCs w:val="21"/>
                <w:lang w:eastAsia="zh-CN"/>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中国政府采购网（网址：http://www.ccgp.gov.cn</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default" w:ascii="宋体" w:hAnsi="宋体" w:eastAsia="宋体" w:cs="宋体"/>
                <w:kern w:val="2"/>
                <w:sz w:val="21"/>
                <w:szCs w:val="21"/>
                <w:lang w:val="en-US" w:eastAsia="zh-CN" w:bidi="ar-SA"/>
              </w:rPr>
            </w:pPr>
            <w:r>
              <w:rPr>
                <w:rFonts w:hint="eastAsia" w:ascii="宋体" w:hAnsi="宋体" w:cs="宋体"/>
                <w:szCs w:val="21"/>
                <w:lang w:val="en-US" w:eastAsia="zh-CN"/>
              </w:rPr>
              <w:t>11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auto"/>
                <w:szCs w:val="21"/>
              </w:rPr>
            </w:pPr>
            <w:r>
              <w:rPr>
                <w:rFonts w:hint="eastAsia" w:ascii="宋体" w:hAnsi="宋体" w:eastAsia="宋体" w:cs="宋体"/>
                <w:color w:val="auto"/>
              </w:rPr>
              <w:t>中小企业预留份额情况</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auto"/>
                <w:szCs w:val="21"/>
                <w:lang w:eastAsia="zh-CN"/>
              </w:rPr>
            </w:pPr>
            <w:r>
              <w:rPr>
                <w:rFonts w:hint="eastAsia" w:ascii="宋体" w:hAnsi="宋体" w:eastAsia="宋体" w:cs="宋体"/>
                <w:color w:val="auto"/>
                <w:szCs w:val="21"/>
              </w:rPr>
              <w:t>根据《政府采购促进中小企业发展管理办法》</w:t>
            </w:r>
            <w:r>
              <w:rPr>
                <w:rFonts w:hint="eastAsia" w:ascii="宋体" w:hAnsi="宋体" w:cs="宋体"/>
                <w:color w:val="auto"/>
                <w:szCs w:val="21"/>
                <w:lang w:eastAsia="zh-CN"/>
              </w:rPr>
              <w:t>（</w:t>
            </w:r>
            <w:r>
              <w:rPr>
                <w:rFonts w:hint="eastAsia" w:ascii="宋体" w:hAnsi="宋体" w:eastAsia="宋体" w:cs="宋体"/>
                <w:color w:val="auto"/>
                <w:szCs w:val="21"/>
              </w:rPr>
              <w:t>财库〔2020〕46号</w:t>
            </w:r>
            <w:r>
              <w:rPr>
                <w:rFonts w:hint="eastAsia" w:ascii="宋体" w:hAnsi="宋体" w:cs="宋体"/>
                <w:color w:val="auto"/>
                <w:szCs w:val="21"/>
                <w:lang w:eastAsia="zh-CN"/>
              </w:rPr>
              <w:t>）</w:t>
            </w:r>
            <w:r>
              <w:rPr>
                <w:rFonts w:hint="eastAsia" w:ascii="宋体" w:hAnsi="宋体" w:eastAsia="宋体" w:cs="宋体"/>
                <w:color w:val="auto"/>
                <w:szCs w:val="21"/>
              </w:rPr>
              <w:t>文件的规定，本项目(□是 /</w:t>
            </w:r>
            <w:r>
              <w:rPr>
                <w:rFonts w:hint="eastAsia" w:ascii="宋体" w:hAnsi="宋体" w:cs="宋体"/>
                <w:color w:val="auto"/>
                <w:szCs w:val="21"/>
                <w:lang w:eastAsia="zh-CN"/>
              </w:rPr>
              <w:t>☑</w:t>
            </w:r>
            <w:r>
              <w:rPr>
                <w:rFonts w:hint="eastAsia" w:ascii="宋体" w:hAnsi="宋体" w:eastAsia="宋体" w:cs="宋体"/>
                <w:color w:val="auto"/>
                <w:szCs w:val="21"/>
              </w:rPr>
              <w:t xml:space="preserve"> 否</w:t>
            </w:r>
            <w:r>
              <w:rPr>
                <w:rFonts w:hint="eastAsia" w:ascii="宋体" w:hAnsi="宋体" w:eastAsia="宋体" w:cs="宋体"/>
                <w:color w:val="auto"/>
                <w:szCs w:val="21"/>
                <w:shd w:val="clear" w:color="auto" w:fill="FFFFFF"/>
              </w:rPr>
              <w:t>)</w:t>
            </w:r>
            <w:r>
              <w:rPr>
                <w:rFonts w:hint="eastAsia" w:ascii="宋体" w:hAnsi="宋体" w:eastAsia="宋体" w:cs="宋体"/>
                <w:color w:val="auto"/>
                <w:szCs w:val="21"/>
              </w:rPr>
              <w:t>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中小企业优惠措施</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1.项目属性</w:t>
            </w:r>
            <w:r>
              <w:rPr>
                <w:rFonts w:hint="eastAsia" w:ascii="宋体" w:hAnsi="宋体" w:cs="宋体"/>
                <w:szCs w:val="21"/>
                <w:u w:val="none"/>
                <w:lang w:eastAsia="zh-CN"/>
              </w:rPr>
              <w:t>：</w:t>
            </w:r>
            <w:r>
              <w:rPr>
                <w:rFonts w:hint="eastAsia" w:ascii="宋体" w:hAnsi="宋体" w:cs="宋体"/>
                <w:szCs w:val="21"/>
                <w:u w:val="single"/>
                <w:lang w:val="en-US" w:eastAsia="zh-CN"/>
              </w:rPr>
              <w:t>服务</w:t>
            </w:r>
            <w:r>
              <w:rPr>
                <w:rFonts w:hint="eastAsia" w:ascii="宋体" w:hAnsi="宋体" w:eastAsia="宋体" w:cs="宋体"/>
                <w:szCs w:val="21"/>
                <w:u w:val="single"/>
              </w:rPr>
              <w:t>类</w:t>
            </w:r>
            <w:r>
              <w:rPr>
                <w:rFonts w:hint="eastAsia" w:ascii="宋体" w:hAnsi="宋体" w:cs="宋体"/>
                <w:szCs w:val="21"/>
                <w:lang w:eastAsia="zh-CN"/>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2.中小企业划分标准所属行业（具体根据《中小企业划型标准规定》执行）</w:t>
            </w:r>
            <w:r>
              <w:rPr>
                <w:rFonts w:hint="eastAsia" w:ascii="宋体" w:hAnsi="宋体" w:cs="宋体"/>
                <w:szCs w:val="21"/>
                <w:lang w:eastAsia="zh-CN"/>
              </w:rPr>
              <w:t>：</w:t>
            </w:r>
            <w:r>
              <w:rPr>
                <w:rFonts w:hint="eastAsia" w:ascii="宋体" w:hAnsi="宋体" w:eastAsia="宋体" w:cs="宋体"/>
                <w:szCs w:val="21"/>
              </w:rPr>
              <w:t>采购标的：</w:t>
            </w:r>
            <w:r>
              <w:rPr>
                <w:rFonts w:hint="eastAsia" w:ascii="宋体" w:hAnsi="宋体" w:eastAsia="宋体" w:cs="宋体"/>
                <w:szCs w:val="21"/>
                <w:u w:val="single"/>
                <w:lang w:eastAsia="zh-CN"/>
              </w:rPr>
              <w:t>台州智慧交管工程（协同应用）项目</w:t>
            </w:r>
            <w:r>
              <w:rPr>
                <w:rFonts w:hint="eastAsia" w:ascii="宋体" w:hAnsi="宋体" w:eastAsia="宋体" w:cs="宋体"/>
                <w:szCs w:val="21"/>
                <w:u w:val="single"/>
                <w:lang w:val="en-US" w:eastAsia="zh-CN"/>
              </w:rPr>
              <w:t>_软件部分</w:t>
            </w:r>
            <w:r>
              <w:rPr>
                <w:rFonts w:hint="eastAsia" w:ascii="宋体" w:hAnsi="宋体" w:eastAsia="宋体" w:cs="宋体"/>
                <w:szCs w:val="21"/>
              </w:rPr>
              <w:t>，所属行业：</w:t>
            </w:r>
            <w:r>
              <w:rPr>
                <w:rFonts w:hint="eastAsia" w:ascii="宋体" w:hAnsi="宋体" w:eastAsia="宋体" w:cs="宋体"/>
                <w:szCs w:val="21"/>
                <w:highlight w:val="none"/>
                <w:u w:val="single"/>
                <w:lang w:val="en-US" w:eastAsia="zh-CN"/>
              </w:rPr>
              <w:t>软件和信息技术服务业</w:t>
            </w:r>
            <w:r>
              <w:rPr>
                <w:rFonts w:hint="eastAsia" w:ascii="宋体" w:hAnsi="宋体" w:eastAsia="宋体" w:cs="宋体"/>
                <w:szCs w:val="21"/>
                <w:highlight w:val="none"/>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3.属于享受政府采购支持政策的残疾人福利性单位，</w:t>
            </w:r>
            <w:r>
              <w:rPr>
                <w:rFonts w:hint="eastAsia" w:ascii="宋体" w:hAnsi="宋体" w:eastAsia="宋体" w:cs="宋体"/>
                <w:color w:val="000000" w:themeColor="text1"/>
                <w:szCs w:val="21"/>
                <w14:textFill>
                  <w14:solidFill>
                    <w14:schemeClr w14:val="tx1"/>
                  </w14:solidFill>
                </w14:textFill>
              </w:rPr>
              <w:t>应符合财库</w:t>
            </w:r>
            <w:r>
              <w:rPr>
                <w:rFonts w:hint="eastAsia" w:ascii="宋体" w:hAnsi="宋体" w:eastAsia="宋体" w:cs="宋体"/>
                <w:szCs w:val="21"/>
              </w:rPr>
              <w:t>〔20</w:t>
            </w:r>
            <w:r>
              <w:rPr>
                <w:rFonts w:hint="eastAsia" w:ascii="宋体" w:hAnsi="宋体" w:cs="宋体"/>
                <w:szCs w:val="21"/>
                <w:lang w:val="en-US" w:eastAsia="zh-CN"/>
              </w:rPr>
              <w:t>17</w:t>
            </w:r>
            <w:r>
              <w:rPr>
                <w:rFonts w:hint="eastAsia" w:ascii="宋体" w:hAnsi="宋体" w:eastAsia="宋体" w:cs="宋体"/>
                <w:szCs w:val="21"/>
              </w:rPr>
              <w:t>〕</w:t>
            </w:r>
            <w:r>
              <w:rPr>
                <w:rFonts w:hint="eastAsia" w:ascii="宋体" w:hAnsi="宋体" w:eastAsia="宋体" w:cs="宋体"/>
                <w:color w:val="000000" w:themeColor="text1"/>
                <w:szCs w:val="21"/>
                <w14:textFill>
                  <w14:solidFill>
                    <w14:schemeClr w14:val="tx1"/>
                  </w14:solidFill>
                </w14:textFill>
              </w:rPr>
              <w:t>141号文件规定</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视同小型、微型企业</w:t>
            </w:r>
            <w:r>
              <w:rPr>
                <w:rFonts w:hint="eastAsia" w:ascii="宋体" w:hAnsi="宋体" w:eastAsia="宋体" w:cs="宋体"/>
                <w:szCs w:val="21"/>
                <w:lang w:eastAsia="zh-CN"/>
              </w:rPr>
              <w:t>，</w:t>
            </w:r>
            <w:r>
              <w:rPr>
                <w:rFonts w:hint="eastAsia" w:ascii="宋体" w:hAnsi="宋体" w:eastAsia="宋体" w:cs="宋体"/>
                <w:color w:val="000000" w:themeColor="text1"/>
                <w:szCs w:val="21"/>
                <w14:textFill>
                  <w14:solidFill>
                    <w14:schemeClr w14:val="tx1"/>
                  </w14:solidFill>
                </w14:textFill>
              </w:rPr>
              <w:t>在</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eastAsia="宋体" w:cs="宋体"/>
                <w:color w:val="000000" w:themeColor="text1"/>
                <w:szCs w:val="21"/>
                <w14:textFill>
                  <w14:solidFill>
                    <w14:schemeClr w14:val="tx1"/>
                  </w14:solidFill>
                </w14:textFill>
              </w:rPr>
              <w:t>文件中提供《残疾人福利性单位声明函》（见附件）</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享受评审中价格扣除政策</w:t>
            </w:r>
            <w:r>
              <w:rPr>
                <w:rFonts w:hint="eastAsia" w:ascii="宋体" w:hAnsi="宋体" w:eastAsia="宋体" w:cs="宋体"/>
                <w:color w:val="000000" w:themeColor="text1"/>
                <w:szCs w:val="21"/>
                <w14:textFill>
                  <w14:solidFill>
                    <w14:schemeClr w14:val="tx1"/>
                  </w14:solidFill>
                </w14:textFill>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4.根据财库〔20</w:t>
            </w:r>
            <w:r>
              <w:rPr>
                <w:rFonts w:hint="eastAsia" w:ascii="宋体" w:hAnsi="宋体" w:cs="宋体"/>
                <w:szCs w:val="21"/>
                <w:lang w:val="en-US" w:eastAsia="zh-CN"/>
              </w:rPr>
              <w:t>14</w:t>
            </w:r>
            <w:r>
              <w:rPr>
                <w:rFonts w:hint="eastAsia" w:ascii="宋体" w:hAnsi="宋体" w:eastAsia="宋体" w:cs="宋体"/>
                <w:szCs w:val="21"/>
              </w:rPr>
              <w:t>〕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keepNext w:val="0"/>
              <w:keepLines w:val="0"/>
              <w:pageBreakBefore w:val="0"/>
              <w:kinsoku/>
              <w:wordWrap/>
              <w:overflowPunct/>
              <w:topLinePunct w:val="0"/>
              <w:bidi w:val="0"/>
              <w:adjustRightInd/>
              <w:snapToGrid/>
              <w:spacing w:line="300" w:lineRule="auto"/>
              <w:textAlignment w:val="auto"/>
              <w:rPr>
                <w:rFonts w:hint="eastAsia" w:ascii="宋体" w:hAnsi="宋体" w:eastAsia="宋体" w:cs="宋体"/>
                <w:color w:val="111F2C"/>
                <w:szCs w:val="21"/>
                <w:shd w:val="clear" w:color="auto" w:fill="FFFFFF"/>
              </w:rPr>
            </w:pPr>
            <w:r>
              <w:rPr>
                <w:rFonts w:hint="eastAsia" w:ascii="宋体" w:hAnsi="宋体" w:eastAsia="宋体" w:cs="宋体"/>
                <w:szCs w:val="21"/>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质疑渠道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rPr>
              <w:t>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szCs w:val="21"/>
                <w:lang w:val="zh-CN"/>
              </w:rPr>
              <w:t>实质性条款</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kern w:val="0"/>
                <w:szCs w:val="21"/>
                <w:lang w:val="zh-CN"/>
              </w:rPr>
              <w:t>带“</w:t>
            </w:r>
            <w:r>
              <w:rPr>
                <w:rFonts w:hint="eastAsia" w:ascii="宋体" w:hAnsi="宋体" w:eastAsia="宋体" w:cs="宋体"/>
                <w:bCs/>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rPr>
              <w:t>主要性能参数</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带“★”的条款是</w:t>
            </w:r>
            <w:r>
              <w:rPr>
                <w:rFonts w:hint="eastAsia" w:ascii="宋体" w:hAnsi="宋体" w:eastAsia="宋体" w:cs="宋体"/>
              </w:rPr>
              <w:t>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书面形式</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解释权</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本招标文件解释权属于采购人和采购组织机构。</w:t>
            </w:r>
          </w:p>
        </w:tc>
      </w:tr>
    </w:tbl>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tabs>
          <w:tab w:val="left" w:pos="7980"/>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应仔细阅读本项目招标公告及招标文件的所有内容（包括补充、澄清以及修改等，且均为招标文件的组成部分），按照招标文件要求以及格式编制投标文件，并保证其真实性，否则由此引起的一切后果应由投标</w:t>
      </w:r>
      <w:r>
        <w:rPr>
          <w:rFonts w:hint="eastAsia" w:asciiTheme="minorEastAsia" w:hAnsiTheme="minorEastAsia" w:eastAsiaTheme="minorEastAsia"/>
          <w:sz w:val="24"/>
        </w:rPr>
        <w:t>人</w:t>
      </w:r>
      <w:r>
        <w:rPr>
          <w:rFonts w:asciiTheme="minorEastAsia" w:hAnsiTheme="minorEastAsia" w:eastAsiaTheme="minorEastAsia"/>
          <w:sz w:val="24"/>
        </w:rPr>
        <w:t>承担。</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10"/>
        <w:spacing w:line="360" w:lineRule="auto"/>
        <w:ind w:firstLine="480" w:firstLineChars="200"/>
      </w:pPr>
      <w:r>
        <w:t>本招标文件仅适用于本次招标公告中所涉及的项目和内容。</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4"/>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2.采购人：是指依法进行政府采购的国家机关、事业单位和团体组织</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宋体" w:hAnsi="宋体" w:eastAsia="宋体"/>
          <w:sz w:val="24"/>
          <w:lang w:val="zh-CN" w:eastAsia="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eastAsia="zh-CN"/>
        </w:rPr>
        <w:t>；</w:t>
      </w:r>
    </w:p>
    <w:p>
      <w:pPr>
        <w:pStyle w:val="21"/>
        <w:spacing w:after="0" w:line="360" w:lineRule="auto"/>
        <w:ind w:left="0" w:leftChars="0" w:firstLine="480" w:firstLineChars="200"/>
        <w:rPr>
          <w:rFonts w:hint="eastAsia" w:eastAsia="宋体"/>
          <w:lang w:eastAsia="zh-CN"/>
        </w:rPr>
      </w:pPr>
      <w:r>
        <w:rPr>
          <w:rFonts w:hint="eastAsia" w:ascii="宋体" w:hAnsi="宋体"/>
          <w:sz w:val="24"/>
        </w:rPr>
        <w:t>5.联合体：</w:t>
      </w:r>
      <w:r>
        <w:rPr>
          <w:rFonts w:hint="eastAsia"/>
          <w:sz w:val="24"/>
        </w:rPr>
        <w:t>两个或两个以上法人或者其他组织可以组成一个联合体，以一个投标人的身份共同投标</w:t>
      </w:r>
      <w:r>
        <w:rPr>
          <w:rFonts w:hint="eastAsia"/>
          <w:sz w:val="24"/>
          <w:lang w:eastAsia="zh-CN"/>
        </w:rPr>
        <w:t>。</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合体各方应签订联合体协议书，明确联合体牵头人和各方权利义务，并作为投标文件组成部分</w:t>
      </w:r>
      <w:r>
        <w:rPr>
          <w:rFonts w:hint="eastAsia"/>
          <w:sz w:val="24"/>
        </w:rPr>
        <w:t>；</w:t>
      </w:r>
    </w:p>
    <w:p>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pPr>
        <w:snapToGrid w:val="0"/>
        <w:spacing w:line="360" w:lineRule="auto"/>
        <w:ind w:firstLine="480" w:firstLineChars="200"/>
        <w:rPr>
          <w:rFonts w:ascii="宋体" w:hAnsi="宋体" w:cs="宋体"/>
          <w:sz w:val="24"/>
        </w:rPr>
      </w:pPr>
      <w:r>
        <w:rPr>
          <w:rFonts w:hint="eastAsia" w:asciiTheme="minorEastAsia" w:hAnsiTheme="minorEastAsia" w:eastAsiaTheme="minorEastAsia"/>
          <w:sz w:val="24"/>
        </w:rPr>
        <w:t>4.联合体各方中至少应当有一方符合采购人规定的资格要求。由同一资质条件的投</w:t>
      </w:r>
      <w:r>
        <w:rPr>
          <w:rFonts w:hint="eastAsia" w:ascii="宋体" w:hAnsi="宋体" w:cs="宋体"/>
          <w:sz w:val="24"/>
        </w:rPr>
        <w:t>标人组成的联合体，应当按照资质等级较低的投标人确定联合体资质等级；</w:t>
      </w:r>
    </w:p>
    <w:p>
      <w:pPr>
        <w:snapToGrid w:val="0"/>
        <w:spacing w:line="360" w:lineRule="auto"/>
        <w:ind w:firstLine="480" w:firstLineChars="200"/>
        <w:rPr>
          <w:rFonts w:ascii="宋体" w:hAnsi="宋体" w:cs="宋体"/>
          <w:sz w:val="24"/>
        </w:rPr>
      </w:pPr>
      <w:r>
        <w:rPr>
          <w:rFonts w:hint="eastAsia" w:ascii="宋体" w:hAnsi="宋体" w:cs="宋体"/>
          <w:sz w:val="24"/>
        </w:rPr>
        <w:t>5.联合体各方不得再以自己名义单独在同一合同项中投标，也不得组成新的联合体参加同一项目投标；</w:t>
      </w:r>
    </w:p>
    <w:p>
      <w:pPr>
        <w:snapToGrid w:val="0"/>
        <w:spacing w:line="360" w:lineRule="auto"/>
        <w:ind w:firstLine="480" w:firstLineChars="200"/>
        <w:rPr>
          <w:rFonts w:ascii="宋体" w:hAnsi="宋体" w:cs="宋体"/>
          <w:sz w:val="24"/>
        </w:rPr>
      </w:pPr>
      <w:r>
        <w:rPr>
          <w:rFonts w:hint="eastAsia" w:ascii="宋体" w:hAnsi="宋体" w:cs="宋体"/>
          <w:sz w:val="24"/>
        </w:rPr>
        <w:t>6.联合体各方应当共同与采购人签订采购合同，就合同约定的事项对采购人承担连带责任；</w:t>
      </w:r>
    </w:p>
    <w:p>
      <w:pPr>
        <w:snapToGrid w:val="0"/>
        <w:spacing w:line="360" w:lineRule="auto"/>
        <w:ind w:firstLine="480" w:firstLineChars="200"/>
        <w:rPr>
          <w:rFonts w:ascii="宋体" w:hAnsi="宋体" w:cs="宋体"/>
          <w:sz w:val="24"/>
        </w:rPr>
      </w:pPr>
      <w:r>
        <w:rPr>
          <w:rFonts w:hint="eastAsia" w:ascii="宋体" w:hAnsi="宋体" w:cs="宋体"/>
          <w:sz w:val="24"/>
        </w:rPr>
        <w:t>7.投标时，应以联合体协议中确定的主体方名义投标，对联合体各方均具有约束力。</w:t>
      </w:r>
    </w:p>
    <w:p>
      <w:pPr>
        <w:snapToGrid w:val="0"/>
        <w:spacing w:line="360" w:lineRule="auto"/>
        <w:ind w:firstLine="482" w:firstLineChars="200"/>
        <w:rPr>
          <w:rFonts w:ascii="宋体" w:hAnsi="宋体" w:cs="宋体"/>
          <w:b/>
          <w:bCs/>
          <w:sz w:val="24"/>
        </w:rPr>
      </w:pPr>
      <w:r>
        <w:rPr>
          <w:rFonts w:hint="eastAsia" w:ascii="宋体" w:hAnsi="宋体" w:cs="宋体"/>
          <w:b/>
          <w:bCs/>
          <w:sz w:val="24"/>
        </w:rPr>
        <w:t>（五）语言文字以及度量衡单位</w:t>
      </w:r>
    </w:p>
    <w:p>
      <w:pPr>
        <w:snapToGrid w:val="0"/>
        <w:spacing w:line="360" w:lineRule="auto"/>
        <w:ind w:firstLine="480" w:firstLineChars="200"/>
        <w:rPr>
          <w:rFonts w:ascii="宋体" w:hAnsi="宋体" w:cs="宋体"/>
          <w:sz w:val="24"/>
        </w:rPr>
      </w:pPr>
      <w:r>
        <w:rPr>
          <w:rFonts w:hint="eastAsia" w:ascii="宋体" w:hAnsi="宋体" w:cs="宋体"/>
          <w:sz w:val="24"/>
        </w:rPr>
        <w:t>1.投标文件以及投标人与</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r>
        <w:rPr>
          <w:rFonts w:hint="eastAsia" w:ascii="宋体" w:hAnsi="宋体" w:cs="宋体"/>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宋体" w:hAnsi="宋体" w:cs="宋体"/>
          <w:sz w:val="24"/>
        </w:rPr>
      </w:pPr>
      <w:r>
        <w:rPr>
          <w:rFonts w:hint="eastAsia" w:ascii="宋体" w:hAnsi="宋体" w:cs="宋体"/>
          <w:sz w:val="24"/>
        </w:rPr>
        <w:t>2.所有计量均采用中国法定的计量单位。</w:t>
      </w:r>
    </w:p>
    <w:p>
      <w:pPr>
        <w:snapToGrid w:val="0"/>
        <w:spacing w:line="360" w:lineRule="auto"/>
        <w:ind w:firstLine="480" w:firstLineChars="200"/>
        <w:rPr>
          <w:rFonts w:ascii="宋体" w:hAnsi="宋体" w:cs="宋体"/>
          <w:sz w:val="24"/>
        </w:rPr>
      </w:pPr>
      <w:r>
        <w:rPr>
          <w:rFonts w:hint="eastAsia" w:ascii="宋体" w:hAnsi="宋体" w:cs="宋体"/>
          <w:sz w:val="24"/>
        </w:rPr>
        <w:t>3.所有报价一律使用人民币，货币单位：元。</w:t>
      </w:r>
    </w:p>
    <w:p>
      <w:pPr>
        <w:pStyle w:val="29"/>
        <w:tabs>
          <w:tab w:val="left" w:pos="437"/>
        </w:tabs>
        <w:spacing w:line="360" w:lineRule="auto"/>
        <w:ind w:firstLine="482"/>
        <w:rPr>
          <w:rFonts w:ascii="宋体" w:hAnsi="宋体" w:cs="宋体"/>
          <w:b/>
          <w:bCs/>
          <w:sz w:val="24"/>
          <w:szCs w:val="24"/>
        </w:rPr>
      </w:pPr>
      <w:r>
        <w:rPr>
          <w:rFonts w:hint="eastAsia" w:ascii="宋体" w:hAnsi="宋体" w:cs="宋体"/>
          <w:b/>
          <w:bCs/>
          <w:sz w:val="24"/>
          <w:szCs w:val="24"/>
        </w:rPr>
        <w:t>（六）现场踏勘</w:t>
      </w:r>
    </w:p>
    <w:p>
      <w:pPr>
        <w:snapToGrid w:val="0"/>
        <w:spacing w:line="360" w:lineRule="auto"/>
        <w:ind w:firstLine="480" w:firstLineChars="200"/>
        <w:rPr>
          <w:rFonts w:ascii="宋体" w:hAnsi="宋体" w:cs="宋体"/>
          <w:sz w:val="24"/>
        </w:rPr>
      </w:pPr>
      <w:r>
        <w:rPr>
          <w:rFonts w:hint="eastAsia" w:ascii="宋体" w:hAnsi="宋体" w:cs="宋体"/>
          <w:sz w:val="24"/>
        </w:rPr>
        <w:t>1.招标文件规定组织踏勘现场的，采购人按招标文件规定的时间、地点组织投标人踏勘项目现场。</w:t>
      </w:r>
    </w:p>
    <w:p>
      <w:pPr>
        <w:snapToGrid w:val="0"/>
        <w:spacing w:line="360" w:lineRule="auto"/>
        <w:ind w:firstLine="480" w:firstLineChars="200"/>
        <w:rPr>
          <w:rFonts w:ascii="宋体" w:hAnsi="宋体" w:cs="宋体"/>
          <w:sz w:val="24"/>
        </w:rPr>
      </w:pPr>
      <w:r>
        <w:rPr>
          <w:rFonts w:hint="eastAsia" w:ascii="宋体" w:hAnsi="宋体" w:cs="宋体"/>
          <w:sz w:val="24"/>
        </w:rPr>
        <w:t>2.投标人自行承担踏勘现场发生的责任、风险和自身费用。</w:t>
      </w:r>
    </w:p>
    <w:p>
      <w:pPr>
        <w:snapToGrid w:val="0"/>
        <w:spacing w:line="360" w:lineRule="auto"/>
        <w:ind w:firstLine="480" w:firstLineChars="200"/>
        <w:rPr>
          <w:rFonts w:ascii="宋体" w:hAnsi="宋体" w:cs="宋体"/>
          <w:sz w:val="24"/>
        </w:rPr>
      </w:pPr>
      <w:r>
        <w:rPr>
          <w:rFonts w:hint="eastAsia" w:ascii="宋体" w:hAnsi="宋体" w:cs="宋体"/>
          <w:sz w:val="24"/>
        </w:rPr>
        <w:t>3.采购人在踏勘现场中介绍的资料和数据等，不构成对招标文件的修改或不作为投标人编制投标文件的依据。</w:t>
      </w:r>
    </w:p>
    <w:p>
      <w:pPr>
        <w:pStyle w:val="13"/>
        <w:snapToGrid w:val="0"/>
        <w:spacing w:line="360" w:lineRule="auto"/>
        <w:ind w:firstLine="482" w:firstLineChars="200"/>
        <w:rPr>
          <w:rFonts w:hAnsi="宋体" w:cs="宋体"/>
          <w:b/>
          <w:sz w:val="24"/>
        </w:rPr>
      </w:pPr>
      <w:r>
        <w:rPr>
          <w:rFonts w:hint="eastAsia" w:hAnsi="宋体" w:cs="宋体"/>
          <w:b/>
          <w:sz w:val="24"/>
        </w:rPr>
        <w:t>（七）特别说明</w:t>
      </w:r>
    </w:p>
    <w:p>
      <w:pPr>
        <w:pStyle w:val="13"/>
        <w:snapToGrid w:val="0"/>
        <w:spacing w:line="360" w:lineRule="auto"/>
        <w:ind w:firstLine="480" w:firstLineChars="200"/>
        <w:rPr>
          <w:rFonts w:hAnsi="宋体" w:cs="宋体"/>
          <w:sz w:val="24"/>
        </w:rPr>
      </w:pPr>
      <w:r>
        <w:rPr>
          <w:rFonts w:hint="eastAsia" w:hAnsi="宋体" w:cs="宋体"/>
          <w:sz w:val="24"/>
        </w:rPr>
        <w:t>1.投标人投标所使用的资格、信誉、荣誉、业绩与企业认证必须为本法人所拥有且所提供的资料都是真实有效的。投标人投标所使用的采购项目实施人员必须为本法人员工。</w:t>
      </w:r>
    </w:p>
    <w:p>
      <w:pPr>
        <w:pStyle w:val="29"/>
        <w:snapToGrid w:val="0"/>
        <w:spacing w:line="360" w:lineRule="auto"/>
        <w:ind w:firstLine="480"/>
        <w:rPr>
          <w:rFonts w:ascii="宋体" w:hAnsi="宋体" w:cs="宋体"/>
          <w:sz w:val="24"/>
          <w:szCs w:val="24"/>
        </w:rPr>
      </w:pPr>
      <w:r>
        <w:rPr>
          <w:rFonts w:hint="eastAsia" w:ascii="宋体" w:hAnsi="宋体" w:cs="宋体"/>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pPr>
        <w:pStyle w:val="29"/>
        <w:snapToGrid w:val="0"/>
        <w:spacing w:line="360" w:lineRule="auto"/>
        <w:ind w:firstLine="480"/>
        <w:rPr>
          <w:rFonts w:ascii="宋体" w:hAnsi="宋体" w:cs="宋体"/>
          <w:sz w:val="24"/>
          <w:szCs w:val="24"/>
        </w:rPr>
      </w:pPr>
      <w:r>
        <w:rPr>
          <w:rFonts w:hint="eastAsia" w:ascii="宋体" w:hAnsi="宋体" w:cs="宋体"/>
          <w:sz w:val="24"/>
          <w:szCs w:val="24"/>
        </w:rPr>
        <w:t>3.本招标文件中关于电子招投标</w:t>
      </w:r>
      <w:r>
        <w:rPr>
          <w:rFonts w:hint="eastAsia" w:ascii="宋体" w:hAnsi="宋体" w:cs="宋体"/>
          <w:sz w:val="24"/>
          <w:szCs w:val="24"/>
          <w:lang w:eastAsia="zh-CN"/>
        </w:rPr>
        <w:t>的</w:t>
      </w:r>
      <w:r>
        <w:rPr>
          <w:rFonts w:hint="eastAsia" w:ascii="宋体" w:hAnsi="宋体" w:cs="宋体"/>
          <w:sz w:val="24"/>
          <w:szCs w:val="24"/>
        </w:rPr>
        <w:t>内容、流程</w:t>
      </w:r>
      <w:r>
        <w:rPr>
          <w:rFonts w:hint="eastAsia" w:ascii="宋体" w:hAnsi="宋体" w:cs="宋体"/>
          <w:sz w:val="24"/>
          <w:szCs w:val="24"/>
          <w:lang w:eastAsia="zh-CN"/>
        </w:rPr>
        <w:t>，</w:t>
      </w:r>
      <w:r>
        <w:rPr>
          <w:rFonts w:hint="eastAsia" w:ascii="宋体" w:hAnsi="宋体" w:cs="宋体"/>
          <w:sz w:val="24"/>
          <w:szCs w:val="24"/>
        </w:rPr>
        <w:t>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8"/>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文件。【特别提示：如在投标时有要求提供资料原件的，将原件扫描放入投标文件】若参与多标项投标的，则按每个标项分别独立编制投标文件。</w:t>
      </w:r>
    </w:p>
    <w:p>
      <w:pPr>
        <w:pStyle w:val="58"/>
        <w:snapToGrid w:val="0"/>
        <w:spacing w:line="360" w:lineRule="auto"/>
        <w:ind w:firstLine="420"/>
        <w:rPr>
          <w:rFonts w:hint="eastAsia" w:ascii="宋体" w:hAnsi="宋体" w:eastAsia="宋体"/>
          <w:b/>
          <w:sz w:val="24"/>
          <w:lang w:val="en-US" w:eastAsia="zh-CN"/>
        </w:rPr>
      </w:pPr>
      <w:r>
        <w:rPr>
          <w:rFonts w:hint="eastAsia" w:ascii="宋体" w:hAnsi="宋体" w:cs="宋体"/>
          <w:b/>
          <w:sz w:val="24"/>
        </w:rPr>
        <w:t>▲</w:t>
      </w:r>
      <w:r>
        <w:rPr>
          <w:rFonts w:hint="eastAsia" w:asciiTheme="minorEastAsia" w:hAnsiTheme="minorEastAsia" w:eastAsiaTheme="minorEastAsia"/>
          <w:b/>
          <w:sz w:val="24"/>
        </w:rPr>
        <w:t>1.资格证明</w:t>
      </w:r>
      <w:r>
        <w:rPr>
          <w:rFonts w:asciiTheme="minorEastAsia" w:hAnsiTheme="minorEastAsia" w:eastAsiaTheme="minorEastAsia"/>
          <w:b/>
          <w:sz w:val="24"/>
        </w:rPr>
        <w:t>文件</w:t>
      </w:r>
      <w:r>
        <w:rPr>
          <w:rFonts w:hint="eastAsia" w:ascii="宋体" w:hAnsi="宋体"/>
          <w:b/>
          <w:sz w:val="24"/>
        </w:rPr>
        <w:t>的组</w:t>
      </w:r>
      <w:r>
        <w:rPr>
          <w:rFonts w:hint="eastAsia" w:asciiTheme="minorEastAsia" w:hAnsiTheme="minorEastAsia" w:eastAsiaTheme="minorEastAsia"/>
          <w:b/>
          <w:sz w:val="24"/>
        </w:rPr>
        <w:t>成</w:t>
      </w:r>
      <w:r>
        <w:rPr>
          <w:rFonts w:hint="eastAsia" w:asciiTheme="minorEastAsia" w:hAnsiTheme="minorEastAsia" w:eastAsiaTheme="minorEastAsia"/>
          <w:b/>
          <w:sz w:val="24"/>
          <w:highlight w:val="yellow"/>
          <w:lang w:eastAsia="zh-CN"/>
        </w:rPr>
        <w:t>（</w:t>
      </w:r>
      <w:r>
        <w:rPr>
          <w:rFonts w:hint="eastAsia" w:asciiTheme="minorEastAsia" w:hAnsiTheme="minorEastAsia" w:eastAsiaTheme="minorEastAsia"/>
          <w:b/>
          <w:sz w:val="24"/>
          <w:highlight w:val="yellow"/>
        </w:rPr>
        <w:t>以联合体形式参加本项目投标的，联合体各方均应当提供如下资格证明材料。</w:t>
      </w:r>
      <w:r>
        <w:rPr>
          <w:rFonts w:hint="eastAsia" w:ascii="宋体" w:hAnsi="宋体"/>
          <w:b/>
          <w:sz w:val="24"/>
          <w:highlight w:val="yellow"/>
          <w:lang w:eastAsia="zh-CN"/>
        </w:rPr>
        <w:t>）</w:t>
      </w:r>
    </w:p>
    <w:p>
      <w:pPr>
        <w:snapToGrid w:val="0"/>
        <w:spacing w:line="360" w:lineRule="auto"/>
        <w:ind w:firstLine="480" w:firstLineChars="200"/>
        <w:rPr>
          <w:rFonts w:hint="eastAsia" w:ascii="宋体" w:hAnsi="宋体" w:cs="宋体"/>
          <w:sz w:val="24"/>
        </w:rPr>
      </w:pPr>
      <w:r>
        <w:rPr>
          <w:rFonts w:hint="eastAsia" w:ascii="宋体" w:hAnsi="宋体"/>
          <w:b w:val="0"/>
          <w:bCs/>
          <w:sz w:val="24"/>
          <w:lang w:eastAsia="zh-CN"/>
        </w:rPr>
        <w:t>（</w:t>
      </w:r>
      <w:r>
        <w:rPr>
          <w:rFonts w:hint="eastAsia" w:ascii="宋体" w:hAnsi="宋体"/>
          <w:b w:val="0"/>
          <w:bCs/>
          <w:sz w:val="24"/>
          <w:lang w:val="en-US" w:eastAsia="zh-CN"/>
        </w:rPr>
        <w:t>1</w:t>
      </w:r>
      <w:r>
        <w:rPr>
          <w:rFonts w:hint="eastAsia" w:ascii="宋体" w:hAnsi="宋体"/>
          <w:b w:val="0"/>
          <w:bCs/>
          <w:sz w:val="24"/>
          <w:lang w:eastAsia="zh-CN"/>
        </w:rPr>
        <w:t>）</w:t>
      </w:r>
      <w:r>
        <w:rPr>
          <w:rFonts w:hint="eastAsia" w:ascii="宋体" w:hAnsi="宋体" w:cs="宋体"/>
          <w:sz w:val="24"/>
        </w:rPr>
        <w:t>投标声明书；</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授权委</w:t>
      </w:r>
      <w:r>
        <w:rPr>
          <w:rFonts w:hint="eastAsia" w:ascii="宋体" w:hAnsi="宋体" w:cs="宋体"/>
          <w:color w:val="auto"/>
          <w:sz w:val="24"/>
        </w:rPr>
        <w:t>托书</w:t>
      </w:r>
      <w:r>
        <w:rPr>
          <w:rFonts w:hint="eastAsia" w:ascii="宋体" w:hAnsi="宋体" w:cs="宋体"/>
          <w:color w:val="auto"/>
          <w:sz w:val="24"/>
          <w:lang w:val="en-US" w:eastAsia="zh-CN"/>
        </w:rPr>
        <w:t>或联合体授权委托书</w:t>
      </w:r>
      <w:r>
        <w:rPr>
          <w:rFonts w:hint="eastAsia" w:ascii="宋体" w:hAnsi="宋体" w:cs="宋体"/>
          <w:color w:val="auto"/>
          <w:sz w:val="24"/>
        </w:rPr>
        <w:t>（法</w:t>
      </w:r>
      <w:r>
        <w:rPr>
          <w:rFonts w:hint="eastAsia" w:ascii="宋体" w:hAnsi="宋体" w:cs="宋体"/>
          <w:sz w:val="24"/>
        </w:rPr>
        <w:t>定代表人亲自办理投标事宜的，则无需提交授权委托书</w:t>
      </w:r>
      <w:r>
        <w:rPr>
          <w:rFonts w:hint="eastAsia" w:ascii="宋体" w:hAnsi="宋体" w:cs="宋体"/>
          <w:sz w:val="24"/>
          <w:lang w:eastAsia="zh-CN"/>
        </w:rPr>
        <w:t>；</w:t>
      </w:r>
      <w:r>
        <w:rPr>
          <w:rFonts w:hint="eastAsia" w:ascii="宋体" w:hAnsi="宋体" w:cs="宋体"/>
          <w:sz w:val="24"/>
          <w:lang w:val="en-US" w:eastAsia="zh-CN"/>
        </w:rPr>
        <w:t>以联合体形式投标时需</w:t>
      </w:r>
      <w:r>
        <w:rPr>
          <w:rFonts w:hint="eastAsia" w:ascii="宋体" w:hAnsi="宋体" w:cs="宋体"/>
          <w:color w:val="auto"/>
          <w:sz w:val="24"/>
          <w:lang w:val="en-US" w:eastAsia="zh-CN"/>
        </w:rPr>
        <w:t>提供联合体授权委托书</w:t>
      </w:r>
      <w:r>
        <w:rPr>
          <w:rFonts w:hint="eastAsia" w:ascii="宋体" w:hAnsi="宋体" w:cs="宋体"/>
          <w:sz w:val="24"/>
          <w:lang w:eastAsia="zh-CN"/>
        </w:rPr>
        <w:t>）</w:t>
      </w:r>
      <w:r>
        <w:rPr>
          <w:rFonts w:hint="eastAsia" w:ascii="宋体" w:hAnsi="宋体" w:cs="宋体"/>
          <w:sz w:val="24"/>
        </w:rPr>
        <w:t>；</w:t>
      </w:r>
    </w:p>
    <w:p>
      <w:pPr>
        <w:snapToGrid w:val="0"/>
        <w:spacing w:line="360" w:lineRule="auto"/>
        <w:ind w:firstLine="480" w:firstLineChars="200"/>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eastAsia="宋体" w:cs="宋体"/>
          <w:color w:val="auto"/>
          <w:sz w:val="24"/>
          <w:szCs w:val="24"/>
        </w:rPr>
        <w:t>联合体共同投标协议书</w:t>
      </w:r>
      <w:r>
        <w:rPr>
          <w:rFonts w:hint="eastAsia" w:ascii="宋体" w:hAnsi="宋体" w:cs="宋体"/>
          <w:sz w:val="24"/>
          <w:lang w:eastAsia="zh-CN"/>
        </w:rPr>
        <w:t>（</w:t>
      </w:r>
      <w:r>
        <w:rPr>
          <w:rFonts w:hint="eastAsia" w:ascii="宋体" w:hAnsi="宋体" w:cs="宋体"/>
          <w:sz w:val="24"/>
          <w:lang w:val="en-US" w:eastAsia="zh-CN"/>
        </w:rPr>
        <w:t>以</w:t>
      </w:r>
      <w:r>
        <w:rPr>
          <w:rFonts w:hint="eastAsia" w:ascii="宋体" w:hAnsi="宋体" w:cs="宋体"/>
          <w:sz w:val="24"/>
          <w:lang w:eastAsia="zh-CN"/>
        </w:rPr>
        <w:t>联合体</w:t>
      </w:r>
      <w:r>
        <w:rPr>
          <w:rFonts w:hint="eastAsia" w:ascii="宋体" w:hAnsi="宋体" w:cs="宋体"/>
          <w:sz w:val="24"/>
          <w:lang w:val="en-US" w:eastAsia="zh-CN"/>
        </w:rPr>
        <w:t>形式</w:t>
      </w:r>
      <w:r>
        <w:rPr>
          <w:rFonts w:hint="eastAsia" w:ascii="宋体" w:hAnsi="宋体" w:cs="宋体"/>
          <w:sz w:val="24"/>
          <w:lang w:eastAsia="zh-CN"/>
        </w:rPr>
        <w:t>投标时需提供）；</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）法人或者其他组织的营业执照等证明文件，自然人的</w:t>
      </w:r>
      <w:r>
        <w:rPr>
          <w:rFonts w:hint="eastAsia" w:ascii="宋体" w:hAnsi="宋体" w:cs="宋体"/>
          <w:sz w:val="24"/>
        </w:rPr>
        <w:t>身份证明；</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符合参与政府采购活动的资格条件并且没有税收缴纳、社会保障等方面的失信记录的承诺函；</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rPr>
        <w:t>具备履行合同所必需的设备和专业技术能力的证明材料</w:t>
      </w:r>
      <w:r>
        <w:rPr>
          <w:rFonts w:hint="eastAsia" w:ascii="宋体" w:hAnsi="宋体" w:cs="宋体"/>
          <w:sz w:val="24"/>
          <w:lang w:eastAsia="zh-CN"/>
        </w:rPr>
        <w:t>（</w:t>
      </w:r>
      <w:r>
        <w:rPr>
          <w:rFonts w:hint="eastAsia" w:ascii="宋体" w:hAnsi="宋体" w:cs="宋体"/>
          <w:sz w:val="24"/>
        </w:rPr>
        <w:t>根据项目性质提供</w:t>
      </w:r>
      <w:r>
        <w:rPr>
          <w:rFonts w:hint="eastAsia" w:ascii="宋体" w:hAnsi="宋体" w:cs="宋体"/>
          <w:sz w:val="24"/>
          <w:lang w:eastAsia="zh-CN"/>
        </w:rPr>
        <w:t>）</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sz w:val="24"/>
        </w:rPr>
        <w:t>提供采购公告中符合投标人特定条件的有效资质证书扫描件，以及需要说明的其他资料。</w:t>
      </w:r>
    </w:p>
    <w:p>
      <w:pPr>
        <w:snapToGrid w:val="0"/>
        <w:spacing w:line="360" w:lineRule="auto"/>
        <w:ind w:firstLine="482" w:firstLineChars="200"/>
        <w:rPr>
          <w:rFonts w:ascii="宋体" w:hAnsi="宋体" w:cs="宋体"/>
          <w:sz w:val="24"/>
          <w:u w:val="single"/>
        </w:rPr>
      </w:pPr>
      <w:r>
        <w:rPr>
          <w:rFonts w:hint="eastAsia" w:asciiTheme="minorEastAsia" w:hAnsiTheme="minorEastAsia" w:eastAsiaTheme="minorEastAsia"/>
          <w:b/>
          <w:sz w:val="24"/>
        </w:rPr>
        <w:t>2.</w:t>
      </w:r>
      <w:r>
        <w:rPr>
          <w:rFonts w:hint="eastAsia" w:ascii="宋体" w:hAnsi="宋体"/>
          <w:b/>
          <w:sz w:val="24"/>
        </w:rPr>
        <w:t>商务与技术文件的组成</w:t>
      </w:r>
    </w:p>
    <w:p>
      <w:pPr>
        <w:pStyle w:val="8"/>
        <w:widowControl/>
        <w:numPr>
          <w:ilvl w:val="0"/>
          <w:numId w:val="6"/>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投标人情况介绍（人员与技术力量、经营业绩等）；</w:t>
      </w:r>
    </w:p>
    <w:p>
      <w:pPr>
        <w:pStyle w:val="8"/>
        <w:widowControl/>
        <w:numPr>
          <w:ilvl w:val="0"/>
          <w:numId w:val="6"/>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项目需求的理解与分析</w:t>
      </w:r>
      <w:r>
        <w:rPr>
          <w:rFonts w:hint="eastAsia" w:ascii="Calibri" w:hAnsi="Calibri" w:cs="Calibri"/>
          <w:sz w:val="24"/>
          <w:szCs w:val="24"/>
          <w:lang w:eastAsia="zh-CN"/>
        </w:rPr>
        <w:t>（</w:t>
      </w:r>
      <w:r>
        <w:rPr>
          <w:rFonts w:hint="eastAsia" w:ascii="Calibri" w:hAnsi="Calibri" w:cs="Calibri"/>
          <w:sz w:val="24"/>
          <w:szCs w:val="24"/>
        </w:rPr>
        <w:t>投标人对项目现状及需求的理解</w:t>
      </w:r>
      <w:r>
        <w:rPr>
          <w:rFonts w:hint="eastAsia" w:ascii="Calibri" w:hAnsi="Calibri" w:cs="Calibri"/>
          <w:sz w:val="24"/>
          <w:szCs w:val="24"/>
          <w:lang w:eastAsia="zh-CN"/>
        </w:rPr>
        <w:t>状况</w:t>
      </w:r>
      <w:r>
        <w:rPr>
          <w:rFonts w:hint="eastAsia" w:ascii="Calibri" w:hAnsi="Calibri" w:cs="Calibri"/>
          <w:sz w:val="24"/>
          <w:szCs w:val="24"/>
        </w:rPr>
        <w:t>，对项目现状和需求描述的全面性、准确性、针对性，项目功能设计完备、对系统各组成部分等功能进行准确的分析，对项目重点、难点的把握，解决方案及合理化建议</w:t>
      </w:r>
      <w:r>
        <w:rPr>
          <w:rFonts w:hint="eastAsia" w:ascii="Calibri" w:hAnsi="Calibri" w:cs="Calibri"/>
          <w:sz w:val="24"/>
          <w:szCs w:val="24"/>
          <w:lang w:eastAsia="zh-CN"/>
        </w:rPr>
        <w:t>）</w:t>
      </w:r>
      <w:r>
        <w:rPr>
          <w:rFonts w:hint="eastAsia" w:ascii="Calibri" w:hAnsi="Calibri" w:cs="Calibri"/>
          <w:sz w:val="24"/>
          <w:szCs w:val="24"/>
        </w:rPr>
        <w:t>；</w:t>
      </w:r>
    </w:p>
    <w:p>
      <w:pPr>
        <w:pStyle w:val="8"/>
        <w:widowControl/>
        <w:numPr>
          <w:ilvl w:val="0"/>
          <w:numId w:val="6"/>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总体设计（技术、服务）方案；</w:t>
      </w:r>
    </w:p>
    <w:p>
      <w:pPr>
        <w:pStyle w:val="8"/>
        <w:widowControl/>
        <w:numPr>
          <w:ilvl w:val="0"/>
          <w:numId w:val="6"/>
        </w:numPr>
        <w:adjustRightInd w:val="0"/>
        <w:snapToGrid w:val="0"/>
        <w:spacing w:line="360" w:lineRule="auto"/>
        <w:ind w:firstLine="640"/>
        <w:rPr>
          <w:rFonts w:hint="eastAsia" w:ascii="宋体" w:hAnsi="宋体" w:eastAsia="宋体" w:cs="宋体"/>
          <w:sz w:val="24"/>
          <w:szCs w:val="24"/>
        </w:rPr>
      </w:pPr>
      <w:r>
        <w:rPr>
          <w:rFonts w:hint="eastAsia" w:ascii="Calibri" w:hAnsi="Calibri" w:cs="Calibri"/>
          <w:sz w:val="24"/>
          <w:szCs w:val="24"/>
        </w:rPr>
        <w:t>功能设</w:t>
      </w:r>
      <w:r>
        <w:rPr>
          <w:rFonts w:hint="eastAsia" w:ascii="宋体" w:hAnsi="宋体" w:eastAsia="宋体" w:cs="宋体"/>
          <w:sz w:val="24"/>
          <w:szCs w:val="24"/>
        </w:rPr>
        <w:t>计方案；</w:t>
      </w:r>
    </w:p>
    <w:p>
      <w:pPr>
        <w:pStyle w:val="8"/>
        <w:widowControl/>
        <w:numPr>
          <w:ilvl w:val="0"/>
          <w:numId w:val="6"/>
        </w:numPr>
        <w:adjustRightInd w:val="0"/>
        <w:snapToGrid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质量保证方案；</w:t>
      </w:r>
    </w:p>
    <w:p>
      <w:pPr>
        <w:pStyle w:val="8"/>
        <w:widowControl/>
        <w:numPr>
          <w:ilvl w:val="0"/>
          <w:numId w:val="6"/>
        </w:numPr>
        <w:adjustRightInd w:val="0"/>
        <w:snapToGrid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项目实施方案（包括项目工期、确保项目进行的措施或方案、项目实施进度安排、项目实施人员及项目负责人的资质、类似经验及社保证明等）；</w:t>
      </w:r>
    </w:p>
    <w:p>
      <w:pPr>
        <w:pStyle w:val="8"/>
        <w:widowControl/>
        <w:numPr>
          <w:ilvl w:val="0"/>
          <w:numId w:val="6"/>
        </w:numPr>
        <w:adjustRightInd w:val="0"/>
        <w:snapToGrid w:val="0"/>
        <w:spacing w:line="360" w:lineRule="auto"/>
        <w:ind w:firstLine="6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项目分包方案；</w:t>
      </w:r>
    </w:p>
    <w:p>
      <w:pPr>
        <w:pStyle w:val="8"/>
        <w:widowControl/>
        <w:numPr>
          <w:ilvl w:val="0"/>
          <w:numId w:val="6"/>
        </w:numPr>
        <w:adjustRightInd w:val="0"/>
        <w:snapToGrid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技术需求响应表；</w:t>
      </w:r>
    </w:p>
    <w:p>
      <w:pPr>
        <w:pStyle w:val="8"/>
        <w:widowControl/>
        <w:numPr>
          <w:ilvl w:val="0"/>
          <w:numId w:val="6"/>
        </w:numPr>
        <w:adjustRightInd w:val="0"/>
        <w:snapToGrid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项目实施人员一览表；</w:t>
      </w:r>
    </w:p>
    <w:p>
      <w:pPr>
        <w:numPr>
          <w:ilvl w:val="0"/>
          <w:numId w:val="6"/>
        </w:numPr>
        <w:spacing w:line="360" w:lineRule="auto"/>
        <w:ind w:firstLine="640"/>
        <w:rPr>
          <w:rFonts w:hint="eastAsia" w:ascii="宋体" w:hAnsi="宋体" w:eastAsia="宋体" w:cs="宋体"/>
          <w:sz w:val="24"/>
        </w:rPr>
      </w:pPr>
      <w:r>
        <w:rPr>
          <w:rFonts w:hint="eastAsia" w:ascii="宋体" w:hAnsi="宋体" w:eastAsia="宋体" w:cs="宋体"/>
          <w:sz w:val="24"/>
        </w:rPr>
        <w:t>工程量/原材料、人工费清单（均不含报价）；</w:t>
      </w:r>
    </w:p>
    <w:p>
      <w:pPr>
        <w:numPr>
          <w:ilvl w:val="0"/>
          <w:numId w:val="6"/>
        </w:numPr>
        <w:spacing w:line="360" w:lineRule="auto"/>
        <w:ind w:firstLine="640"/>
        <w:rPr>
          <w:rFonts w:hint="eastAsia" w:ascii="宋体" w:hAnsi="宋体" w:eastAsia="宋体" w:cs="宋体"/>
          <w:sz w:val="24"/>
        </w:rPr>
      </w:pPr>
      <w:r>
        <w:rPr>
          <w:rFonts w:hint="eastAsia" w:ascii="宋体" w:hAnsi="宋体" w:eastAsia="宋体" w:cs="宋体"/>
          <w:sz w:val="24"/>
        </w:rPr>
        <w:t>项目负责人资格情况表；</w:t>
      </w:r>
    </w:p>
    <w:p>
      <w:pPr>
        <w:numPr>
          <w:ilvl w:val="0"/>
          <w:numId w:val="6"/>
        </w:numPr>
        <w:spacing w:line="360" w:lineRule="auto"/>
        <w:ind w:firstLine="640"/>
        <w:rPr>
          <w:rFonts w:hint="eastAsia" w:ascii="宋体" w:hAnsi="宋体" w:eastAsia="宋体" w:cs="宋体"/>
          <w:sz w:val="24"/>
        </w:rPr>
      </w:pPr>
      <w:r>
        <w:rPr>
          <w:rFonts w:hint="eastAsia" w:ascii="宋体" w:hAnsi="宋体" w:eastAsia="宋体" w:cs="宋体"/>
          <w:sz w:val="24"/>
        </w:rPr>
        <w:t>安装、调试及验收方案（包括项目验收标准和验收方法等）；</w:t>
      </w:r>
    </w:p>
    <w:p>
      <w:pPr>
        <w:numPr>
          <w:ilvl w:val="0"/>
          <w:numId w:val="6"/>
        </w:numPr>
        <w:spacing w:line="360" w:lineRule="auto"/>
        <w:ind w:firstLine="640"/>
        <w:rPr>
          <w:rFonts w:hint="eastAsia" w:ascii="宋体" w:hAnsi="宋体" w:eastAsia="宋体" w:cs="宋体"/>
          <w:sz w:val="24"/>
        </w:rPr>
      </w:pPr>
      <w:r>
        <w:rPr>
          <w:rFonts w:hint="eastAsia" w:ascii="宋体" w:hAnsi="宋体" w:eastAsia="宋体" w:cs="宋体"/>
          <w:sz w:val="24"/>
        </w:rPr>
        <w:t>实施服务与保障的能力及方案（包括服务方式、服务网点、技术培训、实施期与运维期服务的内容和措施等）；</w:t>
      </w:r>
    </w:p>
    <w:p>
      <w:pPr>
        <w:numPr>
          <w:ilvl w:val="0"/>
          <w:numId w:val="6"/>
        </w:numPr>
        <w:spacing w:line="360" w:lineRule="auto"/>
        <w:ind w:firstLine="640"/>
        <w:rPr>
          <w:sz w:val="24"/>
        </w:rPr>
      </w:pPr>
      <w:r>
        <w:rPr>
          <w:rFonts w:hint="eastAsia" w:ascii="宋体" w:hAnsi="宋体" w:eastAsia="宋体" w:cs="宋体"/>
          <w:sz w:val="24"/>
        </w:rPr>
        <w:t>投标人需要说明的其他内容（包括可能影响投标人技</w:t>
      </w:r>
      <w:r>
        <w:rPr>
          <w:rFonts w:hint="eastAsia"/>
          <w:sz w:val="24"/>
        </w:rPr>
        <w:t>术性能评分项的各类证明材料）。</w:t>
      </w:r>
    </w:p>
    <w:p>
      <w:pPr>
        <w:autoSpaceDE w:val="0"/>
        <w:autoSpaceDN w:val="0"/>
        <w:adjustRightInd w:val="0"/>
        <w:spacing w:line="360" w:lineRule="auto"/>
        <w:ind w:firstLine="426" w:firstLineChars="177"/>
        <w:rPr>
          <w:rFonts w:hint="eastAsia" w:asciiTheme="minorEastAsia" w:hAnsiTheme="minorEastAsia" w:eastAsiaTheme="minorEastAsia"/>
          <w:b/>
          <w:bCs/>
          <w:color w:val="000000" w:themeColor="text1"/>
          <w:kern w:val="0"/>
          <w:sz w:val="24"/>
          <w:lang w:eastAsia="zh-CN"/>
          <w14:textFill>
            <w14:solidFill>
              <w14:schemeClr w14:val="tx1"/>
            </w14:solidFill>
          </w14:textFill>
        </w:rPr>
      </w:pPr>
      <w:r>
        <w:rPr>
          <w:rFonts w:hint="eastAsia" w:asciiTheme="minorEastAsia" w:hAnsiTheme="minorEastAsia" w:eastAsiaTheme="minorEastAsia"/>
          <w:b/>
          <w:bCs/>
          <w:color w:val="000000" w:themeColor="text1"/>
          <w:kern w:val="0"/>
          <w:sz w:val="24"/>
          <w14:textFill>
            <w14:solidFill>
              <w14:schemeClr w14:val="tx1"/>
            </w14:solidFill>
          </w14:textFill>
        </w:rPr>
        <w:t>（2）商务响应及其他部分</w:t>
      </w:r>
    </w:p>
    <w:p>
      <w:pPr>
        <w:numPr>
          <w:ilvl w:val="0"/>
          <w:numId w:val="7"/>
        </w:numPr>
        <w:autoSpaceDE w:val="0"/>
        <w:autoSpaceDN w:val="0"/>
        <w:adjustRightInd w:val="0"/>
        <w:spacing w:line="360" w:lineRule="auto"/>
        <w:ind w:firstLine="640"/>
        <w:rPr>
          <w:rFonts w:ascii="宋体" w:hAnsi="宋体" w:cs="宋体"/>
          <w:sz w:val="24"/>
        </w:rPr>
      </w:pPr>
      <w:r>
        <w:rPr>
          <w:rFonts w:hint="eastAsia"/>
          <w:sz w:val="24"/>
        </w:rPr>
        <w:t>证书一览表（</w:t>
      </w:r>
      <w:r>
        <w:rPr>
          <w:rFonts w:hint="eastAsia" w:asciiTheme="minorEastAsia" w:hAnsiTheme="minorEastAsia" w:eastAsiaTheme="minorEastAsia"/>
          <w:sz w:val="24"/>
        </w:rPr>
        <w:t>与本项目相关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sz w:val="24"/>
        </w:rPr>
        <w:t>）</w:t>
      </w:r>
      <w:r>
        <w:rPr>
          <w:rFonts w:hint="eastAsia" w:asciiTheme="minorEastAsia" w:hAnsiTheme="minorEastAsia" w:eastAsiaTheme="minorEastAsia"/>
          <w:kern w:val="0"/>
          <w:sz w:val="24"/>
        </w:rPr>
        <w:t>；</w:t>
      </w:r>
    </w:p>
    <w:p>
      <w:pPr>
        <w:pStyle w:val="8"/>
        <w:widowControl/>
        <w:numPr>
          <w:ilvl w:val="0"/>
          <w:numId w:val="7"/>
        </w:numPr>
        <w:adjustRightInd w:val="0"/>
        <w:snapToGrid w:val="0"/>
        <w:spacing w:line="360" w:lineRule="auto"/>
        <w:ind w:firstLine="640"/>
        <w:rPr>
          <w:rFonts w:ascii="宋体" w:hAnsi="宋体" w:cs="宋体"/>
          <w:color w:val="000000" w:themeColor="text1"/>
          <w:sz w:val="24"/>
          <w:szCs w:val="24"/>
          <w14:textFill>
            <w14:solidFill>
              <w14:schemeClr w14:val="tx1"/>
            </w14:solidFill>
          </w14:textFill>
        </w:rPr>
      </w:pPr>
      <w:r>
        <w:rPr>
          <w:rFonts w:hint="eastAsia" w:asciiTheme="minorEastAsia" w:hAnsiTheme="minorEastAsia" w:eastAsiaTheme="minorEastAsia"/>
          <w:kern w:val="0"/>
          <w:sz w:val="24"/>
          <w:szCs w:val="24"/>
        </w:rPr>
        <w:t>近三年来</w:t>
      </w:r>
      <w:r>
        <w:rPr>
          <w:rFonts w:hint="eastAsia" w:asciiTheme="minorEastAsia" w:hAnsiTheme="minorEastAsia" w:eastAsiaTheme="minorEastAsia"/>
          <w:color w:val="000000" w:themeColor="text1"/>
          <w:kern w:val="0"/>
          <w:sz w:val="24"/>
          <w:szCs w:val="24"/>
          <w14:textFill>
            <w14:solidFill>
              <w14:schemeClr w14:val="tx1"/>
            </w14:solidFill>
          </w14:textFill>
        </w:rPr>
        <w:t>类似项目的成功案例（投标人类似项目实施情况一览表、合同及其相应的发票、用户验收报告等）；</w:t>
      </w:r>
    </w:p>
    <w:p>
      <w:pPr>
        <w:pStyle w:val="8"/>
        <w:widowControl/>
        <w:numPr>
          <w:ilvl w:val="0"/>
          <w:numId w:val="7"/>
        </w:numPr>
        <w:adjustRightInd w:val="0"/>
        <w:snapToGrid w:val="0"/>
        <w:spacing w:line="360" w:lineRule="auto"/>
        <w:ind w:firstLine="640"/>
        <w:rPr>
          <w:rFonts w:ascii="宋体" w:hAnsi="宋体" w:cs="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商务需求响应表。</w:t>
      </w:r>
    </w:p>
    <w:p>
      <w:pPr>
        <w:autoSpaceDE w:val="0"/>
        <w:autoSpaceDN w:val="0"/>
        <w:adjustRightInd w:val="0"/>
        <w:spacing w:line="360" w:lineRule="auto"/>
        <w:ind w:left="426" w:firstLine="65" w:firstLineChars="27"/>
        <w:rPr>
          <w:rFonts w:hint="eastAsia" w:asciiTheme="minorEastAsia" w:hAnsiTheme="minorEastAsia" w:eastAsiaTheme="minorEastAsia"/>
          <w:b/>
          <w:kern w:val="0"/>
          <w:sz w:val="24"/>
          <w:lang w:eastAsia="zh-CN"/>
        </w:rPr>
      </w:pPr>
      <w:r>
        <w:rPr>
          <w:rFonts w:hint="eastAsia" w:asciiTheme="minorEastAsia" w:hAnsiTheme="minorEastAsia" w:eastAsiaTheme="minorEastAsia"/>
          <w:b/>
          <w:kern w:val="0"/>
          <w:sz w:val="24"/>
        </w:rPr>
        <w:t>3.报价文件的组成</w:t>
      </w:r>
    </w:p>
    <w:p>
      <w:pPr>
        <w:autoSpaceDE w:val="0"/>
        <w:autoSpaceDN w:val="0"/>
        <w:adjustRightInd w:val="0"/>
        <w:spacing w:line="360" w:lineRule="auto"/>
        <w:ind w:firstLine="480" w:firstLineChars="200"/>
        <w:rPr>
          <w:rFonts w:hint="eastAsia" w:asciiTheme="minorEastAsia" w:hAnsiTheme="minorEastAsia" w:eastAsiaTheme="minorEastAsia"/>
          <w:kern w:val="0"/>
          <w:sz w:val="24"/>
          <w:lang w:eastAsia="zh-CN"/>
        </w:rPr>
      </w:pPr>
      <w:r>
        <w:rPr>
          <w:rFonts w:hint="eastAsia" w:asciiTheme="minorEastAsia" w:hAnsiTheme="minorEastAsia" w:eastAsiaTheme="minorEastAsia"/>
          <w:kern w:val="0"/>
          <w:sz w:val="24"/>
        </w:rPr>
        <w:t>（1）开标一览表</w:t>
      </w:r>
      <w:r>
        <w:rPr>
          <w:rFonts w:hint="eastAsia" w:asciiTheme="minorEastAsia" w:hAnsiTheme="minorEastAsia" w:eastAsiaTheme="minorEastAsia"/>
          <w:kern w:val="0"/>
          <w:sz w:val="24"/>
          <w:lang w:eastAsia="zh-CN"/>
        </w:rPr>
        <w:t>；</w:t>
      </w:r>
    </w:p>
    <w:p>
      <w:pPr>
        <w:autoSpaceDE w:val="0"/>
        <w:autoSpaceDN w:val="0"/>
        <w:adjustRightInd w:val="0"/>
        <w:spacing w:line="360" w:lineRule="auto"/>
        <w:ind w:firstLine="480" w:firstLineChars="200"/>
        <w:rPr>
          <w:rFonts w:hint="eastAsia" w:asciiTheme="minorEastAsia" w:hAnsiTheme="minorEastAsia" w:eastAsiaTheme="minorEastAsia"/>
          <w:kern w:val="0"/>
          <w:sz w:val="24"/>
          <w:lang w:eastAsia="zh-CN"/>
        </w:rPr>
      </w:pPr>
      <w:r>
        <w:rPr>
          <w:rFonts w:hint="eastAsia" w:asciiTheme="minorEastAsia" w:hAnsiTheme="minorEastAsia" w:eastAsiaTheme="minorEastAsia"/>
          <w:kern w:val="0"/>
          <w:sz w:val="24"/>
        </w:rPr>
        <w:t>（2）报价明细表</w:t>
      </w:r>
      <w:r>
        <w:rPr>
          <w:rFonts w:hint="eastAsia" w:asciiTheme="minorEastAsia" w:hAnsiTheme="minorEastAsia" w:eastAsiaTheme="minorEastAsia"/>
          <w:kern w:val="0"/>
          <w:sz w:val="24"/>
          <w:lang w:eastAsia="zh-CN"/>
        </w:rPr>
        <w:t>；</w:t>
      </w:r>
    </w:p>
    <w:p>
      <w:pPr>
        <w:autoSpaceDE w:val="0"/>
        <w:autoSpaceDN w:val="0"/>
        <w:adjustRightInd w:val="0"/>
        <w:spacing w:line="360" w:lineRule="auto"/>
        <w:ind w:firstLine="480" w:firstLineChars="200"/>
        <w:rPr>
          <w:rFonts w:hint="eastAsia" w:asciiTheme="minorEastAsia" w:hAnsiTheme="minorEastAsia" w:eastAsiaTheme="minorEastAsia"/>
          <w:kern w:val="0"/>
          <w:sz w:val="24"/>
          <w:lang w:val="en-GB" w:eastAsia="zh-CN"/>
        </w:rPr>
      </w:pPr>
      <w:r>
        <w:rPr>
          <w:rFonts w:hint="eastAsia" w:asciiTheme="minorEastAsia" w:hAnsiTheme="minorEastAsia" w:eastAsiaTheme="minorEastAsia"/>
          <w:kern w:val="0"/>
          <w:sz w:val="24"/>
        </w:rPr>
        <w:t>（3）</w:t>
      </w:r>
      <w:r>
        <w:rPr>
          <w:rFonts w:hint="eastAsia" w:asciiTheme="minorEastAsia" w:hAnsiTheme="minorEastAsia" w:eastAsiaTheme="minorEastAsia"/>
          <w:color w:val="000000" w:themeColor="text1"/>
          <w:kern w:val="0"/>
          <w:sz w:val="24"/>
          <w14:textFill>
            <w14:solidFill>
              <w14:schemeClr w14:val="tx1"/>
            </w14:solidFill>
          </w14:textFill>
        </w:rPr>
        <w:t>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r>
        <w:rPr>
          <w:rFonts w:hint="eastAsia" w:asciiTheme="minorEastAsia" w:hAnsiTheme="minorEastAsia" w:eastAsiaTheme="minorEastAsia"/>
          <w:kern w:val="0"/>
          <w:sz w:val="24"/>
          <w:lang w:val="en-GB" w:eastAsia="zh-CN"/>
        </w:rPr>
        <w:t>；</w:t>
      </w:r>
    </w:p>
    <w:p>
      <w:pPr>
        <w:autoSpaceDE w:val="0"/>
        <w:autoSpaceDN w:val="0"/>
        <w:adjustRightInd w:val="0"/>
        <w:spacing w:line="360" w:lineRule="auto"/>
        <w:ind w:firstLine="480" w:firstLineChars="200"/>
        <w:rPr>
          <w:rFonts w:hint="eastAsia" w:asciiTheme="minorEastAsia" w:hAnsiTheme="minorEastAsia" w:eastAsiaTheme="minorEastAsia"/>
          <w:b/>
          <w:kern w:val="0"/>
          <w:sz w:val="24"/>
          <w:lang w:eastAsia="zh-CN"/>
        </w:rPr>
      </w:pPr>
      <w:r>
        <w:rPr>
          <w:rFonts w:hint="eastAsia" w:asciiTheme="minorEastAsia" w:hAnsiTheme="minorEastAsia" w:eastAsiaTheme="minorEastAsia"/>
          <w:kern w:val="0"/>
          <w:sz w:val="24"/>
        </w:rPr>
        <w:t>（4）针对报价投标人认为其他需要说明的</w:t>
      </w:r>
      <w:r>
        <w:rPr>
          <w:rFonts w:hint="eastAsia" w:asciiTheme="minorEastAsia" w:hAnsiTheme="minorEastAsia" w:eastAsiaTheme="minorEastAsia"/>
          <w:kern w:val="0"/>
          <w:sz w:val="24"/>
          <w:lang w:eastAsia="zh-CN"/>
        </w:rPr>
        <w:t>。</w:t>
      </w:r>
    </w:p>
    <w:p>
      <w:pPr>
        <w:pStyle w:val="8"/>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（二）投标报价</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8"/>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8"/>
        <w:spacing w:line="360" w:lineRule="auto"/>
        <w:ind w:firstLine="480" w:firstLineChars="200"/>
        <w:rPr>
          <w:rFonts w:ascii="宋体" w:hAnsi="宋体"/>
          <w:sz w:val="24"/>
          <w:lang w:val="en-GB"/>
        </w:rPr>
      </w:pPr>
      <w:r>
        <w:rPr>
          <w:rFonts w:hint="eastAsia" w:ascii="宋体" w:hAnsi="宋体"/>
          <w:sz w:val="24"/>
        </w:rPr>
        <w:t>1.投标文件有效期为</w:t>
      </w:r>
      <w:r>
        <w:rPr>
          <w:rFonts w:hint="eastAsia" w:ascii="宋体" w:hAnsi="宋体"/>
          <w:sz w:val="24"/>
          <w:lang w:val="en-GB"/>
        </w:rPr>
        <w:t>投标截止日起90天。</w:t>
      </w:r>
    </w:p>
    <w:p>
      <w:pPr>
        <w:pStyle w:val="8"/>
        <w:spacing w:line="360" w:lineRule="auto"/>
        <w:ind w:firstLine="480" w:firstLineChars="200"/>
        <w:rPr>
          <w:rFonts w:ascii="宋体" w:hAnsi="宋体"/>
          <w:sz w:val="24"/>
          <w:lang w:val="en-GB"/>
        </w:rPr>
      </w:pPr>
      <w:r>
        <w:rPr>
          <w:rFonts w:hint="eastAsia" w:ascii="宋体" w:hAnsi="宋体"/>
          <w:sz w:val="24"/>
        </w:rPr>
        <w:t>2.</w:t>
      </w:r>
      <w:r>
        <w:rPr>
          <w:rFonts w:hint="eastAsia" w:ascii="宋体" w:hAnsi="宋体"/>
          <w:sz w:val="24"/>
          <w:lang w:val="en-GB"/>
        </w:rPr>
        <w:t>在特殊情况下，采购人可与投标人协商延长投标文件的有效期。</w:t>
      </w:r>
    </w:p>
    <w:p>
      <w:pPr>
        <w:snapToGrid w:val="0"/>
        <w:spacing w:line="360" w:lineRule="auto"/>
        <w:ind w:firstLine="480" w:firstLineChars="200"/>
        <w:outlineLvl w:val="0"/>
        <w:rPr>
          <w:rFonts w:asciiTheme="minorEastAsia" w:hAnsiTheme="minorEastAsia" w:eastAsiaTheme="minorEastAsia"/>
          <w:sz w:val="24"/>
        </w:rPr>
      </w:pPr>
      <w:r>
        <w:rPr>
          <w:rFonts w:hint="eastAsia" w:ascii="宋体" w:hAnsi="宋体"/>
          <w:sz w:val="24"/>
        </w:rPr>
        <w:t>3.</w:t>
      </w:r>
      <w:r>
        <w:rPr>
          <w:rFonts w:asciiTheme="minorEastAsia" w:hAnsiTheme="minorEastAsia" w:eastAsiaTheme="minorEastAsia"/>
          <w:sz w:val="24"/>
        </w:rPr>
        <w:t>中标人的</w:t>
      </w:r>
      <w:r>
        <w:rPr>
          <w:rFonts w:hint="eastAsia" w:asciiTheme="minorEastAsia" w:hAnsiTheme="minorEastAsia" w:eastAsiaTheme="minorEastAsia"/>
          <w:sz w:val="24"/>
        </w:rPr>
        <w:t>投标文件</w:t>
      </w:r>
      <w:r>
        <w:rPr>
          <w:rFonts w:asciiTheme="minorEastAsia" w:hAnsiTheme="minorEastAsia" w:eastAsiaTheme="minorEastAsia"/>
          <w:sz w:val="24"/>
        </w:rPr>
        <w:t>自开标之日起至合同履行完毕均应保持有效。</w:t>
      </w:r>
    </w:p>
    <w:p>
      <w:pPr>
        <w:snapToGrid w:val="0"/>
        <w:spacing w:line="360" w:lineRule="auto"/>
        <w:ind w:firstLine="482" w:firstLineChars="200"/>
        <w:outlineLvl w:val="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如采购组织机构延长截止时间和开标时间，采购组织机构和投标人的权利和义务将受到新的截止时间和开标时间的约束。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autoSpaceDE w:val="0"/>
        <w:autoSpaceDN w:val="0"/>
        <w:adjustRightInd w:val="0"/>
        <w:spacing w:line="360" w:lineRule="auto"/>
        <w:ind w:firstLine="482" w:firstLineChars="200"/>
        <w:rPr>
          <w:rFonts w:hint="eastAsia" w:asciiTheme="minorEastAsia" w:hAnsiTheme="minorEastAsia" w:eastAsiaTheme="minorEastAsia"/>
          <w:b/>
          <w:sz w:val="24"/>
          <w:lang w:eastAsia="zh-CN"/>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8"/>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8"/>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8"/>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8"/>
        <w:spacing w:line="360" w:lineRule="auto"/>
        <w:ind w:firstLine="480" w:firstLineChars="200"/>
        <w:rPr>
          <w:sz w:val="24"/>
          <w:szCs w:val="22"/>
        </w:rPr>
      </w:pPr>
      <w:r>
        <w:rPr>
          <w:rFonts w:hint="eastAsia" w:cs="宋体" w:asciiTheme="minorEastAsia" w:hAnsiTheme="minorEastAsia" w:eastAsiaTheme="minorEastAsia"/>
          <w:sz w:val="24"/>
          <w:szCs w:val="24"/>
        </w:rPr>
        <w:t>4.采</w:t>
      </w:r>
      <w:r>
        <w:rPr>
          <w:rFonts w:hint="eastAsia"/>
          <w:sz w:val="24"/>
          <w:szCs w:val="22"/>
        </w:rPr>
        <w:t>购组织机构工作人员当众宣布投标人名称、投标价格和招标文件规定的需要宣布的其他内容（以开标一览表要求为准）；</w:t>
      </w:r>
    </w:p>
    <w:p>
      <w:pPr>
        <w:pStyle w:val="8"/>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8"/>
        <w:spacing w:line="360" w:lineRule="auto"/>
        <w:ind w:firstLine="482" w:firstLineChars="200"/>
        <w:rPr>
          <w:b/>
          <w:bCs/>
          <w:sz w:val="24"/>
          <w:szCs w:val="22"/>
        </w:rPr>
      </w:pPr>
      <w:r>
        <w:rPr>
          <w:rFonts w:hint="eastAsia"/>
          <w:b/>
          <w:bCs/>
          <w:sz w:val="24"/>
          <w:szCs w:val="22"/>
        </w:rPr>
        <w:t>（二）开标异议</w:t>
      </w:r>
    </w:p>
    <w:p>
      <w:pPr>
        <w:pStyle w:val="8"/>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8"/>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pPr>
        <w:pStyle w:val="13"/>
        <w:snapToGrid w:val="0"/>
        <w:spacing w:line="360" w:lineRule="auto"/>
        <w:ind w:firstLine="482" w:firstLineChars="200"/>
        <w:outlineLvl w:val="1"/>
        <w:rPr>
          <w:rFonts w:asciiTheme="minorEastAsia" w:hAnsiTheme="minorEastAsia"/>
          <w:b/>
          <w:sz w:val="24"/>
        </w:rPr>
      </w:pPr>
      <w:r>
        <w:rPr>
          <w:rFonts w:hint="eastAsia" w:asciiTheme="minorEastAsia" w:hAnsiTheme="minorEastAsia" w:eastAsiaTheme="minorEastAsia"/>
          <w:b/>
          <w:sz w:val="24"/>
        </w:rPr>
        <w:t>六、评标（详见第四章）</w:t>
      </w:r>
    </w:p>
    <w:p>
      <w:pPr>
        <w:pStyle w:val="19"/>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七、定标</w:t>
      </w:r>
    </w:p>
    <w:p>
      <w:pPr>
        <w:pStyle w:val="19"/>
        <w:spacing w:before="0" w:beforeAutospacing="0" w:after="0" w:afterAutospacing="0" w:line="360" w:lineRule="auto"/>
        <w:ind w:firstLine="482" w:firstLineChars="200"/>
        <w:jc w:val="both"/>
        <w:rPr>
          <w:b/>
          <w:bCs/>
        </w:rPr>
      </w:pPr>
      <w:r>
        <w:rPr>
          <w:rFonts w:asciiTheme="minorEastAsia" w:hAnsiTheme="minorEastAsia" w:eastAsiaTheme="minorEastAsia"/>
          <w:b/>
          <w:bCs/>
        </w:rPr>
        <w:t>（一）</w:t>
      </w:r>
      <w:r>
        <w:rPr>
          <w:b/>
          <w:bCs/>
        </w:rPr>
        <w:t>确定中标人</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numPr>
          <w:ilvl w:val="0"/>
          <w:numId w:val="8"/>
        </w:numPr>
        <w:spacing w:line="360" w:lineRule="auto"/>
        <w:ind w:firstLine="482" w:firstLineChars="200"/>
        <w:rPr>
          <w:rFonts w:hint="eastAsia" w:cs="Times New Roman" w:asciiTheme="minorEastAsia" w:hAnsiTheme="minorEastAsia" w:eastAsiaTheme="minorEastAsia"/>
          <w:b/>
          <w:bCs/>
          <w:kern w:val="0"/>
          <w:sz w:val="24"/>
          <w:szCs w:val="24"/>
          <w:lang w:val="en-US" w:eastAsia="zh-CN" w:bidi="ar-SA"/>
        </w:rPr>
      </w:pPr>
      <w:r>
        <w:rPr>
          <w:rFonts w:hint="eastAsia" w:cs="Times New Roman" w:asciiTheme="minorEastAsia" w:hAnsiTheme="minorEastAsia" w:eastAsiaTheme="minorEastAsia"/>
          <w:b/>
          <w:bCs/>
          <w:kern w:val="0"/>
          <w:sz w:val="24"/>
          <w:szCs w:val="24"/>
          <w:lang w:val="en-US" w:eastAsia="zh-CN" w:bidi="ar-SA"/>
        </w:rPr>
        <w:t>发布中标结果公告</w:t>
      </w:r>
    </w:p>
    <w:p>
      <w:pPr>
        <w:numPr>
          <w:ilvl w:val="0"/>
          <w:numId w:val="0"/>
        </w:num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w:t>
      </w:r>
      <w:r>
        <w:rPr>
          <w:rFonts w:hint="eastAsia" w:cs="Times New Roman" w:asciiTheme="minorEastAsia" w:hAnsiTheme="minorEastAsia" w:eastAsiaTheme="minorEastAsia"/>
          <w:kern w:val="0"/>
          <w:sz w:val="24"/>
          <w:szCs w:val="24"/>
          <w:lang w:val="en-US" w:eastAsia="zh-CN" w:bidi="ar-SA"/>
        </w:rPr>
        <w:t>期为1个工</w:t>
      </w:r>
      <w:r>
        <w:rPr>
          <w:sz w:val="24"/>
        </w:rPr>
        <w:t>作日</w:t>
      </w:r>
      <w:r>
        <w:rPr>
          <w:rFonts w:hint="eastAsia" w:ascii="宋体" w:hAnsi="宋体"/>
          <w:kern w:val="0"/>
          <w:sz w:val="24"/>
        </w:rPr>
        <w:t>。</w:t>
      </w:r>
    </w:p>
    <w:p>
      <w:pPr>
        <w:pStyle w:val="9"/>
        <w:numPr>
          <w:ilvl w:val="0"/>
          <w:numId w:val="8"/>
        </w:numPr>
        <w:spacing w:line="360" w:lineRule="auto"/>
        <w:ind w:left="0" w:leftChars="0" w:firstLine="482" w:firstLineChars="200"/>
        <w:jc w:val="both"/>
        <w:rPr>
          <w:rFonts w:hint="eastAsia" w:cs="Times New Roman" w:asciiTheme="minorEastAsia" w:hAnsiTheme="minorEastAsia" w:eastAsiaTheme="minorEastAsia"/>
          <w:b/>
          <w:bCs/>
          <w:kern w:val="0"/>
          <w:sz w:val="24"/>
          <w:szCs w:val="24"/>
          <w:lang w:val="en-US" w:eastAsia="zh-CN" w:bidi="ar-SA"/>
        </w:rPr>
      </w:pPr>
      <w:r>
        <w:rPr>
          <w:rFonts w:hint="eastAsia" w:cs="Times New Roman" w:asciiTheme="minorEastAsia" w:hAnsiTheme="minorEastAsia" w:eastAsiaTheme="minorEastAsia"/>
          <w:b/>
          <w:bCs/>
          <w:kern w:val="0"/>
          <w:sz w:val="24"/>
          <w:szCs w:val="24"/>
          <w:lang w:val="en-US" w:eastAsia="zh-CN" w:bidi="ar-SA"/>
        </w:rPr>
        <w:t>发放中标通知书</w:t>
      </w:r>
    </w:p>
    <w:p>
      <w:pPr>
        <w:pStyle w:val="9"/>
        <w:numPr>
          <w:ilvl w:val="0"/>
          <w:numId w:val="0"/>
        </w:numPr>
        <w:spacing w:line="360" w:lineRule="auto"/>
        <w:ind w:firstLine="480" w:firstLineChars="200"/>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w:t>
      </w:r>
      <w:r>
        <w:rPr>
          <w:rFonts w:hint="eastAsia"/>
          <w:sz w:val="24"/>
        </w:rPr>
        <w:t>发放中标通知书</w:t>
      </w:r>
      <w:r>
        <w:rPr>
          <w:rFonts w:hint="eastAsia" w:ascii="宋体" w:hAnsi="宋体"/>
          <w:kern w:val="0"/>
          <w:sz w:val="24"/>
        </w:rPr>
        <w:t>。</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19"/>
        <w:spacing w:before="0" w:beforeAutospacing="0" w:after="0" w:afterAutospacing="0" w:line="360" w:lineRule="auto"/>
        <w:ind w:firstLine="480" w:firstLineChars="200"/>
        <w:jc w:val="both"/>
        <w:rPr>
          <w:rFonts w:hint="default"/>
        </w:rPr>
      </w:pPr>
      <w:r>
        <w:t>1.采购人应当自中标通知书发出之日起30日内，按照招标文件和中标人投标文件内容要求，与中标人签订书面合同或者电子合同。所签订的合同不得对招标文件确定的事项和中标人投标文件作实质性修改。</w:t>
      </w:r>
    </w:p>
    <w:p>
      <w:pPr>
        <w:pStyle w:val="19"/>
        <w:spacing w:before="0" w:beforeAutospacing="0" w:after="0" w:afterAutospacing="0" w:line="360" w:lineRule="auto"/>
        <w:ind w:firstLine="480" w:firstLineChars="200"/>
        <w:jc w:val="both"/>
        <w:rPr>
          <w:rFonts w:hint="default"/>
        </w:rPr>
      </w:pPr>
      <w:r>
        <w:t>2.采购人不得向中标人提出任何不合理的要求作为签订合同的条件。</w:t>
      </w:r>
    </w:p>
    <w:p>
      <w:pPr>
        <w:pStyle w:val="19"/>
        <w:spacing w:before="0" w:beforeAutospacing="0" w:after="0" w:afterAutospacing="0" w:line="360" w:lineRule="auto"/>
        <w:ind w:firstLine="480" w:firstLineChars="200"/>
        <w:jc w:val="both"/>
        <w:rPr>
          <w:rFonts w:hint="default"/>
        </w:rPr>
      </w:pPr>
      <w:r>
        <w:t>3.中标人无故拖延、拒签合同的</w:t>
      </w:r>
      <w:r>
        <w:rPr>
          <w:rFonts w:hint="eastAsia"/>
          <w:lang w:eastAsia="zh-CN"/>
        </w:rPr>
        <w:t>，</w:t>
      </w:r>
      <w:r>
        <w:t>将取消中标资格。</w:t>
      </w:r>
    </w:p>
    <w:p>
      <w:pPr>
        <w:pStyle w:val="19"/>
        <w:spacing w:before="0" w:beforeAutospacing="0" w:after="0" w:afterAutospacing="0" w:line="360" w:lineRule="auto"/>
        <w:ind w:firstLine="480" w:firstLineChars="200"/>
        <w:jc w:val="both"/>
        <w:rPr>
          <w:rFonts w:hint="default"/>
        </w:rPr>
      </w:pPr>
      <w: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19"/>
        <w:spacing w:before="0" w:beforeAutospacing="0" w:after="0" w:afterAutospacing="0" w:line="360" w:lineRule="auto"/>
        <w:ind w:firstLine="480" w:firstLineChars="200"/>
        <w:jc w:val="both"/>
        <w:rPr>
          <w:rFonts w:hint="default"/>
        </w:rPr>
      </w:pPr>
      <w:r>
        <w:t>5.询问或者质疑事项可能影响中标结果的，采购人应当暂停签订合同，已经签订合同的，应当中止履行合同。</w:t>
      </w:r>
    </w:p>
    <w:p>
      <w:pPr>
        <w:pStyle w:val="19"/>
        <w:spacing w:before="0" w:beforeAutospacing="0" w:after="0" w:afterAutospacing="0" w:line="360" w:lineRule="auto"/>
        <w:ind w:firstLine="482" w:firstLineChars="200"/>
        <w:jc w:val="both"/>
        <w:rPr>
          <w:rFonts w:hint="default" w:cs="仿宋_GB2312"/>
          <w:b/>
        </w:rPr>
      </w:pPr>
      <w:r>
        <w:rPr>
          <w:b/>
        </w:rPr>
        <w:t>（二）合同公告及备案</w:t>
      </w:r>
    </w:p>
    <w:p>
      <w:pPr>
        <w:pStyle w:val="11"/>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9"/>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9"/>
        <w:spacing w:line="360" w:lineRule="auto"/>
        <w:ind w:firstLine="482" w:firstLineChars="200"/>
        <w:jc w:val="both"/>
        <w:rPr>
          <w:rFonts w:ascii="宋体" w:hAnsi="宋体"/>
          <w:b/>
          <w:bCs/>
          <w:sz w:val="24"/>
        </w:rPr>
      </w:pPr>
      <w:r>
        <w:rPr>
          <w:rFonts w:hint="eastAsia" w:ascii="宋体" w:hAnsi="宋体"/>
          <w:b/>
          <w:bCs/>
          <w:sz w:val="24"/>
        </w:rPr>
        <w:t>九、询问、质疑与投诉</w:t>
      </w:r>
    </w:p>
    <w:p>
      <w:pPr>
        <w:pStyle w:val="9"/>
        <w:spacing w:line="360" w:lineRule="auto"/>
        <w:ind w:firstLine="482" w:firstLineChars="200"/>
        <w:jc w:val="both"/>
        <w:rPr>
          <w:rFonts w:ascii="宋体" w:hAnsi="宋体"/>
          <w:b/>
          <w:bCs/>
          <w:sz w:val="24"/>
        </w:rPr>
      </w:pPr>
      <w:r>
        <w:rPr>
          <w:rFonts w:hint="eastAsia" w:ascii="宋体" w:hAnsi="宋体"/>
          <w:b/>
          <w:bCs/>
          <w:sz w:val="24"/>
        </w:rPr>
        <w:t>（一）询问</w:t>
      </w:r>
    </w:p>
    <w:p>
      <w:pPr>
        <w:pStyle w:val="9"/>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w:t>
      </w:r>
      <w:r>
        <w:rPr>
          <w:rFonts w:hint="eastAsia"/>
          <w:sz w:val="24"/>
        </w:rPr>
        <w:t>第一章“</w:t>
      </w:r>
      <w:r>
        <w:rPr>
          <w:rFonts w:hint="eastAsia" w:ascii="宋体" w:hAnsi="宋体"/>
          <w:sz w:val="24"/>
        </w:rPr>
        <w:t>投标邀请</w:t>
      </w:r>
      <w:r>
        <w:rPr>
          <w:rFonts w:hint="eastAsia"/>
          <w:sz w:val="24"/>
        </w:rPr>
        <w:t>”</w:t>
      </w:r>
      <w:r>
        <w:rPr>
          <w:rFonts w:hint="eastAsia" w:ascii="宋体" w:hAnsi="宋体"/>
          <w:sz w:val="24"/>
        </w:rPr>
        <w:t>中“采购人、采购组织机构的名称、地址和联系方式”。</w:t>
      </w:r>
    </w:p>
    <w:p>
      <w:pPr>
        <w:pStyle w:val="9"/>
        <w:spacing w:line="360" w:lineRule="auto"/>
        <w:ind w:firstLine="482" w:firstLineChars="200"/>
        <w:jc w:val="both"/>
        <w:rPr>
          <w:rFonts w:ascii="宋体" w:hAnsi="宋体"/>
          <w:b/>
          <w:bCs/>
          <w:sz w:val="24"/>
        </w:rPr>
      </w:pPr>
      <w:r>
        <w:rPr>
          <w:rFonts w:hint="eastAsia" w:ascii="宋体" w:hAnsi="宋体"/>
          <w:b/>
          <w:bCs/>
          <w:sz w:val="24"/>
        </w:rPr>
        <w:t>（二）质疑</w:t>
      </w:r>
    </w:p>
    <w:p>
      <w:pPr>
        <w:pStyle w:val="9"/>
        <w:spacing w:line="360" w:lineRule="auto"/>
        <w:ind w:firstLine="480" w:firstLineChars="200"/>
        <w:jc w:val="both"/>
        <w:rPr>
          <w:rFonts w:ascii="宋体" w:hAnsi="宋体"/>
          <w:sz w:val="24"/>
        </w:rPr>
      </w:pPr>
      <w:r>
        <w:rPr>
          <w:rFonts w:hint="eastAsia" w:ascii="宋体" w:hAnsi="宋体"/>
          <w:sz w:val="24"/>
        </w:rPr>
        <w:t>1.报名本项目的投标人认为招标文件、采购过程和中标结果使自己的权益受到损害的，通过政采云平台的质疑系统一次性向采购人或采购组织机构提出质疑：</w:t>
      </w:r>
    </w:p>
    <w:p>
      <w:pPr>
        <w:pStyle w:val="9"/>
        <w:spacing w:line="360" w:lineRule="auto"/>
        <w:ind w:firstLine="480" w:firstLineChars="200"/>
        <w:jc w:val="both"/>
        <w:rPr>
          <w:rFonts w:ascii="宋体" w:hAnsi="宋体"/>
          <w:sz w:val="24"/>
        </w:rPr>
      </w:pPr>
      <w:r>
        <w:rPr>
          <w:rFonts w:hint="eastAsia" w:ascii="宋体" w:hAnsi="宋体"/>
          <w:sz w:val="24"/>
        </w:rPr>
        <w:t>（1）投标人认为招标文件的内容损害其权益的，应当自获取之日起（获取截止日之后收到招标文件的，以获取截止日为准）7个工作日内提出质疑；</w:t>
      </w:r>
    </w:p>
    <w:p>
      <w:pPr>
        <w:pStyle w:val="9"/>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9"/>
        <w:spacing w:line="360" w:lineRule="auto"/>
        <w:ind w:firstLine="480" w:firstLineChars="200"/>
        <w:jc w:val="both"/>
        <w:rPr>
          <w:rFonts w:hint="eastAsia" w:ascii="宋体" w:hAnsi="宋体" w:eastAsia="宋体"/>
          <w:sz w:val="24"/>
          <w:lang w:eastAsia="zh-CN"/>
        </w:rPr>
      </w:pPr>
      <w:r>
        <w:rPr>
          <w:rFonts w:hint="eastAsia" w:ascii="宋体" w:hAnsi="宋体"/>
          <w:sz w:val="24"/>
        </w:rPr>
        <w:t>（3）投标人对中标结果提出质疑的，应当在中标结果公告期限届满之日起7个工作日内提出质疑</w:t>
      </w:r>
      <w:r>
        <w:rPr>
          <w:rFonts w:hint="eastAsia" w:ascii="宋体" w:hAnsi="宋体"/>
          <w:sz w:val="24"/>
          <w:lang w:eastAsia="zh-CN"/>
        </w:rPr>
        <w:t>。</w:t>
      </w:r>
    </w:p>
    <w:p>
      <w:pPr>
        <w:pStyle w:val="9"/>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9"/>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9"/>
        <w:spacing w:line="360" w:lineRule="auto"/>
        <w:ind w:firstLine="482" w:firstLineChars="200"/>
        <w:jc w:val="both"/>
        <w:rPr>
          <w:rFonts w:ascii="宋体" w:hAnsi="宋体"/>
          <w:b/>
          <w:bCs/>
          <w:sz w:val="24"/>
        </w:rPr>
      </w:pPr>
      <w:r>
        <w:rPr>
          <w:rFonts w:hint="eastAsia" w:ascii="宋体" w:hAnsi="宋体"/>
          <w:b/>
          <w:bCs/>
          <w:sz w:val="24"/>
        </w:rPr>
        <w:t>（三）投诉</w:t>
      </w:r>
    </w:p>
    <w:p>
      <w:pPr>
        <w:pStyle w:val="9"/>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9"/>
        <w:spacing w:line="360" w:lineRule="auto"/>
        <w:ind w:firstLine="480" w:firstLineChars="200"/>
        <w:rPr>
          <w:rFonts w:asciiTheme="minorEastAsia" w:hAnsiTheme="minorEastAsia" w:eastAsiaTheme="minorEastAsia"/>
          <w:b/>
          <w:sz w:val="36"/>
          <w:szCs w:val="36"/>
        </w:rPr>
      </w:pPr>
      <w:r>
        <w:rPr>
          <w:rFonts w:hint="eastAsia" w:ascii="宋体" w:hAnsi="宋体"/>
          <w:sz w:val="24"/>
        </w:rPr>
        <w:br w:type="page"/>
      </w:r>
    </w:p>
    <w:p>
      <w:pPr>
        <w:numPr>
          <w:ilvl w:val="0"/>
          <w:numId w:val="5"/>
        </w:numPr>
        <w:spacing w:line="360" w:lineRule="auto"/>
        <w:jc w:val="center"/>
        <w:rPr>
          <w:rFonts w:asciiTheme="minorEastAsia" w:hAnsiTheme="minorEastAsia" w:eastAsiaTheme="minorEastAsia"/>
          <w:b/>
          <w:sz w:val="36"/>
          <w:szCs w:val="36"/>
        </w:rPr>
      </w:pPr>
      <w:bookmarkStart w:id="38" w:name="_Toc13072_WPSOffice_Level1"/>
      <w:r>
        <w:rPr>
          <w:rFonts w:hint="eastAsia" w:asciiTheme="minorEastAsia" w:hAnsiTheme="minorEastAsia" w:eastAsiaTheme="minorEastAsia"/>
          <w:b/>
          <w:sz w:val="36"/>
          <w:szCs w:val="36"/>
        </w:rPr>
        <w:t>招标需求</w:t>
      </w:r>
      <w:bookmarkEnd w:id="38"/>
    </w:p>
    <w:p>
      <w:pPr>
        <w:tabs>
          <w:tab w:val="left" w:pos="8280"/>
        </w:tabs>
        <w:autoSpaceDE w:val="0"/>
        <w:autoSpaceDN w:val="0"/>
        <w:adjustRightIn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一、招标项目一览表</w:t>
      </w:r>
    </w:p>
    <w:p>
      <w:pPr>
        <w:tabs>
          <w:tab w:val="left" w:pos="8280"/>
        </w:tabs>
        <w:autoSpaceDE w:val="0"/>
        <w:autoSpaceDN w:val="0"/>
        <w:adjustRightIn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1</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个标项，具体内容如下表：</w:t>
      </w:r>
    </w:p>
    <w:tbl>
      <w:tblPr>
        <w:tblStyle w:val="22"/>
        <w:tblpPr w:leftFromText="181" w:rightFromText="181" w:bottomFromText="170" w:vertAnchor="text" w:tblpXSpec="center" w:tblpY="1"/>
        <w:tblOverlap w:val="never"/>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74"/>
        <w:gridCol w:w="1494"/>
        <w:gridCol w:w="1099"/>
        <w:gridCol w:w="852"/>
        <w:gridCol w:w="1142"/>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3" w:hRule="atLeast"/>
          <w:jc w:val="center"/>
        </w:trPr>
        <w:tc>
          <w:tcPr>
            <w:tcW w:w="882"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标项号</w:t>
            </w:r>
          </w:p>
        </w:tc>
        <w:tc>
          <w:tcPr>
            <w:tcW w:w="1974"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项目名称</w:t>
            </w:r>
          </w:p>
        </w:tc>
        <w:tc>
          <w:tcPr>
            <w:tcW w:w="1494" w:type="dxa"/>
            <w:vAlign w:val="center"/>
          </w:tcPr>
          <w:p>
            <w:pPr>
              <w:tabs>
                <w:tab w:val="left" w:pos="8280"/>
              </w:tabs>
              <w:autoSpaceDE w:val="0"/>
              <w:autoSpaceDN w:val="0"/>
              <w:adjustRightInd w:val="0"/>
              <w:jc w:val="center"/>
              <w:rPr>
                <w:rFonts w:ascii="宋体"/>
                <w:b/>
                <w:sz w:val="21"/>
                <w:szCs w:val="21"/>
              </w:rPr>
            </w:pPr>
            <w:r>
              <w:rPr>
                <w:rFonts w:hint="eastAsia" w:ascii="宋体" w:hAnsi="宋体" w:cs="宋体"/>
                <w:b/>
                <w:kern w:val="0"/>
                <w:sz w:val="21"/>
                <w:szCs w:val="21"/>
              </w:rPr>
              <w:t>简要技术要求</w:t>
            </w:r>
          </w:p>
        </w:tc>
        <w:tc>
          <w:tcPr>
            <w:tcW w:w="1099"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数量</w:t>
            </w:r>
          </w:p>
        </w:tc>
        <w:tc>
          <w:tcPr>
            <w:tcW w:w="852"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单位</w:t>
            </w:r>
          </w:p>
        </w:tc>
        <w:tc>
          <w:tcPr>
            <w:tcW w:w="1142"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总预算（万元）</w:t>
            </w:r>
          </w:p>
        </w:tc>
        <w:tc>
          <w:tcPr>
            <w:tcW w:w="1203" w:type="dxa"/>
            <w:vAlign w:val="center"/>
          </w:tcPr>
          <w:p>
            <w:pPr>
              <w:tabs>
                <w:tab w:val="left" w:pos="8280"/>
              </w:tabs>
              <w:autoSpaceDE w:val="0"/>
              <w:autoSpaceDN w:val="0"/>
              <w:adjustRightInd w:val="0"/>
              <w:jc w:val="center"/>
              <w:rPr>
                <w:rFonts w:ascii="宋体" w:hAnsi="宋体"/>
                <w:b/>
                <w:sz w:val="21"/>
                <w:szCs w:val="21"/>
              </w:rPr>
            </w:pPr>
            <w:r>
              <w:rPr>
                <w:rFonts w:hint="eastAsia" w:ascii="宋体" w:hAnsi="宋体"/>
                <w:b/>
                <w:sz w:val="21"/>
                <w:szCs w:val="21"/>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82" w:type="dxa"/>
            <w:vAlign w:val="center"/>
          </w:tcPr>
          <w:p>
            <w:pPr>
              <w:tabs>
                <w:tab w:val="left" w:pos="8280"/>
              </w:tabs>
              <w:autoSpaceDE w:val="0"/>
              <w:autoSpaceDN w:val="0"/>
              <w:adjustRightInd w:val="0"/>
              <w:jc w:val="center"/>
              <w:rPr>
                <w:rFonts w:hint="eastAsia" w:ascii="宋体" w:hAnsi="宋体" w:eastAsia="宋体" w:cs="宋体"/>
                <w:sz w:val="21"/>
                <w:szCs w:val="21"/>
              </w:rPr>
            </w:pPr>
            <w:r>
              <w:rPr>
                <w:rFonts w:hint="eastAsia" w:ascii="宋体" w:hAnsi="宋体" w:cs="宋体"/>
                <w:b w:val="0"/>
                <w:bCs/>
                <w:sz w:val="21"/>
                <w:szCs w:val="21"/>
              </w:rPr>
              <w:t>1</w:t>
            </w:r>
          </w:p>
        </w:tc>
        <w:tc>
          <w:tcPr>
            <w:tcW w:w="1974" w:type="dxa"/>
            <w:vAlign w:val="center"/>
          </w:tcPr>
          <w:p>
            <w:pPr>
              <w:tabs>
                <w:tab w:val="left" w:pos="8280"/>
              </w:tabs>
              <w:autoSpaceDE w:val="0"/>
              <w:autoSpaceDN w:val="0"/>
              <w:adjustRightInd w:val="0"/>
              <w:jc w:val="center"/>
              <w:rPr>
                <w:rFonts w:hint="default" w:ascii="宋体" w:hAnsi="宋体" w:eastAsia="宋体" w:cs="宋体"/>
                <w:b/>
                <w:sz w:val="21"/>
                <w:szCs w:val="21"/>
                <w:lang w:val="en-US" w:eastAsia="zh-CN"/>
              </w:rPr>
            </w:pPr>
            <w:r>
              <w:rPr>
                <w:rFonts w:hint="eastAsia" w:ascii="宋体" w:hAnsi="宋体" w:eastAsia="宋体" w:cs="宋体"/>
                <w:b w:val="0"/>
                <w:sz w:val="21"/>
                <w:szCs w:val="21"/>
              </w:rPr>
              <w:t>台州智慧交管工程（协同应用）项目</w:t>
            </w:r>
            <w:r>
              <w:rPr>
                <w:rFonts w:hint="eastAsia" w:ascii="宋体" w:hAnsi="宋体" w:eastAsia="宋体" w:cs="宋体"/>
                <w:b w:val="0"/>
                <w:sz w:val="21"/>
                <w:szCs w:val="21"/>
                <w:lang w:val="en-US" w:eastAsia="zh-CN"/>
              </w:rPr>
              <w:t>_软件部分</w:t>
            </w:r>
          </w:p>
        </w:tc>
        <w:tc>
          <w:tcPr>
            <w:tcW w:w="1494" w:type="dxa"/>
            <w:vAlign w:val="center"/>
          </w:tcPr>
          <w:p>
            <w:pPr>
              <w:tabs>
                <w:tab w:val="left" w:pos="8280"/>
              </w:tabs>
              <w:autoSpaceDE w:val="0"/>
              <w:autoSpaceDN w:val="0"/>
              <w:adjustRightInd w:val="0"/>
              <w:jc w:val="center"/>
              <w:rPr>
                <w:rFonts w:hint="default" w:ascii="宋体" w:hAnsi="宋体" w:eastAsia="宋体" w:cs="宋体"/>
                <w:b/>
                <w:sz w:val="21"/>
                <w:szCs w:val="21"/>
                <w:lang w:val="en-US"/>
              </w:rPr>
            </w:pPr>
            <w:r>
              <w:rPr>
                <w:rFonts w:hint="eastAsia" w:ascii="宋体" w:hAnsi="宋体" w:cs="宋体"/>
                <w:b w:val="0"/>
                <w:bCs/>
                <w:sz w:val="21"/>
                <w:szCs w:val="21"/>
                <w:lang w:val="en-US" w:eastAsia="zh-CN"/>
              </w:rPr>
              <w:t>详见技术需求</w:t>
            </w:r>
          </w:p>
        </w:tc>
        <w:tc>
          <w:tcPr>
            <w:tcW w:w="1099" w:type="dxa"/>
            <w:vAlign w:val="center"/>
          </w:tcPr>
          <w:p>
            <w:pPr>
              <w:tabs>
                <w:tab w:val="left" w:pos="8280"/>
              </w:tabs>
              <w:autoSpaceDE w:val="0"/>
              <w:autoSpaceDN w:val="0"/>
              <w:adjustRightInd w:val="0"/>
              <w:jc w:val="center"/>
              <w:rPr>
                <w:rFonts w:hint="eastAsia" w:ascii="宋体" w:hAnsi="宋体" w:eastAsia="宋体" w:cs="宋体"/>
                <w:bCs/>
                <w:sz w:val="21"/>
                <w:szCs w:val="21"/>
                <w:lang w:val="en-US" w:eastAsia="zh-CN"/>
              </w:rPr>
            </w:pPr>
            <w:r>
              <w:rPr>
                <w:rFonts w:hint="eastAsia" w:ascii="宋体" w:hAnsi="宋体" w:cs="宋体"/>
                <w:b w:val="0"/>
                <w:bCs/>
                <w:sz w:val="21"/>
                <w:szCs w:val="21"/>
                <w:lang w:val="en-US" w:eastAsia="zh-CN"/>
              </w:rPr>
              <w:t>1</w:t>
            </w:r>
          </w:p>
        </w:tc>
        <w:tc>
          <w:tcPr>
            <w:tcW w:w="852" w:type="dxa"/>
            <w:vAlign w:val="center"/>
          </w:tcPr>
          <w:p>
            <w:pPr>
              <w:tabs>
                <w:tab w:val="left" w:pos="8280"/>
              </w:tabs>
              <w:autoSpaceDE w:val="0"/>
              <w:autoSpaceDN w:val="0"/>
              <w:adjustRightInd w:val="0"/>
              <w:jc w:val="center"/>
              <w:rPr>
                <w:rFonts w:hint="eastAsia" w:ascii="宋体" w:hAnsi="宋体" w:eastAsia="宋体" w:cs="宋体"/>
                <w:bCs/>
                <w:sz w:val="21"/>
                <w:szCs w:val="21"/>
                <w:lang w:val="en-US" w:eastAsia="zh-CN"/>
              </w:rPr>
            </w:pPr>
            <w:r>
              <w:rPr>
                <w:rFonts w:hint="eastAsia" w:ascii="宋体" w:hAnsi="宋体" w:cs="宋体"/>
                <w:b w:val="0"/>
                <w:bCs/>
                <w:sz w:val="21"/>
                <w:szCs w:val="21"/>
                <w:lang w:val="en-US" w:eastAsia="zh-CN"/>
              </w:rPr>
              <w:t>项</w:t>
            </w:r>
          </w:p>
        </w:tc>
        <w:tc>
          <w:tcPr>
            <w:tcW w:w="1142" w:type="dxa"/>
            <w:vAlign w:val="center"/>
          </w:tcPr>
          <w:p>
            <w:pPr>
              <w:tabs>
                <w:tab w:val="left" w:pos="8280"/>
              </w:tabs>
              <w:autoSpaceDE w:val="0"/>
              <w:autoSpaceDN w:val="0"/>
              <w:adjustRightInd w:val="0"/>
              <w:jc w:val="center"/>
              <w:rPr>
                <w:rFonts w:hint="eastAsia" w:ascii="宋体" w:hAnsi="宋体" w:eastAsia="宋体" w:cs="宋体"/>
                <w:b w:val="0"/>
                <w:bCs/>
                <w:color w:val="auto"/>
                <w:kern w:val="2"/>
                <w:sz w:val="21"/>
                <w:szCs w:val="21"/>
                <w:lang w:val="en-US" w:eastAsia="zh-CN" w:bidi="ar-SA"/>
              </w:rPr>
            </w:pPr>
            <w:r>
              <w:rPr>
                <w:rFonts w:hint="eastAsia" w:ascii="宋体" w:hAnsi="宋体"/>
                <w:b w:val="0"/>
                <w:bCs/>
                <w:color w:val="auto"/>
                <w:sz w:val="21"/>
                <w:szCs w:val="24"/>
                <w:lang w:val="en-US" w:eastAsia="zh-CN"/>
              </w:rPr>
              <w:t>2927.83</w:t>
            </w:r>
          </w:p>
        </w:tc>
        <w:tc>
          <w:tcPr>
            <w:tcW w:w="1203" w:type="dxa"/>
            <w:vAlign w:val="center"/>
          </w:tcPr>
          <w:p>
            <w:pPr>
              <w:tabs>
                <w:tab w:val="left" w:pos="8280"/>
              </w:tabs>
              <w:autoSpaceDE w:val="0"/>
              <w:autoSpaceDN w:val="0"/>
              <w:adjustRightInd w:val="0"/>
              <w:jc w:val="center"/>
              <w:rPr>
                <w:rFonts w:hint="eastAsia" w:ascii="宋体" w:hAnsi="宋体" w:eastAsia="宋体" w:cs="宋体"/>
                <w:b w:val="0"/>
                <w:bCs/>
                <w:color w:val="auto"/>
                <w:kern w:val="2"/>
                <w:sz w:val="21"/>
                <w:szCs w:val="21"/>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2867.45</w:t>
            </w:r>
          </w:p>
        </w:tc>
      </w:tr>
    </w:tbl>
    <w:p>
      <w:pPr>
        <w:numPr>
          <w:ilvl w:val="0"/>
          <w:numId w:val="9"/>
        </w:numPr>
        <w:tabs>
          <w:tab w:val="left" w:pos="8280"/>
        </w:tabs>
        <w:autoSpaceDE w:val="0"/>
        <w:autoSpaceDN w:val="0"/>
        <w:adjustRightInd w:val="0"/>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技术需求</w:t>
      </w:r>
    </w:p>
    <w:p>
      <w:pPr>
        <w:tabs>
          <w:tab w:val="left" w:pos="8280"/>
        </w:tabs>
        <w:autoSpaceDE w:val="0"/>
        <w:autoSpaceDN w:val="0"/>
        <w:adjustRightInd w:val="0"/>
        <w:jc w:val="left"/>
        <w:rPr>
          <w:rFonts w:hint="eastAsia" w:ascii="宋体" w:hAnsi="宋体" w:cs="宋体"/>
          <w:b w:val="0"/>
          <w:bCs/>
          <w:sz w:val="21"/>
          <w:szCs w:val="21"/>
          <w:lang w:val="en-US" w:eastAsia="zh-CN"/>
        </w:rPr>
      </w:pPr>
      <w:r>
        <w:rPr>
          <w:rFonts w:hint="eastAsia" w:ascii="黑体" w:hAnsi="黑体" w:eastAsia="黑体" w:cs="黑体"/>
          <w:b w:val="0"/>
          <w:bCs/>
          <w:sz w:val="28"/>
          <w:szCs w:val="28"/>
          <w:lang w:val="en-US" w:eastAsia="zh-CN"/>
        </w:rPr>
        <w:t>（一）采购内容一览表</w:t>
      </w:r>
    </w:p>
    <w:tbl>
      <w:tblPr>
        <w:tblStyle w:val="22"/>
        <w:tblW w:w="94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1"/>
        <w:gridCol w:w="2031"/>
        <w:gridCol w:w="5469"/>
        <w:gridCol w:w="679"/>
        <w:gridCol w:w="6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41"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序号</w:t>
            </w:r>
          </w:p>
        </w:tc>
        <w:tc>
          <w:tcPr>
            <w:tcW w:w="2031"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名称</w:t>
            </w:r>
          </w:p>
        </w:tc>
        <w:tc>
          <w:tcPr>
            <w:tcW w:w="546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描述</w:t>
            </w:r>
          </w:p>
        </w:tc>
        <w:tc>
          <w:tcPr>
            <w:tcW w:w="67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数量</w:t>
            </w:r>
          </w:p>
        </w:tc>
        <w:tc>
          <w:tcPr>
            <w:tcW w:w="67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tabs>
                <w:tab w:val="left" w:pos="8280"/>
              </w:tabs>
              <w:autoSpaceDE w:val="0"/>
              <w:autoSpaceDN w:val="0"/>
              <w:adjustRightInd w:val="0"/>
              <w:jc w:val="center"/>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是否主体部分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4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1</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应用融合管理模块</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统一认证、统一门户、统一授权、统一接入、任务管理等</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1套</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4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2</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数智实战模块</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情报支撑、任务调度、督查监管、勤务管理、业务监管等</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1套</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4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3</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数智决策模块</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态势看板、情报看板、指挥看板、勤务看板、中队看板等</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 xml:space="preserve">1套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4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4</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高地一体化模块</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数据展示、事件处置、标签画像、多源分析、融合处理等</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 xml:space="preserve">1套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4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tabs>
                <w:tab w:val="left" w:pos="8280"/>
              </w:tabs>
              <w:autoSpaceDE w:val="0"/>
              <w:autoSpaceDN w:val="0"/>
              <w:adjustRightInd w:val="0"/>
              <w:jc w:val="center"/>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5</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信号控制</w:t>
            </w:r>
            <w:bookmarkStart w:id="124" w:name="_GoBack"/>
            <w:bookmarkEnd w:id="124"/>
            <w:r>
              <w:rPr>
                <w:rFonts w:hint="eastAsia" w:ascii="宋体" w:hAnsi="宋体" w:cs="宋体"/>
                <w:b w:val="0"/>
                <w:bCs/>
                <w:sz w:val="21"/>
                <w:szCs w:val="21"/>
                <w:lang w:val="en-US" w:eastAsia="zh-CN"/>
              </w:rPr>
              <w:t>提升模块</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提质升档、干线调优、优化服务、应用改造等</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1套</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4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6</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交通态势分析模块</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监测评估、研判报警、信息发布、历史评价等</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1套</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4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tabs>
                <w:tab w:val="left" w:pos="8280"/>
              </w:tabs>
              <w:autoSpaceDE w:val="0"/>
              <w:autoSpaceDN w:val="0"/>
              <w:adjustRightInd w:val="0"/>
              <w:jc w:val="center"/>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7</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驾驶人学习防范模块</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违法举报、公益活动、学习中心等</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1套</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4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8</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运维管理模块</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资产管理、运维考核、视频诊断、应用监测等</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1套</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4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tabs>
                <w:tab w:val="left" w:pos="8280"/>
              </w:tabs>
              <w:autoSpaceDE w:val="0"/>
              <w:autoSpaceDN w:val="0"/>
              <w:adjustRightInd w:val="0"/>
              <w:jc w:val="center"/>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9</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移动应用模块</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数据看板、订阅推送、勤务打卡、事故上报等</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 xml:space="preserve">1套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4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tabs>
                <w:tab w:val="left" w:pos="8280"/>
              </w:tabs>
              <w:autoSpaceDE w:val="0"/>
              <w:autoSpaceDN w:val="0"/>
              <w:adjustRightInd w:val="0"/>
              <w:jc w:val="center"/>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10</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事故可视化模块</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事故审核、规律分析、隐患排查、数据可视等</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 xml:space="preserve">1套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4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tabs>
                <w:tab w:val="left" w:pos="8280"/>
              </w:tabs>
              <w:autoSpaceDE w:val="0"/>
              <w:autoSpaceDN w:val="0"/>
              <w:adjustRightInd w:val="0"/>
              <w:jc w:val="center"/>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11</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赋能中心</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任务管理、模型超市、模型工具、AI能力、高速数据等</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 xml:space="preserve">1套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4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tabs>
                <w:tab w:val="left" w:pos="8280"/>
              </w:tabs>
              <w:autoSpaceDE w:val="0"/>
              <w:autoSpaceDN w:val="0"/>
              <w:adjustRightInd w:val="0"/>
              <w:jc w:val="center"/>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12</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数据中心</w:t>
            </w:r>
          </w:p>
        </w:tc>
        <w:tc>
          <w:tcPr>
            <w:tcW w:w="54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数据标准、数据接入、数据处理、数据组织、数据共享等</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1套</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4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tabs>
                <w:tab w:val="left" w:pos="8280"/>
              </w:tabs>
              <w:autoSpaceDE w:val="0"/>
              <w:autoSpaceDN w:val="0"/>
              <w:adjustRightInd w:val="0"/>
              <w:jc w:val="center"/>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13</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系统集成</w:t>
            </w:r>
          </w:p>
        </w:tc>
        <w:tc>
          <w:tcPr>
            <w:tcW w:w="6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完成项目所有内容的整体集成，达到稳定运行效果</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p>
        </w:tc>
      </w:tr>
    </w:tbl>
    <w:p>
      <w:pPr>
        <w:pStyle w:val="10"/>
        <w:rPr>
          <w:rFonts w:ascii="宋体" w:hAnsi="宋体"/>
          <w:color w:val="auto"/>
          <w:sz w:val="24"/>
        </w:rPr>
      </w:pPr>
    </w:p>
    <w:p>
      <w:pPr>
        <w:rPr>
          <w:rFonts w:hint="eastAsia" w:ascii="黑体" w:hAnsi="黑体" w:eastAsia="黑体" w:cs="黑体"/>
          <w:b/>
          <w:bCs w:val="0"/>
          <w:sz w:val="28"/>
          <w:szCs w:val="28"/>
          <w:lang w:val="en-US" w:eastAsia="zh-CN"/>
        </w:rPr>
      </w:pPr>
      <w:r>
        <w:rPr>
          <w:rFonts w:hint="eastAsia" w:ascii="黑体" w:hAnsi="黑体" w:eastAsia="黑体" w:cs="黑体"/>
          <w:b/>
          <w:bCs w:val="0"/>
          <w:sz w:val="28"/>
          <w:szCs w:val="28"/>
          <w:lang w:val="en-US" w:eastAsia="zh-CN"/>
        </w:rPr>
        <w:br w:type="page"/>
      </w:r>
    </w:p>
    <w:p>
      <w:pPr>
        <w:tabs>
          <w:tab w:val="left" w:pos="8280"/>
        </w:tabs>
        <w:autoSpaceDE w:val="0"/>
        <w:autoSpaceDN w:val="0"/>
        <w:adjustRightInd w:val="0"/>
        <w:jc w:val="left"/>
        <w:rPr>
          <w:rFonts w:hint="eastAsia" w:ascii="黑体" w:hAnsi="黑体" w:eastAsia="黑体" w:cs="黑体"/>
          <w:b/>
          <w:bCs w:val="0"/>
          <w:color w:val="auto"/>
          <w:sz w:val="28"/>
          <w:szCs w:val="28"/>
        </w:rPr>
      </w:pPr>
      <w:r>
        <w:rPr>
          <w:rFonts w:hint="eastAsia" w:ascii="黑体" w:hAnsi="黑体" w:eastAsia="黑体" w:cs="黑体"/>
          <w:b/>
          <w:bCs w:val="0"/>
          <w:sz w:val="28"/>
          <w:szCs w:val="28"/>
          <w:lang w:val="en-US" w:eastAsia="zh-CN"/>
        </w:rPr>
        <w:t>（二）项目具体技术参数需求</w:t>
      </w:r>
    </w:p>
    <w:p>
      <w:pPr>
        <w:keepNext/>
        <w:keepLines/>
        <w:numPr>
          <w:ilvl w:val="1"/>
          <w:numId w:val="2"/>
        </w:numPr>
        <w:tabs>
          <w:tab w:val="left" w:pos="142"/>
          <w:tab w:val="left" w:pos="360"/>
        </w:tabs>
        <w:spacing w:line="360" w:lineRule="auto"/>
        <w:ind w:left="0" w:firstLine="0"/>
        <w:outlineLvl w:val="1"/>
        <w:rPr>
          <w:rFonts w:ascii="黑体" w:hAnsi="黑体" w:eastAsia="黑体"/>
          <w:b/>
          <w:bCs/>
          <w:color w:val="auto"/>
          <w:sz w:val="28"/>
          <w:szCs w:val="32"/>
        </w:rPr>
      </w:pPr>
      <w:r>
        <w:rPr>
          <w:rFonts w:hint="eastAsia" w:ascii="黑体" w:hAnsi="黑体" w:eastAsia="黑体"/>
          <w:b/>
          <w:bCs/>
          <w:color w:val="auto"/>
          <w:sz w:val="28"/>
          <w:szCs w:val="32"/>
        </w:rPr>
        <w:t>项目</w:t>
      </w:r>
      <w:r>
        <w:rPr>
          <w:rFonts w:ascii="黑体" w:hAnsi="黑体" w:eastAsia="黑体"/>
          <w:b/>
          <w:bCs/>
          <w:color w:val="auto"/>
          <w:sz w:val="28"/>
          <w:szCs w:val="32"/>
        </w:rPr>
        <w:t>建设背景</w:t>
      </w:r>
      <w:r>
        <w:rPr>
          <w:rFonts w:hint="eastAsia" w:ascii="黑体" w:hAnsi="黑体" w:eastAsia="黑体"/>
          <w:b/>
          <w:bCs/>
          <w:color w:val="auto"/>
          <w:sz w:val="28"/>
          <w:szCs w:val="32"/>
        </w:rPr>
        <w:t>与现状</w:t>
      </w:r>
    </w:p>
    <w:p>
      <w:pPr>
        <w:keepNext/>
        <w:keepLines/>
        <w:numPr>
          <w:ilvl w:val="2"/>
          <w:numId w:val="2"/>
        </w:numPr>
        <w:tabs>
          <w:tab w:val="left" w:pos="142"/>
          <w:tab w:val="left" w:pos="360"/>
        </w:tabs>
        <w:spacing w:line="360" w:lineRule="auto"/>
        <w:ind w:left="0" w:firstLine="0"/>
        <w:outlineLvl w:val="2"/>
        <w:rPr>
          <w:rFonts w:ascii="黑体" w:hAnsi="黑体" w:eastAsia="黑体" w:cs="仿宋"/>
          <w:b/>
          <w:bCs/>
          <w:color w:val="auto"/>
          <w:sz w:val="28"/>
          <w:szCs w:val="32"/>
        </w:rPr>
      </w:pPr>
      <w:r>
        <w:rPr>
          <w:rFonts w:hint="eastAsia" w:ascii="黑体" w:hAnsi="黑体" w:eastAsia="黑体" w:cs="仿宋"/>
          <w:b/>
          <w:bCs/>
          <w:color w:val="auto"/>
          <w:sz w:val="28"/>
          <w:szCs w:val="32"/>
        </w:rPr>
        <w:t>建设背景</w:t>
      </w:r>
    </w:p>
    <w:p>
      <w:pPr>
        <w:spacing w:before="46" w:beforeLines="15" w:after="46" w:afterLines="15" w:line="360" w:lineRule="auto"/>
        <w:ind w:firstLine="480" w:firstLineChars="200"/>
        <w:rPr>
          <w:color w:val="auto"/>
          <w:kern w:val="0"/>
          <w:sz w:val="24"/>
          <w:lang w:val="zh-CN"/>
        </w:rPr>
      </w:pPr>
      <w:r>
        <w:rPr>
          <w:rFonts w:hint="eastAsia"/>
          <w:color w:val="auto"/>
          <w:kern w:val="0"/>
          <w:sz w:val="24"/>
          <w:lang w:val="zh-CN"/>
        </w:rPr>
        <w:t>2019年2月，全国公安交通管理工作会议在重庆市召开。会议要求全国公安交通管理机关推进交通治理现代化，全力稳定交通安全形势。全面深化公安交管改革，完善交管“放管服”举措；深入推进智慧交管建设，加快现代科技与交通管理深度融合，支持信息主导**，数据引领服务。</w:t>
      </w:r>
    </w:p>
    <w:p>
      <w:pPr>
        <w:spacing w:before="46" w:beforeLines="15" w:after="46" w:afterLines="15" w:line="360" w:lineRule="auto"/>
        <w:ind w:firstLine="480" w:firstLineChars="200"/>
        <w:rPr>
          <w:color w:val="auto"/>
          <w:kern w:val="0"/>
          <w:sz w:val="24"/>
          <w:lang w:val="zh-CN"/>
        </w:rPr>
      </w:pPr>
      <w:r>
        <w:rPr>
          <w:rFonts w:hint="eastAsia"/>
          <w:color w:val="auto"/>
          <w:kern w:val="0"/>
          <w:sz w:val="24"/>
          <w:lang w:val="zh-CN"/>
        </w:rPr>
        <w:t>2019年5月8日，习近平总书记在全国公安工作会议上强调“要把大数据作为推动公安工作创新发展的大引擎、培育战斗力生成新的增长点，全面助推公安工作质量变革、效率变革、动力变革”。</w:t>
      </w:r>
    </w:p>
    <w:p>
      <w:pPr>
        <w:spacing w:before="46" w:beforeLines="15" w:after="46" w:afterLines="15" w:line="360" w:lineRule="auto"/>
        <w:ind w:firstLine="480" w:firstLineChars="200"/>
        <w:rPr>
          <w:color w:val="auto"/>
          <w:kern w:val="0"/>
          <w:sz w:val="24"/>
          <w:lang w:val="zh-CN"/>
        </w:rPr>
      </w:pPr>
      <w:r>
        <w:rPr>
          <w:rFonts w:hint="eastAsia"/>
          <w:color w:val="auto"/>
          <w:kern w:val="0"/>
          <w:sz w:val="24"/>
          <w:lang w:val="zh-CN"/>
        </w:rPr>
        <w:t>2021年2月18日，浙江省委省政府启动数字化改革，要求“围绕建设数字浙江目标，统筹运用数字化技术、数字化思维、数字化认知”。从系统思维，顶层设计入手，以全方位、全过程、全领域助推**机制变革为目标，谋划今后一个时期信息化发展策略和措施。</w:t>
      </w:r>
    </w:p>
    <w:p>
      <w:pPr>
        <w:spacing w:before="46" w:beforeLines="15" w:after="46" w:afterLines="15" w:line="360" w:lineRule="auto"/>
        <w:ind w:firstLine="480" w:firstLineChars="200"/>
        <w:rPr>
          <w:b/>
          <w:color w:val="auto"/>
          <w:kern w:val="0"/>
          <w:sz w:val="24"/>
          <w:lang w:val="zh-CN"/>
        </w:rPr>
      </w:pPr>
      <w:r>
        <w:rPr>
          <w:rFonts w:hint="eastAsia"/>
          <w:color w:val="auto"/>
          <w:kern w:val="0"/>
          <w:sz w:val="24"/>
          <w:lang w:val="zh-CN"/>
        </w:rPr>
        <w:t>台州市公安局交通警察局于2019年下半年完成台州智慧交管工程的全面规划工作，将在2020年至202</w:t>
      </w:r>
      <w:r>
        <w:rPr>
          <w:color w:val="auto"/>
          <w:kern w:val="0"/>
          <w:sz w:val="24"/>
          <w:lang w:val="zh-CN"/>
        </w:rPr>
        <w:t>3</w:t>
      </w:r>
      <w:r>
        <w:rPr>
          <w:rFonts w:hint="eastAsia"/>
          <w:color w:val="auto"/>
          <w:kern w:val="0"/>
          <w:sz w:val="24"/>
          <w:lang w:val="zh-CN"/>
        </w:rPr>
        <w:t>年分四部分完成台州智慧交管工程整体建设。本</w:t>
      </w:r>
      <w:r>
        <w:rPr>
          <w:rFonts w:hint="eastAsia" w:ascii="宋体" w:hAnsi="宋体" w:cs="宋体"/>
          <w:color w:val="auto"/>
          <w:kern w:val="0"/>
          <w:sz w:val="24"/>
          <w:lang w:val="zh-CN"/>
        </w:rPr>
        <w:t>项目为台州智慧交管工程项目第四部分协同应用部分。</w:t>
      </w:r>
    </w:p>
    <w:p>
      <w:pPr>
        <w:keepNext/>
        <w:keepLines/>
        <w:numPr>
          <w:ilvl w:val="2"/>
          <w:numId w:val="2"/>
        </w:numPr>
        <w:tabs>
          <w:tab w:val="left" w:pos="142"/>
          <w:tab w:val="left" w:pos="360"/>
        </w:tabs>
        <w:spacing w:line="360" w:lineRule="auto"/>
        <w:ind w:left="0" w:firstLine="0"/>
        <w:outlineLvl w:val="2"/>
        <w:rPr>
          <w:rFonts w:ascii="黑体" w:hAnsi="黑体" w:eastAsia="黑体" w:cs="仿宋"/>
          <w:b/>
          <w:bCs/>
          <w:color w:val="auto"/>
          <w:sz w:val="28"/>
          <w:szCs w:val="32"/>
        </w:rPr>
      </w:pPr>
      <w:r>
        <w:rPr>
          <w:rFonts w:hint="eastAsia" w:ascii="黑体" w:hAnsi="黑体" w:eastAsia="黑体" w:cs="仿宋"/>
          <w:b/>
          <w:bCs/>
          <w:color w:val="auto"/>
          <w:sz w:val="28"/>
          <w:szCs w:val="32"/>
        </w:rPr>
        <w:t>业务应用现状</w:t>
      </w:r>
    </w:p>
    <w:p>
      <w:pPr>
        <w:widowControl/>
        <w:autoSpaceDE w:val="0"/>
        <w:autoSpaceDN w:val="0"/>
        <w:adjustRightInd w:val="0"/>
        <w:spacing w:line="360" w:lineRule="auto"/>
        <w:ind w:firstLine="460" w:firstLineChars="192"/>
        <w:jc w:val="left"/>
        <w:rPr>
          <w:color w:val="auto"/>
          <w:kern w:val="0"/>
          <w:sz w:val="24"/>
          <w:szCs w:val="28"/>
          <w:lang w:val="zh-CN"/>
        </w:rPr>
      </w:pPr>
      <w:r>
        <w:rPr>
          <w:rFonts w:hint="eastAsia"/>
          <w:color w:val="auto"/>
          <w:kern w:val="0"/>
          <w:sz w:val="24"/>
          <w:szCs w:val="28"/>
          <w:lang w:val="zh-CN"/>
        </w:rPr>
        <w:t>台州交管信息化业务应用系统包含便民惠民的互联网应用、交管业务公安信息网应用、感知系统的视频专网应用、窗口处理等相关政务外网应用及执法处理与勤务打卡等移动端应用，主要应用包括台州交警微信公众号、公安交通集成指挥平台、交通管理综合应用平台、指挥中心集成平台、台州市道路交通事故网上办案系统、车辆大数据系统、路口信控智能化、交通秩序管理综合业务系统、台州交警视频综合业务平台、执法记录仪管理平台、微波雷达系统、台州交警基础数据管理平台、警车与警员定位管理系统、城市道路智能管控平台、腾讯电子地图等。本期规划应用将充分挖掘、复用现有业务应用的数据价值与功能模块，避免重复建设，如针对车辆大数据系统的升级改造，高地一体化模块改造、基于采购方指定地图的业务应用开发，基于各类感知数据的模型超市建设等。</w:t>
      </w:r>
    </w:p>
    <w:p>
      <w:pPr>
        <w:keepNext/>
        <w:keepLines/>
        <w:numPr>
          <w:ilvl w:val="2"/>
          <w:numId w:val="2"/>
        </w:numPr>
        <w:tabs>
          <w:tab w:val="left" w:pos="142"/>
          <w:tab w:val="left" w:pos="360"/>
        </w:tabs>
        <w:spacing w:line="360" w:lineRule="auto"/>
        <w:ind w:left="0" w:firstLine="0"/>
        <w:outlineLvl w:val="2"/>
        <w:rPr>
          <w:rFonts w:ascii="黑体" w:hAnsi="黑体" w:eastAsia="黑体" w:cs="仿宋"/>
          <w:b/>
          <w:bCs/>
          <w:color w:val="auto"/>
          <w:sz w:val="28"/>
          <w:szCs w:val="32"/>
        </w:rPr>
      </w:pPr>
      <w:r>
        <w:rPr>
          <w:rFonts w:hint="eastAsia" w:ascii="黑体" w:hAnsi="黑体" w:eastAsia="黑体" w:cs="仿宋"/>
          <w:b/>
          <w:bCs/>
          <w:color w:val="auto"/>
          <w:sz w:val="28"/>
          <w:szCs w:val="32"/>
        </w:rPr>
        <w:t>数据架构现状</w:t>
      </w:r>
    </w:p>
    <w:p>
      <w:pPr>
        <w:widowControl/>
        <w:autoSpaceDE w:val="0"/>
        <w:autoSpaceDN w:val="0"/>
        <w:adjustRightInd w:val="0"/>
        <w:spacing w:line="360" w:lineRule="auto"/>
        <w:ind w:firstLine="460" w:firstLineChars="192"/>
        <w:jc w:val="left"/>
        <w:rPr>
          <w:color w:val="auto"/>
          <w:kern w:val="0"/>
          <w:sz w:val="24"/>
          <w:szCs w:val="28"/>
        </w:rPr>
      </w:pPr>
      <w:r>
        <w:rPr>
          <w:rFonts w:hint="eastAsia"/>
          <w:color w:val="auto"/>
          <w:kern w:val="0"/>
          <w:sz w:val="24"/>
          <w:szCs w:val="28"/>
        </w:rPr>
        <w:t>台州交警信息化建设较早，各业务条线按需独自建设业务应用，缺少顶层设计、统筹规划，导致系统分散繁杂、数据割裂无统一标准。</w:t>
      </w:r>
      <w:r>
        <w:rPr>
          <w:color w:val="auto"/>
          <w:kern w:val="0"/>
          <w:sz w:val="24"/>
          <w:szCs w:val="28"/>
        </w:rPr>
        <w:t xml:space="preserve">  </w:t>
      </w:r>
    </w:p>
    <w:p>
      <w:pPr>
        <w:widowControl/>
        <w:autoSpaceDE w:val="0"/>
        <w:autoSpaceDN w:val="0"/>
        <w:adjustRightInd w:val="0"/>
        <w:spacing w:line="360" w:lineRule="auto"/>
        <w:ind w:firstLine="460" w:firstLineChars="192"/>
        <w:jc w:val="left"/>
        <w:rPr>
          <w:color w:val="auto"/>
          <w:kern w:val="0"/>
          <w:sz w:val="24"/>
          <w:szCs w:val="28"/>
        </w:rPr>
      </w:pPr>
      <w:r>
        <w:rPr>
          <w:rFonts w:hint="eastAsia"/>
          <w:color w:val="auto"/>
          <w:kern w:val="0"/>
          <w:sz w:val="24"/>
          <w:szCs w:val="28"/>
        </w:rPr>
        <w:t>因缺少统一规划，各职能部门IT系统基本独立建设，存在重复投资，建设成本高等问题。技术上没有统一规范和标准，无法支持资源共享；服务器资源使用率低，难以集中管理和使用，且大部分设备接近运维末期，急需集约建设资源中心，将IT资源统一整合。智慧交管的智能化发展，需要大量的IT计算资源，但是现有的软硬一体的部署方式对IT资源的配置相对固化，不能根据实际需要和业务变化进行资源动态调整和快速扩展，导致系统的灵活性和扩展性差，无法满足平时实时分析、战时资源全部调用的需求，因此急需建设一套弹性资源调度平台。</w:t>
      </w:r>
    </w:p>
    <w:p>
      <w:pPr>
        <w:widowControl/>
        <w:autoSpaceDE w:val="0"/>
        <w:autoSpaceDN w:val="0"/>
        <w:adjustRightInd w:val="0"/>
        <w:spacing w:line="360" w:lineRule="auto"/>
        <w:ind w:firstLine="460" w:firstLineChars="192"/>
        <w:jc w:val="left"/>
        <w:rPr>
          <w:color w:val="auto"/>
          <w:kern w:val="0"/>
          <w:sz w:val="24"/>
          <w:szCs w:val="28"/>
        </w:rPr>
      </w:pPr>
      <w:r>
        <w:rPr>
          <w:rFonts w:hint="eastAsia"/>
          <w:color w:val="auto"/>
          <w:kern w:val="0"/>
          <w:sz w:val="24"/>
          <w:szCs w:val="28"/>
        </w:rPr>
        <w:t>数据烟囱化严重，需要构建统一数据中心。当前的信息化系统、智能解析系统均自带数据标准、保存在内部私有的数据库中，无法支持跨系统融合的多维情报研判。当采用不同系统重复利用同一类数据时，势必带来不同系统间结构化数据的标准化和开放性问题，同时这种应用和数据的强绑定耦合构架，也会对引入新的应用系统带来对接障碍。为此，需要通过统一的数据中心，把各系统的信息化数据、结构化数据进行集中存储和开放共享，并提供批量分析处理、实时流处理匹配不同业务应用场景的数据分析引擎。</w:t>
      </w:r>
    </w:p>
    <w:p>
      <w:pPr>
        <w:widowControl/>
        <w:autoSpaceDE w:val="0"/>
        <w:autoSpaceDN w:val="0"/>
        <w:adjustRightInd w:val="0"/>
        <w:spacing w:line="360" w:lineRule="auto"/>
        <w:ind w:firstLine="460" w:firstLineChars="192"/>
        <w:jc w:val="left"/>
        <w:rPr>
          <w:color w:val="auto"/>
          <w:kern w:val="0"/>
          <w:sz w:val="24"/>
          <w:szCs w:val="28"/>
        </w:rPr>
      </w:pPr>
      <w:r>
        <w:rPr>
          <w:rFonts w:hint="eastAsia"/>
          <w:color w:val="auto"/>
          <w:kern w:val="0"/>
          <w:sz w:val="24"/>
          <w:szCs w:val="28"/>
        </w:rPr>
        <w:t>当前各系统独立构建中间件和服务平台，导致平台丛生，重复建设严重，接口标准各行其道不标准，无法复用，需要参考数字化改革框架要求，构建台州智慧交管统一的应用支撑平台——赋能中心，归并中间件和服务总线，打造标准化接口、服务化模型超市，最大限度避免重复建设，提高资源利用率，提供业务创新的土壤。赋能中心提供统一的大数据服务、AI能力、模型超市，支持基础组件微服务化，让智慧交管协同应用体系的创新应用像积木一样快速开发、安装、应用，并提供拖拉拽的模型工具，为一线民警根据个人业务特点构建“因人而异”的技战法仓库，最大限度挖掘信息化红利，提升**效能。</w:t>
      </w:r>
    </w:p>
    <w:p>
      <w:pPr>
        <w:keepNext/>
        <w:keepLines/>
        <w:numPr>
          <w:ilvl w:val="2"/>
          <w:numId w:val="2"/>
        </w:numPr>
        <w:tabs>
          <w:tab w:val="left" w:pos="142"/>
          <w:tab w:val="left" w:pos="360"/>
        </w:tabs>
        <w:spacing w:line="360" w:lineRule="auto"/>
        <w:ind w:left="0" w:firstLine="0"/>
        <w:outlineLvl w:val="2"/>
        <w:rPr>
          <w:rFonts w:ascii="黑体" w:hAnsi="黑体" w:eastAsia="黑体" w:cs="仿宋"/>
          <w:b/>
          <w:bCs/>
          <w:color w:val="auto"/>
          <w:sz w:val="28"/>
          <w:szCs w:val="32"/>
        </w:rPr>
      </w:pPr>
      <w:r>
        <w:rPr>
          <w:rFonts w:hint="eastAsia" w:ascii="黑体" w:hAnsi="黑体" w:eastAsia="黑体" w:cs="仿宋"/>
          <w:b/>
          <w:bCs/>
          <w:color w:val="auto"/>
          <w:sz w:val="28"/>
          <w:szCs w:val="32"/>
        </w:rPr>
        <w:t>存在的问题和差距</w:t>
      </w:r>
    </w:p>
    <w:p>
      <w:pPr>
        <w:spacing w:before="46" w:beforeLines="15" w:after="46" w:afterLines="15" w:line="360" w:lineRule="auto"/>
        <w:ind w:firstLine="480" w:firstLineChars="200"/>
        <w:rPr>
          <w:color w:val="auto"/>
          <w:kern w:val="0"/>
          <w:sz w:val="24"/>
          <w:lang w:val="zh-CN"/>
        </w:rPr>
      </w:pPr>
      <w:r>
        <w:rPr>
          <w:rFonts w:hint="eastAsia"/>
          <w:color w:val="auto"/>
          <w:kern w:val="0"/>
          <w:sz w:val="24"/>
          <w:lang w:val="zh-CN"/>
        </w:rPr>
        <w:t>当前台州智慧交管工程交通管理体系局部有效，与智慧交管建设先进地市相比，缺乏基于全局的顶层设计，无法支持有效的协调联动，具体表现为以下几个方面：</w:t>
      </w:r>
    </w:p>
    <w:p>
      <w:pPr>
        <w:spacing w:before="46" w:beforeLines="15" w:after="46" w:afterLines="15" w:line="360" w:lineRule="auto"/>
        <w:ind w:firstLine="480" w:firstLineChars="200"/>
        <w:rPr>
          <w:color w:val="auto"/>
          <w:kern w:val="0"/>
          <w:sz w:val="24"/>
          <w:lang w:val="zh-CN"/>
        </w:rPr>
      </w:pPr>
      <w:r>
        <w:rPr>
          <w:rFonts w:hint="eastAsia"/>
          <w:color w:val="auto"/>
          <w:kern w:val="0"/>
          <w:sz w:val="24"/>
          <w:lang w:val="zh-CN"/>
        </w:rPr>
        <w:t>（1）融合不足：台州市交警各应用系统由各部门分阶段按需独立建设，各应用系统自有硬件设施、数据库各不相同，接口协议五花八门，导致数据孤岛和系统壁垒，造成数据无法互通共用。</w:t>
      </w:r>
    </w:p>
    <w:p>
      <w:pPr>
        <w:spacing w:before="46" w:beforeLines="15" w:after="46" w:afterLines="15" w:line="360" w:lineRule="auto"/>
        <w:ind w:firstLine="480" w:firstLineChars="200"/>
        <w:rPr>
          <w:color w:val="auto"/>
          <w:kern w:val="0"/>
          <w:sz w:val="24"/>
          <w:lang w:val="zh-CN"/>
        </w:rPr>
      </w:pPr>
      <w:r>
        <w:rPr>
          <w:rFonts w:hint="eastAsia"/>
          <w:color w:val="auto"/>
          <w:kern w:val="0"/>
          <w:sz w:val="24"/>
          <w:lang w:val="zh-CN"/>
        </w:rPr>
        <w:t>（2）共享不足：由于数据孤岛和系统壁垒的存在，台州市交警各条线建设自行规划，缺少统筹，导致基础设施、数据资源割裂严重，未支持共建共享，随着业务集成应用的拓展，融合共享问题日益凸显。</w:t>
      </w:r>
    </w:p>
    <w:p>
      <w:pPr>
        <w:spacing w:before="46" w:beforeLines="15" w:after="46" w:afterLines="15" w:line="360" w:lineRule="auto"/>
        <w:ind w:firstLine="480" w:firstLineChars="200"/>
        <w:rPr>
          <w:color w:val="auto"/>
          <w:kern w:val="0"/>
          <w:sz w:val="24"/>
          <w:lang w:val="zh-CN"/>
        </w:rPr>
      </w:pPr>
      <w:r>
        <w:rPr>
          <w:rFonts w:hint="eastAsia"/>
          <w:color w:val="auto"/>
          <w:kern w:val="0"/>
          <w:sz w:val="24"/>
          <w:lang w:val="zh-CN"/>
        </w:rPr>
        <w:t>（3）生态不足：多年来台州市交警立足实战要求，以应用系统作为建设重点，打造了一批视频、车辆智能化应用，但各厂家各自圈地，私有协议形成垄断格局。随着AI技术的日新月异，新技术新应用层出不穷，急需打造数据中心，构建台州交警协同应用统一平台，形成应用、数据百花齐放百家争鸣的新局面。</w:t>
      </w:r>
    </w:p>
    <w:p>
      <w:pPr>
        <w:spacing w:before="46" w:beforeLines="15" w:after="46" w:afterLines="15" w:line="360" w:lineRule="auto"/>
        <w:ind w:firstLine="480" w:firstLineChars="200"/>
        <w:rPr>
          <w:color w:val="auto"/>
          <w:kern w:val="0"/>
          <w:sz w:val="24"/>
          <w:lang w:val="zh-CN"/>
        </w:rPr>
      </w:pPr>
      <w:r>
        <w:rPr>
          <w:rFonts w:hint="eastAsia"/>
          <w:color w:val="auto"/>
          <w:kern w:val="0"/>
          <w:sz w:val="24"/>
          <w:lang w:val="zh-CN"/>
        </w:rPr>
        <w:t>（4）开放不足：从底层基础设施到数据资源，再到应用支撑，各层均烟囱林立，垂直应用自成体系，导致算法、算力、应用、数据封闭耦合，系统兼容开放能力不足。</w:t>
      </w:r>
    </w:p>
    <w:p>
      <w:pPr>
        <w:spacing w:before="46" w:beforeLines="15" w:after="46" w:afterLines="15" w:line="360" w:lineRule="auto"/>
        <w:ind w:firstLine="480" w:firstLineChars="200"/>
        <w:rPr>
          <w:color w:val="auto"/>
          <w:kern w:val="0"/>
          <w:sz w:val="24"/>
          <w:lang w:val="zh-CN"/>
        </w:rPr>
      </w:pPr>
      <w:r>
        <w:rPr>
          <w:rFonts w:hint="eastAsia"/>
          <w:color w:val="auto"/>
          <w:kern w:val="0"/>
          <w:sz w:val="24"/>
          <w:lang w:val="zh-CN"/>
        </w:rPr>
        <w:t>（5）协同不足：在应用层面，当前台州市交警局各应用模块功能单一，聚焦各业务条线，面对实战需求，由于操作断点导致在各系统间来回切换，反复输入，时效性、协同性不足。</w:t>
      </w:r>
    </w:p>
    <w:p>
      <w:pPr>
        <w:spacing w:before="46" w:beforeLines="15" w:after="46" w:afterLines="15" w:line="360" w:lineRule="auto"/>
        <w:ind w:firstLine="480" w:firstLineChars="200"/>
        <w:rPr>
          <w:color w:val="auto"/>
          <w:kern w:val="0"/>
          <w:sz w:val="24"/>
          <w:lang w:val="zh-CN"/>
        </w:rPr>
      </w:pPr>
      <w:r>
        <w:rPr>
          <w:rFonts w:hint="eastAsia"/>
          <w:color w:val="auto"/>
          <w:kern w:val="0"/>
          <w:sz w:val="24"/>
          <w:lang w:val="zh-CN"/>
        </w:rPr>
        <w:t>（6）赋能不足：当前台州市交警局各应用系统缺乏开放共享能力，对内不足以赋能县（市、区）、不足以赋能各个业务部门；对外，不足以赋能其他惠民应用，感知大数据和传统大数据需要深度结合。</w:t>
      </w:r>
    </w:p>
    <w:p>
      <w:pPr>
        <w:keepNext/>
        <w:keepLines/>
        <w:numPr>
          <w:ilvl w:val="1"/>
          <w:numId w:val="2"/>
        </w:numPr>
        <w:tabs>
          <w:tab w:val="left" w:pos="142"/>
          <w:tab w:val="left" w:pos="360"/>
        </w:tabs>
        <w:spacing w:line="360" w:lineRule="auto"/>
        <w:ind w:left="0" w:firstLine="0"/>
        <w:outlineLvl w:val="1"/>
        <w:rPr>
          <w:rFonts w:ascii="黑体" w:hAnsi="黑体" w:eastAsia="黑体"/>
          <w:b/>
          <w:bCs/>
          <w:color w:val="auto"/>
          <w:sz w:val="28"/>
          <w:szCs w:val="32"/>
        </w:rPr>
      </w:pPr>
      <w:r>
        <w:rPr>
          <w:rFonts w:hint="eastAsia" w:ascii="黑体" w:hAnsi="黑体" w:eastAsia="黑体"/>
          <w:b/>
          <w:bCs/>
          <w:color w:val="auto"/>
          <w:sz w:val="28"/>
          <w:szCs w:val="32"/>
        </w:rPr>
        <w:t>采购需求</w:t>
      </w:r>
    </w:p>
    <w:p>
      <w:pPr>
        <w:keepNext/>
        <w:keepLines/>
        <w:numPr>
          <w:ilvl w:val="2"/>
          <w:numId w:val="2"/>
        </w:numPr>
        <w:tabs>
          <w:tab w:val="left" w:pos="142"/>
          <w:tab w:val="left" w:pos="360"/>
        </w:tabs>
        <w:spacing w:line="360" w:lineRule="auto"/>
        <w:ind w:left="0" w:firstLine="0"/>
        <w:outlineLvl w:val="2"/>
        <w:rPr>
          <w:rFonts w:ascii="黑体" w:hAnsi="黑体" w:eastAsia="黑体" w:cs="仿宋"/>
          <w:b/>
          <w:bCs/>
          <w:color w:val="auto"/>
          <w:sz w:val="28"/>
          <w:szCs w:val="32"/>
        </w:rPr>
      </w:pPr>
      <w:r>
        <w:rPr>
          <w:rFonts w:hint="eastAsia" w:ascii="黑体" w:hAnsi="黑体" w:eastAsia="黑体" w:cs="仿宋"/>
          <w:b/>
          <w:bCs/>
          <w:color w:val="auto"/>
          <w:sz w:val="28"/>
          <w:szCs w:val="32"/>
        </w:rPr>
        <w:t>建设目标</w:t>
      </w:r>
    </w:p>
    <w:p>
      <w:pPr>
        <w:spacing w:line="360" w:lineRule="auto"/>
        <w:ind w:firstLine="480" w:firstLineChars="200"/>
        <w:rPr>
          <w:rFonts w:ascii="宋体" w:hAnsi="宋体"/>
          <w:color w:val="auto"/>
          <w:sz w:val="24"/>
          <w:szCs w:val="22"/>
        </w:rPr>
      </w:pPr>
      <w:r>
        <w:rPr>
          <w:rFonts w:hint="eastAsia"/>
          <w:color w:val="auto"/>
          <w:sz w:val="24"/>
          <w:szCs w:val="22"/>
        </w:rPr>
        <w:t>通过本项目的建设，聚焦安全、疏堵，增强交通情报精准度，提升路面执法效力，逐步满足国家、公安部提出的有关交通管理信息化建设的任务要求，同时支撑台州交警局交通管理发展的需要，发挥科技效能，支持交通态势、执法、管控、秩序智能化，为人民群众营造一个环境优美、交通便捷、出行顺畅的平安台州、绿色台州、智慧台州，达成信息惠民、技术便民、智能提效的目标。</w:t>
      </w:r>
    </w:p>
    <w:p>
      <w:pPr>
        <w:keepNext/>
        <w:keepLines/>
        <w:numPr>
          <w:ilvl w:val="2"/>
          <w:numId w:val="2"/>
        </w:numPr>
        <w:tabs>
          <w:tab w:val="left" w:pos="142"/>
          <w:tab w:val="left" w:pos="360"/>
        </w:tabs>
        <w:spacing w:line="360" w:lineRule="auto"/>
        <w:ind w:left="0" w:firstLine="0"/>
        <w:outlineLvl w:val="2"/>
        <w:rPr>
          <w:rFonts w:ascii="黑体" w:hAnsi="黑体" w:eastAsia="黑体" w:cs="仿宋"/>
          <w:b/>
          <w:bCs/>
          <w:color w:val="auto"/>
          <w:sz w:val="28"/>
          <w:szCs w:val="32"/>
        </w:rPr>
      </w:pPr>
      <w:r>
        <w:rPr>
          <w:rFonts w:hint="eastAsia" w:ascii="黑体" w:hAnsi="黑体" w:eastAsia="黑体" w:cs="仿宋"/>
          <w:b/>
          <w:bCs/>
          <w:color w:val="auto"/>
          <w:sz w:val="28"/>
          <w:szCs w:val="32"/>
        </w:rPr>
        <w:t>建设内容</w:t>
      </w:r>
    </w:p>
    <w:p>
      <w:pPr>
        <w:spacing w:before="46" w:beforeLines="15" w:after="46" w:afterLines="15" w:line="360" w:lineRule="auto"/>
        <w:ind w:firstLine="480" w:firstLineChars="200"/>
        <w:rPr>
          <w:color w:val="auto"/>
          <w:kern w:val="0"/>
          <w:sz w:val="24"/>
          <w:lang w:val="zh-CN"/>
        </w:rPr>
      </w:pPr>
      <w:r>
        <w:rPr>
          <w:rFonts w:hint="eastAsia"/>
          <w:color w:val="auto"/>
          <w:kern w:val="0"/>
          <w:sz w:val="24"/>
          <w:lang w:val="zh-CN"/>
        </w:rPr>
        <w:t>本项目统筹建设台州交警“3+1+1</w:t>
      </w:r>
      <w:r>
        <w:rPr>
          <w:rFonts w:hint="eastAsia"/>
          <w:color w:val="auto"/>
          <w:kern w:val="0"/>
          <w:sz w:val="24"/>
          <w:lang w:val="en-US" w:eastAsia="zh-CN"/>
        </w:rPr>
        <w:t>0</w:t>
      </w:r>
      <w:r>
        <w:rPr>
          <w:rFonts w:hint="eastAsia"/>
          <w:color w:val="auto"/>
          <w:kern w:val="0"/>
          <w:sz w:val="24"/>
          <w:lang w:val="zh-CN"/>
        </w:rPr>
        <w:t>”智慧交管工程，其中“3”为包含资源中心、数据中心、赋能中心在内的三大支撑中心，“1”为一个协同应用体系，“1</w:t>
      </w:r>
      <w:r>
        <w:rPr>
          <w:rFonts w:hint="eastAsia"/>
          <w:color w:val="auto"/>
          <w:kern w:val="0"/>
          <w:sz w:val="24"/>
          <w:lang w:val="en-US" w:eastAsia="zh-CN"/>
        </w:rPr>
        <w:t>0</w:t>
      </w:r>
      <w:r>
        <w:rPr>
          <w:rFonts w:hint="eastAsia"/>
          <w:color w:val="auto"/>
          <w:kern w:val="0"/>
          <w:sz w:val="24"/>
          <w:lang w:val="zh-CN"/>
        </w:rPr>
        <w:t>”为包含应用融合管理模块、数智实战模块、数智决策模块、高地一体化模块、信号控制提升模块、事故可视化模块、交通态势分析模块、驾驶人学习防范模块、运维管理模块、移动应用模块在内可按需拓展的1</w:t>
      </w:r>
      <w:r>
        <w:rPr>
          <w:rFonts w:hint="eastAsia"/>
          <w:color w:val="auto"/>
          <w:kern w:val="0"/>
          <w:sz w:val="24"/>
          <w:lang w:val="en-US" w:eastAsia="zh-CN"/>
        </w:rPr>
        <w:t>0</w:t>
      </w:r>
      <w:r>
        <w:rPr>
          <w:rFonts w:hint="eastAsia"/>
          <w:color w:val="auto"/>
          <w:kern w:val="0"/>
          <w:sz w:val="24"/>
          <w:lang w:val="zh-CN"/>
        </w:rPr>
        <w:t>个应用模块。</w:t>
      </w:r>
    </w:p>
    <w:p>
      <w:pPr>
        <w:widowControl/>
        <w:autoSpaceDE w:val="0"/>
        <w:autoSpaceDN w:val="0"/>
        <w:adjustRightInd w:val="0"/>
        <w:spacing w:line="360" w:lineRule="auto"/>
        <w:ind w:firstLine="460" w:firstLineChars="192"/>
        <w:jc w:val="left"/>
        <w:rPr>
          <w:color w:val="auto"/>
          <w:kern w:val="0"/>
          <w:sz w:val="24"/>
          <w:szCs w:val="28"/>
        </w:rPr>
      </w:pPr>
      <w:r>
        <w:rPr>
          <w:color w:val="auto"/>
          <w:kern w:val="0"/>
          <w:sz w:val="24"/>
          <w:szCs w:val="28"/>
        </w:rPr>
        <w:t>1</w:t>
      </w:r>
      <w:r>
        <w:rPr>
          <w:rFonts w:hint="eastAsia"/>
          <w:color w:val="auto"/>
          <w:kern w:val="0"/>
          <w:sz w:val="24"/>
          <w:szCs w:val="28"/>
        </w:rPr>
        <w:t>）资源中心</w:t>
      </w:r>
    </w:p>
    <w:p>
      <w:pPr>
        <w:widowControl/>
        <w:autoSpaceDE w:val="0"/>
        <w:autoSpaceDN w:val="0"/>
        <w:adjustRightInd w:val="0"/>
        <w:spacing w:line="360" w:lineRule="auto"/>
        <w:ind w:firstLine="460" w:firstLineChars="192"/>
        <w:jc w:val="left"/>
        <w:rPr>
          <w:color w:val="auto"/>
          <w:kern w:val="0"/>
          <w:sz w:val="24"/>
          <w:szCs w:val="28"/>
        </w:rPr>
      </w:pPr>
      <w:r>
        <w:rPr>
          <w:rFonts w:hint="eastAsia"/>
          <w:color w:val="auto"/>
          <w:kern w:val="0"/>
          <w:sz w:val="24"/>
          <w:szCs w:val="28"/>
        </w:rPr>
        <w:t>建设计算基础资源、平台服务、大数据平台和系统运维平台等内容，基础资源主要包括通用计算资源、</w:t>
      </w:r>
      <w:r>
        <w:rPr>
          <w:color w:val="auto"/>
          <w:kern w:val="0"/>
          <w:sz w:val="24"/>
          <w:szCs w:val="28"/>
        </w:rPr>
        <w:t>GPU</w:t>
      </w:r>
      <w:r>
        <w:rPr>
          <w:rFonts w:hint="eastAsia"/>
          <w:color w:val="auto"/>
          <w:kern w:val="0"/>
          <w:sz w:val="24"/>
          <w:szCs w:val="28"/>
        </w:rPr>
        <w:t>计算资源和相关存储资源，为台州市智慧交管数据中心、数据标准体系、大数据平台搭建及智慧应用部署提供基础支撑。在公安视频专网和公安信息网各部署一套平台，交管智能体，采用扩展性良好的“松耦合”架构，各层之间可相互协调，任意扩展，满足未来交管一体化应用的使用和扩展需求。</w:t>
      </w:r>
    </w:p>
    <w:p>
      <w:pPr>
        <w:widowControl/>
        <w:autoSpaceDE w:val="0"/>
        <w:autoSpaceDN w:val="0"/>
        <w:adjustRightInd w:val="0"/>
        <w:spacing w:line="360" w:lineRule="auto"/>
        <w:ind w:firstLine="460" w:firstLineChars="192"/>
        <w:jc w:val="left"/>
        <w:rPr>
          <w:color w:val="auto"/>
          <w:kern w:val="0"/>
          <w:sz w:val="24"/>
          <w:szCs w:val="28"/>
        </w:rPr>
      </w:pPr>
      <w:r>
        <w:rPr>
          <w:color w:val="auto"/>
          <w:kern w:val="0"/>
          <w:sz w:val="24"/>
          <w:szCs w:val="28"/>
        </w:rPr>
        <w:t>2</w:t>
      </w:r>
      <w:r>
        <w:rPr>
          <w:rFonts w:hint="eastAsia"/>
          <w:color w:val="auto"/>
          <w:kern w:val="0"/>
          <w:sz w:val="24"/>
          <w:szCs w:val="28"/>
        </w:rPr>
        <w:t>）数据</w:t>
      </w:r>
      <w:r>
        <w:rPr>
          <w:color w:val="auto"/>
          <w:kern w:val="0"/>
          <w:sz w:val="24"/>
          <w:szCs w:val="28"/>
        </w:rPr>
        <w:t>中心</w:t>
      </w:r>
    </w:p>
    <w:p>
      <w:pPr>
        <w:widowControl/>
        <w:autoSpaceDE w:val="0"/>
        <w:autoSpaceDN w:val="0"/>
        <w:adjustRightInd w:val="0"/>
        <w:spacing w:line="360" w:lineRule="auto"/>
        <w:ind w:firstLine="460" w:firstLineChars="192"/>
        <w:jc w:val="left"/>
        <w:rPr>
          <w:color w:val="auto"/>
          <w:kern w:val="0"/>
          <w:sz w:val="24"/>
          <w:szCs w:val="28"/>
        </w:rPr>
      </w:pPr>
      <w:r>
        <w:rPr>
          <w:rFonts w:hint="eastAsia"/>
          <w:color w:val="auto"/>
          <w:kern w:val="0"/>
          <w:sz w:val="24"/>
          <w:szCs w:val="28"/>
        </w:rPr>
        <w:t>通过统一的数据接入标准规范，支持对各类外场设备采集数据、交通管理信息化数据、社会信息资源、公安信息资源、交通相关部门数据以及交通相关企业数据的接入、清洗、转换与治理，建设全域全量大数据资源池，支持数据“统一处理、统一存储、统一分析、统一应用、统一共享”的目标，面向各交管应用系统提供数据支撑，支持应用业务系统与数据平台之间的分层解耦、兼容开放的生态体系，同时交警部门统一拥有交管数据管理、分配、共享、服务的所有权。</w:t>
      </w:r>
    </w:p>
    <w:p>
      <w:pPr>
        <w:widowControl/>
        <w:autoSpaceDE w:val="0"/>
        <w:autoSpaceDN w:val="0"/>
        <w:adjustRightInd w:val="0"/>
        <w:spacing w:line="360" w:lineRule="auto"/>
        <w:ind w:firstLine="460" w:firstLineChars="192"/>
        <w:jc w:val="left"/>
        <w:rPr>
          <w:color w:val="auto"/>
          <w:kern w:val="0"/>
          <w:sz w:val="24"/>
          <w:szCs w:val="28"/>
        </w:rPr>
      </w:pPr>
      <w:r>
        <w:rPr>
          <w:color w:val="auto"/>
          <w:kern w:val="0"/>
          <w:sz w:val="24"/>
          <w:szCs w:val="28"/>
        </w:rPr>
        <w:t>3</w:t>
      </w:r>
      <w:r>
        <w:rPr>
          <w:rFonts w:hint="eastAsia"/>
          <w:color w:val="auto"/>
          <w:kern w:val="0"/>
          <w:sz w:val="24"/>
          <w:szCs w:val="28"/>
        </w:rPr>
        <w:t>）赋能中心</w:t>
      </w:r>
    </w:p>
    <w:p>
      <w:pPr>
        <w:widowControl/>
        <w:autoSpaceDE w:val="0"/>
        <w:autoSpaceDN w:val="0"/>
        <w:adjustRightInd w:val="0"/>
        <w:spacing w:line="360" w:lineRule="auto"/>
        <w:ind w:firstLine="460" w:firstLineChars="192"/>
        <w:jc w:val="left"/>
        <w:rPr>
          <w:color w:val="auto"/>
          <w:kern w:val="0"/>
          <w:sz w:val="24"/>
          <w:szCs w:val="28"/>
        </w:rPr>
      </w:pPr>
      <w:r>
        <w:rPr>
          <w:color w:val="auto"/>
          <w:kern w:val="0"/>
          <w:sz w:val="24"/>
          <w:szCs w:val="28"/>
        </w:rPr>
        <w:t>适应人工智能、大数据技术发展，面向交警业务实战应用，落实分级分类预警机制，建设</w:t>
      </w:r>
      <w:r>
        <w:rPr>
          <w:rFonts w:hint="eastAsia"/>
          <w:color w:val="auto"/>
          <w:kern w:val="0"/>
          <w:sz w:val="24"/>
          <w:szCs w:val="28"/>
        </w:rPr>
        <w:t>车像、</w:t>
      </w:r>
      <w:r>
        <w:rPr>
          <w:color w:val="auto"/>
          <w:kern w:val="0"/>
          <w:sz w:val="24"/>
          <w:szCs w:val="28"/>
        </w:rPr>
        <w:t>违法图片识别比对智能应用，搭建多层级音视频协同任务调度通道，推进</w:t>
      </w:r>
      <w:r>
        <w:rPr>
          <w:rFonts w:hint="eastAsia"/>
          <w:b/>
          <w:bCs/>
          <w:color w:val="auto"/>
          <w:kern w:val="0"/>
          <w:sz w:val="24"/>
          <w:szCs w:val="28"/>
          <w:lang w:eastAsia="zh-CN"/>
        </w:rPr>
        <w:t>高速及地方</w:t>
      </w:r>
      <w:r>
        <w:rPr>
          <w:color w:val="auto"/>
          <w:kern w:val="0"/>
          <w:sz w:val="24"/>
          <w:szCs w:val="28"/>
        </w:rPr>
        <w:t>公路交通安全防控、交通违法分析研判、应急任务调度等业务岗位数字化转型和智能化改造，全面提高交通安全隐患发现消除能力，为道路交通事故预防中心工作提供技术支撑服务。</w:t>
      </w:r>
    </w:p>
    <w:p>
      <w:pPr>
        <w:widowControl/>
        <w:autoSpaceDE w:val="0"/>
        <w:autoSpaceDN w:val="0"/>
        <w:adjustRightInd w:val="0"/>
        <w:spacing w:line="360" w:lineRule="auto"/>
        <w:ind w:firstLine="460" w:firstLineChars="192"/>
        <w:jc w:val="left"/>
        <w:rPr>
          <w:color w:val="auto"/>
          <w:kern w:val="0"/>
          <w:sz w:val="24"/>
          <w:szCs w:val="28"/>
        </w:rPr>
      </w:pPr>
      <w:r>
        <w:rPr>
          <w:color w:val="auto"/>
          <w:kern w:val="0"/>
          <w:sz w:val="24"/>
          <w:szCs w:val="28"/>
        </w:rPr>
        <w:t>4</w:t>
      </w:r>
      <w:r>
        <w:rPr>
          <w:rFonts w:hint="eastAsia"/>
          <w:color w:val="auto"/>
          <w:kern w:val="0"/>
          <w:sz w:val="24"/>
          <w:szCs w:val="28"/>
        </w:rPr>
        <w:t>）智慧交管协同应用体系</w:t>
      </w:r>
    </w:p>
    <w:p>
      <w:pPr>
        <w:widowControl/>
        <w:autoSpaceDE w:val="0"/>
        <w:autoSpaceDN w:val="0"/>
        <w:adjustRightInd w:val="0"/>
        <w:spacing w:before="120" w:after="120" w:line="360" w:lineRule="auto"/>
        <w:ind w:firstLine="463" w:firstLineChars="192"/>
        <w:jc w:val="left"/>
        <w:rPr>
          <w:color w:val="auto"/>
          <w:kern w:val="0"/>
          <w:sz w:val="24"/>
          <w:szCs w:val="28"/>
        </w:rPr>
      </w:pPr>
      <w:r>
        <w:rPr>
          <w:rFonts w:hint="eastAsia"/>
          <w:b/>
          <w:color w:val="auto"/>
          <w:kern w:val="0"/>
          <w:sz w:val="24"/>
          <w:szCs w:val="28"/>
        </w:rPr>
        <w:t>应用融合管理模块。</w:t>
      </w:r>
      <w:r>
        <w:rPr>
          <w:rFonts w:hint="eastAsia"/>
          <w:color w:val="auto"/>
          <w:kern w:val="0"/>
          <w:sz w:val="24"/>
          <w:szCs w:val="28"/>
        </w:rPr>
        <w:t>智慧交管应用融合管理模块提供用户基本的使用功能，包含统一认证管理、统一门户集成、用户体系对接、统一授权管理、统一接入管理等功能。</w:t>
      </w:r>
    </w:p>
    <w:p>
      <w:pPr>
        <w:widowControl/>
        <w:autoSpaceDE w:val="0"/>
        <w:autoSpaceDN w:val="0"/>
        <w:adjustRightInd w:val="0"/>
        <w:spacing w:before="120" w:after="120" w:line="360" w:lineRule="auto"/>
        <w:ind w:firstLine="463" w:firstLineChars="192"/>
        <w:jc w:val="left"/>
        <w:rPr>
          <w:color w:val="auto"/>
          <w:kern w:val="0"/>
          <w:sz w:val="24"/>
          <w:szCs w:val="28"/>
        </w:rPr>
      </w:pPr>
      <w:r>
        <w:rPr>
          <w:rFonts w:hint="eastAsia"/>
          <w:b/>
          <w:color w:val="auto"/>
          <w:kern w:val="0"/>
          <w:sz w:val="24"/>
          <w:szCs w:val="28"/>
        </w:rPr>
        <w:t>数智实战模块。</w:t>
      </w:r>
      <w:r>
        <w:rPr>
          <w:rFonts w:hint="eastAsia"/>
          <w:color w:val="auto"/>
          <w:kern w:val="0"/>
          <w:sz w:val="24"/>
          <w:szCs w:val="28"/>
        </w:rPr>
        <w:t>数智实战模块建设从台州市交通实际情况出发，结合公安部新勤务管理体系和本市公安**机制改革，充分运用大数据、云计算、物联网、互联网等信息技术，探索健全预警、研判、指挥、调度、联动、考核、监督的新**运行机制，在此基础上，构建运营决策与感知控制机制，形成“问题导向，运营决策闭环”与“绩效导向，**执行闭环”双闭环，追求最大的**绩效，努力提升城市交通治理能力的现代化水平。</w:t>
      </w:r>
    </w:p>
    <w:p>
      <w:pPr>
        <w:widowControl/>
        <w:autoSpaceDE w:val="0"/>
        <w:autoSpaceDN w:val="0"/>
        <w:adjustRightInd w:val="0"/>
        <w:spacing w:before="120" w:after="120" w:line="360" w:lineRule="auto"/>
        <w:ind w:firstLine="463" w:firstLineChars="192"/>
        <w:jc w:val="left"/>
        <w:rPr>
          <w:color w:val="auto"/>
          <w:kern w:val="0"/>
          <w:sz w:val="24"/>
          <w:szCs w:val="28"/>
        </w:rPr>
      </w:pPr>
      <w:r>
        <w:rPr>
          <w:b/>
          <w:color w:val="auto"/>
          <w:kern w:val="0"/>
          <w:sz w:val="24"/>
          <w:szCs w:val="28"/>
        </w:rPr>
        <w:t>数智决策模块</w:t>
      </w:r>
      <w:r>
        <w:rPr>
          <w:rFonts w:hint="eastAsia"/>
          <w:b/>
          <w:color w:val="auto"/>
          <w:kern w:val="0"/>
          <w:sz w:val="24"/>
          <w:szCs w:val="28"/>
        </w:rPr>
        <w:t>。</w:t>
      </w:r>
      <w:r>
        <w:rPr>
          <w:rFonts w:hint="eastAsia"/>
          <w:color w:val="auto"/>
          <w:kern w:val="0"/>
          <w:sz w:val="24"/>
          <w:szCs w:val="28"/>
        </w:rPr>
        <w:t>依据数据中心，通过大数据研判分析，按照交通管理要素的变化趋势给出不同的应用场景，以可视化看板方式，呈现城市交通整体态势及交通运行过程的异常突变情况；主动推送交通运行异常情况，提前针对每一种应用场景给出勤务处置预案。其主要的展现方式由交通态势看板、指挥看板、</w:t>
      </w:r>
      <w:r>
        <w:rPr>
          <w:color w:val="auto"/>
          <w:kern w:val="0"/>
          <w:sz w:val="24"/>
          <w:szCs w:val="28"/>
        </w:rPr>
        <w:t>情报看板</w:t>
      </w:r>
      <w:r>
        <w:rPr>
          <w:rFonts w:hint="eastAsia"/>
          <w:color w:val="auto"/>
          <w:kern w:val="0"/>
          <w:sz w:val="24"/>
          <w:szCs w:val="28"/>
        </w:rPr>
        <w:t>、勤务看板、中队看板、事故看板六部分组成，针对决策</w:t>
      </w:r>
      <w:r>
        <w:rPr>
          <w:color w:val="auto"/>
          <w:kern w:val="0"/>
          <w:sz w:val="24"/>
          <w:szCs w:val="28"/>
        </w:rPr>
        <w:t>人员</w:t>
      </w:r>
      <w:r>
        <w:rPr>
          <w:rFonts w:hint="eastAsia"/>
          <w:color w:val="auto"/>
          <w:kern w:val="0"/>
          <w:sz w:val="24"/>
          <w:szCs w:val="28"/>
        </w:rPr>
        <w:t>、指挥人员、</w:t>
      </w:r>
      <w:r>
        <w:rPr>
          <w:color w:val="auto"/>
          <w:kern w:val="0"/>
          <w:sz w:val="24"/>
          <w:szCs w:val="28"/>
        </w:rPr>
        <w:t>情报分析人员、</w:t>
      </w:r>
      <w:r>
        <w:rPr>
          <w:rFonts w:hint="eastAsia"/>
          <w:color w:val="auto"/>
          <w:kern w:val="0"/>
          <w:sz w:val="24"/>
          <w:szCs w:val="28"/>
        </w:rPr>
        <w:t>路面带班</w:t>
      </w:r>
      <w:r>
        <w:rPr>
          <w:color w:val="auto"/>
          <w:kern w:val="0"/>
          <w:sz w:val="24"/>
          <w:szCs w:val="28"/>
        </w:rPr>
        <w:t>人员</w:t>
      </w:r>
      <w:r>
        <w:rPr>
          <w:rFonts w:hint="eastAsia"/>
          <w:color w:val="auto"/>
          <w:kern w:val="0"/>
          <w:sz w:val="24"/>
          <w:szCs w:val="28"/>
        </w:rPr>
        <w:t>各角色不同关注点，提供以个性化、智能化、可视化为突出特征的多屏实战。</w:t>
      </w:r>
    </w:p>
    <w:p>
      <w:pPr>
        <w:widowControl/>
        <w:autoSpaceDE w:val="0"/>
        <w:autoSpaceDN w:val="0"/>
        <w:adjustRightInd w:val="0"/>
        <w:spacing w:before="120" w:after="120" w:line="360" w:lineRule="auto"/>
        <w:ind w:firstLine="463" w:firstLineChars="192"/>
        <w:jc w:val="left"/>
        <w:rPr>
          <w:color w:val="auto"/>
          <w:kern w:val="0"/>
          <w:sz w:val="24"/>
          <w:szCs w:val="28"/>
        </w:rPr>
      </w:pPr>
      <w:r>
        <w:rPr>
          <w:rFonts w:hint="eastAsia"/>
          <w:b/>
          <w:color w:val="auto"/>
          <w:kern w:val="0"/>
          <w:sz w:val="24"/>
          <w:szCs w:val="28"/>
        </w:rPr>
        <w:t>高地一体化模块。</w:t>
      </w:r>
      <w:r>
        <w:rPr>
          <w:rFonts w:hint="eastAsia"/>
          <w:color w:val="auto"/>
          <w:kern w:val="0"/>
          <w:sz w:val="24"/>
          <w:szCs w:val="28"/>
        </w:rPr>
        <w:t>整合台州城区与高速公路交通管控的设备资源、感知能力、分析能力与处置能力，基于扁平化指挥调度思想打造“高地一体化一张图”的指挥作战平台，打破了台州城区与高速交通管控的信息壁垒，提升了处置决策的能力与效率。</w:t>
      </w:r>
    </w:p>
    <w:p>
      <w:pPr>
        <w:widowControl/>
        <w:autoSpaceDE w:val="0"/>
        <w:autoSpaceDN w:val="0"/>
        <w:adjustRightInd w:val="0"/>
        <w:spacing w:before="120" w:after="120" w:line="360" w:lineRule="auto"/>
        <w:ind w:firstLine="463" w:firstLineChars="192"/>
        <w:jc w:val="left"/>
        <w:rPr>
          <w:color w:val="auto"/>
          <w:kern w:val="0"/>
          <w:sz w:val="24"/>
          <w:szCs w:val="28"/>
        </w:rPr>
      </w:pPr>
      <w:r>
        <w:rPr>
          <w:b/>
          <w:color w:val="auto"/>
          <w:kern w:val="0"/>
          <w:sz w:val="24"/>
          <w:szCs w:val="28"/>
        </w:rPr>
        <w:t>信号控制提升模块</w:t>
      </w:r>
      <w:r>
        <w:rPr>
          <w:rFonts w:hint="eastAsia"/>
          <w:b/>
          <w:color w:val="auto"/>
          <w:kern w:val="0"/>
          <w:sz w:val="24"/>
          <w:szCs w:val="28"/>
        </w:rPr>
        <w:t>。</w:t>
      </w:r>
      <w:r>
        <w:rPr>
          <w:rFonts w:hint="eastAsia"/>
          <w:color w:val="auto"/>
          <w:kern w:val="0"/>
          <w:sz w:val="24"/>
          <w:szCs w:val="28"/>
        </w:rPr>
        <w:t>规范管控平台数据信息，扩展台州市交通信号统一管控区域；在此基础上，</w:t>
      </w:r>
      <w:r>
        <w:rPr>
          <w:rFonts w:hint="eastAsia"/>
          <w:color w:val="auto"/>
          <w:kern w:val="0"/>
          <w:sz w:val="24"/>
          <w:szCs w:val="28"/>
          <w:lang w:eastAsia="zh-CN"/>
        </w:rPr>
        <w:t>对干线绿波进一步调整优化，</w:t>
      </w:r>
      <w:r>
        <w:rPr>
          <w:rFonts w:hint="eastAsia"/>
          <w:color w:val="auto"/>
          <w:kern w:val="0"/>
          <w:sz w:val="24"/>
          <w:szCs w:val="28"/>
        </w:rPr>
        <w:t>提升交通管控公众服务能力，促进台州市全域信号管控向规范化、精细化、智慧化发展。</w:t>
      </w:r>
    </w:p>
    <w:p>
      <w:pPr>
        <w:widowControl/>
        <w:autoSpaceDE w:val="0"/>
        <w:autoSpaceDN w:val="0"/>
        <w:adjustRightInd w:val="0"/>
        <w:spacing w:before="120" w:after="120" w:line="360" w:lineRule="auto"/>
        <w:ind w:firstLine="463" w:firstLineChars="192"/>
        <w:jc w:val="left"/>
        <w:rPr>
          <w:color w:val="auto"/>
          <w:kern w:val="0"/>
          <w:sz w:val="24"/>
          <w:szCs w:val="28"/>
        </w:rPr>
      </w:pPr>
      <w:r>
        <w:rPr>
          <w:b/>
          <w:color w:val="auto"/>
          <w:kern w:val="0"/>
          <w:sz w:val="24"/>
          <w:szCs w:val="28"/>
        </w:rPr>
        <w:t>事故可视化模块</w:t>
      </w:r>
      <w:r>
        <w:rPr>
          <w:rFonts w:hint="eastAsia"/>
          <w:b/>
          <w:color w:val="auto"/>
          <w:kern w:val="0"/>
          <w:sz w:val="24"/>
          <w:szCs w:val="28"/>
        </w:rPr>
        <w:t>。</w:t>
      </w:r>
      <w:r>
        <w:rPr>
          <w:rFonts w:hint="eastAsia"/>
          <w:color w:val="auto"/>
          <w:kern w:val="0"/>
          <w:sz w:val="24"/>
          <w:szCs w:val="28"/>
        </w:rPr>
        <w:t>将公安部核心业务系统的海量事故数据进行数据汇聚、治理管理，研判挖掘事故发生的规律，形成事故分析报告，对可能出现的道路交通事故概率高发倾向以及数据异常情况及时向交通管理决策部门发出预警，以便降低事故发生的概率。</w:t>
      </w:r>
    </w:p>
    <w:p>
      <w:pPr>
        <w:widowControl/>
        <w:autoSpaceDE w:val="0"/>
        <w:autoSpaceDN w:val="0"/>
        <w:adjustRightInd w:val="0"/>
        <w:spacing w:before="120" w:after="120" w:line="360" w:lineRule="auto"/>
        <w:ind w:firstLine="463" w:firstLineChars="192"/>
        <w:jc w:val="left"/>
        <w:rPr>
          <w:color w:val="auto"/>
          <w:kern w:val="0"/>
          <w:sz w:val="24"/>
          <w:szCs w:val="28"/>
        </w:rPr>
      </w:pPr>
      <w:r>
        <w:rPr>
          <w:rFonts w:hint="eastAsia"/>
          <w:b/>
          <w:color w:val="auto"/>
          <w:kern w:val="0"/>
          <w:sz w:val="24"/>
          <w:szCs w:val="28"/>
        </w:rPr>
        <w:t>交通态势分析模块。</w:t>
      </w:r>
      <w:r>
        <w:rPr>
          <w:rFonts w:hint="eastAsia"/>
          <w:color w:val="auto"/>
          <w:kern w:val="0"/>
          <w:sz w:val="24"/>
          <w:szCs w:val="28"/>
        </w:rPr>
        <w:t>利用大数据融合技术，在统一的路网表达的基础上，通过多维分析挖掘交通数据价值，准确感知城市交通运行体征，提供客观掌握城市交通状况的晴雨表，支撑城市交通精细化管理和快速决策。</w:t>
      </w:r>
    </w:p>
    <w:p>
      <w:pPr>
        <w:widowControl/>
        <w:autoSpaceDE w:val="0"/>
        <w:autoSpaceDN w:val="0"/>
        <w:adjustRightInd w:val="0"/>
        <w:spacing w:before="120" w:after="120" w:line="360" w:lineRule="auto"/>
        <w:ind w:firstLine="463" w:firstLineChars="192"/>
        <w:jc w:val="left"/>
        <w:rPr>
          <w:color w:val="auto"/>
          <w:kern w:val="0"/>
          <w:sz w:val="24"/>
          <w:szCs w:val="28"/>
        </w:rPr>
      </w:pPr>
      <w:r>
        <w:rPr>
          <w:rFonts w:hint="eastAsia"/>
          <w:b/>
          <w:color w:val="auto"/>
          <w:kern w:val="0"/>
          <w:sz w:val="24"/>
          <w:szCs w:val="28"/>
        </w:rPr>
        <w:t>驾驶人学习防范模块。</w:t>
      </w:r>
      <w:r>
        <w:rPr>
          <w:rFonts w:hint="eastAsia"/>
          <w:color w:val="auto"/>
          <w:kern w:val="0"/>
          <w:sz w:val="24"/>
          <w:szCs w:val="28"/>
        </w:rPr>
        <w:t>引导驾驶人主动学习道路交通安全知识，增强自身安全出行意识。通过学习管理平台推动驾驶人道路交通安全的学习，落实驾驶人的学习成效。从而达到广泛普及安全常识，从源头支持最大限度预防和减少交通事故发生的最终目标。</w:t>
      </w:r>
    </w:p>
    <w:p>
      <w:pPr>
        <w:spacing w:before="46" w:beforeLines="15" w:after="46" w:afterLines="15" w:line="360" w:lineRule="auto"/>
        <w:ind w:firstLine="482" w:firstLineChars="200"/>
        <w:rPr>
          <w:color w:val="auto"/>
          <w:kern w:val="0"/>
          <w:sz w:val="24"/>
          <w:lang w:val="zh-CN"/>
        </w:rPr>
      </w:pPr>
      <w:r>
        <w:rPr>
          <w:rFonts w:hint="eastAsia"/>
          <w:b/>
          <w:color w:val="auto"/>
          <w:kern w:val="0"/>
          <w:sz w:val="24"/>
          <w:lang w:val="zh-CN"/>
        </w:rPr>
        <w:t>运维管理模块。</w:t>
      </w:r>
      <w:r>
        <w:rPr>
          <w:rFonts w:hint="eastAsia"/>
          <w:color w:val="auto"/>
          <w:kern w:val="0"/>
          <w:sz w:val="24"/>
          <w:lang w:val="zh-CN"/>
        </w:rPr>
        <w:t>通过对全域资产的统一化管理，统一化编码，统一化配置，统一化展示和统一化标签构建运维平台一体化的资产管理体系。通过人工智能，视觉分析，大数据等技术对物联感知设备等对象进行实时监测、呈现和预警，构建一套智能化，多样化的设备状态检测体系。第一时间发现设备在运行期间存在的问题。运维工作中涉及到的设备多种多样，发现的告警信息也是类型众多。通过建立统一化的告警处理体系，使得各类告警进行统一化的管理，分级分类，规范处理。构建公开化，数据化的运维考核体系。需要建立公正、合理、可量化的工作考核体系，对部门，项目，人员对各个维度进行规范化的考核评价，提高运维效率和管理水平。形成规范化、标准化的运维过程管理机制。智能运维平台的设计以ITSS的先进管理理念为指引，加强了主动化、规范化管理，对系统故障维护和处置过程进行实时跟踪把控和规范化管理。</w:t>
      </w:r>
    </w:p>
    <w:p>
      <w:pPr>
        <w:widowControl/>
        <w:autoSpaceDE w:val="0"/>
        <w:autoSpaceDN w:val="0"/>
        <w:adjustRightInd w:val="0"/>
        <w:spacing w:before="120" w:after="120" w:line="360" w:lineRule="auto"/>
        <w:ind w:firstLine="463" w:firstLineChars="192"/>
        <w:jc w:val="left"/>
        <w:rPr>
          <w:color w:val="auto"/>
          <w:kern w:val="0"/>
          <w:sz w:val="24"/>
          <w:szCs w:val="28"/>
        </w:rPr>
      </w:pPr>
      <w:r>
        <w:rPr>
          <w:rFonts w:hint="eastAsia"/>
          <w:b/>
          <w:color w:val="auto"/>
          <w:kern w:val="0"/>
          <w:sz w:val="24"/>
          <w:szCs w:val="28"/>
        </w:rPr>
        <w:t>移动应用模块。</w:t>
      </w:r>
      <w:r>
        <w:rPr>
          <w:rFonts w:hint="eastAsia"/>
          <w:color w:val="auto"/>
          <w:kern w:val="0"/>
          <w:sz w:val="24"/>
          <w:szCs w:val="28"/>
        </w:rPr>
        <w:t>“浙政钉”和“浙里办”是台州市加快政府职能转变、建设服务型政府、适应信息化时代要求的具体举措，围绕缓解城市交通拥堵、提升公交服务能力、交通网格化管理、提高综合运输协调能力等重点工作，以提升应用效能为主题，以提高管理的精细化、服务的精准化为核心，以构建各级协同工作平台为抓手，搭建综合交通运行监测与协调联动框架，形成一体化多方式公众服务体系，建设覆盖全面的交通信息监测体系、可视化的交通监控指挥体系、协同共享的电子政务体系、方便实用的交通信息服务体系，最终建成新型的、智慧的综合交通运输系统，提高交通运输系统的运行效率和服务水平，为公众提供畅通、安全、绿色、舒适的出行服务，为智慧城市建设奠定基础。</w:t>
      </w:r>
    </w:p>
    <w:p>
      <w:pPr>
        <w:keepNext/>
        <w:keepLines/>
        <w:numPr>
          <w:ilvl w:val="2"/>
          <w:numId w:val="2"/>
        </w:numPr>
        <w:tabs>
          <w:tab w:val="left" w:pos="142"/>
          <w:tab w:val="left" w:pos="360"/>
        </w:tabs>
        <w:spacing w:line="360" w:lineRule="auto"/>
        <w:ind w:left="0" w:firstLine="0"/>
        <w:outlineLvl w:val="2"/>
        <w:rPr>
          <w:rFonts w:ascii="黑体" w:hAnsi="黑体" w:eastAsia="黑体" w:cs="仿宋"/>
          <w:b/>
          <w:bCs/>
          <w:color w:val="auto"/>
          <w:sz w:val="28"/>
          <w:szCs w:val="32"/>
        </w:rPr>
      </w:pPr>
      <w:r>
        <w:rPr>
          <w:rFonts w:hint="eastAsia" w:ascii="黑体" w:hAnsi="黑体" w:eastAsia="黑体" w:cs="仿宋"/>
          <w:b/>
          <w:bCs/>
          <w:color w:val="auto"/>
          <w:sz w:val="28"/>
          <w:szCs w:val="32"/>
        </w:rPr>
        <w:t>建设原则</w:t>
      </w:r>
    </w:p>
    <w:p>
      <w:pPr>
        <w:spacing w:before="46" w:beforeLines="15" w:after="46" w:afterLines="15" w:line="360" w:lineRule="auto"/>
        <w:ind w:firstLine="480" w:firstLineChars="200"/>
        <w:rPr>
          <w:color w:val="auto"/>
          <w:kern w:val="0"/>
          <w:sz w:val="24"/>
          <w:lang w:val="zh-CN"/>
        </w:rPr>
      </w:pPr>
      <w:r>
        <w:rPr>
          <w:rFonts w:hint="eastAsia"/>
          <w:color w:val="auto"/>
          <w:kern w:val="0"/>
          <w:sz w:val="24"/>
          <w:lang w:val="zh-CN"/>
        </w:rPr>
        <w:t>以用促建：坚持需求导向，强化平台建设的针对性和有效性；</w:t>
      </w:r>
    </w:p>
    <w:p>
      <w:pPr>
        <w:spacing w:before="46" w:beforeLines="15" w:after="46" w:afterLines="15" w:line="360" w:lineRule="auto"/>
        <w:ind w:firstLine="480" w:firstLineChars="200"/>
        <w:rPr>
          <w:color w:val="auto"/>
          <w:kern w:val="0"/>
          <w:sz w:val="24"/>
          <w:lang w:val="zh-CN"/>
        </w:rPr>
      </w:pPr>
      <w:r>
        <w:rPr>
          <w:rFonts w:hint="eastAsia"/>
          <w:color w:val="auto"/>
          <w:kern w:val="0"/>
          <w:sz w:val="24"/>
          <w:lang w:val="zh-CN"/>
        </w:rPr>
        <w:t>统筹规划：坚持“全市一盘棋”、市县联动。加强顶层设计和鼓励基层创新相结合；</w:t>
      </w:r>
    </w:p>
    <w:p>
      <w:pPr>
        <w:spacing w:before="46" w:beforeLines="15" w:after="46" w:afterLines="15" w:line="360" w:lineRule="auto"/>
        <w:ind w:firstLine="480" w:firstLineChars="200"/>
        <w:rPr>
          <w:color w:val="auto"/>
          <w:kern w:val="0"/>
          <w:sz w:val="24"/>
          <w:lang w:val="zh-CN"/>
        </w:rPr>
      </w:pPr>
      <w:r>
        <w:rPr>
          <w:rFonts w:hint="eastAsia"/>
          <w:color w:val="auto"/>
          <w:kern w:val="0"/>
          <w:sz w:val="24"/>
          <w:lang w:val="zh-CN"/>
        </w:rPr>
        <w:t>共建共享：集约建设，多方参与，共创共享共优；一地创新，全市受益；</w:t>
      </w:r>
    </w:p>
    <w:p>
      <w:pPr>
        <w:spacing w:before="46" w:beforeLines="15" w:after="46" w:afterLines="15" w:line="360" w:lineRule="auto"/>
        <w:ind w:firstLine="480" w:firstLineChars="200"/>
        <w:rPr>
          <w:color w:val="auto"/>
          <w:kern w:val="0"/>
          <w:sz w:val="24"/>
          <w:lang w:val="zh-CN"/>
        </w:rPr>
      </w:pPr>
      <w:r>
        <w:rPr>
          <w:rFonts w:hint="eastAsia"/>
          <w:color w:val="auto"/>
          <w:kern w:val="0"/>
          <w:sz w:val="24"/>
          <w:lang w:val="zh-CN"/>
        </w:rPr>
        <w:t>标准规范：坚持标准引领，以标准化促进数据深度融合，系统互联互通；</w:t>
      </w:r>
    </w:p>
    <w:p>
      <w:pPr>
        <w:spacing w:before="46" w:beforeLines="15" w:after="46" w:afterLines="15" w:line="360" w:lineRule="auto"/>
        <w:ind w:firstLine="480" w:firstLineChars="200"/>
        <w:rPr>
          <w:color w:val="auto"/>
          <w:kern w:val="0"/>
          <w:sz w:val="24"/>
          <w:lang w:val="zh-CN"/>
        </w:rPr>
      </w:pPr>
      <w:r>
        <w:rPr>
          <w:rFonts w:hint="eastAsia"/>
          <w:color w:val="auto"/>
          <w:kern w:val="0"/>
          <w:sz w:val="24"/>
          <w:lang w:val="zh-CN"/>
        </w:rPr>
        <w:t>安全可控：坚持网络安全底线，完善网络和数据安全管理制度，落实安全主体责任。</w:t>
      </w:r>
    </w:p>
    <w:p>
      <w:pPr>
        <w:keepNext/>
        <w:keepLines/>
        <w:numPr>
          <w:ilvl w:val="2"/>
          <w:numId w:val="2"/>
        </w:numPr>
        <w:tabs>
          <w:tab w:val="left" w:pos="142"/>
          <w:tab w:val="left" w:pos="360"/>
        </w:tabs>
        <w:spacing w:line="360" w:lineRule="auto"/>
        <w:ind w:left="0" w:firstLine="0"/>
        <w:outlineLvl w:val="2"/>
        <w:rPr>
          <w:rFonts w:ascii="黑体" w:hAnsi="黑体" w:eastAsia="黑体" w:cs="仿宋"/>
          <w:b/>
          <w:bCs/>
          <w:color w:val="auto"/>
          <w:sz w:val="28"/>
          <w:szCs w:val="32"/>
        </w:rPr>
      </w:pPr>
      <w:r>
        <w:rPr>
          <w:rFonts w:hint="eastAsia" w:ascii="黑体" w:hAnsi="黑体" w:eastAsia="黑体" w:cs="仿宋"/>
          <w:b/>
          <w:bCs/>
          <w:color w:val="auto"/>
          <w:sz w:val="28"/>
          <w:szCs w:val="32"/>
        </w:rPr>
        <w:t>建设依据</w:t>
      </w:r>
    </w:p>
    <w:p>
      <w:pPr>
        <w:widowControl/>
        <w:autoSpaceDE w:val="0"/>
        <w:autoSpaceDN w:val="0"/>
        <w:adjustRightInd w:val="0"/>
        <w:spacing w:line="360" w:lineRule="auto"/>
        <w:ind w:firstLine="463" w:firstLineChars="192"/>
        <w:jc w:val="left"/>
        <w:rPr>
          <w:b/>
          <w:color w:val="auto"/>
          <w:kern w:val="0"/>
          <w:sz w:val="24"/>
          <w:szCs w:val="28"/>
        </w:rPr>
      </w:pPr>
      <w:r>
        <w:rPr>
          <w:rFonts w:hint="eastAsia"/>
          <w:b/>
          <w:color w:val="auto"/>
          <w:kern w:val="0"/>
          <w:sz w:val="24"/>
          <w:szCs w:val="28"/>
        </w:rPr>
        <w:t>（</w:t>
      </w:r>
      <w:r>
        <w:rPr>
          <w:b/>
          <w:color w:val="auto"/>
          <w:kern w:val="0"/>
          <w:sz w:val="24"/>
          <w:szCs w:val="28"/>
        </w:rPr>
        <w:t>1</w:t>
      </w:r>
      <w:r>
        <w:rPr>
          <w:rFonts w:hint="eastAsia"/>
          <w:b/>
          <w:color w:val="auto"/>
          <w:kern w:val="0"/>
          <w:sz w:val="24"/>
          <w:szCs w:val="28"/>
        </w:rPr>
        <w:t>）国家信息化及人工智能要求</w:t>
      </w:r>
    </w:p>
    <w:p>
      <w:pPr>
        <w:widowControl/>
        <w:autoSpaceDE w:val="0"/>
        <w:autoSpaceDN w:val="0"/>
        <w:adjustRightInd w:val="0"/>
        <w:spacing w:line="360" w:lineRule="auto"/>
        <w:ind w:firstLine="460" w:firstLineChars="192"/>
        <w:jc w:val="left"/>
        <w:rPr>
          <w:color w:val="auto"/>
          <w:kern w:val="0"/>
          <w:sz w:val="24"/>
          <w:szCs w:val="28"/>
        </w:rPr>
      </w:pPr>
      <w:r>
        <w:rPr>
          <w:rFonts w:hint="eastAsia"/>
          <w:color w:val="auto"/>
          <w:kern w:val="0"/>
          <w:sz w:val="24"/>
          <w:szCs w:val="28"/>
        </w:rPr>
        <w:t>1）《中华人民共和国国民经济和社会发展第十四个五年规划和2035年远景目标纲要》</w:t>
      </w:r>
    </w:p>
    <w:p>
      <w:pPr>
        <w:widowControl/>
        <w:autoSpaceDE w:val="0"/>
        <w:autoSpaceDN w:val="0"/>
        <w:adjustRightInd w:val="0"/>
        <w:spacing w:line="360" w:lineRule="auto"/>
        <w:ind w:firstLine="460" w:firstLineChars="192"/>
        <w:jc w:val="left"/>
        <w:rPr>
          <w:color w:val="auto"/>
          <w:kern w:val="0"/>
          <w:sz w:val="24"/>
          <w:szCs w:val="28"/>
        </w:rPr>
      </w:pPr>
      <w:r>
        <w:rPr>
          <w:rFonts w:hint="eastAsia"/>
          <w:color w:val="auto"/>
          <w:kern w:val="0"/>
          <w:sz w:val="24"/>
          <w:szCs w:val="28"/>
        </w:rPr>
        <w:t>2）《关于促进智慧城市健康发展的指导意见（发改高技〔2014〕1770号）》</w:t>
      </w:r>
    </w:p>
    <w:p>
      <w:pPr>
        <w:widowControl/>
        <w:autoSpaceDE w:val="0"/>
        <w:autoSpaceDN w:val="0"/>
        <w:adjustRightInd w:val="0"/>
        <w:spacing w:line="360" w:lineRule="auto"/>
        <w:ind w:firstLine="460" w:firstLineChars="192"/>
        <w:jc w:val="left"/>
        <w:rPr>
          <w:color w:val="auto"/>
          <w:kern w:val="0"/>
          <w:sz w:val="24"/>
          <w:szCs w:val="28"/>
        </w:rPr>
      </w:pPr>
      <w:r>
        <w:rPr>
          <w:rFonts w:hint="eastAsia"/>
          <w:color w:val="auto"/>
          <w:kern w:val="0"/>
          <w:sz w:val="24"/>
          <w:szCs w:val="28"/>
        </w:rPr>
        <w:t>3）《国家电子政务工程建设项目管理暂行办法（国家发改委55号令）》</w:t>
      </w:r>
    </w:p>
    <w:p>
      <w:pPr>
        <w:widowControl/>
        <w:autoSpaceDE w:val="0"/>
        <w:autoSpaceDN w:val="0"/>
        <w:adjustRightInd w:val="0"/>
        <w:spacing w:line="360" w:lineRule="auto"/>
        <w:ind w:firstLine="460" w:firstLineChars="192"/>
        <w:jc w:val="left"/>
        <w:rPr>
          <w:color w:val="auto"/>
          <w:kern w:val="0"/>
          <w:sz w:val="24"/>
          <w:szCs w:val="28"/>
        </w:rPr>
      </w:pPr>
      <w:r>
        <w:rPr>
          <w:rFonts w:hint="eastAsia"/>
          <w:color w:val="auto"/>
          <w:kern w:val="0"/>
          <w:sz w:val="24"/>
          <w:szCs w:val="28"/>
        </w:rPr>
        <w:t>4）《智慧城市公共信息平台建设指南(试行)》</w:t>
      </w:r>
    </w:p>
    <w:p>
      <w:pPr>
        <w:widowControl/>
        <w:autoSpaceDE w:val="0"/>
        <w:autoSpaceDN w:val="0"/>
        <w:adjustRightInd w:val="0"/>
        <w:spacing w:line="360" w:lineRule="auto"/>
        <w:ind w:firstLine="463" w:firstLineChars="192"/>
        <w:jc w:val="left"/>
        <w:rPr>
          <w:b/>
          <w:color w:val="auto"/>
          <w:kern w:val="0"/>
          <w:sz w:val="24"/>
          <w:szCs w:val="28"/>
        </w:rPr>
      </w:pPr>
      <w:r>
        <w:rPr>
          <w:rFonts w:hint="eastAsia"/>
          <w:b/>
          <w:color w:val="auto"/>
          <w:kern w:val="0"/>
          <w:sz w:val="24"/>
          <w:szCs w:val="28"/>
        </w:rPr>
        <w:t>（</w:t>
      </w:r>
      <w:r>
        <w:rPr>
          <w:b/>
          <w:color w:val="auto"/>
          <w:kern w:val="0"/>
          <w:sz w:val="24"/>
          <w:szCs w:val="28"/>
        </w:rPr>
        <w:t>2</w:t>
      </w:r>
      <w:r>
        <w:rPr>
          <w:rFonts w:hint="eastAsia"/>
          <w:b/>
          <w:color w:val="auto"/>
          <w:kern w:val="0"/>
          <w:sz w:val="24"/>
          <w:szCs w:val="28"/>
        </w:rPr>
        <w:t>）公安部、公安厅相关规划、规范、标准、文件</w:t>
      </w:r>
    </w:p>
    <w:p>
      <w:pPr>
        <w:widowControl/>
        <w:autoSpaceDE w:val="0"/>
        <w:autoSpaceDN w:val="0"/>
        <w:adjustRightInd w:val="0"/>
        <w:spacing w:line="360" w:lineRule="auto"/>
        <w:ind w:firstLine="460" w:firstLineChars="192"/>
        <w:jc w:val="left"/>
        <w:rPr>
          <w:color w:val="auto"/>
          <w:kern w:val="0"/>
          <w:sz w:val="24"/>
          <w:szCs w:val="28"/>
        </w:rPr>
      </w:pPr>
      <w:r>
        <w:rPr>
          <w:color w:val="auto"/>
          <w:kern w:val="0"/>
          <w:sz w:val="24"/>
          <w:szCs w:val="28"/>
        </w:rPr>
        <w:t>1</w:t>
      </w:r>
      <w:r>
        <w:rPr>
          <w:rFonts w:hint="eastAsia"/>
          <w:color w:val="auto"/>
          <w:kern w:val="0"/>
          <w:sz w:val="24"/>
          <w:szCs w:val="28"/>
        </w:rPr>
        <w:t>）《公安信息化标准汇编》</w:t>
      </w:r>
    </w:p>
    <w:p>
      <w:pPr>
        <w:widowControl/>
        <w:autoSpaceDE w:val="0"/>
        <w:autoSpaceDN w:val="0"/>
        <w:adjustRightInd w:val="0"/>
        <w:spacing w:line="360" w:lineRule="auto"/>
        <w:ind w:firstLine="460" w:firstLineChars="192"/>
        <w:jc w:val="left"/>
        <w:rPr>
          <w:color w:val="auto"/>
          <w:kern w:val="0"/>
          <w:sz w:val="24"/>
          <w:szCs w:val="28"/>
        </w:rPr>
      </w:pPr>
      <w:r>
        <w:rPr>
          <w:color w:val="auto"/>
          <w:kern w:val="0"/>
          <w:sz w:val="24"/>
          <w:szCs w:val="28"/>
        </w:rPr>
        <w:t>2</w:t>
      </w:r>
      <w:r>
        <w:rPr>
          <w:rFonts w:hint="eastAsia"/>
          <w:color w:val="auto"/>
          <w:kern w:val="0"/>
          <w:sz w:val="24"/>
          <w:szCs w:val="28"/>
        </w:rPr>
        <w:t>）《公安信息化数据质量管理规范》</w:t>
      </w:r>
    </w:p>
    <w:p>
      <w:pPr>
        <w:widowControl/>
        <w:autoSpaceDE w:val="0"/>
        <w:autoSpaceDN w:val="0"/>
        <w:adjustRightInd w:val="0"/>
        <w:spacing w:line="360" w:lineRule="auto"/>
        <w:ind w:firstLine="460" w:firstLineChars="192"/>
        <w:jc w:val="left"/>
        <w:rPr>
          <w:color w:val="auto"/>
          <w:kern w:val="0"/>
          <w:sz w:val="24"/>
          <w:szCs w:val="28"/>
        </w:rPr>
      </w:pPr>
      <w:r>
        <w:rPr>
          <w:rFonts w:hint="eastAsia"/>
          <w:color w:val="auto"/>
          <w:kern w:val="0"/>
          <w:sz w:val="24"/>
          <w:szCs w:val="28"/>
        </w:rPr>
        <w:t>3）《</w:t>
      </w:r>
      <w:r>
        <w:rPr>
          <w:color w:val="auto"/>
          <w:kern w:val="0"/>
          <w:sz w:val="24"/>
          <w:szCs w:val="28"/>
        </w:rPr>
        <w:t>公安交通管理科技发展规划（2021-2023年）</w:t>
      </w:r>
      <w:r>
        <w:rPr>
          <w:rFonts w:hint="eastAsia"/>
          <w:color w:val="auto"/>
          <w:kern w:val="0"/>
          <w:sz w:val="24"/>
          <w:szCs w:val="28"/>
        </w:rPr>
        <w:t>》</w:t>
      </w:r>
    </w:p>
    <w:p>
      <w:pPr>
        <w:widowControl/>
        <w:autoSpaceDE w:val="0"/>
        <w:autoSpaceDN w:val="0"/>
        <w:adjustRightInd w:val="0"/>
        <w:spacing w:line="360" w:lineRule="auto"/>
        <w:ind w:firstLine="460" w:firstLineChars="192"/>
        <w:jc w:val="left"/>
        <w:rPr>
          <w:color w:val="auto"/>
          <w:kern w:val="0"/>
          <w:sz w:val="24"/>
          <w:szCs w:val="28"/>
        </w:rPr>
      </w:pPr>
      <w:r>
        <w:rPr>
          <w:color w:val="auto"/>
          <w:kern w:val="0"/>
          <w:sz w:val="24"/>
          <w:szCs w:val="28"/>
        </w:rPr>
        <w:t>4</w:t>
      </w:r>
      <w:r>
        <w:rPr>
          <w:rFonts w:hint="eastAsia"/>
          <w:color w:val="auto"/>
          <w:kern w:val="0"/>
          <w:sz w:val="24"/>
          <w:szCs w:val="28"/>
        </w:rPr>
        <w:t>）《2</w:t>
      </w:r>
      <w:r>
        <w:rPr>
          <w:color w:val="auto"/>
          <w:kern w:val="0"/>
          <w:sz w:val="24"/>
          <w:szCs w:val="28"/>
        </w:rPr>
        <w:t>021年全省公安机关政务服务数字化改革实施方案》（浙公办</w:t>
      </w:r>
      <w:r>
        <w:rPr>
          <w:rFonts w:hint="eastAsia"/>
          <w:color w:val="auto"/>
          <w:kern w:val="0"/>
          <w:sz w:val="24"/>
          <w:szCs w:val="28"/>
        </w:rPr>
        <w:t>〔</w:t>
      </w:r>
      <w:r>
        <w:rPr>
          <w:color w:val="auto"/>
          <w:kern w:val="0"/>
          <w:sz w:val="24"/>
          <w:szCs w:val="28"/>
        </w:rPr>
        <w:t>2021</w:t>
      </w:r>
      <w:r>
        <w:rPr>
          <w:rFonts w:hint="eastAsia"/>
          <w:color w:val="auto"/>
          <w:kern w:val="0"/>
          <w:sz w:val="24"/>
          <w:szCs w:val="28"/>
        </w:rPr>
        <w:t>〕</w:t>
      </w:r>
      <w:r>
        <w:rPr>
          <w:color w:val="auto"/>
          <w:kern w:val="0"/>
          <w:sz w:val="24"/>
          <w:szCs w:val="28"/>
        </w:rPr>
        <w:t>26号）</w:t>
      </w:r>
    </w:p>
    <w:p>
      <w:pPr>
        <w:widowControl/>
        <w:autoSpaceDE w:val="0"/>
        <w:autoSpaceDN w:val="0"/>
        <w:adjustRightInd w:val="0"/>
        <w:spacing w:line="360" w:lineRule="auto"/>
        <w:ind w:firstLine="463" w:firstLineChars="192"/>
        <w:jc w:val="left"/>
        <w:rPr>
          <w:b/>
          <w:color w:val="auto"/>
          <w:kern w:val="0"/>
          <w:sz w:val="24"/>
          <w:szCs w:val="28"/>
        </w:rPr>
      </w:pPr>
      <w:bookmarkStart w:id="39" w:name="_Hlk5198911"/>
      <w:bookmarkEnd w:id="39"/>
      <w:r>
        <w:rPr>
          <w:rFonts w:hint="eastAsia"/>
          <w:b/>
          <w:color w:val="auto"/>
          <w:kern w:val="0"/>
          <w:sz w:val="24"/>
          <w:szCs w:val="28"/>
        </w:rPr>
        <w:t>（3）浙江省、台州市信息化建设方面要求</w:t>
      </w:r>
    </w:p>
    <w:p>
      <w:pPr>
        <w:widowControl/>
        <w:autoSpaceDE w:val="0"/>
        <w:autoSpaceDN w:val="0"/>
        <w:adjustRightInd w:val="0"/>
        <w:spacing w:line="360" w:lineRule="auto"/>
        <w:ind w:firstLine="460" w:firstLineChars="192"/>
        <w:jc w:val="left"/>
        <w:rPr>
          <w:color w:val="auto"/>
          <w:kern w:val="0"/>
          <w:sz w:val="24"/>
          <w:szCs w:val="28"/>
        </w:rPr>
      </w:pPr>
      <w:r>
        <w:rPr>
          <w:color w:val="auto"/>
          <w:kern w:val="0"/>
          <w:sz w:val="24"/>
          <w:szCs w:val="28"/>
        </w:rPr>
        <w:t>1</w:t>
      </w:r>
      <w:r>
        <w:rPr>
          <w:rFonts w:hint="eastAsia"/>
          <w:color w:val="auto"/>
          <w:kern w:val="0"/>
          <w:sz w:val="24"/>
          <w:szCs w:val="28"/>
        </w:rPr>
        <w:t>）《关于进一步推进全省公安智慧交管管理体系建设工作的通知》（浙公交网〔2019〕41号）</w:t>
      </w:r>
    </w:p>
    <w:p>
      <w:pPr>
        <w:widowControl/>
        <w:autoSpaceDE w:val="0"/>
        <w:autoSpaceDN w:val="0"/>
        <w:adjustRightInd w:val="0"/>
        <w:spacing w:line="360" w:lineRule="auto"/>
        <w:ind w:firstLine="460" w:firstLineChars="192"/>
        <w:jc w:val="left"/>
        <w:rPr>
          <w:color w:val="auto"/>
          <w:kern w:val="0"/>
          <w:sz w:val="24"/>
          <w:szCs w:val="28"/>
        </w:rPr>
      </w:pPr>
      <w:r>
        <w:rPr>
          <w:color w:val="auto"/>
          <w:kern w:val="0"/>
          <w:sz w:val="24"/>
          <w:szCs w:val="28"/>
        </w:rPr>
        <w:t>2</w:t>
      </w:r>
      <w:r>
        <w:rPr>
          <w:rFonts w:hint="eastAsia"/>
          <w:color w:val="auto"/>
          <w:kern w:val="0"/>
          <w:sz w:val="24"/>
          <w:szCs w:val="28"/>
        </w:rPr>
        <w:t>）</w:t>
      </w:r>
      <w:r>
        <w:rPr>
          <w:color w:val="auto"/>
          <w:kern w:val="0"/>
          <w:sz w:val="24"/>
          <w:szCs w:val="28"/>
        </w:rPr>
        <w:t>《浙江省数字化改革总体方案》（浙委改发</w:t>
      </w:r>
      <w:r>
        <w:rPr>
          <w:rFonts w:hint="eastAsia"/>
          <w:color w:val="auto"/>
          <w:kern w:val="0"/>
          <w:sz w:val="24"/>
          <w:szCs w:val="28"/>
        </w:rPr>
        <w:t>〔</w:t>
      </w:r>
      <w:r>
        <w:rPr>
          <w:color w:val="auto"/>
          <w:kern w:val="0"/>
          <w:sz w:val="24"/>
          <w:szCs w:val="28"/>
        </w:rPr>
        <w:t>2021</w:t>
      </w:r>
      <w:r>
        <w:rPr>
          <w:rFonts w:hint="eastAsia"/>
          <w:color w:val="auto"/>
          <w:kern w:val="0"/>
          <w:sz w:val="24"/>
          <w:szCs w:val="28"/>
        </w:rPr>
        <w:t>〕</w:t>
      </w:r>
      <w:r>
        <w:rPr>
          <w:color w:val="auto"/>
          <w:kern w:val="0"/>
          <w:sz w:val="24"/>
          <w:szCs w:val="28"/>
        </w:rPr>
        <w:t>2号）</w:t>
      </w:r>
    </w:p>
    <w:p>
      <w:pPr>
        <w:widowControl/>
        <w:autoSpaceDE w:val="0"/>
        <w:autoSpaceDN w:val="0"/>
        <w:adjustRightInd w:val="0"/>
        <w:spacing w:line="360" w:lineRule="auto"/>
        <w:ind w:firstLine="460" w:firstLineChars="192"/>
        <w:jc w:val="left"/>
        <w:rPr>
          <w:color w:val="auto"/>
          <w:kern w:val="0"/>
          <w:sz w:val="24"/>
          <w:szCs w:val="28"/>
        </w:rPr>
      </w:pPr>
      <w:r>
        <w:rPr>
          <w:color w:val="auto"/>
          <w:kern w:val="0"/>
          <w:sz w:val="24"/>
          <w:szCs w:val="28"/>
        </w:rPr>
        <w:t>3</w:t>
      </w:r>
      <w:r>
        <w:rPr>
          <w:rFonts w:hint="eastAsia"/>
          <w:color w:val="auto"/>
          <w:kern w:val="0"/>
          <w:sz w:val="24"/>
          <w:szCs w:val="28"/>
        </w:rPr>
        <w:t>）《台州市政府数字化转型项目管理办法》</w:t>
      </w:r>
    </w:p>
    <w:p>
      <w:pPr>
        <w:widowControl/>
        <w:autoSpaceDE w:val="0"/>
        <w:autoSpaceDN w:val="0"/>
        <w:adjustRightInd w:val="0"/>
        <w:spacing w:line="360" w:lineRule="auto"/>
        <w:ind w:firstLine="460" w:firstLineChars="192"/>
        <w:jc w:val="left"/>
        <w:rPr>
          <w:color w:val="auto"/>
          <w:kern w:val="0"/>
          <w:sz w:val="24"/>
          <w:szCs w:val="28"/>
        </w:rPr>
      </w:pPr>
      <w:r>
        <w:rPr>
          <w:color w:val="auto"/>
          <w:kern w:val="0"/>
          <w:sz w:val="24"/>
          <w:szCs w:val="28"/>
        </w:rPr>
        <w:t>4</w:t>
      </w:r>
      <w:r>
        <w:rPr>
          <w:rFonts w:hint="eastAsia"/>
          <w:color w:val="auto"/>
          <w:kern w:val="0"/>
          <w:sz w:val="24"/>
          <w:szCs w:val="28"/>
        </w:rPr>
        <w:t>）关于印发《台州市“城市大脑”建设方案》的通知（台市委办发〔2020〕29号</w:t>
      </w:r>
      <w:r>
        <w:rPr>
          <w:color w:val="auto"/>
          <w:kern w:val="0"/>
          <w:sz w:val="24"/>
          <w:szCs w:val="28"/>
        </w:rPr>
        <w:t xml:space="preserve"> </w:t>
      </w:r>
      <w:r>
        <w:rPr>
          <w:rFonts w:hint="eastAsia"/>
          <w:color w:val="auto"/>
          <w:kern w:val="0"/>
          <w:sz w:val="24"/>
          <w:szCs w:val="28"/>
        </w:rPr>
        <w:t>）</w:t>
      </w:r>
    </w:p>
    <w:p>
      <w:pPr>
        <w:widowControl/>
        <w:autoSpaceDE w:val="0"/>
        <w:autoSpaceDN w:val="0"/>
        <w:adjustRightInd w:val="0"/>
        <w:spacing w:line="360" w:lineRule="auto"/>
        <w:ind w:firstLine="463" w:firstLineChars="192"/>
        <w:jc w:val="left"/>
        <w:rPr>
          <w:b/>
          <w:color w:val="auto"/>
          <w:kern w:val="0"/>
          <w:sz w:val="24"/>
          <w:szCs w:val="28"/>
        </w:rPr>
      </w:pPr>
      <w:r>
        <w:rPr>
          <w:rFonts w:hint="eastAsia"/>
          <w:b/>
          <w:color w:val="auto"/>
          <w:kern w:val="0"/>
          <w:sz w:val="24"/>
          <w:szCs w:val="28"/>
        </w:rPr>
        <w:t>（</w:t>
      </w:r>
      <w:r>
        <w:rPr>
          <w:b/>
          <w:color w:val="auto"/>
          <w:kern w:val="0"/>
          <w:sz w:val="24"/>
          <w:szCs w:val="28"/>
        </w:rPr>
        <w:t>4</w:t>
      </w:r>
      <w:r>
        <w:rPr>
          <w:rFonts w:hint="eastAsia"/>
          <w:b/>
          <w:color w:val="auto"/>
          <w:kern w:val="0"/>
          <w:sz w:val="24"/>
          <w:szCs w:val="28"/>
        </w:rPr>
        <w:t>）视频图像、网络、大数据、计算机软件及信息安全等设计编制依据</w:t>
      </w:r>
    </w:p>
    <w:p>
      <w:pPr>
        <w:widowControl/>
        <w:autoSpaceDE w:val="0"/>
        <w:autoSpaceDN w:val="0"/>
        <w:adjustRightInd w:val="0"/>
        <w:spacing w:line="360" w:lineRule="auto"/>
        <w:ind w:firstLine="460" w:firstLineChars="192"/>
        <w:jc w:val="left"/>
        <w:rPr>
          <w:color w:val="auto"/>
          <w:kern w:val="0"/>
          <w:sz w:val="24"/>
          <w:szCs w:val="28"/>
        </w:rPr>
      </w:pPr>
      <w:r>
        <w:rPr>
          <w:rFonts w:hint="eastAsia"/>
          <w:color w:val="auto"/>
          <w:kern w:val="0"/>
          <w:sz w:val="24"/>
          <w:szCs w:val="28"/>
        </w:rPr>
        <w:t>1）《公安信息通信网联网设备及应用系统注册管理办法》</w:t>
      </w:r>
    </w:p>
    <w:p>
      <w:pPr>
        <w:widowControl/>
        <w:autoSpaceDE w:val="0"/>
        <w:autoSpaceDN w:val="0"/>
        <w:adjustRightInd w:val="0"/>
        <w:spacing w:line="360" w:lineRule="auto"/>
        <w:ind w:firstLine="460" w:firstLineChars="192"/>
        <w:jc w:val="left"/>
        <w:rPr>
          <w:color w:val="auto"/>
          <w:kern w:val="0"/>
          <w:sz w:val="24"/>
          <w:szCs w:val="28"/>
        </w:rPr>
      </w:pPr>
      <w:r>
        <w:rPr>
          <w:rFonts w:hint="eastAsia"/>
          <w:color w:val="auto"/>
          <w:kern w:val="0"/>
          <w:sz w:val="24"/>
          <w:szCs w:val="28"/>
        </w:rPr>
        <w:t>2）《信息安全技术网络安全等级保护安全设计技术要求》（GBT25070-2019）</w:t>
      </w:r>
    </w:p>
    <w:p>
      <w:pPr>
        <w:widowControl/>
        <w:autoSpaceDE w:val="0"/>
        <w:autoSpaceDN w:val="0"/>
        <w:adjustRightInd w:val="0"/>
        <w:spacing w:line="360" w:lineRule="auto"/>
        <w:ind w:firstLine="460" w:firstLineChars="192"/>
        <w:jc w:val="left"/>
        <w:rPr>
          <w:color w:val="auto"/>
          <w:kern w:val="0"/>
          <w:sz w:val="24"/>
          <w:szCs w:val="28"/>
        </w:rPr>
      </w:pPr>
      <w:r>
        <w:rPr>
          <w:color w:val="auto"/>
          <w:kern w:val="0"/>
          <w:sz w:val="24"/>
          <w:szCs w:val="28"/>
        </w:rPr>
        <w:t>3</w:t>
      </w:r>
      <w:r>
        <w:rPr>
          <w:rFonts w:hint="eastAsia"/>
          <w:color w:val="auto"/>
          <w:kern w:val="0"/>
          <w:sz w:val="24"/>
          <w:szCs w:val="28"/>
        </w:rPr>
        <w:t>）《计算机软件可靠性和可维护性管理》（GB/T14394-2016）</w:t>
      </w:r>
    </w:p>
    <w:p>
      <w:pPr>
        <w:widowControl/>
        <w:autoSpaceDE w:val="0"/>
        <w:autoSpaceDN w:val="0"/>
        <w:adjustRightInd w:val="0"/>
        <w:spacing w:line="360" w:lineRule="auto"/>
        <w:ind w:firstLine="460" w:firstLineChars="192"/>
        <w:jc w:val="left"/>
        <w:rPr>
          <w:color w:val="auto"/>
          <w:kern w:val="0"/>
          <w:sz w:val="24"/>
          <w:szCs w:val="28"/>
        </w:rPr>
      </w:pPr>
      <w:r>
        <w:rPr>
          <w:color w:val="auto"/>
          <w:kern w:val="0"/>
          <w:sz w:val="24"/>
          <w:szCs w:val="28"/>
        </w:rPr>
        <w:t>4</w:t>
      </w:r>
      <w:r>
        <w:rPr>
          <w:rFonts w:hint="eastAsia"/>
          <w:color w:val="auto"/>
          <w:kern w:val="0"/>
          <w:sz w:val="24"/>
          <w:szCs w:val="28"/>
        </w:rPr>
        <w:t>）《计算机软件文档编制规范》（GB/T8567-2019）</w:t>
      </w:r>
    </w:p>
    <w:p>
      <w:pPr>
        <w:widowControl/>
        <w:autoSpaceDE w:val="0"/>
        <w:autoSpaceDN w:val="0"/>
        <w:adjustRightInd w:val="0"/>
        <w:spacing w:line="360" w:lineRule="auto"/>
        <w:ind w:firstLine="460" w:firstLineChars="192"/>
        <w:jc w:val="left"/>
        <w:rPr>
          <w:color w:val="auto"/>
          <w:kern w:val="0"/>
          <w:sz w:val="24"/>
          <w:szCs w:val="28"/>
        </w:rPr>
      </w:pPr>
      <w:r>
        <w:rPr>
          <w:color w:val="auto"/>
          <w:kern w:val="0"/>
          <w:sz w:val="24"/>
          <w:szCs w:val="28"/>
        </w:rPr>
        <w:t>5</w:t>
      </w:r>
      <w:r>
        <w:rPr>
          <w:rFonts w:hint="eastAsia"/>
          <w:color w:val="auto"/>
          <w:kern w:val="0"/>
          <w:sz w:val="24"/>
          <w:szCs w:val="28"/>
        </w:rPr>
        <w:t>）《计算机软件需求规格说明规范》（GB/T9385-8）</w:t>
      </w:r>
    </w:p>
    <w:p>
      <w:pPr>
        <w:widowControl/>
        <w:autoSpaceDE w:val="0"/>
        <w:autoSpaceDN w:val="0"/>
        <w:adjustRightInd w:val="0"/>
        <w:spacing w:line="360" w:lineRule="auto"/>
        <w:ind w:firstLine="460" w:firstLineChars="192"/>
        <w:jc w:val="left"/>
        <w:rPr>
          <w:color w:val="auto"/>
          <w:kern w:val="0"/>
          <w:sz w:val="24"/>
          <w:szCs w:val="28"/>
        </w:rPr>
      </w:pPr>
      <w:r>
        <w:rPr>
          <w:color w:val="auto"/>
          <w:kern w:val="0"/>
          <w:sz w:val="24"/>
          <w:szCs w:val="28"/>
        </w:rPr>
        <w:t>6</w:t>
      </w:r>
      <w:r>
        <w:rPr>
          <w:rFonts w:hint="eastAsia"/>
          <w:color w:val="auto"/>
          <w:kern w:val="0"/>
          <w:sz w:val="24"/>
          <w:szCs w:val="28"/>
        </w:rPr>
        <w:t>）《公安交通集成指挥平台结构和功能》（GA/T1146-2014）</w:t>
      </w:r>
    </w:p>
    <w:p>
      <w:pPr>
        <w:widowControl/>
        <w:autoSpaceDE w:val="0"/>
        <w:autoSpaceDN w:val="0"/>
        <w:adjustRightInd w:val="0"/>
        <w:spacing w:line="360" w:lineRule="auto"/>
        <w:ind w:firstLine="460" w:firstLineChars="192"/>
        <w:jc w:val="left"/>
        <w:rPr>
          <w:color w:val="auto"/>
          <w:kern w:val="0"/>
          <w:sz w:val="24"/>
          <w:szCs w:val="28"/>
        </w:rPr>
      </w:pPr>
      <w:r>
        <w:rPr>
          <w:color w:val="auto"/>
          <w:kern w:val="0"/>
          <w:sz w:val="24"/>
          <w:szCs w:val="28"/>
        </w:rPr>
        <w:t>7</w:t>
      </w:r>
      <w:r>
        <w:rPr>
          <w:rFonts w:hint="eastAsia"/>
          <w:color w:val="auto"/>
          <w:kern w:val="0"/>
          <w:sz w:val="24"/>
          <w:szCs w:val="28"/>
        </w:rPr>
        <w:t>）《信息技术大数据 大数据系统基本要求》(GB/T38673-2020)</w:t>
      </w:r>
    </w:p>
    <w:p>
      <w:pPr>
        <w:widowControl/>
        <w:autoSpaceDE w:val="0"/>
        <w:autoSpaceDN w:val="0"/>
        <w:adjustRightInd w:val="0"/>
        <w:spacing w:line="360" w:lineRule="auto"/>
        <w:ind w:firstLine="460" w:firstLineChars="192"/>
        <w:jc w:val="left"/>
        <w:rPr>
          <w:color w:val="auto"/>
          <w:kern w:val="0"/>
          <w:sz w:val="24"/>
          <w:szCs w:val="28"/>
        </w:rPr>
      </w:pPr>
      <w:r>
        <w:rPr>
          <w:color w:val="auto"/>
          <w:kern w:val="0"/>
          <w:sz w:val="24"/>
          <w:szCs w:val="28"/>
        </w:rPr>
        <w:t>8</w:t>
      </w:r>
      <w:r>
        <w:rPr>
          <w:rFonts w:hint="eastAsia"/>
          <w:color w:val="auto"/>
          <w:kern w:val="0"/>
          <w:sz w:val="24"/>
          <w:szCs w:val="28"/>
        </w:rPr>
        <w:t>）《信息技术大数据系统运维和管理功能要求》(GB/T38633-2020)</w:t>
      </w:r>
    </w:p>
    <w:p>
      <w:pPr>
        <w:widowControl/>
        <w:autoSpaceDE w:val="0"/>
        <w:autoSpaceDN w:val="0"/>
        <w:adjustRightInd w:val="0"/>
        <w:spacing w:line="360" w:lineRule="auto"/>
        <w:ind w:firstLine="460" w:firstLineChars="192"/>
        <w:jc w:val="left"/>
        <w:rPr>
          <w:color w:val="auto"/>
          <w:kern w:val="0"/>
          <w:sz w:val="24"/>
          <w:szCs w:val="28"/>
        </w:rPr>
      </w:pPr>
      <w:r>
        <w:rPr>
          <w:color w:val="auto"/>
          <w:kern w:val="0"/>
          <w:sz w:val="24"/>
          <w:szCs w:val="28"/>
        </w:rPr>
        <w:t>9</w:t>
      </w:r>
      <w:r>
        <w:rPr>
          <w:rFonts w:hint="eastAsia"/>
          <w:color w:val="auto"/>
          <w:kern w:val="0"/>
          <w:sz w:val="24"/>
          <w:szCs w:val="28"/>
        </w:rPr>
        <w:t>）《信息技术大数据接口基本要求》(GB/T38672-2020)</w:t>
      </w:r>
    </w:p>
    <w:p>
      <w:pPr>
        <w:widowControl/>
        <w:autoSpaceDE w:val="0"/>
        <w:autoSpaceDN w:val="0"/>
        <w:adjustRightInd w:val="0"/>
        <w:spacing w:line="360" w:lineRule="auto"/>
        <w:ind w:firstLine="460" w:firstLineChars="192"/>
        <w:jc w:val="left"/>
        <w:rPr>
          <w:color w:val="auto"/>
          <w:kern w:val="0"/>
          <w:sz w:val="24"/>
          <w:szCs w:val="28"/>
        </w:rPr>
      </w:pPr>
      <w:r>
        <w:rPr>
          <w:color w:val="auto"/>
          <w:kern w:val="0"/>
          <w:sz w:val="24"/>
          <w:szCs w:val="28"/>
        </w:rPr>
        <w:t>10</w:t>
      </w:r>
      <w:r>
        <w:rPr>
          <w:rFonts w:hint="eastAsia"/>
          <w:color w:val="auto"/>
          <w:kern w:val="0"/>
          <w:sz w:val="24"/>
          <w:szCs w:val="28"/>
        </w:rPr>
        <w:t>）《信息技术大数据数据分类指南》(GB/T38667-2020)</w:t>
      </w:r>
    </w:p>
    <w:p>
      <w:pPr>
        <w:widowControl/>
        <w:autoSpaceDE w:val="0"/>
        <w:autoSpaceDN w:val="0"/>
        <w:adjustRightInd w:val="0"/>
        <w:spacing w:line="360" w:lineRule="auto"/>
        <w:ind w:firstLine="460" w:firstLineChars="192"/>
        <w:jc w:val="left"/>
        <w:rPr>
          <w:color w:val="auto"/>
          <w:kern w:val="0"/>
          <w:sz w:val="24"/>
          <w:szCs w:val="28"/>
        </w:rPr>
      </w:pPr>
      <w:r>
        <w:rPr>
          <w:color w:val="auto"/>
          <w:kern w:val="0"/>
          <w:sz w:val="24"/>
          <w:szCs w:val="28"/>
        </w:rPr>
        <w:t>11</w:t>
      </w:r>
      <w:r>
        <w:rPr>
          <w:rFonts w:hint="eastAsia"/>
          <w:color w:val="auto"/>
          <w:kern w:val="0"/>
          <w:sz w:val="24"/>
          <w:szCs w:val="28"/>
        </w:rPr>
        <w:t>）《信息技术大数据存储与处理模块功能测试要求》(GB/T38676-2020)</w:t>
      </w:r>
    </w:p>
    <w:p>
      <w:pPr>
        <w:widowControl/>
        <w:autoSpaceDE w:val="0"/>
        <w:autoSpaceDN w:val="0"/>
        <w:adjustRightInd w:val="0"/>
        <w:spacing w:line="360" w:lineRule="auto"/>
        <w:ind w:firstLine="460" w:firstLineChars="192"/>
        <w:jc w:val="left"/>
        <w:rPr>
          <w:color w:val="auto"/>
          <w:kern w:val="0"/>
          <w:sz w:val="24"/>
          <w:szCs w:val="28"/>
        </w:rPr>
      </w:pPr>
      <w:r>
        <w:rPr>
          <w:color w:val="auto"/>
          <w:kern w:val="0"/>
          <w:sz w:val="24"/>
          <w:szCs w:val="28"/>
        </w:rPr>
        <w:t>12</w:t>
      </w:r>
      <w:r>
        <w:rPr>
          <w:rFonts w:hint="eastAsia"/>
          <w:color w:val="auto"/>
          <w:kern w:val="0"/>
          <w:sz w:val="24"/>
          <w:szCs w:val="28"/>
        </w:rPr>
        <w:t>）《信息技术大数据分析模块功能测试要求》(GB/T38643-2020)</w:t>
      </w:r>
    </w:p>
    <w:p>
      <w:pPr>
        <w:widowControl/>
        <w:autoSpaceDE w:val="0"/>
        <w:autoSpaceDN w:val="0"/>
        <w:adjustRightInd w:val="0"/>
        <w:spacing w:line="360" w:lineRule="auto"/>
        <w:ind w:firstLine="460" w:firstLineChars="192"/>
        <w:jc w:val="left"/>
        <w:rPr>
          <w:color w:val="auto"/>
          <w:kern w:val="0"/>
          <w:sz w:val="24"/>
          <w:szCs w:val="28"/>
        </w:rPr>
      </w:pPr>
      <w:r>
        <w:rPr>
          <w:color w:val="auto"/>
          <w:kern w:val="0"/>
          <w:sz w:val="24"/>
          <w:szCs w:val="28"/>
        </w:rPr>
        <w:t>13</w:t>
      </w:r>
      <w:r>
        <w:rPr>
          <w:rFonts w:hint="eastAsia"/>
          <w:color w:val="auto"/>
          <w:kern w:val="0"/>
          <w:sz w:val="24"/>
          <w:szCs w:val="28"/>
        </w:rPr>
        <w:t>）《信息技术大数据计算系统通用要求》(GB/T38675-2020)</w:t>
      </w:r>
    </w:p>
    <w:p>
      <w:pPr>
        <w:widowControl/>
        <w:autoSpaceDE w:val="0"/>
        <w:autoSpaceDN w:val="0"/>
        <w:adjustRightInd w:val="0"/>
        <w:spacing w:line="360" w:lineRule="auto"/>
        <w:ind w:firstLine="463" w:firstLineChars="192"/>
        <w:jc w:val="left"/>
        <w:rPr>
          <w:b/>
          <w:color w:val="auto"/>
          <w:kern w:val="0"/>
          <w:sz w:val="24"/>
          <w:szCs w:val="28"/>
        </w:rPr>
      </w:pPr>
      <w:r>
        <w:rPr>
          <w:rFonts w:hint="eastAsia"/>
          <w:b/>
          <w:color w:val="auto"/>
          <w:kern w:val="0"/>
          <w:sz w:val="24"/>
          <w:szCs w:val="28"/>
        </w:rPr>
        <w:t>（</w:t>
      </w:r>
      <w:r>
        <w:rPr>
          <w:b/>
          <w:color w:val="auto"/>
          <w:kern w:val="0"/>
          <w:sz w:val="24"/>
          <w:szCs w:val="28"/>
        </w:rPr>
        <w:t>5</w:t>
      </w:r>
      <w:r>
        <w:rPr>
          <w:rFonts w:hint="eastAsia"/>
          <w:b/>
          <w:color w:val="auto"/>
          <w:kern w:val="0"/>
          <w:sz w:val="24"/>
          <w:szCs w:val="28"/>
        </w:rPr>
        <w:t>）交管数据中心，数据采集、数据标准化等设计编制来源依据</w:t>
      </w:r>
    </w:p>
    <w:p>
      <w:pPr>
        <w:widowControl/>
        <w:autoSpaceDE w:val="0"/>
        <w:autoSpaceDN w:val="0"/>
        <w:adjustRightInd w:val="0"/>
        <w:spacing w:line="360" w:lineRule="auto"/>
        <w:ind w:firstLine="460" w:firstLineChars="192"/>
        <w:jc w:val="left"/>
        <w:rPr>
          <w:color w:val="auto"/>
          <w:kern w:val="0"/>
          <w:sz w:val="24"/>
          <w:szCs w:val="28"/>
        </w:rPr>
      </w:pPr>
      <w:r>
        <w:rPr>
          <w:color w:val="auto"/>
          <w:kern w:val="0"/>
          <w:sz w:val="24"/>
          <w:szCs w:val="28"/>
        </w:rPr>
        <w:t>1</w:t>
      </w:r>
      <w:r>
        <w:rPr>
          <w:rFonts w:hint="eastAsia"/>
          <w:color w:val="auto"/>
          <w:kern w:val="0"/>
          <w:sz w:val="24"/>
          <w:szCs w:val="28"/>
        </w:rPr>
        <w:t>）GAT946.1-20</w:t>
      </w:r>
      <w:r>
        <w:rPr>
          <w:color w:val="auto"/>
          <w:kern w:val="0"/>
          <w:sz w:val="24"/>
          <w:szCs w:val="28"/>
        </w:rPr>
        <w:t>20</w:t>
      </w:r>
      <w:r>
        <w:rPr>
          <w:rFonts w:hint="eastAsia"/>
          <w:color w:val="auto"/>
          <w:kern w:val="0"/>
          <w:sz w:val="24"/>
          <w:szCs w:val="28"/>
        </w:rPr>
        <w:t>道路交通管理信息采集规范</w:t>
      </w:r>
    </w:p>
    <w:p>
      <w:pPr>
        <w:widowControl/>
        <w:autoSpaceDE w:val="0"/>
        <w:autoSpaceDN w:val="0"/>
        <w:adjustRightInd w:val="0"/>
        <w:spacing w:line="360" w:lineRule="auto"/>
        <w:ind w:firstLine="460" w:firstLineChars="192"/>
        <w:jc w:val="left"/>
        <w:rPr>
          <w:color w:val="auto"/>
          <w:kern w:val="0"/>
          <w:sz w:val="24"/>
          <w:szCs w:val="28"/>
        </w:rPr>
      </w:pPr>
      <w:r>
        <w:rPr>
          <w:color w:val="auto"/>
          <w:kern w:val="0"/>
          <w:sz w:val="24"/>
          <w:szCs w:val="28"/>
        </w:rPr>
        <w:t>2</w:t>
      </w:r>
      <w:r>
        <w:rPr>
          <w:rFonts w:hint="eastAsia"/>
          <w:color w:val="auto"/>
          <w:kern w:val="0"/>
          <w:sz w:val="24"/>
          <w:szCs w:val="28"/>
        </w:rPr>
        <w:t>）GAT1049.2-2013公安交通集成指挥平台通信协议</w:t>
      </w:r>
    </w:p>
    <w:p>
      <w:pPr>
        <w:widowControl/>
        <w:autoSpaceDE w:val="0"/>
        <w:autoSpaceDN w:val="0"/>
        <w:adjustRightInd w:val="0"/>
        <w:spacing w:line="360" w:lineRule="auto"/>
        <w:ind w:firstLine="460" w:firstLineChars="192"/>
        <w:jc w:val="left"/>
        <w:rPr>
          <w:color w:val="auto"/>
          <w:kern w:val="0"/>
          <w:sz w:val="24"/>
          <w:szCs w:val="28"/>
        </w:rPr>
      </w:pPr>
      <w:r>
        <w:rPr>
          <w:color w:val="auto"/>
          <w:kern w:val="0"/>
          <w:sz w:val="24"/>
          <w:szCs w:val="28"/>
        </w:rPr>
        <w:t>3</w:t>
      </w:r>
      <w:r>
        <w:rPr>
          <w:rFonts w:hint="eastAsia"/>
          <w:color w:val="auto"/>
          <w:kern w:val="0"/>
          <w:sz w:val="24"/>
          <w:szCs w:val="28"/>
        </w:rPr>
        <w:t>）GAT1400.1-2017公安视频图像信息应用系统</w:t>
      </w:r>
    </w:p>
    <w:p>
      <w:pPr>
        <w:widowControl/>
        <w:autoSpaceDE w:val="0"/>
        <w:autoSpaceDN w:val="0"/>
        <w:adjustRightInd w:val="0"/>
        <w:spacing w:line="360" w:lineRule="auto"/>
        <w:ind w:firstLine="460" w:firstLineChars="192"/>
        <w:jc w:val="left"/>
        <w:rPr>
          <w:color w:val="auto"/>
          <w:kern w:val="0"/>
          <w:sz w:val="24"/>
          <w:szCs w:val="28"/>
        </w:rPr>
      </w:pPr>
      <w:r>
        <w:rPr>
          <w:color w:val="auto"/>
          <w:kern w:val="0"/>
          <w:sz w:val="24"/>
          <w:szCs w:val="28"/>
        </w:rPr>
        <w:t>4</w:t>
      </w:r>
      <w:r>
        <w:rPr>
          <w:rFonts w:hint="eastAsia"/>
          <w:color w:val="auto"/>
          <w:kern w:val="0"/>
          <w:sz w:val="24"/>
          <w:szCs w:val="28"/>
        </w:rPr>
        <w:t>）GAT1426-2017机动车违法停车自动记录系统通用技术条件</w:t>
      </w:r>
    </w:p>
    <w:p>
      <w:pPr>
        <w:widowControl/>
        <w:autoSpaceDE w:val="0"/>
        <w:autoSpaceDN w:val="0"/>
        <w:adjustRightInd w:val="0"/>
        <w:spacing w:line="360" w:lineRule="auto"/>
        <w:ind w:firstLine="460" w:firstLineChars="192"/>
        <w:jc w:val="left"/>
        <w:rPr>
          <w:color w:val="auto"/>
          <w:kern w:val="0"/>
          <w:sz w:val="24"/>
          <w:szCs w:val="28"/>
        </w:rPr>
      </w:pPr>
      <w:r>
        <w:rPr>
          <w:color w:val="auto"/>
          <w:kern w:val="0"/>
          <w:sz w:val="24"/>
          <w:szCs w:val="28"/>
        </w:rPr>
        <w:t>5</w:t>
      </w:r>
      <w:r>
        <w:rPr>
          <w:rFonts w:hint="eastAsia"/>
          <w:color w:val="auto"/>
          <w:kern w:val="0"/>
          <w:sz w:val="24"/>
          <w:szCs w:val="28"/>
        </w:rPr>
        <w:t>）GB5768.4-2017道路交通标志和标线</w:t>
      </w:r>
    </w:p>
    <w:p>
      <w:pPr>
        <w:widowControl/>
        <w:autoSpaceDE w:val="0"/>
        <w:autoSpaceDN w:val="0"/>
        <w:adjustRightInd w:val="0"/>
        <w:spacing w:line="360" w:lineRule="auto"/>
        <w:ind w:firstLine="460" w:firstLineChars="192"/>
        <w:jc w:val="left"/>
        <w:rPr>
          <w:color w:val="auto"/>
          <w:kern w:val="0"/>
          <w:sz w:val="24"/>
          <w:szCs w:val="28"/>
        </w:rPr>
      </w:pPr>
      <w:r>
        <w:rPr>
          <w:color w:val="auto"/>
          <w:kern w:val="0"/>
          <w:sz w:val="24"/>
          <w:szCs w:val="28"/>
        </w:rPr>
        <w:t>6</w:t>
      </w:r>
      <w:r>
        <w:rPr>
          <w:rFonts w:hint="eastAsia"/>
          <w:color w:val="auto"/>
          <w:kern w:val="0"/>
          <w:sz w:val="24"/>
          <w:szCs w:val="28"/>
        </w:rPr>
        <w:t>）GBT29107-2012道路交通信息服务交通状况描述</w:t>
      </w:r>
    </w:p>
    <w:p>
      <w:pPr>
        <w:widowControl/>
        <w:autoSpaceDE w:val="0"/>
        <w:autoSpaceDN w:val="0"/>
        <w:adjustRightInd w:val="0"/>
        <w:spacing w:line="360" w:lineRule="auto"/>
        <w:ind w:firstLine="460" w:firstLineChars="192"/>
        <w:jc w:val="left"/>
        <w:rPr>
          <w:color w:val="auto"/>
          <w:kern w:val="0"/>
          <w:sz w:val="24"/>
          <w:szCs w:val="28"/>
        </w:rPr>
      </w:pPr>
      <w:r>
        <w:rPr>
          <w:color w:val="auto"/>
          <w:kern w:val="0"/>
          <w:sz w:val="24"/>
          <w:szCs w:val="28"/>
        </w:rPr>
        <w:t>7</w:t>
      </w:r>
      <w:r>
        <w:rPr>
          <w:rFonts w:hint="eastAsia"/>
          <w:color w:val="auto"/>
          <w:kern w:val="0"/>
          <w:sz w:val="24"/>
          <w:szCs w:val="28"/>
        </w:rPr>
        <w:t>）GGBT33171-2016城市交通运行状况评价规范</w:t>
      </w:r>
    </w:p>
    <w:p>
      <w:pPr>
        <w:widowControl/>
        <w:autoSpaceDE w:val="0"/>
        <w:autoSpaceDN w:val="0"/>
        <w:adjustRightInd w:val="0"/>
        <w:spacing w:line="360" w:lineRule="auto"/>
        <w:ind w:firstLine="460" w:firstLineChars="192"/>
        <w:jc w:val="left"/>
        <w:rPr>
          <w:color w:val="auto"/>
          <w:kern w:val="0"/>
          <w:sz w:val="24"/>
          <w:szCs w:val="28"/>
        </w:rPr>
      </w:pPr>
      <w:r>
        <w:rPr>
          <w:color w:val="auto"/>
          <w:kern w:val="0"/>
          <w:sz w:val="24"/>
          <w:szCs w:val="28"/>
        </w:rPr>
        <w:t>8</w:t>
      </w:r>
      <w:r>
        <w:rPr>
          <w:rFonts w:hint="eastAsia"/>
          <w:color w:val="auto"/>
          <w:kern w:val="0"/>
          <w:sz w:val="24"/>
          <w:szCs w:val="28"/>
        </w:rPr>
        <w:t>）GA/DSJ201-2019公安大数据处理</w:t>
      </w:r>
    </w:p>
    <w:p>
      <w:pPr>
        <w:spacing w:after="120"/>
        <w:rPr>
          <w:color w:val="auto"/>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keepNext/>
        <w:keepLines/>
        <w:numPr>
          <w:ilvl w:val="2"/>
          <w:numId w:val="2"/>
        </w:numPr>
        <w:tabs>
          <w:tab w:val="left" w:pos="142"/>
          <w:tab w:val="left" w:pos="360"/>
        </w:tabs>
        <w:spacing w:line="360" w:lineRule="auto"/>
        <w:ind w:left="0" w:firstLine="0"/>
        <w:outlineLvl w:val="2"/>
        <w:rPr>
          <w:rFonts w:ascii="黑体" w:hAnsi="黑体" w:eastAsia="黑体" w:cs="仿宋"/>
          <w:b/>
          <w:bCs/>
          <w:color w:val="auto"/>
          <w:sz w:val="28"/>
          <w:szCs w:val="32"/>
        </w:rPr>
      </w:pPr>
      <w:r>
        <w:rPr>
          <w:rFonts w:hint="eastAsia" w:ascii="黑体" w:hAnsi="黑体" w:eastAsia="黑体" w:cs="仿宋"/>
          <w:b/>
          <w:bCs/>
          <w:color w:val="auto"/>
          <w:sz w:val="28"/>
          <w:szCs w:val="32"/>
        </w:rPr>
        <w:t>软件技术要求</w:t>
      </w:r>
    </w:p>
    <w:p>
      <w:pPr>
        <w:spacing w:line="360" w:lineRule="auto"/>
        <w:ind w:firstLine="480" w:firstLineChars="200"/>
        <w:rPr>
          <w:rFonts w:hint="eastAsia"/>
          <w:b/>
          <w:color w:val="auto"/>
          <w:sz w:val="24"/>
          <w:szCs w:val="22"/>
        </w:rPr>
      </w:pPr>
      <w:r>
        <w:rPr>
          <w:rFonts w:hint="eastAsia"/>
          <w:b/>
          <w:color w:val="auto"/>
          <w:sz w:val="24"/>
          <w:szCs w:val="22"/>
        </w:rPr>
        <w:t>投标方的技术方案需包含但不仅限于满足以下的业务需求</w:t>
      </w:r>
      <w:r>
        <w:rPr>
          <w:rFonts w:hint="eastAsia"/>
          <w:b/>
          <w:color w:val="auto"/>
          <w:sz w:val="24"/>
          <w:szCs w:val="22"/>
          <w:lang w:eastAsia="zh-CN"/>
        </w:rPr>
        <w:t>；每个模块方案均需包括功能结构图、业务流程图、数据流向图，以及详细的功能描述，尽可能附上功能界面截图；</w:t>
      </w:r>
      <w:r>
        <w:rPr>
          <w:rFonts w:hint="eastAsia"/>
          <w:b/>
          <w:color w:val="auto"/>
          <w:sz w:val="24"/>
          <w:szCs w:val="22"/>
        </w:rPr>
        <w:t>技术要求中相关证明材料需加盖投标商公章。</w:t>
      </w:r>
    </w:p>
    <w:p>
      <w:pPr>
        <w:numPr>
          <w:ilvl w:val="0"/>
          <w:numId w:val="0"/>
        </w:numPr>
        <w:spacing w:line="360" w:lineRule="auto"/>
        <w:ind w:leftChars="0" w:firstLine="480" w:firstLineChars="200"/>
      </w:pPr>
      <w:r>
        <w:rPr>
          <w:rFonts w:hint="eastAsia" w:ascii="Times New Roman" w:hAnsi="Times New Roman" w:eastAsia="宋体" w:cs="Times New Roman"/>
          <w:b/>
          <w:color w:val="auto"/>
          <w:sz w:val="24"/>
          <w:szCs w:val="22"/>
          <w:lang w:val="en-US" w:eastAsia="zh-CN"/>
        </w:rPr>
        <w:t>本项目涉及对接的接口</w:t>
      </w:r>
      <w:r>
        <w:rPr>
          <w:rFonts w:hint="eastAsia" w:cs="Times New Roman"/>
          <w:b/>
          <w:color w:val="auto"/>
          <w:sz w:val="24"/>
          <w:szCs w:val="22"/>
          <w:lang w:val="en-US" w:eastAsia="zh-CN"/>
        </w:rPr>
        <w:t>均为</w:t>
      </w:r>
      <w:r>
        <w:rPr>
          <w:rFonts w:hint="eastAsia" w:ascii="Times New Roman" w:hAnsi="Times New Roman" w:eastAsia="宋体" w:cs="Times New Roman"/>
          <w:b/>
          <w:color w:val="auto"/>
          <w:sz w:val="24"/>
          <w:szCs w:val="22"/>
          <w:lang w:val="en-US" w:eastAsia="zh-CN"/>
        </w:rPr>
        <w:t>免费开放，由采购人负责相关接口的协调工作，接口上的技术问题由中标公司负责处理。</w:t>
      </w:r>
    </w:p>
    <w:p>
      <w:pPr>
        <w:spacing w:line="360" w:lineRule="auto"/>
        <w:ind w:firstLine="480" w:firstLineChars="200"/>
        <w:rPr>
          <w:rFonts w:hint="eastAsia"/>
          <w:b/>
          <w:color w:val="auto"/>
          <w:sz w:val="24"/>
          <w:szCs w:val="22"/>
        </w:rPr>
      </w:pPr>
      <w:r>
        <w:rPr>
          <w:rFonts w:hint="eastAsia" w:ascii="宋体" w:hAnsi="宋体"/>
          <w:b/>
          <w:color w:val="auto"/>
          <w:sz w:val="24"/>
          <w:szCs w:val="22"/>
        </w:rPr>
        <w:t>▲</w:t>
      </w:r>
      <w:r>
        <w:rPr>
          <w:rFonts w:hint="eastAsia"/>
          <w:b/>
          <w:color w:val="auto"/>
          <w:sz w:val="24"/>
          <w:szCs w:val="22"/>
        </w:rPr>
        <w:t>中标方需在数据中心建设的同时，</w:t>
      </w:r>
      <w:r>
        <w:rPr>
          <w:rFonts w:hint="eastAsia"/>
          <w:b/>
          <w:color w:val="auto"/>
          <w:sz w:val="24"/>
          <w:szCs w:val="22"/>
          <w:lang w:eastAsia="zh-CN"/>
        </w:rPr>
        <w:t>尽快</w:t>
      </w:r>
      <w:r>
        <w:rPr>
          <w:rFonts w:hint="eastAsia"/>
          <w:b/>
          <w:color w:val="auto"/>
          <w:sz w:val="24"/>
          <w:szCs w:val="22"/>
        </w:rPr>
        <w:t>形成</w:t>
      </w:r>
      <w:r>
        <w:rPr>
          <w:rFonts w:hint="eastAsia"/>
          <w:b/>
          <w:color w:val="auto"/>
          <w:sz w:val="24"/>
          <w:szCs w:val="22"/>
          <w:lang w:eastAsia="zh-CN"/>
        </w:rPr>
        <w:t>详细设计方案，包括</w:t>
      </w:r>
      <w:r>
        <w:rPr>
          <w:rFonts w:hint="eastAsia"/>
          <w:b/>
          <w:color w:val="auto"/>
          <w:sz w:val="24"/>
          <w:szCs w:val="22"/>
        </w:rPr>
        <w:t>各模块UI原型图</w:t>
      </w:r>
      <w:r>
        <w:rPr>
          <w:rFonts w:hint="eastAsia"/>
          <w:b/>
          <w:color w:val="auto"/>
          <w:sz w:val="24"/>
          <w:szCs w:val="22"/>
          <w:lang w:eastAsia="zh-CN"/>
        </w:rPr>
        <w:t>等</w:t>
      </w:r>
      <w:r>
        <w:rPr>
          <w:rFonts w:hint="eastAsia"/>
          <w:b/>
          <w:color w:val="auto"/>
          <w:sz w:val="24"/>
          <w:szCs w:val="22"/>
        </w:rPr>
        <w:t>，供招标单位各业务条线负责人</w:t>
      </w:r>
      <w:r>
        <w:rPr>
          <w:rFonts w:hint="eastAsia"/>
          <w:b/>
          <w:color w:val="auto"/>
          <w:sz w:val="24"/>
          <w:szCs w:val="22"/>
          <w:lang w:eastAsia="zh-CN"/>
        </w:rPr>
        <w:t>审核通过，并</w:t>
      </w:r>
      <w:r>
        <w:rPr>
          <w:rFonts w:hint="eastAsia"/>
          <w:b/>
          <w:color w:val="auto"/>
          <w:sz w:val="24"/>
          <w:szCs w:val="22"/>
        </w:rPr>
        <w:t>确定总体框架、风格、界面后，再进行软件开发，减少后期重复翻工工作量，提高工作效率</w:t>
      </w:r>
      <w:r>
        <w:rPr>
          <w:rFonts w:hint="eastAsia"/>
          <w:b/>
          <w:color w:val="auto"/>
          <w:sz w:val="24"/>
          <w:szCs w:val="22"/>
          <w:lang w:eastAsia="zh-CN"/>
        </w:rPr>
        <w:t>；</w:t>
      </w:r>
      <w:r>
        <w:rPr>
          <w:rFonts w:hint="eastAsia"/>
          <w:b/>
          <w:color w:val="auto"/>
          <w:sz w:val="24"/>
          <w:szCs w:val="22"/>
        </w:rPr>
        <w:t>同时，本次招标各应用模块设计的查询统计数据均能导出。</w:t>
      </w:r>
    </w:p>
    <w:p>
      <w:pPr>
        <w:pStyle w:val="10"/>
        <w:ind w:firstLine="480"/>
        <w:rPr>
          <w:rFonts w:hint="eastAsia" w:ascii="Times New Roman" w:hAnsi="Times New Roman" w:eastAsia="宋体" w:cs="Times New Roman"/>
          <w:b/>
          <w:color w:val="auto"/>
          <w:sz w:val="24"/>
          <w:szCs w:val="22"/>
          <w:lang w:val="en-US" w:eastAsia="zh-CN"/>
        </w:rPr>
      </w:pPr>
      <w:r>
        <w:rPr>
          <w:rFonts w:hint="eastAsia" w:ascii="宋体" w:hAnsi="宋体"/>
          <w:b/>
          <w:color w:val="000000" w:themeColor="text1"/>
          <w:sz w:val="24"/>
          <w:szCs w:val="22"/>
          <w14:textFill>
            <w14:solidFill>
              <w14:schemeClr w14:val="tx1"/>
            </w14:solidFill>
          </w14:textFill>
        </w:rPr>
        <w:t>▲</w:t>
      </w:r>
      <w:r>
        <w:rPr>
          <w:rFonts w:hint="eastAsia"/>
          <w:b/>
          <w:color w:val="auto"/>
          <w:sz w:val="24"/>
          <w:szCs w:val="22"/>
          <w:lang w:val="en-US" w:eastAsia="zh-CN"/>
        </w:rPr>
        <w:t xml:space="preserve">本项目中的各功能模块需符合信创有关要求。 </w:t>
      </w:r>
      <w:bookmarkStart w:id="40" w:name="_Hlk103845779"/>
    </w:p>
    <w:p>
      <w:pPr>
        <w:pStyle w:val="10"/>
        <w:ind w:firstLine="480"/>
        <w:rPr>
          <w:rFonts w:hint="eastAsia"/>
          <w:b/>
          <w:color w:val="auto"/>
          <w:sz w:val="24"/>
          <w:szCs w:val="22"/>
          <w:lang w:val="en-US" w:eastAsia="zh-CN"/>
        </w:rPr>
      </w:pPr>
    </w:p>
    <w:p>
      <w:pPr>
        <w:keepNext/>
        <w:keepLines/>
        <w:numPr>
          <w:ilvl w:val="3"/>
          <w:numId w:val="2"/>
        </w:numPr>
        <w:tabs>
          <w:tab w:val="left" w:pos="142"/>
          <w:tab w:val="left" w:pos="360"/>
        </w:tabs>
        <w:spacing w:line="360" w:lineRule="auto"/>
        <w:ind w:left="864" w:leftChars="0" w:hanging="864" w:firstLineChars="0"/>
        <w:outlineLvl w:val="2"/>
        <w:rPr>
          <w:rFonts w:hint="eastAsia" w:ascii="黑体" w:hAnsi="黑体" w:eastAsia="黑体" w:cs="仿宋"/>
          <w:b/>
          <w:bCs/>
          <w:color w:val="auto"/>
          <w:sz w:val="28"/>
          <w:szCs w:val="32"/>
        </w:rPr>
      </w:pPr>
      <w:r>
        <w:rPr>
          <w:rFonts w:hint="eastAsia" w:ascii="黑体" w:hAnsi="黑体" w:eastAsia="黑体" w:cs="仿宋"/>
          <w:b/>
          <w:bCs/>
          <w:color w:val="auto"/>
          <w:sz w:val="28"/>
          <w:szCs w:val="32"/>
        </w:rPr>
        <w:t>数据中心</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921"/>
        <w:gridCol w:w="5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序号</w:t>
            </w:r>
          </w:p>
        </w:tc>
        <w:tc>
          <w:tcPr>
            <w:tcW w:w="1126" w:type="pct"/>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功能模块</w:t>
            </w:r>
          </w:p>
        </w:tc>
        <w:tc>
          <w:tcPr>
            <w:tcW w:w="3380" w:type="pct"/>
            <w:shd w:val="clear" w:color="auto" w:fill="auto"/>
            <w:noWrap/>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（一）</w:t>
            </w:r>
          </w:p>
        </w:tc>
        <w:tc>
          <w:tcPr>
            <w:tcW w:w="1126" w:type="pct"/>
            <w:shd w:val="clear" w:color="auto" w:fill="auto"/>
            <w:vAlign w:val="center"/>
          </w:tcPr>
          <w:p>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制定数据标准体系</w:t>
            </w:r>
          </w:p>
        </w:tc>
        <w:tc>
          <w:tcPr>
            <w:tcW w:w="3380" w:type="pct"/>
            <w:shd w:val="clear" w:color="auto" w:fill="auto"/>
            <w:noWrap/>
            <w:vAlign w:val="center"/>
          </w:tcPr>
          <w:p>
            <w:pPr>
              <w:widowControl/>
              <w:jc w:val="left"/>
              <w:rPr>
                <w:rFonts w:ascii="宋体" w:hAnsi="宋体" w:cs="宋体"/>
                <w:b/>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数据标准体系制定</w:t>
            </w:r>
          </w:p>
        </w:tc>
        <w:tc>
          <w:tcPr>
            <w:tcW w:w="3380"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应制定台州市交管数据标准体系，形成台州市交管体系统一的数据语言，明确元数据、数据字典、模型、资源目录、分级分类、数据安全、数据质量标准，标准制定应符合国标（GB/T38667-2020信息技术大数据数据分类指南、GB/T38676-2020信息技术大数据存储与处理模块功能测试要求、GB/T38643-2020信息技术大数据分析模块功能测试要求等）、行标（GAT946.1-2020道路交通管理信息采集规范、GAT1049.2-2013公安交通集成指挥平台通信协议等）、部标、省标等数据管理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元数据标准</w:t>
            </w:r>
          </w:p>
        </w:tc>
        <w:tc>
          <w:tcPr>
            <w:tcW w:w="3380"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应基于统一的数据中台建设元数据标准。统一定义数据中心各数据层的表定义，字段数量，字段英文名，字段长度等标准。提供自动对标功能，自动对标时每张表通过对标历史、分词的方式会默认对上一批字段，那些没有对标的字段，亦可通过手动对标的形式来完成对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数据字典标准</w:t>
            </w:r>
          </w:p>
        </w:tc>
        <w:tc>
          <w:tcPr>
            <w:tcW w:w="3380"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应基于统一的数据中台建设数据字典标准。定义统一的数据字典标准，对字典表进行标准化管理。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模型管理标准</w:t>
            </w:r>
          </w:p>
        </w:tc>
        <w:tc>
          <w:tcPr>
            <w:tcW w:w="3380"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应基于统一的数据中台建设模型管理标准。支持逻辑实体命名。支撑在数据处理、数据质量和数据共享交换环节统一数据标准，形成统一模型规划。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资源目录标准</w:t>
            </w:r>
          </w:p>
        </w:tc>
        <w:tc>
          <w:tcPr>
            <w:tcW w:w="3380"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应基于统一的数据中台建设资源目录标准。建立交通管理数据资源目录体系和数据信息资源类目标准，建立标准库和数据信息资源分类。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6</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分级分类标准</w:t>
            </w:r>
          </w:p>
        </w:tc>
        <w:tc>
          <w:tcPr>
            <w:tcW w:w="3380"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应基于统一的数据中台建设数据分级分类标准。包含数据资源的开放和共享策略。为数据服务和数据共享交换提供标准支撑。为数据分层的预定义制定系统数据规范，提供统一的数据管理业务视图。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7</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数据安全标准</w:t>
            </w:r>
          </w:p>
        </w:tc>
        <w:tc>
          <w:tcPr>
            <w:tcW w:w="3380"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应基于统一的数据中台建设数据安全标准。统一数据使用安全规划，形成数据使用权限。包括但不限于数据权限管理，数据审计等功能服务。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8</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数据质量标准</w:t>
            </w:r>
          </w:p>
        </w:tc>
        <w:tc>
          <w:tcPr>
            <w:tcW w:w="3380"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应基于统一的数据中台建设数据质量标准。包含数据质量管理办法和组织机构、数据质量评估标准以及管理规范，提供数据质量问题发现、监测跟踪等闭环流程和管理规范，形成数据质量长效提升机制。支撑及时发现、监测定位、跟踪解决各类数据质量问题，形成数据质量问题的闭环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9</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数据接入标准</w:t>
            </w:r>
          </w:p>
        </w:tc>
        <w:tc>
          <w:tcPr>
            <w:tcW w:w="3380"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应基于统一的数据中台建设数据接入标准。数据接入主要包括数据探查、数据定义、数据读取、数据挂接和数据对账等操作。数据接入标准应包含对数据接入的各功能的标准化要求，和数据接入标准的接口形式，数据接入标准应能满足台州交警现网业务系统数据接入数据中心的需求，也应能满足未来新建业务系统数据接入数据中心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w:t>
            </w:r>
            <w:r>
              <w:rPr>
                <w:rFonts w:ascii="宋体" w:hAnsi="宋体" w:cs="宋体"/>
                <w:color w:val="auto"/>
                <w:kern w:val="0"/>
                <w:sz w:val="20"/>
                <w:szCs w:val="20"/>
              </w:rPr>
              <w:t>0</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数据共享标准</w:t>
            </w:r>
          </w:p>
        </w:tc>
        <w:tc>
          <w:tcPr>
            <w:tcW w:w="3380"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应基于统一的数据中台建设数据共享标准。对共享接口、共享权限控制等制定相应的标准；应能满足为台州交警本期新建业务系统提供数据共享需求。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w:t>
            </w:r>
            <w:r>
              <w:rPr>
                <w:rFonts w:ascii="宋体" w:hAnsi="宋体" w:cs="宋体"/>
                <w:color w:val="auto"/>
                <w:kern w:val="0"/>
                <w:sz w:val="20"/>
                <w:szCs w:val="20"/>
              </w:rPr>
              <w:t>1</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系统日志标准</w:t>
            </w:r>
          </w:p>
        </w:tc>
        <w:tc>
          <w:tcPr>
            <w:tcW w:w="3380"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应基于统一的数据中台建设业务系统日志标准，所有应用系统均需要采用该标准向数据中心提供原始系统日志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（二）</w:t>
            </w:r>
          </w:p>
        </w:tc>
        <w:tc>
          <w:tcPr>
            <w:tcW w:w="1126" w:type="pct"/>
            <w:shd w:val="clear" w:color="auto" w:fill="auto"/>
            <w:vAlign w:val="center"/>
          </w:tcPr>
          <w:p>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数据接入</w:t>
            </w:r>
          </w:p>
        </w:tc>
        <w:tc>
          <w:tcPr>
            <w:tcW w:w="3380" w:type="pct"/>
            <w:shd w:val="clear" w:color="auto" w:fill="auto"/>
            <w:noWrap/>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接入功能</w:t>
            </w:r>
          </w:p>
        </w:tc>
        <w:tc>
          <w:tcPr>
            <w:tcW w:w="3380"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应基于统一的数据中台提供数据接入功能，实现对台州市交管数据的接入，支持关系型数据库、大数据、分布式数据库、文本及接口数据的接入，支持数据库同步、数据抽取、批量导入、增量更新、手动采集、FTP、网络文件系统、分布式文件系统、边界接入等数据接入方式。</w:t>
            </w:r>
          </w:p>
          <w:p>
            <w:pPr>
              <w:widowControl/>
              <w:jc w:val="left"/>
              <w:rPr>
                <w:rFonts w:hint="default" w:ascii="宋体" w:hAnsi="宋体" w:cs="宋体"/>
                <w:color w:val="auto"/>
                <w:kern w:val="0"/>
                <w:sz w:val="20"/>
                <w:szCs w:val="20"/>
              </w:rPr>
            </w:pPr>
            <w:r>
              <w:rPr>
                <w:rFonts w:hint="eastAsia" w:ascii="宋体" w:hAnsi="宋体" w:cs="宋体"/>
                <w:color w:val="auto"/>
                <w:kern w:val="0"/>
                <w:sz w:val="20"/>
                <w:szCs w:val="20"/>
              </w:rPr>
              <w:t>★支持数据定义，包括数据格式定义、数据读取定义、数据比对定义、数据清洗定义、数据提取定义、数据分发定义。</w:t>
            </w:r>
          </w:p>
          <w:p>
            <w:pPr>
              <w:widowControl/>
              <w:jc w:val="left"/>
              <w:rPr>
                <w:rFonts w:hint="default" w:ascii="宋体" w:hAnsi="宋体" w:cs="宋体"/>
                <w:color w:val="auto"/>
                <w:kern w:val="0"/>
                <w:sz w:val="20"/>
                <w:szCs w:val="20"/>
              </w:rPr>
            </w:pPr>
            <w:r>
              <w:rPr>
                <w:rFonts w:hint="eastAsia" w:ascii="宋体" w:hAnsi="宋体" w:cs="宋体"/>
                <w:color w:val="auto"/>
                <w:kern w:val="0"/>
                <w:sz w:val="20"/>
                <w:szCs w:val="20"/>
              </w:rPr>
              <w:t>★支持数据探查，包括启用探查、探查报告、探查概览，对数据进行数据上、结构上的排查，按照固有的规则进行数据校验。</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★支持数据对账，支持增删改查，支持监控定时调度前后源表到目标表中的数据量是否一致。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数据接入范围</w:t>
            </w:r>
          </w:p>
        </w:tc>
        <w:tc>
          <w:tcPr>
            <w:tcW w:w="3380"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应建设两大数据中心，即视频专网数据中心和公安信息网数据中心。视频专网数据中心接入视频专网基础业务系统的共性业务数据，公安信息网数据中心保存完整的共性业务数据，除接入公安信息网基础业务系统的共性业务数据外，同时要同步接入视频专网数据中心的数据。并根据需求支持后续开发交管系统的数据接入。具体如下：</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1、视频专网数据中心</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1）接入系统：包括台州交警视频综合业务平台、执法记录仪管理平台、卡口系统、电警系统、微波雷达系统、台州交警基础数据管理平台、警车与警员定位管理系统、交警微信公众号、台州交通信号智能管控平台、重点车辆定位系统、互联网警情系统等。</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2）接入数据：</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设备资产数据（摄像机、信号机、卡口、电警、诱导屏、雷达、地磁等）；</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卡口过车数据（基础过车数据+二次特征识别数据）；</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交通流采集数据（传统交通流检测数据、互联网浮动车数据）；</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信号配时数据；</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GPS定位数据（警员、警车、警用装备、重点车辆等）；</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互联网浮动车数据；</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应急救援数据（医院、消防、路政、交通等）；</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气象环境数据；</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各业务系统日志类数据;</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2、公安信息网数据中心</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1）接入系统：以交通秩序管理综合业务系统、城市道路智能管控平台、公安交通集成指挥平台、交通事故预防分析研判系统、交警指挥中心集成平台、道路交通事故网上办案系统、交警车辆大数据系统、110接处警平台、公安人口系统等；同时接入视频专网数据中心数据。</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2）接入数据：</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六合一数据（机动车、驾驶证、违法、事故、危险品、**等业务应用所需的核心业务数据）；</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警情数据（市局110接处警数据、智能分析警情数据、人工上报警情数据等）；</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移动执法数据；</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公安人口数据（常住人口、暂住人口、**人员等）；</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视频专网数据中心数据（标准库、主题库、专题库）；</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各业务系统日志类数据;</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数据接入接口</w:t>
            </w:r>
          </w:p>
        </w:tc>
        <w:tc>
          <w:tcPr>
            <w:tcW w:w="33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数据中心应根据具体系统、数据种类、数据类型制定针对性的接口，以实现对现网系统数据的接入。</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应归纳总结成标准的数据接口规范，用于支撑数据中心：</w:t>
            </w:r>
          </w:p>
          <w:p>
            <w:pPr>
              <w:widowControl/>
              <w:jc w:val="left"/>
              <w:rPr>
                <w:rFonts w:ascii="宋体" w:hAnsi="宋体" w:cs="宋体"/>
                <w:color w:val="auto"/>
                <w:kern w:val="0"/>
                <w:sz w:val="20"/>
                <w:szCs w:val="20"/>
              </w:rPr>
            </w:pPr>
            <w:r>
              <w:rPr>
                <w:rFonts w:ascii="宋体" w:hAnsi="宋体" w:cs="宋体"/>
                <w:color w:val="auto"/>
                <w:kern w:val="0"/>
                <w:sz w:val="20"/>
                <w:szCs w:val="20"/>
              </w:rPr>
              <w:t>1</w:t>
            </w:r>
            <w:r>
              <w:rPr>
                <w:rFonts w:hint="eastAsia" w:ascii="宋体" w:hAnsi="宋体" w:cs="宋体"/>
                <w:color w:val="auto"/>
                <w:kern w:val="0"/>
                <w:sz w:val="20"/>
                <w:szCs w:val="20"/>
              </w:rPr>
              <w:t>）接入新建系统的数据；</w:t>
            </w:r>
          </w:p>
          <w:p>
            <w:pPr>
              <w:widowControl/>
              <w:jc w:val="left"/>
              <w:rPr>
                <w:color w:val="auto"/>
              </w:rPr>
            </w:pPr>
            <w:r>
              <w:rPr>
                <w:rFonts w:ascii="宋体" w:hAnsi="宋体" w:cs="宋体"/>
                <w:color w:val="auto"/>
                <w:kern w:val="0"/>
                <w:sz w:val="20"/>
                <w:szCs w:val="20"/>
              </w:rPr>
              <w:t>2</w:t>
            </w:r>
            <w:r>
              <w:rPr>
                <w:rFonts w:hint="eastAsia" w:ascii="宋体" w:hAnsi="宋体" w:cs="宋体"/>
                <w:color w:val="auto"/>
                <w:kern w:val="0"/>
                <w:sz w:val="20"/>
                <w:szCs w:val="20"/>
              </w:rPr>
              <w:t>）向业务系统提供数据服务。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（三）</w:t>
            </w:r>
          </w:p>
        </w:tc>
        <w:tc>
          <w:tcPr>
            <w:tcW w:w="1126" w:type="pct"/>
            <w:shd w:val="clear" w:color="auto" w:fill="auto"/>
            <w:vAlign w:val="center"/>
          </w:tcPr>
          <w:p>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数据处理</w:t>
            </w:r>
          </w:p>
        </w:tc>
        <w:tc>
          <w:tcPr>
            <w:tcW w:w="3380" w:type="pct"/>
            <w:shd w:val="clear" w:color="auto" w:fill="auto"/>
            <w:noWrap/>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数据提取</w:t>
            </w:r>
          </w:p>
        </w:tc>
        <w:tc>
          <w:tcPr>
            <w:tcW w:w="33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lang w:eastAsia="zh-CN"/>
              </w:rPr>
              <w:t>基于统一的数据中台，</w:t>
            </w:r>
            <w:r>
              <w:rPr>
                <w:rFonts w:hint="eastAsia" w:ascii="宋体" w:hAnsi="宋体" w:cs="宋体"/>
                <w:color w:val="auto"/>
                <w:kern w:val="0"/>
                <w:sz w:val="20"/>
                <w:szCs w:val="20"/>
              </w:rPr>
              <w:t>应支持外部系统接入到数据中心的数据形成原始库，按照制定的数据标准体系，对原始库的数据进行提取，形成标准库。</w:t>
            </w:r>
          </w:p>
          <w:p>
            <w:pPr>
              <w:widowControl/>
              <w:jc w:val="left"/>
              <w:rPr>
                <w:color w:val="auto"/>
              </w:rPr>
            </w:pPr>
            <w:r>
              <w:rPr>
                <w:rFonts w:hint="eastAsia" w:ascii="宋体" w:hAnsi="宋体" w:cs="宋体"/>
                <w:color w:val="auto"/>
                <w:kern w:val="0"/>
                <w:sz w:val="20"/>
                <w:szCs w:val="20"/>
              </w:rPr>
              <w:t>对结构化数据，在数据处理的过程中进行提取；对非结构化数据，如</w:t>
            </w:r>
            <w:r>
              <w:rPr>
                <w:rFonts w:ascii="宋体" w:hAnsi="宋体" w:cs="宋体"/>
                <w:color w:val="auto"/>
                <w:kern w:val="0"/>
                <w:sz w:val="20"/>
                <w:szCs w:val="20"/>
              </w:rPr>
              <w:t>word</w:t>
            </w:r>
            <w:r>
              <w:rPr>
                <w:rFonts w:hint="eastAsia" w:ascii="宋体" w:hAnsi="宋体" w:cs="宋体"/>
                <w:color w:val="auto"/>
                <w:kern w:val="0"/>
                <w:sz w:val="20"/>
                <w:szCs w:val="20"/>
              </w:rPr>
              <w:t>、</w:t>
            </w:r>
            <w:r>
              <w:rPr>
                <w:rFonts w:ascii="宋体" w:hAnsi="宋体" w:cs="宋体"/>
                <w:color w:val="auto"/>
                <w:kern w:val="0"/>
                <w:sz w:val="20"/>
                <w:szCs w:val="20"/>
              </w:rPr>
              <w:t>XML</w:t>
            </w:r>
            <w:r>
              <w:rPr>
                <w:rFonts w:hint="eastAsia" w:ascii="宋体" w:hAnsi="宋体" w:cs="宋体"/>
                <w:color w:val="auto"/>
                <w:kern w:val="0"/>
                <w:sz w:val="20"/>
                <w:szCs w:val="20"/>
              </w:rPr>
              <w:t>、</w:t>
            </w:r>
            <w:r>
              <w:rPr>
                <w:rFonts w:ascii="宋体" w:hAnsi="宋体" w:cs="宋体"/>
                <w:color w:val="auto"/>
                <w:kern w:val="0"/>
                <w:sz w:val="20"/>
                <w:szCs w:val="20"/>
              </w:rPr>
              <w:t>Excel</w:t>
            </w:r>
            <w:r>
              <w:rPr>
                <w:rFonts w:hint="eastAsia" w:ascii="宋体" w:hAnsi="宋体" w:cs="宋体"/>
                <w:color w:val="auto"/>
                <w:kern w:val="0"/>
                <w:sz w:val="20"/>
                <w:szCs w:val="20"/>
              </w:rPr>
              <w:t>等，先导入到原始库，再进行提取。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数据清洗</w:t>
            </w:r>
          </w:p>
        </w:tc>
        <w:tc>
          <w:tcPr>
            <w:tcW w:w="3380"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基于数据中台</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数据清洗是实现数据标准化的主要处理环节，将数据转化为满足标准及质量要求的数据。应支持截断、提取、过滤和转换类清洗函数，支持数据治理清洗函数，包括不限于对身份证、车牌号、地址规划等。应支持去重、代码集关联、提取、转换、截断等清洗脚本的自动化生成。</w:t>
            </w:r>
          </w:p>
          <w:p>
            <w:pPr>
              <w:widowControl/>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1）应支持数据过滤功能，支持对信息的辨别和分离，实现冗余信息及垃圾信息的滤除。</w:t>
            </w:r>
          </w:p>
          <w:p>
            <w:pPr>
              <w:widowControl/>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2）应支持数据去重功能，支持对不同的数据制定不同的去重、合并判断规则，支持根据不同场景下数据重复的不同判别规则，以及合并、清除策略，对判定为重复的数据进行合并或清除处理。</w:t>
            </w:r>
          </w:p>
          <w:p>
            <w:pPr>
              <w:widowControl/>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3）应支持数据格转功能，将非标数据参照为本项目制定的数据标准体系转换为统一的标准格式并进行输出。</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 xml:space="preserve">4）应支持数据校验功能，并提供校验规则，空值校验、取值范围校验等校验标准。支持参照校验知识库对数据进行完整性、一致性等校验。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数据关联</w:t>
            </w:r>
          </w:p>
        </w:tc>
        <w:tc>
          <w:tcPr>
            <w:tcW w:w="3380"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基于数据中台</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按照关联规则或算法，将数据和其他业务数据、数据模型进行关联。</w:t>
            </w:r>
          </w:p>
          <w:p>
            <w:pPr>
              <w:widowControl/>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1）应支持关联回填功能，将不完备的日志数据与知识数据等根据场景进行关联，并将关联的要素等信息回填至日志。</w:t>
            </w:r>
          </w:p>
          <w:p>
            <w:pPr>
              <w:widowControl/>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2）应支持关联提取功能，支持制定提取规则，可按照提取规则，对各类原始数据资源中所涉及的关键要素的时空关系及关联进行提取。</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3）应支持关联分析功能，挖掘要素间的深层次关联（如语义分析及关联计算等）。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数据比对</w:t>
            </w:r>
          </w:p>
        </w:tc>
        <w:tc>
          <w:tcPr>
            <w:tcW w:w="33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基于数据中台</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数据比对按照规则将输入的线索数据与处理的数据进行相同比较或相似度计算，并支持按要求将匹配数据返回。</w:t>
            </w:r>
          </w:p>
          <w:p>
            <w:pPr>
              <w:widowControl/>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1）应支持结构化比对功能，通过线索与指定字段取值进行比对，在海量日志中实时发现线索相关信息。</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2）应支持关联匹配功能，实时发现线索相关信息。应支持完全匹配、模糊匹配、范围匹配、正则匹配等功能。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数据标识</w:t>
            </w:r>
          </w:p>
        </w:tc>
        <w:tc>
          <w:tcPr>
            <w:tcW w:w="33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数据标识基于知识库，对数据打标签，为上层应用提供数据标识支撑。</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应根据视频专网和公安信息网数据中心接入的台州市交管数据，制定合理的数据标签。标签应分为通用标签和业务标签，通用标签是数据自身所蕴含特性的显性化，通常由数据自身属性或由处理的关联比对结构来确定，如敏感级别、语言、区域等；业务标签是根据业务应用对数据标注的具有明确业务含义的标签，如外地车、无牌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6</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数据分发</w:t>
            </w:r>
          </w:p>
        </w:tc>
        <w:tc>
          <w:tcPr>
            <w:tcW w:w="33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基于数据中台</w:t>
            </w:r>
            <w:r>
              <w:rPr>
                <w:rFonts w:hint="eastAsia" w:ascii="宋体" w:hAnsi="宋体" w:cs="宋体"/>
                <w:color w:val="auto"/>
                <w:kern w:val="0"/>
                <w:sz w:val="20"/>
                <w:szCs w:val="20"/>
                <w:lang w:eastAsia="zh-CN"/>
              </w:rPr>
              <w:t>进行</w:t>
            </w:r>
            <w:r>
              <w:rPr>
                <w:rFonts w:hint="eastAsia" w:ascii="宋体" w:hAnsi="宋体" w:cs="宋体"/>
                <w:color w:val="auto"/>
                <w:kern w:val="0"/>
                <w:sz w:val="20"/>
                <w:szCs w:val="20"/>
              </w:rPr>
              <w:t>数据分发，按照分发策略将结果数据对应分发到原始库、资源库、主题库、业务库、知识库。</w:t>
            </w:r>
          </w:p>
          <w:p>
            <w:pPr>
              <w:widowControl/>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1）应支持任务调度功能，配置数据分发任务，包括但不限于分发任务注册，报文模板配置和下端模块注册等功能。</w:t>
            </w:r>
          </w:p>
          <w:p>
            <w:pPr>
              <w:widowControl/>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2）</w:t>
            </w:r>
            <w:r>
              <w:rPr>
                <w:rFonts w:ascii="宋体" w:hAnsi="宋体" w:cs="宋体"/>
                <w:color w:val="auto"/>
                <w:kern w:val="0"/>
                <w:sz w:val="20"/>
                <w:szCs w:val="20"/>
              </w:rPr>
              <w:t>应支持</w:t>
            </w:r>
            <w:r>
              <w:rPr>
                <w:rFonts w:hint="eastAsia" w:ascii="宋体" w:hAnsi="宋体" w:cs="宋体"/>
                <w:color w:val="auto"/>
                <w:kern w:val="0"/>
                <w:sz w:val="20"/>
                <w:szCs w:val="20"/>
              </w:rPr>
              <w:t>分发任务队列管理功能，包括任务信息、任务执行情况及结果情况。</w:t>
            </w:r>
          </w:p>
          <w:p>
            <w:pPr>
              <w:widowControl/>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3）应支持数据分发功能，根据任务注册信息获取数据，按照模板组装数据，并向指定下端模块发送组装后的数据报文。</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4）应支持分发统计功能，统计数据分发和处理情况统计。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（四）</w:t>
            </w:r>
          </w:p>
        </w:tc>
        <w:tc>
          <w:tcPr>
            <w:tcW w:w="1126" w:type="pct"/>
            <w:shd w:val="clear" w:color="auto" w:fill="auto"/>
            <w:vAlign w:val="center"/>
          </w:tcPr>
          <w:p>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数据组织</w:t>
            </w:r>
          </w:p>
        </w:tc>
        <w:tc>
          <w:tcPr>
            <w:tcW w:w="3380" w:type="pct"/>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数据组织</w:t>
            </w:r>
          </w:p>
        </w:tc>
        <w:tc>
          <w:tcPr>
            <w:tcW w:w="3380"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w:t>
            </w:r>
            <w:r>
              <w:rPr>
                <w:rFonts w:hint="eastAsia" w:ascii="宋体" w:hAnsi="宋体" w:cs="宋体"/>
                <w:color w:val="auto"/>
                <w:kern w:val="0"/>
                <w:sz w:val="20"/>
                <w:szCs w:val="20"/>
                <w:lang w:eastAsia="zh-CN"/>
              </w:rPr>
              <w:t>数据中台</w:t>
            </w:r>
            <w:r>
              <w:rPr>
                <w:rFonts w:hint="eastAsia" w:ascii="宋体" w:hAnsi="宋体" w:cs="宋体"/>
                <w:color w:val="auto"/>
                <w:kern w:val="0"/>
                <w:sz w:val="20"/>
                <w:szCs w:val="20"/>
              </w:rPr>
              <w:t>应支持数据库创建，实现系统内业务库、资源库、主题库、知识库等数据库的创建和基本信息管理。</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2）应支持数据库管理，实现数据库和数据接入规则、数据预处理步骤、分级分类规则、标准化规则的关联设置。</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 xml:space="preserve"> 3）应支持数据组织视图，实现数据库大数据组织情况的统一展示。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原始库</w:t>
            </w:r>
          </w:p>
        </w:tc>
        <w:tc>
          <w:tcPr>
            <w:tcW w:w="33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需具备存储原始数据，并在此基础上补充对各种来源数据进行一系列处理加工后产生的标准化数据项、关联要素信息和基础标签、行为标签、业务标签和分级分类属性。</w:t>
            </w:r>
          </w:p>
          <w:p>
            <w:pPr>
              <w:spacing w:after="120"/>
              <w:rPr>
                <w:rFonts w:ascii="宋体" w:hAnsi="宋体" w:cs="宋体"/>
                <w:color w:val="auto"/>
                <w:kern w:val="0"/>
                <w:sz w:val="20"/>
                <w:szCs w:val="20"/>
              </w:rPr>
            </w:pPr>
            <w:r>
              <w:rPr>
                <w:rFonts w:ascii="宋体" w:hAnsi="宋体" w:cs="宋体"/>
                <w:color w:val="auto"/>
                <w:kern w:val="0"/>
                <w:sz w:val="20"/>
                <w:szCs w:val="20"/>
              </w:rPr>
              <w:t>原始库按照接入数据的源系统划分目录</w:t>
            </w:r>
            <w:r>
              <w:rPr>
                <w:rFonts w:hint="eastAsia" w:ascii="宋体" w:hAnsi="宋体" w:cs="宋体"/>
                <w:color w:val="auto"/>
                <w:kern w:val="0"/>
                <w:sz w:val="20"/>
                <w:szCs w:val="20"/>
              </w:rPr>
              <w:t>，</w:t>
            </w:r>
            <w:r>
              <w:rPr>
                <w:rFonts w:ascii="宋体" w:hAnsi="宋体" w:cs="宋体"/>
                <w:color w:val="auto"/>
                <w:kern w:val="0"/>
                <w:sz w:val="20"/>
                <w:szCs w:val="20"/>
              </w:rPr>
              <w:t>应能清晰呈现及保存</w:t>
            </w:r>
            <w:r>
              <w:rPr>
                <w:rFonts w:hint="eastAsia" w:ascii="宋体" w:hAnsi="宋体" w:cs="宋体"/>
                <w:color w:val="auto"/>
                <w:kern w:val="0"/>
                <w:sz w:val="20"/>
                <w:szCs w:val="20"/>
              </w:rPr>
              <w:t>“数据接入范围”内定义的数据。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标准库</w:t>
            </w:r>
          </w:p>
        </w:tc>
        <w:tc>
          <w:tcPr>
            <w:tcW w:w="33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需具备按照数据质量标准经过提取、清洗、转换等技术手段治理后再按照数据分级分类要求建立的数据标准库。</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公安信息网与视频专网建立标准库，完成后需要数据服务支撑数智实战模块、数智决策模块、高地一体化模块、信号控制提升模块、重点对象管控模块、交通态势分析模块、运维管理模块、移动应用模块、事故可视化模块。</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标准库应按照业务属性进行归纳，遵循数据资源目的设定。</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本项目，应建立但不限于以下标准库，并需要投标时详述每类标准库下的数据种类及数据表结构：</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基础信息数据</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卡口相关数据</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视频相关数据</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诱导相关数据</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交通流相关数据</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信号控制相关数据</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GPS定位相关数据</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机动车相关数据</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驾驶人相关数据</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交通违法相关数据</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交通事故相关数据</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危险品车辆相关数据</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警情相关数据</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人口相关数据</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应急救援相关数据</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交通运输相关数据</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综合执法相关数据</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综合治理相关数据</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气象环境相关数据</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停车相关数据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资源库</w:t>
            </w:r>
          </w:p>
        </w:tc>
        <w:tc>
          <w:tcPr>
            <w:tcW w:w="33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应建立各类数据资源的关键要素（各种标识类属性）以及要素之间关联、关系的公共数据集合。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知识库</w:t>
            </w:r>
          </w:p>
        </w:tc>
        <w:tc>
          <w:tcPr>
            <w:tcW w:w="33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应具备交管领域共享的特征知识数据和规则方法集合，包括用于数据接入、处理、治理、组织和服务的所有知识性数据以及各种规则、方法、过程的集合。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6</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业务库</w:t>
            </w:r>
          </w:p>
        </w:tc>
        <w:tc>
          <w:tcPr>
            <w:tcW w:w="3380"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1）应具备业务生产库，记录和存储业务人员进行业务开展与流程等业务活动相关的一切数据。</w:t>
            </w:r>
          </w:p>
          <w:p>
            <w:pPr>
              <w:widowControl/>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2）应具备业务资源库，汇聚业务系统内的数据资源，包括原始库、资源库、主题库等提取或分发的数据。</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3）应具备业务知识库，汇聚与业务相关，支撑具体业务方向的业务或专题知识，包括业务知识实体库和业务知识模型库。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7</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主题库</w:t>
            </w:r>
          </w:p>
        </w:tc>
        <w:tc>
          <w:tcPr>
            <w:tcW w:w="3380"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主题库是为了便利工作、精准快速地反映工作对象全貌而建立的融合各类数据资源、长期积累的人、车、路、事、组织主题对象库，本项目应在公安信息网建立人员主题库、机动车主题库、道路主题库、组织主题库、案事件主题库。投标时，应详述各主题库的结构。</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1）人员主题聚合车辆所有人及驾驶人、交通管理及辅助人员、与交通安全相关的企业机构法人及其管理人、交通违法和交通事故当事人等交通安全参与者各个维度属性描述的信息集合。比如驾驶人基本信息（包含</w:t>
            </w:r>
            <w:r>
              <w:rPr>
                <w:rFonts w:hint="eastAsia" w:ascii="宋体" w:hAnsi="宋体" w:cs="宋体"/>
                <w:color w:val="auto"/>
                <w:kern w:val="0"/>
                <w:sz w:val="20"/>
                <w:szCs w:val="20"/>
                <w:lang w:eastAsia="zh-CN"/>
              </w:rPr>
              <w:t>所属大队、中队，以及</w:t>
            </w:r>
            <w:r>
              <w:rPr>
                <w:rFonts w:hint="eastAsia" w:ascii="宋体" w:hAnsi="宋体" w:cs="宋体"/>
                <w:color w:val="auto"/>
                <w:kern w:val="0"/>
                <w:sz w:val="20"/>
                <w:szCs w:val="20"/>
              </w:rPr>
              <w:t>行政区划县市区、乡镇、村居）、驾驶人基本信息、驾驶人违法记分信息、驾驶人考试信息、驾驶人事故信息、事故当事人信息、机动车所有人信息、企业机构法人信息、交通管理人员及相关社会组织人员等信息。</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（2）机动车主题聚合机动车、重点关注类型的机动车、公务用车、救援抢险车等各个维度属性描述的信息集合。比如比如机动车相关基本信息（包含发证机关、</w:t>
            </w:r>
            <w:r>
              <w:rPr>
                <w:rFonts w:hint="eastAsia" w:ascii="宋体" w:hAnsi="宋体" w:cs="宋体"/>
                <w:color w:val="auto"/>
                <w:kern w:val="0"/>
                <w:sz w:val="20"/>
                <w:szCs w:val="20"/>
                <w:lang w:eastAsia="zh-CN"/>
              </w:rPr>
              <w:t>所属大队、中队，</w:t>
            </w:r>
            <w:r>
              <w:rPr>
                <w:rFonts w:hint="eastAsia" w:ascii="宋体" w:hAnsi="宋体" w:cs="宋体"/>
                <w:color w:val="auto"/>
                <w:kern w:val="0"/>
                <w:sz w:val="20"/>
                <w:szCs w:val="20"/>
              </w:rPr>
              <w:t>以及行政区划县市区、乡镇、村居）、机动车相关基本信息、机动车状态信息、路径信息、所有人信息、相关驾驶人信息、交通违法信息、交通事故信息、车载信息等。</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（3）道路主题按照道路分类标准和管辖范围，聚合与道路相关的信息，包括道路基本信息、道路交通科技设备基础信息、道路施工信息、</w:t>
            </w:r>
            <w:bookmarkStart w:id="41" w:name="OLE_LINK1"/>
            <w:r>
              <w:rPr>
                <w:rFonts w:hint="eastAsia" w:ascii="宋体" w:hAnsi="宋体" w:cs="宋体"/>
                <w:color w:val="auto"/>
                <w:kern w:val="0"/>
                <w:sz w:val="20"/>
                <w:szCs w:val="20"/>
              </w:rPr>
              <w:t>道路拥堵</w:t>
            </w:r>
            <w:bookmarkEnd w:id="41"/>
            <w:r>
              <w:rPr>
                <w:rFonts w:hint="eastAsia" w:ascii="宋体" w:hAnsi="宋体" w:cs="宋体"/>
                <w:color w:val="auto"/>
                <w:kern w:val="0"/>
                <w:sz w:val="20"/>
                <w:szCs w:val="20"/>
              </w:rPr>
              <w:t>信息、交通事故信息、危险路段、隐患路段、违法多发地等各个维度属性描述的信息集合。</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4）组织主题数据主要汇聚交通安全管理责任单位、交通安全责任单位的各个维度属性描述的信息集合。例如单位基本信息，包括统一机构代码、法人信息、管理人员信息、企业经营范围、营业执照信息、营运许可信息等；单位登记机动车基本信息、违法信息、事故信息、驾驶人及押运员信息等。</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5）案事件主题库是以案事件为主体，覆盖案事件办理全流程的相关数据集合。包括警情、案事件、流程、法律文书、案事件特征等各类信息的多维刻画。如交通执法信息、交通事故信息、交通违法信息、交通违法案件信息等。</w:t>
            </w:r>
          </w:p>
          <w:p>
            <w:pPr>
              <w:widowControl/>
              <w:jc w:val="left"/>
              <w:rPr>
                <w:color w:val="auto"/>
              </w:rPr>
            </w:pPr>
            <w:r>
              <w:rPr>
                <w:rFonts w:hint="eastAsia" w:ascii="宋体" w:hAnsi="宋体" w:cs="宋体"/>
                <w:color w:val="auto"/>
                <w:kern w:val="0"/>
                <w:sz w:val="20"/>
                <w:szCs w:val="20"/>
              </w:rPr>
              <w:t>（6）非机动车主题库：聚合非机动车、重点关注类型的非机动车、快递运输非机动车等各个维度属性描述的信息集合。比如非机动车相关基本信息、登记信息、所有人信息、交通违法信息、交通事故信等。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8</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专题库</w:t>
            </w:r>
          </w:p>
        </w:tc>
        <w:tc>
          <w:tcPr>
            <w:tcW w:w="33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专题库是数据中心的核心数据库，需承载赋能中心模型超市中模型计算成果数据，本项目应至少建立交通流量专题、交通路况专题、积分模型专题、勤务专题、业务监管专题，以及本招标要求中他处提到的专题。</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应提供通过北向数据交换接口为智慧交管业务应用系统提供统一专题数据服务。</w:t>
            </w:r>
          </w:p>
          <w:p>
            <w:pPr>
              <w:widowControl/>
              <w:jc w:val="left"/>
              <w:rPr>
                <w:color w:val="auto"/>
              </w:rPr>
            </w:pPr>
            <w:r>
              <w:rPr>
                <w:rFonts w:ascii="宋体" w:hAnsi="宋体" w:cs="宋体"/>
                <w:color w:val="auto"/>
                <w:kern w:val="0"/>
                <w:sz w:val="20"/>
                <w:szCs w:val="20"/>
              </w:rPr>
              <w:t>投标时</w:t>
            </w:r>
            <w:r>
              <w:rPr>
                <w:rFonts w:hint="eastAsia" w:ascii="宋体" w:hAnsi="宋体" w:cs="宋体"/>
                <w:color w:val="auto"/>
                <w:kern w:val="0"/>
                <w:sz w:val="20"/>
                <w:szCs w:val="20"/>
              </w:rPr>
              <w:t>，</w:t>
            </w:r>
            <w:r>
              <w:rPr>
                <w:rFonts w:ascii="宋体" w:hAnsi="宋体" w:cs="宋体"/>
                <w:color w:val="auto"/>
                <w:kern w:val="0"/>
                <w:sz w:val="20"/>
                <w:szCs w:val="20"/>
              </w:rPr>
              <w:t>应详述各类专题相关的数据种类及数据结构</w:t>
            </w:r>
            <w:r>
              <w:rPr>
                <w:rFonts w:hint="eastAsia" w:ascii="宋体" w:hAnsi="宋体" w:cs="宋体"/>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9</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索引库</w:t>
            </w:r>
          </w:p>
        </w:tc>
        <w:tc>
          <w:tcPr>
            <w:tcW w:w="33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需支持对原始库、标准库、资源库、主题库等数据库的关键要素建立实现全局索引。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（五）</w:t>
            </w:r>
          </w:p>
        </w:tc>
        <w:tc>
          <w:tcPr>
            <w:tcW w:w="1126" w:type="pct"/>
            <w:shd w:val="clear" w:color="auto" w:fill="auto"/>
            <w:vAlign w:val="center"/>
          </w:tcPr>
          <w:p>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数据治理</w:t>
            </w:r>
          </w:p>
        </w:tc>
        <w:tc>
          <w:tcPr>
            <w:tcW w:w="3380" w:type="pct"/>
            <w:shd w:val="clear" w:color="auto" w:fill="auto"/>
            <w:noWrap/>
            <w:vAlign w:val="center"/>
          </w:tcPr>
          <w:p>
            <w:pPr>
              <w:widowControl/>
              <w:jc w:val="left"/>
              <w:rPr>
                <w:rFonts w:ascii="宋体" w:hAnsi="宋体" w:cs="宋体"/>
                <w:b/>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数据资产管理-数据资源目录</w:t>
            </w:r>
          </w:p>
        </w:tc>
        <w:tc>
          <w:tcPr>
            <w:tcW w:w="33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数据中台应提供数据资源目录管理功能。</w:t>
            </w:r>
          </w:p>
          <w:p>
            <w:pPr>
              <w:widowControl/>
              <w:jc w:val="left"/>
              <w:rPr>
                <w:rFonts w:hint="eastAsia" w:ascii="宋体" w:hAnsi="宋体" w:eastAsia="宋体" w:cs="宋体"/>
                <w:color w:val="auto"/>
                <w:kern w:val="0"/>
                <w:sz w:val="20"/>
                <w:szCs w:val="20"/>
                <w:lang w:eastAsia="zh-CN"/>
              </w:rPr>
            </w:pPr>
            <w:r>
              <w:rPr>
                <w:rFonts w:ascii="宋体" w:hAnsi="宋体" w:cs="宋体"/>
                <w:color w:val="auto"/>
                <w:kern w:val="0"/>
                <w:sz w:val="20"/>
                <w:szCs w:val="20"/>
              </w:rPr>
              <w:t>1</w:t>
            </w:r>
            <w:r>
              <w:rPr>
                <w:rFonts w:hint="eastAsia" w:ascii="宋体" w:hAnsi="宋体" w:cs="宋体"/>
                <w:color w:val="auto"/>
                <w:kern w:val="0"/>
                <w:sz w:val="20"/>
                <w:szCs w:val="20"/>
              </w:rPr>
              <w:t>）包含数据资源目录信息，支持审核、注册功能,支持资源分类配置，支持批量模板导入。</w:t>
            </w:r>
          </w:p>
          <w:p>
            <w:pPr>
              <w:widowControl/>
              <w:jc w:val="left"/>
              <w:rPr>
                <w:rFonts w:ascii="宋体" w:hAnsi="宋体" w:cs="宋体"/>
                <w:color w:val="auto"/>
                <w:kern w:val="0"/>
                <w:sz w:val="20"/>
                <w:szCs w:val="20"/>
              </w:rPr>
            </w:pPr>
            <w:r>
              <w:rPr>
                <w:rFonts w:ascii="宋体" w:hAnsi="宋体" w:cs="宋体"/>
                <w:color w:val="auto"/>
                <w:kern w:val="0"/>
                <w:sz w:val="20"/>
                <w:szCs w:val="20"/>
              </w:rPr>
              <w:t>2</w:t>
            </w:r>
            <w:r>
              <w:rPr>
                <w:rFonts w:hint="eastAsia" w:ascii="宋体" w:hAnsi="宋体" w:cs="宋体"/>
                <w:color w:val="auto"/>
                <w:kern w:val="0"/>
                <w:sz w:val="20"/>
                <w:szCs w:val="20"/>
              </w:rPr>
              <w:t>）支持资源目录更新、资源停用、资源注销、资源重新启用、资源目录汇聚、资源目录同步、资源目录查询、数据元素维护、数据字段维护等功能。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★数据资产管理-数据分级分类</w:t>
            </w:r>
          </w:p>
        </w:tc>
        <w:tc>
          <w:tcPr>
            <w:tcW w:w="3380" w:type="pct"/>
            <w:shd w:val="clear" w:color="auto" w:fill="auto"/>
            <w:vAlign w:val="center"/>
          </w:tcPr>
          <w:p>
            <w:pPr>
              <w:widowControl/>
              <w:jc w:val="left"/>
              <w:rPr>
                <w:rFonts w:hint="eastAsia" w:ascii="宋体" w:hAnsi="宋体" w:cs="宋体"/>
                <w:color w:val="auto"/>
                <w:kern w:val="0"/>
                <w:sz w:val="20"/>
                <w:szCs w:val="20"/>
                <w:lang w:eastAsia="zh-CN"/>
              </w:rPr>
            </w:pPr>
            <w:r>
              <w:rPr>
                <w:rFonts w:hint="eastAsia" w:ascii="宋体" w:hAnsi="宋体" w:cs="宋体"/>
                <w:color w:val="auto"/>
                <w:kern w:val="0"/>
                <w:sz w:val="20"/>
                <w:szCs w:val="20"/>
              </w:rPr>
              <w:t>数据中台应提供数据分级分类管理功能，支持对来源数据进行自动分级分类，控制用户访问数据权限，粒度支持字段级</w:t>
            </w:r>
            <w:r>
              <w:rPr>
                <w:rFonts w:hint="eastAsia" w:ascii="宋体" w:hAnsi="宋体" w:cs="宋体"/>
                <w:color w:val="auto"/>
                <w:kern w:val="0"/>
                <w:sz w:val="20"/>
                <w:szCs w:val="20"/>
                <w:lang w:eastAsia="zh-CN"/>
              </w:rPr>
              <w:t>；</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支持敏感级别规则的管理，数据授权管理，数据分级分类审核、审批。</w:t>
            </w:r>
            <w:r>
              <w:rPr>
                <w:rFonts w:hint="eastAsia" w:ascii="宋体" w:hAnsi="宋体" w:cs="宋体"/>
                <w:b/>
                <w:bCs/>
                <w:strike w:val="0"/>
                <w:dstrike w:val="0"/>
                <w:color w:val="auto"/>
                <w:kern w:val="0"/>
                <w:sz w:val="20"/>
                <w:szCs w:val="20"/>
              </w:rPr>
              <w:t>提供界面截图证明。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★数据资产管理-数据血缘管理</w:t>
            </w:r>
          </w:p>
        </w:tc>
        <w:tc>
          <w:tcPr>
            <w:tcW w:w="3380"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数据中台应提供血缘记录功能，描述记录血缘信息的规则。血缘分析功能，数据资源进行数据流向分析、继承分析、转换分析、溯源和变更影响分析，勾勒出每条数据的来龙去脉，形成血缘关系，支持表血缘和字段血缘。血缘查询功能，数据类别、数据项进行数据血缘的接口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★数据资产管理-标签管理</w:t>
            </w:r>
          </w:p>
        </w:tc>
        <w:tc>
          <w:tcPr>
            <w:tcW w:w="3380"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应提供标签管理功能，包括但不限于标签的注册、修改、删除、查询、导入、导出，以及标签类目等管理功能。标签规则的定义和标签规则知识库的管理。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★数据资产管理-数据质量管理</w:t>
            </w:r>
          </w:p>
        </w:tc>
        <w:tc>
          <w:tcPr>
            <w:tcW w:w="3380"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数据中台应提供全链路数据质量管理，对数据源、导入过程、数据资产、数据使用等数据链路中的各个环节进行管控，包括质量监控、异常告警、问题定位、自定义规则维护、灵活的规则执行、自动分析报告</w:t>
            </w:r>
            <w:r>
              <w:rPr>
                <w:rFonts w:hint="eastAsia" w:ascii="宋体" w:hAnsi="宋体" w:cs="宋体"/>
                <w:strike w:val="0"/>
                <w:dstrike w:val="0"/>
                <w:color w:val="auto"/>
                <w:kern w:val="0"/>
                <w:sz w:val="20"/>
                <w:szCs w:val="20"/>
              </w:rPr>
              <w:t>，</w:t>
            </w:r>
            <w:r>
              <w:rPr>
                <w:rFonts w:hint="eastAsia" w:ascii="宋体" w:hAnsi="宋体" w:cs="宋体"/>
                <w:b/>
                <w:bCs/>
                <w:strike w:val="0"/>
                <w:dstrike w:val="0"/>
                <w:color w:val="auto"/>
                <w:kern w:val="0"/>
                <w:sz w:val="20"/>
                <w:szCs w:val="20"/>
              </w:rPr>
              <w:t>提供界面截图</w:t>
            </w:r>
            <w:r>
              <w:rPr>
                <w:rFonts w:hint="eastAsia" w:ascii="宋体" w:hAnsi="宋体" w:cs="宋体"/>
                <w:b/>
                <w:bCs/>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6</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数据资产管理-数据运维管理</w:t>
            </w:r>
          </w:p>
        </w:tc>
        <w:tc>
          <w:tcPr>
            <w:tcW w:w="33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需支持运维日志采集，资源统计，运行状态监控，数据质量展示分析，数据运维报表，数据备份管理。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7</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★数据资产管理-数据运营管理</w:t>
            </w:r>
          </w:p>
        </w:tc>
        <w:tc>
          <w:tcPr>
            <w:tcW w:w="3380"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数据中台应提供数据服务目录管理功能。</w:t>
            </w:r>
          </w:p>
          <w:p>
            <w:pPr>
              <w:widowControl/>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1）根据数据资源的开放程度和使用情况进行个性化配置和展示，数据资源目录的获取、展示以及配置等。</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2）并支持服务计量，对各项数据服务进行计量和统计，评估各种数据资源的使用情况。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8</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★元数据管理</w:t>
            </w:r>
          </w:p>
        </w:tc>
        <w:tc>
          <w:tcPr>
            <w:tcW w:w="3380"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val="en-US" w:eastAsia="zh-CN"/>
              </w:rPr>
              <w:t>1）</w:t>
            </w:r>
            <w:r>
              <w:rPr>
                <w:rFonts w:hint="eastAsia" w:ascii="宋体" w:hAnsi="宋体" w:cs="宋体"/>
                <w:color w:val="auto"/>
                <w:kern w:val="0"/>
                <w:sz w:val="20"/>
                <w:szCs w:val="20"/>
              </w:rPr>
              <w:t>数据中台应提供数据源管理功能，每个数据源所包含的表和视图的信息进行查看（表名称、创建时间、更新时间、描述、字段结构）。</w:t>
            </w:r>
          </w:p>
          <w:p>
            <w:pPr>
              <w:widowControl/>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2）数据中台应提供元数据开发功能，实现构建数据仓库分层管理模型，数据表、资产管理的编目。</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3）数据中台应提供规范中心功能，实现创建自定义标准、导入代码表以及标准审核功能，规范用户数据结构与所用代码表。</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lang w:val="en-US" w:eastAsia="zh-CN"/>
              </w:rPr>
              <w:t>4）</w:t>
            </w:r>
            <w:r>
              <w:rPr>
                <w:rFonts w:hint="eastAsia" w:ascii="宋体" w:hAnsi="宋体" w:cs="宋体"/>
                <w:color w:val="auto"/>
                <w:kern w:val="0"/>
                <w:sz w:val="20"/>
                <w:szCs w:val="20"/>
              </w:rPr>
              <w:t>数据中台应提供元数据查询功能，支持展示各个数仓分层的技术元数据、业务元数据和关系元数据。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9</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数据采集</w:t>
            </w:r>
          </w:p>
        </w:tc>
        <w:tc>
          <w:tcPr>
            <w:tcW w:w="3380"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ascii="宋体" w:hAnsi="宋体" w:cs="宋体"/>
                <w:color w:val="auto"/>
                <w:kern w:val="0"/>
                <w:sz w:val="20"/>
                <w:szCs w:val="20"/>
              </w:rPr>
              <w:t>★1）</w:t>
            </w:r>
            <w:r>
              <w:rPr>
                <w:rFonts w:hint="eastAsia" w:ascii="宋体" w:hAnsi="宋体"/>
                <w:color w:val="auto"/>
                <w:kern w:val="0"/>
                <w:sz w:val="20"/>
                <w:szCs w:val="24"/>
              </w:rPr>
              <w:t>数据中台</w:t>
            </w:r>
            <w:r>
              <w:rPr>
                <w:rFonts w:hint="eastAsia" w:ascii="宋体" w:hAnsi="宋体" w:cs="宋体"/>
                <w:color w:val="auto"/>
                <w:kern w:val="0"/>
                <w:sz w:val="20"/>
                <w:szCs w:val="20"/>
              </w:rPr>
              <w:t>应提供离线采集（单表采集、批量采集、实时采集和自定义采集）功能，</w:t>
            </w:r>
            <w:r>
              <w:rPr>
                <w:rFonts w:hint="eastAsia" w:ascii="宋体" w:hAnsi="宋体" w:cs="宋体"/>
                <w:b/>
                <w:bCs/>
                <w:color w:val="auto"/>
                <w:kern w:val="0"/>
                <w:sz w:val="20"/>
                <w:szCs w:val="20"/>
              </w:rPr>
              <w:t>提供界面截图证明</w:t>
            </w:r>
            <w:r>
              <w:rPr>
                <w:rFonts w:hint="eastAsia" w:ascii="宋体" w:hAnsi="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ascii="宋体" w:hAnsi="宋体" w:cs="宋体"/>
                <w:color w:val="auto"/>
                <w:kern w:val="0"/>
                <w:sz w:val="20"/>
                <w:szCs w:val="20"/>
              </w:rPr>
              <w:t>2）</w:t>
            </w:r>
            <w:r>
              <w:rPr>
                <w:rFonts w:hint="eastAsia" w:ascii="宋体" w:hAnsi="宋体"/>
                <w:color w:val="auto"/>
                <w:kern w:val="0"/>
                <w:sz w:val="20"/>
                <w:szCs w:val="24"/>
              </w:rPr>
              <w:t>数据中台</w:t>
            </w:r>
            <w:r>
              <w:rPr>
                <w:rFonts w:hint="eastAsia" w:ascii="宋体" w:hAnsi="宋体" w:cs="宋体"/>
                <w:color w:val="auto"/>
                <w:kern w:val="0"/>
                <w:sz w:val="20"/>
                <w:szCs w:val="20"/>
              </w:rPr>
              <w:t>应提供关系型数据库和日志文件的实时采集功能。</w:t>
            </w:r>
          </w:p>
          <w:p>
            <w:pPr>
              <w:widowControl/>
              <w:jc w:val="left"/>
              <w:rPr>
                <w:rFonts w:hint="eastAsia" w:ascii="宋体" w:hAnsi="宋体" w:eastAsia="宋体" w:cs="宋体"/>
                <w:color w:val="auto"/>
                <w:kern w:val="0"/>
                <w:sz w:val="20"/>
                <w:szCs w:val="20"/>
                <w:lang w:eastAsia="zh-CN"/>
              </w:rPr>
            </w:pPr>
            <w:r>
              <w:rPr>
                <w:rFonts w:ascii="宋体" w:hAnsi="宋体" w:cs="宋体"/>
                <w:color w:val="auto"/>
                <w:kern w:val="0"/>
                <w:sz w:val="20"/>
                <w:szCs w:val="20"/>
              </w:rPr>
              <w:t>3）</w:t>
            </w:r>
            <w:r>
              <w:rPr>
                <w:rFonts w:hint="eastAsia" w:ascii="宋体" w:hAnsi="宋体"/>
                <w:color w:val="auto"/>
                <w:kern w:val="0"/>
                <w:sz w:val="20"/>
                <w:szCs w:val="24"/>
              </w:rPr>
              <w:t>数据中台</w:t>
            </w:r>
            <w:r>
              <w:rPr>
                <w:rFonts w:hint="eastAsia" w:ascii="宋体" w:hAnsi="宋体" w:cs="宋体"/>
                <w:color w:val="auto"/>
                <w:kern w:val="0"/>
                <w:sz w:val="20"/>
                <w:szCs w:val="20"/>
              </w:rPr>
              <w:t>应提供脚本开发功能，实现数据脚本开发，包含：</w:t>
            </w:r>
            <w:r>
              <w:rPr>
                <w:rFonts w:ascii="宋体" w:hAnsi="宋体" w:cs="宋体"/>
                <w:color w:val="auto"/>
                <w:kern w:val="0"/>
                <w:sz w:val="20"/>
                <w:szCs w:val="20"/>
              </w:rPr>
              <w:t>Python、PHP、Shell、SQL等脚本格式</w:t>
            </w:r>
            <w:r>
              <w:rPr>
                <w:rFonts w:hint="eastAsia" w:ascii="宋体" w:hAnsi="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ascii="宋体" w:hAnsi="宋体" w:cs="宋体"/>
                <w:color w:val="auto"/>
                <w:kern w:val="0"/>
                <w:sz w:val="20"/>
                <w:szCs w:val="20"/>
              </w:rPr>
              <w:t>4）</w:t>
            </w:r>
            <w:r>
              <w:rPr>
                <w:rFonts w:hint="eastAsia" w:ascii="宋体" w:hAnsi="宋体"/>
                <w:color w:val="auto"/>
                <w:kern w:val="0"/>
                <w:sz w:val="20"/>
                <w:szCs w:val="24"/>
              </w:rPr>
              <w:t>数据中台</w:t>
            </w:r>
            <w:r>
              <w:rPr>
                <w:rFonts w:hint="eastAsia" w:ascii="宋体" w:hAnsi="宋体" w:cs="宋体"/>
                <w:color w:val="auto"/>
                <w:kern w:val="0"/>
                <w:sz w:val="20"/>
                <w:szCs w:val="20"/>
              </w:rPr>
              <w:t>应提供工作流开发功能，实现数据采集任务、数据处理脚本的可视化流串联，统一调度。</w:t>
            </w:r>
          </w:p>
          <w:p>
            <w:pPr>
              <w:widowControl/>
              <w:jc w:val="left"/>
              <w:rPr>
                <w:rFonts w:ascii="宋体" w:hAnsi="宋体" w:cs="宋体"/>
                <w:color w:val="auto"/>
                <w:kern w:val="0"/>
                <w:sz w:val="20"/>
                <w:szCs w:val="20"/>
              </w:rPr>
            </w:pPr>
            <w:r>
              <w:rPr>
                <w:rFonts w:ascii="宋体" w:hAnsi="宋体" w:cs="宋体"/>
                <w:color w:val="auto"/>
                <w:kern w:val="0"/>
                <w:sz w:val="20"/>
                <w:szCs w:val="20"/>
              </w:rPr>
              <w:t>5）</w:t>
            </w:r>
            <w:r>
              <w:rPr>
                <w:rFonts w:hint="eastAsia" w:ascii="宋体" w:hAnsi="宋体"/>
                <w:color w:val="auto"/>
                <w:kern w:val="0"/>
                <w:sz w:val="20"/>
                <w:szCs w:val="24"/>
              </w:rPr>
              <w:t>数据中台</w:t>
            </w:r>
            <w:r>
              <w:rPr>
                <w:rFonts w:hint="eastAsia" w:ascii="宋体" w:hAnsi="宋体" w:cs="宋体"/>
                <w:color w:val="auto"/>
                <w:kern w:val="0"/>
                <w:sz w:val="20"/>
                <w:szCs w:val="20"/>
              </w:rPr>
              <w:t>应提供自定义函数管理功能，自定义导入函数包，实现一键注册并使用。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color w:val="auto"/>
              </w:rPr>
              <w:t>★</w:t>
            </w:r>
            <w:r>
              <w:rPr>
                <w:rFonts w:hint="eastAsia" w:ascii="宋体" w:hAnsi="宋体" w:cs="宋体"/>
                <w:color w:val="auto"/>
                <w:kern w:val="0"/>
                <w:sz w:val="20"/>
                <w:szCs w:val="20"/>
              </w:rPr>
              <w:t>数据计算</w:t>
            </w:r>
          </w:p>
        </w:tc>
        <w:tc>
          <w:tcPr>
            <w:tcW w:w="3380"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lang w:eastAsia="zh-CN"/>
              </w:rPr>
              <w:t>数据中台</w:t>
            </w:r>
            <w:r>
              <w:rPr>
                <w:rFonts w:hint="eastAsia" w:ascii="宋体" w:hAnsi="宋体" w:cs="宋体"/>
                <w:color w:val="auto"/>
                <w:kern w:val="0"/>
                <w:sz w:val="20"/>
                <w:szCs w:val="20"/>
              </w:rPr>
              <w:t>应提供创建数据计算的算子开发功能。实现在数据计算模块使用语言编写算子（支持脚本类型</w:t>
            </w:r>
            <w:r>
              <w:rPr>
                <w:rFonts w:ascii="宋体" w:hAnsi="宋体" w:cs="宋体"/>
                <w:color w:val="auto"/>
                <w:kern w:val="0"/>
                <w:sz w:val="20"/>
                <w:szCs w:val="20"/>
              </w:rPr>
              <w:t>Shell、python、python3、PHP、SQL)。</w:t>
            </w:r>
            <w:r>
              <w:rPr>
                <w:rFonts w:ascii="宋体" w:hAnsi="宋体" w:cs="宋体"/>
                <w:b/>
                <w:bCs/>
                <w:color w:val="auto"/>
                <w:kern w:val="0"/>
                <w:sz w:val="20"/>
                <w:szCs w:val="20"/>
              </w:rPr>
              <w:t>提供界面截</w:t>
            </w:r>
            <w:r>
              <w:rPr>
                <w:rFonts w:hint="eastAsia" w:ascii="宋体" w:hAnsi="宋体" w:cs="宋体"/>
                <w:b/>
                <w:bCs/>
                <w:color w:val="auto"/>
                <w:kern w:val="0"/>
                <w:sz w:val="20"/>
                <w:szCs w:val="20"/>
              </w:rPr>
              <w:t>图证明。</w:t>
            </w:r>
          </w:p>
          <w:p>
            <w:pPr>
              <w:widowControl/>
              <w:jc w:val="left"/>
              <w:rPr>
                <w:rFonts w:hint="default" w:eastAsia="宋体"/>
                <w:color w:val="auto"/>
                <w:lang w:val="en-US" w:eastAsia="zh-CN"/>
              </w:rPr>
            </w:pPr>
            <w:r>
              <w:rPr>
                <w:rFonts w:hint="eastAsia" w:ascii="宋体" w:hAnsi="宋体" w:cs="宋体"/>
                <w:color w:val="auto"/>
                <w:kern w:val="0"/>
                <w:sz w:val="20"/>
                <w:szCs w:val="20"/>
                <w:lang w:eastAsia="zh-CN"/>
              </w:rPr>
              <w:t>数据中台应支持</w:t>
            </w:r>
            <w:r>
              <w:rPr>
                <w:rFonts w:hint="eastAsia" w:ascii="宋体" w:hAnsi="宋体" w:cs="宋体"/>
                <w:color w:val="auto"/>
                <w:kern w:val="0"/>
                <w:sz w:val="20"/>
                <w:szCs w:val="20"/>
                <w:lang w:val="en-US" w:eastAsia="zh-CN"/>
              </w:rPr>
              <w:t>ARM、X86体系。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11</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color w:val="auto"/>
              </w:rPr>
              <w:t>★</w:t>
            </w:r>
            <w:r>
              <w:rPr>
                <w:rFonts w:hint="eastAsia" w:ascii="宋体" w:hAnsi="宋体" w:cs="宋体"/>
                <w:color w:val="auto"/>
                <w:kern w:val="0"/>
                <w:sz w:val="20"/>
                <w:szCs w:val="20"/>
              </w:rPr>
              <w:t>数据融合</w:t>
            </w:r>
          </w:p>
        </w:tc>
        <w:tc>
          <w:tcPr>
            <w:tcW w:w="3380" w:type="pct"/>
            <w:shd w:val="clear" w:color="auto" w:fill="auto"/>
            <w:vAlign w:val="center"/>
          </w:tcPr>
          <w:p>
            <w:pPr>
              <w:widowControl/>
              <w:jc w:val="left"/>
              <w:rPr>
                <w:rFonts w:ascii="宋体" w:hAnsi="宋体" w:cs="宋体"/>
                <w:color w:val="auto"/>
                <w:kern w:val="0"/>
                <w:sz w:val="20"/>
                <w:szCs w:val="20"/>
              </w:rPr>
            </w:pPr>
            <w:r>
              <w:rPr>
                <w:rFonts w:ascii="宋体" w:hAnsi="宋体" w:cs="宋体"/>
                <w:color w:val="auto"/>
                <w:kern w:val="0"/>
                <w:sz w:val="20"/>
                <w:szCs w:val="20"/>
              </w:rPr>
              <w:t>应利用道路交通管理时间</w:t>
            </w:r>
            <w:r>
              <w:rPr>
                <w:rFonts w:hint="eastAsia" w:ascii="宋体" w:hAnsi="宋体" w:cs="宋体"/>
                <w:color w:val="auto"/>
                <w:kern w:val="0"/>
                <w:sz w:val="20"/>
                <w:szCs w:val="20"/>
              </w:rPr>
              <w:t>、</w:t>
            </w:r>
            <w:r>
              <w:rPr>
                <w:rFonts w:ascii="宋体" w:hAnsi="宋体" w:cs="宋体"/>
                <w:color w:val="auto"/>
                <w:kern w:val="0"/>
                <w:sz w:val="20"/>
                <w:szCs w:val="20"/>
              </w:rPr>
              <w:t>空间的基本特性</w:t>
            </w:r>
            <w:r>
              <w:rPr>
                <w:rFonts w:hint="eastAsia" w:ascii="宋体" w:hAnsi="宋体" w:cs="宋体"/>
                <w:color w:val="auto"/>
                <w:kern w:val="0"/>
                <w:sz w:val="20"/>
                <w:szCs w:val="20"/>
              </w:rPr>
              <w:t>，</w:t>
            </w:r>
            <w:r>
              <w:rPr>
                <w:rFonts w:ascii="宋体" w:hAnsi="宋体" w:cs="宋体"/>
                <w:color w:val="auto"/>
                <w:kern w:val="0"/>
                <w:sz w:val="20"/>
                <w:szCs w:val="20"/>
              </w:rPr>
              <w:t>建立道路交通管理时空分析底座</w:t>
            </w:r>
            <w:r>
              <w:rPr>
                <w:rFonts w:hint="eastAsia" w:ascii="宋体" w:hAnsi="宋体" w:cs="宋体"/>
                <w:color w:val="auto"/>
                <w:kern w:val="0"/>
                <w:sz w:val="20"/>
                <w:szCs w:val="20"/>
              </w:rPr>
              <w:t>，</w:t>
            </w:r>
            <w:r>
              <w:rPr>
                <w:rFonts w:ascii="宋体" w:hAnsi="宋体" w:cs="宋体"/>
                <w:color w:val="auto"/>
                <w:kern w:val="0"/>
                <w:sz w:val="20"/>
                <w:szCs w:val="20"/>
              </w:rPr>
              <w:t>实现空间数据业务化</w:t>
            </w:r>
            <w:r>
              <w:rPr>
                <w:rFonts w:hint="eastAsia" w:ascii="宋体" w:hAnsi="宋体" w:cs="宋体"/>
                <w:color w:val="auto"/>
                <w:kern w:val="0"/>
                <w:sz w:val="20"/>
                <w:szCs w:val="20"/>
              </w:rPr>
              <w:t>，业务数据空间化，实现数据融合，充分发挥数据的效能。</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请在投标书中，论述详细实现方案。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12</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数据资产</w:t>
            </w:r>
          </w:p>
        </w:tc>
        <w:tc>
          <w:tcPr>
            <w:tcW w:w="33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★1）</w:t>
            </w:r>
            <w:r>
              <w:rPr>
                <w:rFonts w:hint="eastAsia" w:ascii="宋体" w:hAnsi="宋体"/>
                <w:color w:val="auto"/>
                <w:kern w:val="0"/>
                <w:sz w:val="20"/>
                <w:szCs w:val="24"/>
              </w:rPr>
              <w:t>数据中台</w:t>
            </w:r>
            <w:r>
              <w:rPr>
                <w:rFonts w:hint="eastAsia" w:ascii="宋体" w:hAnsi="宋体" w:cs="宋体"/>
                <w:color w:val="auto"/>
                <w:kern w:val="0"/>
                <w:sz w:val="20"/>
                <w:szCs w:val="20"/>
              </w:rPr>
              <w:t>资产概览功能，支持主题数据资产查看。</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2）资产中心功能，需支持对数据资产进行筛选和查看。</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3）表详情信息，需支持数据资产表详情的查看，基本信息、字段信息、血缘关系、更新记录和数据详情。</w:t>
            </w:r>
            <w:r>
              <w:rPr>
                <w:rFonts w:hint="eastAsia" w:ascii="宋体" w:hAnsi="宋体" w:cs="宋体"/>
                <w:b/>
                <w:bCs/>
                <w:strike w:val="0"/>
                <w:dstrike w:val="0"/>
                <w:color w:val="auto"/>
                <w:kern w:val="0"/>
                <w:sz w:val="20"/>
                <w:szCs w:val="20"/>
              </w:rPr>
              <w:t>提供界面截图证明。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13</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项目管理</w:t>
            </w:r>
          </w:p>
        </w:tc>
        <w:tc>
          <w:tcPr>
            <w:tcW w:w="3380"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1）项目管理，需支持项目创建功能，并实现分配项目管理员。实现用户、权限、资源的管理。</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2）项目切换，需支持单用户多项目，提供自由切换项目功能。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14</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平台管理</w:t>
            </w:r>
          </w:p>
        </w:tc>
        <w:tc>
          <w:tcPr>
            <w:tcW w:w="3380"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★1）节点管理功能，需提供平台的集群总览，包括但不限于集群的整体运行状况、组件运行状况，节点详情、节点状态等管理功能。</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2）引擎服务功能，需支持在引擎服务注册各类的引擎资源，可对接Hadoop大数据平台的Hive、HDFS、Kafka等数据种类。</w:t>
            </w:r>
            <w:r>
              <w:rPr>
                <w:rFonts w:hint="eastAsia" w:ascii="宋体" w:hAnsi="宋体" w:cs="宋体"/>
                <w:b/>
                <w:bCs/>
                <w:color w:val="auto"/>
                <w:kern w:val="0"/>
                <w:sz w:val="20"/>
                <w:szCs w:val="20"/>
              </w:rPr>
              <w:t>提供界面截图证明。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w:t>
            </w:r>
            <w:r>
              <w:rPr>
                <w:rFonts w:ascii="宋体" w:hAnsi="宋体" w:cs="宋体"/>
                <w:color w:val="auto"/>
                <w:kern w:val="0"/>
                <w:sz w:val="20"/>
                <w:szCs w:val="20"/>
              </w:rPr>
              <w:t>5</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数据共享</w:t>
            </w:r>
          </w:p>
        </w:tc>
        <w:tc>
          <w:tcPr>
            <w:tcW w:w="3380" w:type="pct"/>
            <w:shd w:val="clear" w:color="auto" w:fill="auto"/>
            <w:vAlign w:val="center"/>
          </w:tcPr>
          <w:p>
            <w:pPr>
              <w:widowControl/>
              <w:jc w:val="left"/>
              <w:rPr>
                <w:rFonts w:hint="default" w:ascii="宋体" w:hAnsi="宋体" w:cs="宋体"/>
                <w:color w:val="auto"/>
                <w:kern w:val="0"/>
                <w:sz w:val="20"/>
                <w:szCs w:val="20"/>
              </w:rPr>
            </w:pPr>
            <w:r>
              <w:rPr>
                <w:rFonts w:hint="eastAsia" w:ascii="宋体" w:hAnsi="宋体"/>
                <w:color w:val="auto"/>
                <w:kern w:val="0"/>
                <w:sz w:val="20"/>
                <w:szCs w:val="24"/>
              </w:rPr>
              <w:t>数据中台</w:t>
            </w:r>
            <w:r>
              <w:rPr>
                <w:rFonts w:hint="eastAsia" w:ascii="宋体" w:hAnsi="宋体" w:cs="宋体"/>
                <w:color w:val="auto"/>
                <w:kern w:val="0"/>
                <w:sz w:val="20"/>
                <w:szCs w:val="20"/>
              </w:rPr>
              <w:t>应提供发布</w:t>
            </w:r>
            <w:r>
              <w:rPr>
                <w:rFonts w:ascii="宋体" w:hAnsi="宋体" w:cs="宋体"/>
                <w:color w:val="auto"/>
                <w:kern w:val="0"/>
                <w:sz w:val="20"/>
                <w:szCs w:val="20"/>
              </w:rPr>
              <w:t>API服务功能。至少支持治理完成的数据通过</w:t>
            </w:r>
            <w:r>
              <w:rPr>
                <w:rFonts w:hint="eastAsia" w:ascii="宋体" w:hAnsi="宋体" w:cs="宋体"/>
                <w:color w:val="auto"/>
                <w:kern w:val="0"/>
                <w:sz w:val="20"/>
                <w:szCs w:val="20"/>
              </w:rPr>
              <w:t xml:space="preserve"> API 链接的形式分享，提供 API 权限管理，以及增删改查功能。</w:t>
            </w:r>
          </w:p>
          <w:p>
            <w:pPr>
              <w:widowControl/>
              <w:jc w:val="left"/>
              <w:rPr>
                <w:rFonts w:hint="default" w:ascii="宋体" w:hAnsi="宋体" w:cs="宋体"/>
                <w:color w:val="auto"/>
                <w:kern w:val="0"/>
                <w:sz w:val="20"/>
                <w:szCs w:val="20"/>
              </w:rPr>
            </w:pPr>
            <w:r>
              <w:rPr>
                <w:rFonts w:hint="eastAsia" w:ascii="宋体" w:hAnsi="宋体" w:cs="宋体"/>
                <w:color w:val="auto"/>
                <w:kern w:val="0"/>
                <w:sz w:val="20"/>
                <w:szCs w:val="20"/>
              </w:rPr>
              <w:t>数据中台应提供API注册功能，支持查询检索服务（全文检索、通用扩展查询、通过数据查询服务等），比对订阅，数据推送，数据操作、数据API注册功能。</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数据中台应提供数据脱敏功能。至少支持三类数据脱敏规则：替换、截取、加密</w:t>
            </w:r>
            <w:r>
              <w:rPr>
                <w:rFonts w:hint="eastAsia" w:ascii="宋体" w:hAnsi="宋体" w:cs="宋体"/>
                <w:strike w:val="0"/>
                <w:dstrike w:val="0"/>
                <w:color w:val="FF0000"/>
                <w:kern w:val="0"/>
                <w:sz w:val="20"/>
                <w:szCs w:val="20"/>
              </w:rPr>
              <w:t>。</w:t>
            </w:r>
            <w:r>
              <w:rPr>
                <w:rFonts w:hint="eastAsia" w:ascii="宋体" w:hAnsi="宋体" w:cs="宋体"/>
                <w:b/>
                <w:bCs/>
                <w:strike w:val="0"/>
                <w:dstrike w:val="0"/>
                <w:color w:val="auto"/>
                <w:kern w:val="0"/>
                <w:sz w:val="20"/>
                <w:szCs w:val="20"/>
              </w:rPr>
              <w:t>提供界面截图证明</w:t>
            </w:r>
            <w:r>
              <w:rPr>
                <w:rFonts w:hint="eastAsia" w:ascii="宋体" w:hAnsi="宋体" w:cs="宋体"/>
                <w:b/>
                <w:bCs/>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vMerge w:val="restart"/>
            <w:shd w:val="clear" w:color="auto" w:fill="auto"/>
            <w:noWrap/>
            <w:vAlign w:val="center"/>
          </w:tcPr>
          <w:p>
            <w:pPr>
              <w:jc w:val="center"/>
              <w:rPr>
                <w:rFonts w:ascii="宋体" w:hAnsi="宋体" w:cs="宋体"/>
                <w:color w:val="auto"/>
                <w:kern w:val="0"/>
                <w:sz w:val="20"/>
                <w:szCs w:val="20"/>
              </w:rPr>
            </w:pPr>
            <w:r>
              <w:rPr>
                <w:rFonts w:ascii="宋体" w:hAnsi="宋体" w:cs="宋体"/>
                <w:color w:val="auto"/>
                <w:kern w:val="0"/>
                <w:sz w:val="20"/>
                <w:szCs w:val="20"/>
              </w:rPr>
              <w:t>16</w:t>
            </w:r>
          </w:p>
        </w:tc>
        <w:tc>
          <w:tcPr>
            <w:tcW w:w="1126"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数据智能</w:t>
            </w:r>
          </w:p>
        </w:tc>
        <w:tc>
          <w:tcPr>
            <w:tcW w:w="3380" w:type="pct"/>
            <w:shd w:val="clear" w:color="auto" w:fill="auto"/>
            <w:vAlign w:val="center"/>
          </w:tcPr>
          <w:p>
            <w:pPr>
              <w:jc w:val="left"/>
              <w:rPr>
                <w:rFonts w:ascii="宋体" w:hAnsi="宋体" w:cs="宋体"/>
                <w:color w:val="auto"/>
                <w:kern w:val="0"/>
                <w:sz w:val="20"/>
                <w:szCs w:val="20"/>
              </w:rPr>
            </w:pPr>
            <w:r>
              <w:rPr>
                <w:rFonts w:hint="eastAsia" w:ascii="宋体" w:hAnsi="宋体" w:cs="宋体"/>
                <w:color w:val="auto"/>
                <w:kern w:val="0"/>
                <w:sz w:val="20"/>
                <w:szCs w:val="20"/>
              </w:rPr>
              <w:t>实现拥堵预警专题：数据中心利用互联网数据、卡口数据和流量数据实现拥堵的预警，支持将拥堵预警数据共享给第三方系统进行处置，支持汇聚第三方系统拥堵处置的过程、结果，及考核，实现拥堵预警的流程贯通。</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请在招标方案中，画出数据流程图，提供设计方案。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vMerge w:val="continue"/>
            <w:shd w:val="clear" w:color="auto" w:fill="auto"/>
            <w:noWrap/>
            <w:vAlign w:val="center"/>
          </w:tcPr>
          <w:p>
            <w:pPr>
              <w:jc w:val="center"/>
              <w:rPr>
                <w:rFonts w:ascii="宋体" w:hAnsi="宋体" w:cs="宋体"/>
                <w:color w:val="auto"/>
                <w:kern w:val="0"/>
                <w:sz w:val="20"/>
                <w:szCs w:val="20"/>
              </w:rPr>
            </w:pPr>
          </w:p>
        </w:tc>
        <w:tc>
          <w:tcPr>
            <w:tcW w:w="1126" w:type="pct"/>
            <w:vMerge w:val="continue"/>
            <w:shd w:val="clear" w:color="auto" w:fill="auto"/>
            <w:vAlign w:val="center"/>
          </w:tcPr>
          <w:p>
            <w:pPr>
              <w:widowControl/>
              <w:jc w:val="left"/>
              <w:rPr>
                <w:rFonts w:ascii="宋体" w:hAnsi="宋体" w:cs="宋体"/>
                <w:color w:val="auto"/>
                <w:kern w:val="0"/>
                <w:sz w:val="20"/>
                <w:szCs w:val="20"/>
              </w:rPr>
            </w:pPr>
          </w:p>
        </w:tc>
        <w:tc>
          <w:tcPr>
            <w:tcW w:w="3380" w:type="pct"/>
            <w:shd w:val="clear" w:color="auto" w:fill="auto"/>
            <w:vAlign w:val="center"/>
          </w:tcPr>
          <w:p>
            <w:pPr>
              <w:jc w:val="left"/>
              <w:rPr>
                <w:rFonts w:ascii="宋体" w:hAnsi="宋体" w:cs="宋体"/>
                <w:color w:val="auto"/>
                <w:kern w:val="0"/>
                <w:sz w:val="20"/>
                <w:szCs w:val="20"/>
              </w:rPr>
            </w:pPr>
            <w:r>
              <w:rPr>
                <w:rFonts w:hint="eastAsia" w:ascii="宋体" w:hAnsi="宋体" w:cs="宋体"/>
                <w:color w:val="auto"/>
                <w:kern w:val="0"/>
                <w:sz w:val="20"/>
                <w:szCs w:val="20"/>
              </w:rPr>
              <w:t>实现安全预警专题：数据中心利用交通管理基础数据建立研判模型对道路、企业、人员和车辆进行安全预警，支持将安全预警数据共享给第三方系统进行管控，支持汇聚第三方系统安全管控的过程、结果，实现安全预警的流程贯通。</w:t>
            </w:r>
          </w:p>
          <w:p>
            <w:pPr>
              <w:jc w:val="left"/>
              <w:rPr>
                <w:rFonts w:ascii="宋体" w:hAnsi="宋体" w:cs="宋体"/>
                <w:color w:val="auto"/>
                <w:kern w:val="0"/>
                <w:sz w:val="20"/>
                <w:szCs w:val="20"/>
              </w:rPr>
            </w:pPr>
            <w:r>
              <w:rPr>
                <w:rFonts w:hint="eastAsia" w:ascii="宋体" w:hAnsi="宋体" w:cs="宋体"/>
                <w:color w:val="auto"/>
                <w:kern w:val="0"/>
                <w:sz w:val="20"/>
                <w:szCs w:val="20"/>
              </w:rPr>
              <w:t>请在招标方案中，画出数据流程图，提供设计方案。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vMerge w:val="continue"/>
            <w:shd w:val="clear" w:color="auto" w:fill="auto"/>
            <w:noWrap/>
            <w:vAlign w:val="center"/>
          </w:tcPr>
          <w:p>
            <w:pPr>
              <w:jc w:val="center"/>
              <w:rPr>
                <w:rFonts w:ascii="宋体" w:hAnsi="宋体" w:cs="宋体"/>
                <w:color w:val="auto"/>
                <w:kern w:val="0"/>
                <w:sz w:val="20"/>
                <w:szCs w:val="20"/>
              </w:rPr>
            </w:pPr>
          </w:p>
        </w:tc>
        <w:tc>
          <w:tcPr>
            <w:tcW w:w="1126" w:type="pct"/>
            <w:vMerge w:val="continue"/>
            <w:shd w:val="clear" w:color="auto" w:fill="auto"/>
            <w:vAlign w:val="center"/>
          </w:tcPr>
          <w:p>
            <w:pPr>
              <w:widowControl/>
              <w:jc w:val="center"/>
              <w:rPr>
                <w:rFonts w:ascii="宋体" w:hAnsi="宋体" w:cs="宋体"/>
                <w:color w:val="auto"/>
                <w:kern w:val="0"/>
                <w:sz w:val="20"/>
                <w:szCs w:val="20"/>
              </w:rPr>
            </w:pPr>
          </w:p>
        </w:tc>
        <w:tc>
          <w:tcPr>
            <w:tcW w:w="3380" w:type="pct"/>
            <w:shd w:val="clear" w:color="auto" w:fill="auto"/>
            <w:vAlign w:val="center"/>
          </w:tcPr>
          <w:p>
            <w:pPr>
              <w:jc w:val="left"/>
              <w:rPr>
                <w:rFonts w:ascii="宋体" w:hAnsi="宋体" w:cs="宋体"/>
                <w:color w:val="auto"/>
                <w:kern w:val="0"/>
                <w:sz w:val="20"/>
                <w:szCs w:val="20"/>
              </w:rPr>
            </w:pPr>
            <w:r>
              <w:rPr>
                <w:rFonts w:hint="eastAsia" w:ascii="宋体" w:hAnsi="宋体" w:cs="宋体"/>
                <w:color w:val="auto"/>
                <w:kern w:val="0"/>
                <w:sz w:val="20"/>
                <w:szCs w:val="20"/>
              </w:rPr>
              <w:t>实现事故黑点治理专题：数据中心基于事故历史数据、互联网数据和卡口数据对经常发生事故的地段进行深入研判，研判出事故黑点，支持将事故黑点数据共享给第三方系统，支持汇聚第三方系统事故黑点管控的方案、过程、结果，实现事故黑点治理的流程贯通。</w:t>
            </w:r>
          </w:p>
          <w:p>
            <w:pPr>
              <w:rPr>
                <w:rFonts w:ascii="宋体" w:hAnsi="宋体" w:cs="宋体"/>
                <w:color w:val="auto"/>
                <w:kern w:val="0"/>
                <w:sz w:val="20"/>
                <w:szCs w:val="20"/>
              </w:rPr>
            </w:pPr>
            <w:r>
              <w:rPr>
                <w:rFonts w:hint="eastAsia" w:ascii="宋体" w:hAnsi="宋体" w:cs="宋体"/>
                <w:color w:val="auto"/>
                <w:kern w:val="0"/>
                <w:sz w:val="20"/>
                <w:szCs w:val="20"/>
              </w:rPr>
              <w:t>请在招标方案中，画出数据流程图，提供设计方案。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vMerge w:val="continue"/>
            <w:shd w:val="clear" w:color="auto" w:fill="auto"/>
            <w:noWrap/>
            <w:vAlign w:val="center"/>
          </w:tcPr>
          <w:p>
            <w:pPr>
              <w:jc w:val="center"/>
              <w:rPr>
                <w:rFonts w:ascii="宋体" w:hAnsi="宋体" w:cs="宋体"/>
                <w:color w:val="auto"/>
                <w:kern w:val="0"/>
                <w:sz w:val="20"/>
                <w:szCs w:val="20"/>
              </w:rPr>
            </w:pPr>
          </w:p>
        </w:tc>
        <w:tc>
          <w:tcPr>
            <w:tcW w:w="1126" w:type="pct"/>
            <w:vMerge w:val="continue"/>
            <w:shd w:val="clear" w:color="auto" w:fill="auto"/>
            <w:vAlign w:val="center"/>
          </w:tcPr>
          <w:p>
            <w:pPr>
              <w:widowControl/>
              <w:jc w:val="center"/>
              <w:rPr>
                <w:rFonts w:ascii="宋体" w:hAnsi="宋体" w:cs="宋体"/>
                <w:color w:val="auto"/>
                <w:kern w:val="0"/>
                <w:sz w:val="20"/>
                <w:szCs w:val="20"/>
              </w:rPr>
            </w:pPr>
          </w:p>
        </w:tc>
        <w:tc>
          <w:tcPr>
            <w:tcW w:w="3380" w:type="pct"/>
            <w:shd w:val="clear" w:color="auto" w:fill="auto"/>
            <w:vAlign w:val="center"/>
          </w:tcPr>
          <w:p>
            <w:pPr>
              <w:jc w:val="left"/>
              <w:rPr>
                <w:rFonts w:ascii="宋体" w:hAnsi="宋体" w:cs="宋体"/>
                <w:color w:val="auto"/>
                <w:kern w:val="0"/>
                <w:sz w:val="20"/>
                <w:szCs w:val="20"/>
              </w:rPr>
            </w:pPr>
            <w:r>
              <w:rPr>
                <w:rFonts w:hint="eastAsia" w:ascii="宋体" w:hAnsi="宋体" w:cs="宋体"/>
                <w:color w:val="auto"/>
                <w:kern w:val="0"/>
                <w:sz w:val="20"/>
                <w:szCs w:val="20"/>
              </w:rPr>
              <w:t>实现事件布控处置专题：数据中心将事件同步给第三方系统进行处置，支持汇聚第三方系统的处置事件相关的事件布控、勤务分配、执法、管理和考核的等全流程数据流，实现布控处置专题。</w:t>
            </w:r>
          </w:p>
          <w:p>
            <w:pPr>
              <w:rPr>
                <w:rFonts w:ascii="宋体" w:hAnsi="宋体" w:cs="宋体"/>
                <w:color w:val="auto"/>
                <w:kern w:val="0"/>
                <w:sz w:val="20"/>
                <w:szCs w:val="20"/>
              </w:rPr>
            </w:pPr>
            <w:r>
              <w:rPr>
                <w:rFonts w:hint="eastAsia" w:ascii="宋体" w:hAnsi="宋体" w:cs="宋体"/>
                <w:color w:val="auto"/>
                <w:kern w:val="0"/>
                <w:sz w:val="20"/>
                <w:szCs w:val="20"/>
              </w:rPr>
              <w:t>请在招标方案中，画出数据流程图，提供设计方案。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vMerge w:val="continue"/>
            <w:shd w:val="clear" w:color="auto" w:fill="auto"/>
            <w:noWrap/>
            <w:vAlign w:val="center"/>
          </w:tcPr>
          <w:p>
            <w:pPr>
              <w:widowControl/>
              <w:jc w:val="center"/>
              <w:rPr>
                <w:rFonts w:ascii="宋体" w:hAnsi="宋体" w:cs="宋体"/>
                <w:color w:val="auto"/>
                <w:kern w:val="0"/>
                <w:sz w:val="20"/>
                <w:szCs w:val="20"/>
              </w:rPr>
            </w:pPr>
          </w:p>
        </w:tc>
        <w:tc>
          <w:tcPr>
            <w:tcW w:w="1126" w:type="pct"/>
            <w:vMerge w:val="continue"/>
            <w:shd w:val="clear" w:color="auto" w:fill="auto"/>
            <w:vAlign w:val="center"/>
          </w:tcPr>
          <w:p>
            <w:pPr>
              <w:widowControl/>
              <w:jc w:val="center"/>
              <w:rPr>
                <w:rFonts w:ascii="宋体" w:hAnsi="宋体" w:cs="宋体"/>
                <w:color w:val="auto"/>
                <w:kern w:val="0"/>
                <w:sz w:val="20"/>
                <w:szCs w:val="20"/>
              </w:rPr>
            </w:pPr>
          </w:p>
        </w:tc>
        <w:tc>
          <w:tcPr>
            <w:tcW w:w="3380" w:type="pct"/>
            <w:shd w:val="clear" w:color="auto" w:fill="auto"/>
            <w:vAlign w:val="center"/>
          </w:tcPr>
          <w:p>
            <w:pPr>
              <w:rPr>
                <w:rFonts w:ascii="宋体" w:hAnsi="宋体" w:cs="宋体"/>
                <w:color w:val="auto"/>
                <w:kern w:val="0"/>
                <w:sz w:val="20"/>
                <w:szCs w:val="20"/>
              </w:rPr>
            </w:pPr>
            <w:r>
              <w:rPr>
                <w:rFonts w:hint="eastAsia" w:ascii="宋体" w:hAnsi="宋体" w:cs="宋体"/>
                <w:color w:val="auto"/>
                <w:kern w:val="0"/>
                <w:sz w:val="20"/>
                <w:szCs w:val="20"/>
              </w:rPr>
              <w:t>实现重点车辆管控专题：数据中心基于对接部省数据，共享给第三方应用系统实现重点车辆尤其是外地重点车辆在台州运营的主动管控，数据中心支持汇聚管控结果形成专题。</w:t>
            </w:r>
          </w:p>
          <w:p>
            <w:pPr>
              <w:rPr>
                <w:rFonts w:ascii="宋体" w:hAnsi="宋体" w:cs="宋体"/>
                <w:color w:val="auto"/>
                <w:kern w:val="0"/>
                <w:sz w:val="20"/>
                <w:szCs w:val="20"/>
              </w:rPr>
            </w:pPr>
            <w:r>
              <w:rPr>
                <w:rFonts w:hint="eastAsia" w:ascii="宋体" w:hAnsi="宋体" w:cs="宋体"/>
                <w:color w:val="auto"/>
                <w:kern w:val="0"/>
                <w:sz w:val="20"/>
                <w:szCs w:val="20"/>
              </w:rPr>
              <w:t>请在招标方案中，画出数据流程图，提供设计方案。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（六）</w:t>
            </w:r>
          </w:p>
        </w:tc>
        <w:tc>
          <w:tcPr>
            <w:tcW w:w="1126" w:type="pct"/>
            <w:shd w:val="clear" w:color="auto" w:fill="auto"/>
            <w:vAlign w:val="center"/>
          </w:tcPr>
          <w:p>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数据共享交换</w:t>
            </w:r>
          </w:p>
        </w:tc>
        <w:tc>
          <w:tcPr>
            <w:tcW w:w="3380" w:type="pct"/>
            <w:shd w:val="clear" w:color="auto" w:fill="auto"/>
            <w:noWrap/>
            <w:vAlign w:val="center"/>
          </w:tcPr>
          <w:p>
            <w:pPr>
              <w:widowControl/>
              <w:jc w:val="left"/>
              <w:rPr>
                <w:rFonts w:ascii="宋体" w:hAnsi="宋体" w:cs="宋体"/>
                <w:b/>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接口服务</w:t>
            </w:r>
          </w:p>
        </w:tc>
        <w:tc>
          <w:tcPr>
            <w:tcW w:w="3380"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ascii="宋体" w:hAnsi="宋体" w:cs="宋体"/>
                <w:color w:val="auto"/>
                <w:kern w:val="0"/>
                <w:sz w:val="20"/>
                <w:szCs w:val="20"/>
              </w:rPr>
              <w:t>1）</w:t>
            </w:r>
            <w:r>
              <w:rPr>
                <w:rFonts w:hint="eastAsia" w:ascii="宋体" w:hAnsi="宋体" w:cs="宋体"/>
                <w:color w:val="auto"/>
                <w:kern w:val="0"/>
                <w:sz w:val="20"/>
                <w:szCs w:val="20"/>
              </w:rPr>
              <w:t>应提供接口服务检索功能，展现接口的基本信息，接口序号、接口名称、接口描述、注册时间、分类、状态；接口服务的技术信息包括：接口地址、端口、方法名称、输入参数、返回字段、接口类型，调用服务相关的请求示例、结果返回示例等基本信息。</w:t>
            </w:r>
          </w:p>
          <w:p>
            <w:pPr>
              <w:widowControl/>
              <w:jc w:val="left"/>
              <w:rPr>
                <w:rFonts w:hint="eastAsia" w:ascii="宋体" w:hAnsi="宋体" w:eastAsia="宋体" w:cs="宋体"/>
                <w:color w:val="auto"/>
                <w:kern w:val="0"/>
                <w:sz w:val="20"/>
                <w:szCs w:val="20"/>
                <w:lang w:eastAsia="zh-CN"/>
              </w:rPr>
            </w:pPr>
            <w:r>
              <w:rPr>
                <w:rFonts w:ascii="宋体" w:hAnsi="宋体" w:cs="宋体"/>
                <w:color w:val="auto"/>
                <w:kern w:val="0"/>
                <w:sz w:val="20"/>
                <w:szCs w:val="20"/>
              </w:rPr>
              <w:t>2）</w:t>
            </w:r>
            <w:r>
              <w:rPr>
                <w:rFonts w:hint="eastAsia" w:ascii="宋体" w:hAnsi="宋体" w:cs="宋体"/>
                <w:color w:val="auto"/>
                <w:kern w:val="0"/>
                <w:sz w:val="20"/>
                <w:szCs w:val="20"/>
              </w:rPr>
              <w:t>应提供接口服务更新，平台发布的接口自动注册到数据资产平台，并实现主动获取平台新发布的接口服务。</w:t>
            </w:r>
          </w:p>
          <w:p>
            <w:pPr>
              <w:widowControl/>
              <w:jc w:val="left"/>
              <w:rPr>
                <w:rFonts w:hint="eastAsia" w:ascii="宋体" w:hAnsi="宋体" w:eastAsia="宋体" w:cs="宋体"/>
                <w:color w:val="auto"/>
                <w:kern w:val="0"/>
                <w:sz w:val="20"/>
                <w:szCs w:val="20"/>
                <w:lang w:eastAsia="zh-CN"/>
              </w:rPr>
            </w:pPr>
            <w:r>
              <w:rPr>
                <w:rFonts w:ascii="宋体" w:hAnsi="宋体" w:cs="宋体"/>
                <w:color w:val="auto"/>
                <w:kern w:val="0"/>
                <w:sz w:val="20"/>
                <w:szCs w:val="20"/>
              </w:rPr>
              <w:t>3）接口服务启用、停用与删除，</w:t>
            </w:r>
            <w:r>
              <w:rPr>
                <w:rFonts w:hint="eastAsia" w:ascii="宋体" w:hAnsi="宋体" w:cs="宋体"/>
                <w:color w:val="auto"/>
                <w:kern w:val="0"/>
                <w:sz w:val="20"/>
                <w:szCs w:val="20"/>
              </w:rPr>
              <w:t>需支持接口服务启用、停用与删除功能。</w:t>
            </w:r>
          </w:p>
          <w:p>
            <w:pPr>
              <w:widowControl/>
              <w:jc w:val="left"/>
              <w:rPr>
                <w:rFonts w:ascii="宋体" w:hAnsi="宋体" w:cs="宋体"/>
                <w:color w:val="auto"/>
                <w:kern w:val="0"/>
                <w:sz w:val="20"/>
                <w:szCs w:val="20"/>
              </w:rPr>
            </w:pPr>
            <w:r>
              <w:rPr>
                <w:rFonts w:ascii="宋体" w:hAnsi="宋体" w:cs="宋体"/>
                <w:color w:val="auto"/>
                <w:kern w:val="0"/>
                <w:sz w:val="20"/>
                <w:szCs w:val="20"/>
              </w:rPr>
              <w:t>4）</w:t>
            </w:r>
            <w:r>
              <w:rPr>
                <w:rFonts w:hint="eastAsia" w:ascii="宋体" w:hAnsi="宋体" w:cs="宋体"/>
                <w:color w:val="auto"/>
                <w:kern w:val="0"/>
                <w:sz w:val="20"/>
                <w:szCs w:val="20"/>
              </w:rPr>
              <w:t>应提供接口管理功能，接口开放功能，包括但不限于接口请求单位名称、联系人姓名、联系人电话、电子邮箱、身份证信息，实现接口请求方数据服务资源唯一访问标识。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数据服务</w:t>
            </w:r>
          </w:p>
        </w:tc>
        <w:tc>
          <w:tcPr>
            <w:tcW w:w="3380"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ascii="宋体" w:hAnsi="宋体" w:cs="宋体"/>
                <w:color w:val="auto"/>
                <w:kern w:val="0"/>
                <w:sz w:val="20"/>
                <w:szCs w:val="20"/>
              </w:rPr>
              <w:t>1）</w:t>
            </w:r>
            <w:r>
              <w:rPr>
                <w:rFonts w:hint="eastAsia" w:ascii="宋体" w:hAnsi="宋体" w:cs="宋体"/>
                <w:color w:val="auto"/>
                <w:kern w:val="0"/>
                <w:sz w:val="20"/>
                <w:szCs w:val="20"/>
              </w:rPr>
              <w:t>应提供数据源账户管理功能，对数据库创建的账户进行管理功能，通过数据源账户或数据源类型进行检索，列表方式呈现。</w:t>
            </w:r>
          </w:p>
          <w:p>
            <w:pPr>
              <w:widowControl/>
              <w:jc w:val="left"/>
              <w:rPr>
                <w:rFonts w:hint="eastAsia" w:ascii="宋体" w:hAnsi="宋体" w:eastAsia="宋体" w:cs="宋体"/>
                <w:color w:val="auto"/>
                <w:kern w:val="0"/>
                <w:sz w:val="20"/>
                <w:szCs w:val="20"/>
                <w:lang w:eastAsia="zh-CN"/>
              </w:rPr>
            </w:pPr>
            <w:r>
              <w:rPr>
                <w:rFonts w:ascii="宋体" w:hAnsi="宋体" w:cs="宋体"/>
                <w:color w:val="auto"/>
                <w:kern w:val="0"/>
                <w:sz w:val="20"/>
                <w:szCs w:val="20"/>
              </w:rPr>
              <w:t>2）</w:t>
            </w:r>
            <w:r>
              <w:rPr>
                <w:rFonts w:hint="eastAsia" w:ascii="宋体" w:hAnsi="宋体" w:cs="宋体"/>
                <w:color w:val="auto"/>
                <w:kern w:val="0"/>
                <w:sz w:val="20"/>
                <w:szCs w:val="20"/>
              </w:rPr>
              <w:t>应提供数据使用方管理功能，对数据使用方信息进行管理。允许根据数据请求单位或联系人进行检索。</w:t>
            </w:r>
          </w:p>
          <w:p>
            <w:pPr>
              <w:widowControl/>
              <w:jc w:val="left"/>
              <w:rPr>
                <w:rFonts w:ascii="宋体" w:hAnsi="宋体" w:cs="宋体"/>
                <w:color w:val="auto"/>
                <w:kern w:val="0"/>
                <w:sz w:val="20"/>
                <w:szCs w:val="20"/>
              </w:rPr>
            </w:pPr>
            <w:r>
              <w:rPr>
                <w:rFonts w:ascii="宋体" w:hAnsi="宋体" w:cs="宋体"/>
                <w:color w:val="auto"/>
                <w:kern w:val="0"/>
                <w:sz w:val="20"/>
                <w:szCs w:val="20"/>
              </w:rPr>
              <w:t>3）</w:t>
            </w:r>
            <w:r>
              <w:rPr>
                <w:rFonts w:hint="eastAsia" w:ascii="宋体" w:hAnsi="宋体" w:cs="宋体"/>
                <w:color w:val="auto"/>
                <w:kern w:val="0"/>
                <w:sz w:val="20"/>
                <w:szCs w:val="20"/>
              </w:rPr>
              <w:t>应提供数据服务台账管理功能，对数据使用方申请数据库账户进行记录，包括但不限于按备案单位、信息系统、责任人信息等进行查询。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共享模块</w:t>
            </w:r>
          </w:p>
        </w:tc>
        <w:tc>
          <w:tcPr>
            <w:tcW w:w="3380"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ascii="宋体" w:hAnsi="宋体" w:cs="宋体"/>
                <w:color w:val="auto"/>
                <w:kern w:val="0"/>
                <w:sz w:val="20"/>
                <w:szCs w:val="20"/>
              </w:rPr>
              <w:t>1）</w:t>
            </w:r>
            <w:r>
              <w:rPr>
                <w:rFonts w:hint="eastAsia" w:ascii="宋体" w:hAnsi="宋体" w:cs="宋体"/>
                <w:color w:val="auto"/>
                <w:kern w:val="0"/>
                <w:sz w:val="20"/>
                <w:szCs w:val="20"/>
              </w:rPr>
              <w:t>应提供共享需求管理功能，对内部或外部的数据需求进行管理，应包括增加、删除等操作功能。</w:t>
            </w:r>
          </w:p>
          <w:p>
            <w:pPr>
              <w:widowControl/>
              <w:jc w:val="left"/>
              <w:rPr>
                <w:rFonts w:hint="eastAsia" w:ascii="宋体" w:hAnsi="宋体" w:eastAsia="宋体" w:cs="宋体"/>
                <w:color w:val="auto"/>
                <w:kern w:val="0"/>
                <w:sz w:val="20"/>
                <w:szCs w:val="20"/>
                <w:lang w:eastAsia="zh-CN"/>
              </w:rPr>
            </w:pPr>
            <w:r>
              <w:rPr>
                <w:rFonts w:ascii="宋体" w:hAnsi="宋体" w:cs="宋体"/>
                <w:color w:val="auto"/>
                <w:kern w:val="0"/>
                <w:sz w:val="20"/>
                <w:szCs w:val="20"/>
              </w:rPr>
              <w:t>2）</w:t>
            </w:r>
            <w:r>
              <w:rPr>
                <w:rFonts w:hint="eastAsia" w:ascii="宋体" w:hAnsi="宋体" w:cs="宋体"/>
                <w:color w:val="auto"/>
                <w:kern w:val="0"/>
                <w:sz w:val="20"/>
                <w:szCs w:val="20"/>
              </w:rPr>
              <w:t>应提供共享附件管理功能，在实施、开发过程中产生的文件，签字的文件、接口规范文档等进行管理。</w:t>
            </w:r>
          </w:p>
          <w:p>
            <w:pPr>
              <w:widowControl/>
              <w:jc w:val="left"/>
              <w:rPr>
                <w:rFonts w:ascii="宋体" w:hAnsi="宋体" w:cs="宋体"/>
                <w:color w:val="auto"/>
                <w:kern w:val="0"/>
                <w:sz w:val="20"/>
                <w:szCs w:val="20"/>
              </w:rPr>
            </w:pPr>
            <w:r>
              <w:rPr>
                <w:rFonts w:ascii="宋体" w:hAnsi="宋体" w:cs="宋体"/>
                <w:color w:val="auto"/>
                <w:kern w:val="0"/>
                <w:sz w:val="20"/>
                <w:szCs w:val="20"/>
              </w:rPr>
              <w:t>3）</w:t>
            </w:r>
            <w:r>
              <w:rPr>
                <w:rFonts w:hint="eastAsia" w:ascii="宋体" w:hAnsi="宋体" w:cs="宋体"/>
                <w:color w:val="auto"/>
                <w:kern w:val="0"/>
                <w:sz w:val="20"/>
                <w:szCs w:val="20"/>
              </w:rPr>
              <w:t>应提供共享数据管理功能，从外部获取的数据可与数据集成作业关联，对外部推送的数据可配置数据源等信息。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数据交换安全</w:t>
            </w:r>
          </w:p>
        </w:tc>
        <w:tc>
          <w:tcPr>
            <w:tcW w:w="33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应提供认证授权功能：包括身份认证和授权访问控制；具备传输安全保障：支持加密、签名、过滤、审计等安全功能。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3" w:type="pct"/>
            <w:shd w:val="clear" w:color="auto" w:fill="auto"/>
            <w:noWrap/>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（七）</w:t>
            </w:r>
          </w:p>
        </w:tc>
        <w:tc>
          <w:tcPr>
            <w:tcW w:w="1126" w:type="pct"/>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数据传输交换系统</w:t>
            </w:r>
          </w:p>
        </w:tc>
        <w:tc>
          <w:tcPr>
            <w:tcW w:w="3380" w:type="pct"/>
            <w:shd w:val="clear" w:color="auto" w:fill="auto"/>
            <w:vAlign w:val="center"/>
          </w:tcPr>
          <w:p>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监控管理</w:t>
            </w:r>
          </w:p>
        </w:tc>
        <w:tc>
          <w:tcPr>
            <w:tcW w:w="33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应提供</w:t>
            </w:r>
            <w:r>
              <w:rPr>
                <w:rFonts w:hint="eastAsia" w:ascii="宋体" w:hAnsi="宋体" w:eastAsia="宋体"/>
                <w:color w:val="auto"/>
                <w:kern w:val="0"/>
                <w:sz w:val="20"/>
                <w:szCs w:val="24"/>
              </w:rPr>
              <w:t>接口与数据的日常运行</w:t>
            </w:r>
            <w:r>
              <w:rPr>
                <w:rFonts w:hint="eastAsia" w:ascii="宋体" w:hAnsi="宋体" w:cs="宋体"/>
                <w:color w:val="auto"/>
                <w:kern w:val="0"/>
                <w:sz w:val="20"/>
                <w:szCs w:val="20"/>
              </w:rPr>
              <w:t>监控管理</w:t>
            </w:r>
            <w:r>
              <w:rPr>
                <w:rFonts w:hint="eastAsia" w:ascii="宋体" w:hAnsi="宋体" w:eastAsia="宋体"/>
                <w:color w:val="auto"/>
                <w:kern w:val="0"/>
                <w:sz w:val="20"/>
                <w:szCs w:val="24"/>
              </w:rPr>
              <w:t>和异常报警</w:t>
            </w:r>
            <w:r>
              <w:rPr>
                <w:rFonts w:hint="eastAsia" w:ascii="宋体" w:hAnsi="宋体" w:cs="宋体"/>
                <w:color w:val="auto"/>
                <w:kern w:val="0"/>
                <w:sz w:val="20"/>
                <w:szCs w:val="20"/>
              </w:rPr>
              <w:t>功能，展示数据传输的完整资源状态，包括</w:t>
            </w:r>
            <w:r>
              <w:rPr>
                <w:rFonts w:ascii="宋体" w:hAnsi="宋体" w:cs="宋体"/>
                <w:color w:val="auto"/>
                <w:kern w:val="0"/>
                <w:sz w:val="20"/>
                <w:szCs w:val="20"/>
              </w:rPr>
              <w:t>IP信息、数据传输流量、网络流量、服务器CPU、内存等资源信息，动态的展示数据传输会话信息等可视化状态。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数据通信</w:t>
            </w:r>
          </w:p>
        </w:tc>
        <w:tc>
          <w:tcPr>
            <w:tcW w:w="33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应提供数据通信功能，管理本地数据传输的设备信息以及设备参数的配置，包括服务器的新增、编辑、删除、查询等操作。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3</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集群管理</w:t>
            </w:r>
          </w:p>
        </w:tc>
        <w:tc>
          <w:tcPr>
            <w:tcW w:w="33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应提供数据传输集群管理功能，实现系统负载平衡。配置多个通信模块的支持流量、访问频率、缓存配置。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接入/分发配置</w:t>
            </w:r>
          </w:p>
        </w:tc>
        <w:tc>
          <w:tcPr>
            <w:tcW w:w="33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应提供接入</w:t>
            </w:r>
            <w:r>
              <w:rPr>
                <w:rFonts w:ascii="宋体" w:hAnsi="宋体" w:cs="宋体"/>
                <w:color w:val="auto"/>
                <w:kern w:val="0"/>
                <w:sz w:val="20"/>
                <w:szCs w:val="20"/>
              </w:rPr>
              <w:t>/分发配置</w:t>
            </w:r>
            <w:r>
              <w:rPr>
                <w:rFonts w:hint="eastAsia" w:ascii="宋体" w:hAnsi="宋体" w:cs="宋体"/>
                <w:color w:val="auto"/>
                <w:kern w:val="0"/>
                <w:sz w:val="20"/>
                <w:szCs w:val="20"/>
              </w:rPr>
              <w:t>功能，实现接入</w:t>
            </w:r>
            <w:r>
              <w:rPr>
                <w:rFonts w:ascii="宋体" w:hAnsi="宋体" w:cs="宋体"/>
                <w:color w:val="auto"/>
                <w:kern w:val="0"/>
                <w:sz w:val="20"/>
                <w:szCs w:val="20"/>
              </w:rPr>
              <w:t>/分发配置的新增、删除、修改、查询、查看等操作。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数据对接</w:t>
            </w:r>
          </w:p>
        </w:tc>
        <w:tc>
          <w:tcPr>
            <w:tcW w:w="33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应提供通过数据交换标准定义实现数据接入和数据分发。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6</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文件传输</w:t>
            </w:r>
          </w:p>
        </w:tc>
        <w:tc>
          <w:tcPr>
            <w:tcW w:w="33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应提供具备文件传输功能，跨网传输通过</w:t>
            </w:r>
            <w:r>
              <w:rPr>
                <w:rFonts w:ascii="宋体" w:hAnsi="宋体" w:cs="宋体"/>
                <w:color w:val="auto"/>
                <w:kern w:val="0"/>
                <w:sz w:val="20"/>
                <w:szCs w:val="20"/>
              </w:rPr>
              <w:t>API接口调用接入系统文件资源，且根据公安部安全边界规范进行传输。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7</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color w:val="auto"/>
              </w:rPr>
              <w:t>★</w:t>
            </w:r>
            <w:r>
              <w:rPr>
                <w:rFonts w:hint="eastAsia" w:ascii="宋体" w:hAnsi="宋体" w:cs="宋体"/>
                <w:color w:val="auto"/>
                <w:kern w:val="0"/>
                <w:sz w:val="20"/>
                <w:szCs w:val="20"/>
              </w:rPr>
              <w:t>异常核验</w:t>
            </w:r>
          </w:p>
        </w:tc>
        <w:tc>
          <w:tcPr>
            <w:tcW w:w="33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应提供异常核验功能，检测传输过程中传输失败的数据筛选，并形成失败数据列表展示表格。对失败数据的重传操作、删除操作。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8</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安全审查</w:t>
            </w:r>
          </w:p>
        </w:tc>
        <w:tc>
          <w:tcPr>
            <w:tcW w:w="33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应提供安全审查功能，跨网传输中数据传输的关键字过滤，实现通过自定义关键字，设置审查策略和时间以及关键字的过滤。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9</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日志审计</w:t>
            </w:r>
          </w:p>
        </w:tc>
        <w:tc>
          <w:tcPr>
            <w:tcW w:w="33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应提供系统日志审计功能，操作日志审计、传输日志审计以及技术人员查询完整的系统事件日志。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（八）</w:t>
            </w:r>
          </w:p>
        </w:tc>
        <w:tc>
          <w:tcPr>
            <w:tcW w:w="1126" w:type="pct"/>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数据资产可视化</w:t>
            </w:r>
          </w:p>
        </w:tc>
        <w:tc>
          <w:tcPr>
            <w:tcW w:w="3380" w:type="pct"/>
            <w:shd w:val="clear" w:color="auto" w:fill="auto"/>
            <w:vAlign w:val="center"/>
          </w:tcPr>
          <w:p>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数据资产检索</w:t>
            </w:r>
          </w:p>
        </w:tc>
        <w:tc>
          <w:tcPr>
            <w:tcW w:w="33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应提供数据资产检索功能。资源目录树展示信息资源详细信息，目录树检索功能，输入分类名称在目录树中检索出匹配的表信息。资源信息检索功能，输入表名称或表中文名称信息后检索出匹配的资源信息。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基础信息可视化</w:t>
            </w:r>
          </w:p>
        </w:tc>
        <w:tc>
          <w:tcPr>
            <w:tcW w:w="33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应提供基础信息可视化功能，包含信息资源名称、信息资源表名、提供单位、更新周期、共享方式、共享范围、数据来源、所属业务分类展示及查询。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字段信息可视化</w:t>
            </w:r>
          </w:p>
        </w:tc>
        <w:tc>
          <w:tcPr>
            <w:tcW w:w="33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应提供字段信息可视化功能，包含查看表结构，包括字段名、字段类型、是否主键、字段描述等字段信息。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血缘关系可视化</w:t>
            </w:r>
          </w:p>
        </w:tc>
        <w:tc>
          <w:tcPr>
            <w:tcW w:w="33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应提供血缘关系可视化功能，包含查看记录数据血缘信息的规则，包括元数据、数据记录、数据属性的数据血缘信息。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5</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可视化数据大屏-数据源管理</w:t>
            </w:r>
          </w:p>
        </w:tc>
        <w:tc>
          <w:tcPr>
            <w:tcW w:w="3380" w:type="pct"/>
            <w:shd w:val="clear" w:color="auto" w:fill="auto"/>
            <w:vAlign w:val="center"/>
          </w:tcPr>
          <w:p>
            <w:pPr>
              <w:widowControl/>
              <w:jc w:val="left"/>
              <w:rPr>
                <w:rFonts w:hint="eastAsia" w:ascii="宋体" w:hAnsi="宋体" w:cs="宋体"/>
                <w:color w:val="auto"/>
                <w:kern w:val="0"/>
                <w:sz w:val="20"/>
                <w:szCs w:val="20"/>
              </w:rPr>
            </w:pPr>
            <w:r>
              <w:rPr>
                <w:rFonts w:hint="eastAsia"/>
                <w:color w:val="auto"/>
              </w:rPr>
              <w:t>应</w:t>
            </w:r>
            <w:r>
              <w:rPr>
                <w:rFonts w:hint="eastAsia" w:ascii="宋体" w:hAnsi="宋体" w:cs="宋体"/>
                <w:color w:val="auto"/>
                <w:kern w:val="0"/>
                <w:sz w:val="20"/>
                <w:szCs w:val="20"/>
              </w:rPr>
              <w:t>提供数据源管理，包含数据来源类别管理和数据来源关键信息预览功能。</w:t>
            </w:r>
          </w:p>
          <w:p>
            <w:pPr>
              <w:widowControl/>
              <w:jc w:val="left"/>
              <w:rPr>
                <w:rFonts w:hint="eastAsia" w:eastAsia="宋体"/>
                <w:color w:val="auto"/>
                <w:lang w:eastAsia="zh-CN"/>
              </w:rPr>
            </w:pPr>
            <w:r>
              <w:rPr>
                <w:rFonts w:hint="eastAsia" w:ascii="宋体" w:hAnsi="宋体" w:cs="宋体"/>
                <w:color w:val="auto"/>
                <w:kern w:val="0"/>
                <w:sz w:val="20"/>
                <w:szCs w:val="20"/>
              </w:rPr>
              <w:t>★</w:t>
            </w:r>
            <w:r>
              <w:rPr>
                <w:rFonts w:hint="eastAsia" w:ascii="宋体" w:hAnsi="宋体" w:cs="宋体"/>
                <w:color w:val="auto"/>
                <w:kern w:val="0"/>
                <w:sz w:val="20"/>
                <w:szCs w:val="20"/>
                <w:lang w:eastAsia="zh-CN"/>
              </w:rPr>
              <w:t>对数据同步异常、数据丢失、数据异常实时预警显示。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6</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可视化数据大屏-可视化分析</w:t>
            </w:r>
          </w:p>
        </w:tc>
        <w:tc>
          <w:tcPr>
            <w:tcW w:w="33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应提供数据报表可视化预览功能，多维分析展示方式实现。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7</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可视化数据大屏-拖拽分析</w:t>
            </w:r>
          </w:p>
        </w:tc>
        <w:tc>
          <w:tcPr>
            <w:tcW w:w="33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应提供拖拽分析功能，可视化图表拖拽方式，包括图标的维度、数值、对比、筛选器、颜色等区域。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8</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可视化数据大屏-图表类型</w:t>
            </w:r>
          </w:p>
        </w:tc>
        <w:tc>
          <w:tcPr>
            <w:tcW w:w="33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应提供丰富的图表类型，至少具备：指标卡、折线图、面积图、折线堆积图、条形图、柱状图、折线柱状图、双轴图、传统饼图、环形图、聚合散点图、大规模散点图、地图、笛卡尔坐标系热力图等类型。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9</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可视化数据大屏-多维分析</w:t>
            </w:r>
          </w:p>
        </w:tc>
        <w:tc>
          <w:tcPr>
            <w:tcW w:w="33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应提供分析生成图表功能，包括自动识别工作表的字段特征，自动归类为度量和维度。针对不同图种展示不同的维度提示与示例，支持计数、求和、最大值、最小值、平均值在内的多种数据聚合方式。包括字段过滤操作以及自由拖拽的操作方式，完全可视化的过滤、筛选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10</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可视化数据大屏-仪表盘</w:t>
            </w:r>
          </w:p>
        </w:tc>
        <w:tc>
          <w:tcPr>
            <w:tcW w:w="33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应提供仪表盘功能，实现仪表盘管理与预览一体化的界面。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11</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可视化数据大屏-数据大屏</w:t>
            </w:r>
          </w:p>
        </w:tc>
        <w:tc>
          <w:tcPr>
            <w:tcW w:w="33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应提供数据大屏可视化模板，实现交通数据展示。包括标题、视频、图片等辅助组件，一键化主题和背景图片替换。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12</w:t>
            </w:r>
          </w:p>
        </w:tc>
        <w:tc>
          <w:tcPr>
            <w:tcW w:w="1126"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可视化数据大屏-图表联动</w:t>
            </w:r>
          </w:p>
        </w:tc>
        <w:tc>
          <w:tcPr>
            <w:tcW w:w="33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应提供图表联动功能，包括单一数据项、数据图联动整体图表功能。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（九）</w:t>
            </w:r>
          </w:p>
        </w:tc>
        <w:tc>
          <w:tcPr>
            <w:tcW w:w="1126" w:type="pct"/>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性能和建设要求</w:t>
            </w:r>
          </w:p>
        </w:tc>
        <w:tc>
          <w:tcPr>
            <w:tcW w:w="3380" w:type="pct"/>
            <w:shd w:val="clear" w:color="auto" w:fill="auto"/>
            <w:vAlign w:val="center"/>
          </w:tcPr>
          <w:p>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1</w:t>
            </w:r>
          </w:p>
        </w:tc>
        <w:tc>
          <w:tcPr>
            <w:tcW w:w="1126" w:type="pct"/>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★高可用要求</w:t>
            </w:r>
          </w:p>
        </w:tc>
        <w:tc>
          <w:tcPr>
            <w:tcW w:w="3380" w:type="pct"/>
            <w:shd w:val="clear" w:color="auto" w:fill="auto"/>
            <w:vAlign w:val="center"/>
          </w:tcPr>
          <w:p>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数据治理软件应支持分布式部署、高可用设计。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3" w:type="pct"/>
            <w:shd w:val="clear" w:color="auto" w:fill="auto"/>
            <w:noWrap/>
            <w:vAlign w:val="center"/>
          </w:tcPr>
          <w:p>
            <w:pPr>
              <w:widowControl/>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2</w:t>
            </w:r>
          </w:p>
        </w:tc>
        <w:tc>
          <w:tcPr>
            <w:tcW w:w="1126" w:type="pct"/>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★双网双平台建设要求</w:t>
            </w:r>
          </w:p>
        </w:tc>
        <w:tc>
          <w:tcPr>
            <w:tcW w:w="3380" w:type="pct"/>
            <w:shd w:val="clear" w:color="auto" w:fill="auto"/>
            <w:vAlign w:val="center"/>
          </w:tcPr>
          <w:p>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本项目</w:t>
            </w:r>
            <w:r>
              <w:rPr>
                <w:rFonts w:hint="eastAsia" w:ascii="宋体" w:hAnsi="宋体" w:cs="宋体"/>
                <w:b/>
                <w:bCs/>
                <w:color w:val="auto"/>
                <w:kern w:val="0"/>
                <w:sz w:val="20"/>
                <w:szCs w:val="20"/>
                <w:lang w:val="en-US" w:eastAsia="zh-CN"/>
              </w:rPr>
              <w:t>在</w:t>
            </w:r>
            <w:r>
              <w:rPr>
                <w:rFonts w:hint="eastAsia" w:ascii="宋体" w:hAnsi="宋体" w:cs="宋体"/>
                <w:b/>
                <w:bCs/>
                <w:color w:val="auto"/>
                <w:kern w:val="0"/>
                <w:sz w:val="20"/>
                <w:szCs w:val="20"/>
              </w:rPr>
              <w:t>视频专网和公安信息网，应分别建设数据中心。</w:t>
            </w:r>
          </w:p>
        </w:tc>
      </w:tr>
    </w:tbl>
    <w:p>
      <w:pPr>
        <w:spacing w:line="240" w:lineRule="auto"/>
        <w:ind w:firstLine="420" w:firstLineChars="0"/>
        <w:rPr>
          <w:rFonts w:hint="eastAsia"/>
          <w:b/>
          <w:color w:val="auto"/>
          <w:kern w:val="0"/>
          <w:sz w:val="24"/>
          <w:szCs w:val="28"/>
        </w:rPr>
      </w:pPr>
      <w:r>
        <w:rPr>
          <w:rFonts w:hint="eastAsia"/>
          <w:b/>
          <w:color w:val="auto"/>
          <w:kern w:val="0"/>
          <w:sz w:val="24"/>
          <w:szCs w:val="28"/>
        </w:rPr>
        <w:t>本次招标的数据中心内容，包含标准、接入、清洗、处理和主题库、专题库、标准库、业务库等，</w:t>
      </w:r>
      <w:r>
        <w:rPr>
          <w:rFonts w:hint="eastAsia"/>
          <w:b/>
          <w:color w:val="auto"/>
          <w:kern w:val="0"/>
          <w:sz w:val="24"/>
          <w:szCs w:val="28"/>
          <w:highlight w:val="none"/>
        </w:rPr>
        <w:t>要和现网台州**大数据平台实现对接</w:t>
      </w:r>
      <w:r>
        <w:rPr>
          <w:rFonts w:hint="eastAsia"/>
          <w:b/>
          <w:color w:val="auto"/>
          <w:kern w:val="0"/>
          <w:sz w:val="24"/>
          <w:szCs w:val="28"/>
        </w:rPr>
        <w:t>，充分融合，形成统一的数据资产体系和数据清洗治理应用授权体系。</w:t>
      </w:r>
    </w:p>
    <w:p>
      <w:pPr>
        <w:pStyle w:val="10"/>
        <w:rPr>
          <w:rFonts w:hint="eastAsia"/>
          <w:lang w:val="en-US" w:eastAsia="zh-CN"/>
        </w:rPr>
      </w:pPr>
    </w:p>
    <w:p>
      <w:pPr>
        <w:pStyle w:val="10"/>
        <w:numPr>
          <w:ilvl w:val="3"/>
          <w:numId w:val="2"/>
        </w:numPr>
        <w:ind w:left="864" w:leftChars="0" w:hanging="864" w:firstLineChars="0"/>
        <w:rPr>
          <w:rFonts w:hint="eastAsia" w:ascii="黑体" w:hAnsi="黑体" w:eastAsia="黑体" w:cs="黑体"/>
          <w:b/>
          <w:bCs/>
          <w:sz w:val="28"/>
          <w:szCs w:val="28"/>
        </w:rPr>
      </w:pPr>
      <w:r>
        <w:rPr>
          <w:rFonts w:hint="eastAsia" w:ascii="黑体" w:hAnsi="黑体" w:eastAsia="黑体" w:cs="黑体"/>
          <w:b/>
          <w:bCs/>
          <w:sz w:val="28"/>
          <w:szCs w:val="28"/>
          <w:lang w:val="en-US" w:eastAsia="zh-CN"/>
        </w:rPr>
        <w:t>赋能中心</w:t>
      </w:r>
    </w:p>
    <w:tbl>
      <w:tblPr>
        <w:tblStyle w:val="22"/>
        <w:tblpPr w:leftFromText="180" w:rightFromText="180" w:vertAnchor="text" w:horzAnchor="page" w:tblpX="1902" w:tblpY="1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43"/>
        <w:gridCol w:w="6"/>
        <w:gridCol w:w="1306"/>
        <w:gridCol w:w="1413"/>
        <w:gridCol w:w="4"/>
        <w:gridCol w:w="4758"/>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868" w:type="dxa"/>
            <w:gridSpan w:val="3"/>
            <w:shd w:val="clear" w:color="auto" w:fill="auto"/>
            <w:vAlign w:val="center"/>
          </w:tcPr>
          <w:p>
            <w:pPr>
              <w:widowControl/>
              <w:jc w:val="center"/>
              <w:rPr>
                <w:rFonts w:cs="宋体" w:asciiTheme="minorEastAsia" w:hAnsiTheme="minorEastAsia" w:eastAsiaTheme="minorEastAsia"/>
                <w:b/>
                <w:bCs/>
                <w:color w:val="auto"/>
                <w:kern w:val="0"/>
                <w:sz w:val="20"/>
                <w:szCs w:val="20"/>
              </w:rPr>
            </w:pPr>
            <w:r>
              <w:rPr>
                <w:rFonts w:hint="eastAsia" w:cs="宋体" w:asciiTheme="minorEastAsia" w:hAnsiTheme="minorEastAsia" w:eastAsiaTheme="minorEastAsia"/>
                <w:b/>
                <w:bCs/>
                <w:color w:val="auto"/>
                <w:kern w:val="0"/>
                <w:sz w:val="20"/>
                <w:szCs w:val="20"/>
              </w:rPr>
              <w:t>序号</w:t>
            </w:r>
          </w:p>
        </w:tc>
        <w:tc>
          <w:tcPr>
            <w:tcW w:w="1306" w:type="dxa"/>
            <w:shd w:val="clear" w:color="auto" w:fill="auto"/>
            <w:vAlign w:val="center"/>
          </w:tcPr>
          <w:p>
            <w:pPr>
              <w:widowControl/>
              <w:jc w:val="center"/>
              <w:rPr>
                <w:rFonts w:cs="宋体" w:asciiTheme="minorEastAsia" w:hAnsiTheme="minorEastAsia" w:eastAsiaTheme="minorEastAsia"/>
                <w:b/>
                <w:bCs/>
                <w:color w:val="auto"/>
                <w:kern w:val="0"/>
                <w:sz w:val="20"/>
                <w:szCs w:val="20"/>
              </w:rPr>
            </w:pPr>
            <w:r>
              <w:rPr>
                <w:rFonts w:hint="eastAsia" w:cs="宋体" w:asciiTheme="minorEastAsia" w:hAnsiTheme="minorEastAsia" w:eastAsiaTheme="minorEastAsia"/>
                <w:b/>
                <w:bCs/>
                <w:color w:val="auto"/>
                <w:kern w:val="0"/>
                <w:sz w:val="20"/>
                <w:szCs w:val="20"/>
              </w:rPr>
              <w:t>功能模块</w:t>
            </w:r>
          </w:p>
        </w:tc>
        <w:tc>
          <w:tcPr>
            <w:tcW w:w="1417" w:type="dxa"/>
            <w:gridSpan w:val="2"/>
            <w:shd w:val="clear" w:color="auto" w:fill="auto"/>
            <w:vAlign w:val="center"/>
          </w:tcPr>
          <w:p>
            <w:pPr>
              <w:widowControl/>
              <w:jc w:val="center"/>
              <w:rPr>
                <w:rFonts w:cs="宋体" w:asciiTheme="minorEastAsia" w:hAnsiTheme="minorEastAsia" w:eastAsiaTheme="minorEastAsia"/>
                <w:b/>
                <w:bCs/>
                <w:color w:val="auto"/>
                <w:kern w:val="0"/>
                <w:sz w:val="20"/>
                <w:szCs w:val="20"/>
              </w:rPr>
            </w:pPr>
            <w:r>
              <w:rPr>
                <w:rFonts w:hint="eastAsia" w:cs="宋体" w:asciiTheme="minorEastAsia" w:hAnsiTheme="minorEastAsia" w:eastAsiaTheme="minorEastAsia"/>
                <w:b/>
                <w:bCs/>
                <w:color w:val="auto"/>
                <w:kern w:val="0"/>
                <w:sz w:val="20"/>
                <w:szCs w:val="20"/>
              </w:rPr>
              <w:t>子模块</w:t>
            </w:r>
          </w:p>
        </w:tc>
        <w:tc>
          <w:tcPr>
            <w:tcW w:w="4763" w:type="dxa"/>
            <w:gridSpan w:val="2"/>
            <w:shd w:val="clear" w:color="auto" w:fill="auto"/>
            <w:vAlign w:val="center"/>
          </w:tcPr>
          <w:p>
            <w:pPr>
              <w:widowControl/>
              <w:jc w:val="center"/>
              <w:rPr>
                <w:rFonts w:cs="宋体" w:asciiTheme="minorEastAsia" w:hAnsiTheme="minorEastAsia" w:eastAsiaTheme="minorEastAsia"/>
                <w:b/>
                <w:bCs/>
                <w:color w:val="auto"/>
                <w:kern w:val="0"/>
                <w:sz w:val="20"/>
                <w:szCs w:val="20"/>
              </w:rPr>
            </w:pPr>
            <w:r>
              <w:rPr>
                <w:rFonts w:hint="eastAsia" w:ascii="宋体" w:hAnsi="宋体" w:cs="宋体"/>
                <w:b/>
                <w:bCs/>
                <w:color w:val="auto"/>
                <w:kern w:val="0"/>
                <w:sz w:val="20"/>
                <w:szCs w:val="20"/>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shd w:val="clear" w:color="auto" w:fill="auto"/>
            <w:noWrap/>
            <w:vAlign w:val="center"/>
          </w:tcPr>
          <w:p>
            <w:pPr>
              <w:widowControl/>
              <w:jc w:val="center"/>
              <w:rPr>
                <w:rFonts w:cs="宋体" w:asciiTheme="minorEastAsia" w:hAnsiTheme="minorEastAsia" w:eastAsiaTheme="minorEastAsia"/>
                <w:b/>
                <w:bCs/>
                <w:color w:val="auto"/>
                <w:kern w:val="0"/>
                <w:sz w:val="20"/>
                <w:szCs w:val="20"/>
              </w:rPr>
            </w:pPr>
            <w:r>
              <w:rPr>
                <w:rFonts w:hint="eastAsia" w:cs="宋体" w:asciiTheme="minorEastAsia" w:hAnsiTheme="minorEastAsia" w:eastAsiaTheme="minorEastAsia"/>
                <w:b/>
                <w:bCs/>
                <w:color w:val="auto"/>
                <w:kern w:val="0"/>
                <w:sz w:val="20"/>
                <w:szCs w:val="20"/>
              </w:rPr>
              <w:t>（一）</w:t>
            </w:r>
          </w:p>
        </w:tc>
        <w:tc>
          <w:tcPr>
            <w:tcW w:w="1306" w:type="dxa"/>
            <w:shd w:val="clear" w:color="auto" w:fill="auto"/>
            <w:vAlign w:val="center"/>
          </w:tcPr>
          <w:p>
            <w:pPr>
              <w:widowControl/>
              <w:jc w:val="center"/>
              <w:rPr>
                <w:rFonts w:cs="宋体" w:asciiTheme="minorEastAsia" w:hAnsiTheme="minorEastAsia" w:eastAsiaTheme="minorEastAsia"/>
                <w:b/>
                <w:bCs/>
                <w:color w:val="auto"/>
                <w:kern w:val="0"/>
                <w:sz w:val="20"/>
                <w:szCs w:val="20"/>
              </w:rPr>
            </w:pPr>
            <w:r>
              <w:rPr>
                <w:rFonts w:hint="eastAsia" w:cs="宋体" w:asciiTheme="minorEastAsia" w:hAnsiTheme="minorEastAsia" w:eastAsiaTheme="minorEastAsia"/>
                <w:b/>
                <w:bCs/>
                <w:color w:val="auto"/>
                <w:kern w:val="0"/>
                <w:sz w:val="20"/>
                <w:szCs w:val="20"/>
              </w:rPr>
              <w:t>任务管理</w:t>
            </w:r>
          </w:p>
        </w:tc>
        <w:tc>
          <w:tcPr>
            <w:tcW w:w="1417" w:type="dxa"/>
            <w:gridSpan w:val="2"/>
            <w:shd w:val="clear" w:color="auto" w:fill="auto"/>
            <w:vAlign w:val="center"/>
          </w:tcPr>
          <w:p>
            <w:pPr>
              <w:widowControl/>
              <w:jc w:val="left"/>
              <w:rPr>
                <w:rFonts w:cs="宋体" w:asciiTheme="minorEastAsia" w:hAnsiTheme="minorEastAsia" w:eastAsiaTheme="minorEastAsia"/>
                <w:b/>
                <w:bCs/>
                <w:color w:val="auto"/>
                <w:kern w:val="0"/>
                <w:sz w:val="20"/>
                <w:szCs w:val="20"/>
              </w:rPr>
            </w:pPr>
            <w:r>
              <w:rPr>
                <w:rFonts w:hint="eastAsia" w:cs="宋体" w:asciiTheme="minorEastAsia" w:hAnsiTheme="minorEastAsia" w:eastAsiaTheme="minorEastAsia"/>
                <w:b/>
                <w:bCs/>
                <w:color w:val="auto"/>
                <w:kern w:val="0"/>
                <w:sz w:val="20"/>
                <w:szCs w:val="20"/>
              </w:rPr>
              <w:t>　</w:t>
            </w:r>
          </w:p>
        </w:tc>
        <w:tc>
          <w:tcPr>
            <w:tcW w:w="4763" w:type="dxa"/>
            <w:gridSpan w:val="2"/>
            <w:shd w:val="clear" w:color="auto" w:fill="auto"/>
            <w:vAlign w:val="center"/>
          </w:tcPr>
          <w:p>
            <w:pPr>
              <w:widowControl/>
              <w:jc w:val="left"/>
              <w:rPr>
                <w:rFonts w:cs="宋体" w:asciiTheme="minorEastAsia" w:hAnsiTheme="minorEastAsia" w:eastAsiaTheme="minorEastAsia"/>
                <w:b/>
                <w:bCs/>
                <w:color w:val="auto"/>
                <w:kern w:val="0"/>
                <w:sz w:val="20"/>
                <w:szCs w:val="20"/>
              </w:rPr>
            </w:pPr>
            <w:r>
              <w:rPr>
                <w:rFonts w:hint="eastAsia" w:cs="宋体" w:asciiTheme="minorEastAsia" w:hAnsiTheme="minorEastAsia" w:eastAsiaTheme="minorEastAsia"/>
                <w:b/>
                <w:bCs/>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shd w:val="clear" w:color="auto" w:fill="auto"/>
            <w:noWrap/>
            <w:vAlign w:val="center"/>
          </w:tcPr>
          <w:p>
            <w:pPr>
              <w:widowControl/>
              <w:jc w:val="center"/>
              <w:rPr>
                <w:rFonts w:cs="宋体" w:asciiTheme="minorEastAsia" w:hAnsiTheme="minorEastAsia" w:eastAsiaTheme="minorEastAsia"/>
                <w:b/>
                <w:bCs/>
                <w:color w:val="auto"/>
                <w:kern w:val="0"/>
                <w:sz w:val="20"/>
                <w:szCs w:val="20"/>
              </w:rPr>
            </w:pPr>
            <w:r>
              <w:rPr>
                <w:rFonts w:hint="eastAsia" w:cs="宋体" w:asciiTheme="minorEastAsia" w:hAnsiTheme="minorEastAsia" w:eastAsiaTheme="minorEastAsia"/>
                <w:b/>
                <w:bCs/>
                <w:color w:val="auto"/>
                <w:kern w:val="0"/>
                <w:sz w:val="20"/>
                <w:szCs w:val="20"/>
              </w:rPr>
              <w:t>　</w:t>
            </w:r>
          </w:p>
        </w:tc>
        <w:tc>
          <w:tcPr>
            <w:tcW w:w="1306" w:type="dxa"/>
            <w:shd w:val="clear" w:color="auto" w:fill="auto"/>
            <w:vAlign w:val="center"/>
          </w:tcPr>
          <w:p>
            <w:pPr>
              <w:widowControl/>
              <w:jc w:val="center"/>
              <w:rPr>
                <w:rFonts w:cs="宋体" w:asciiTheme="minorEastAsia" w:hAnsiTheme="minorEastAsia" w:eastAsiaTheme="minorEastAsia"/>
                <w:b/>
                <w:bCs/>
                <w:color w:val="auto"/>
                <w:kern w:val="0"/>
                <w:sz w:val="20"/>
                <w:szCs w:val="20"/>
              </w:rPr>
            </w:pPr>
            <w:r>
              <w:rPr>
                <w:rFonts w:hint="eastAsia" w:cs="宋体" w:asciiTheme="minorEastAsia" w:hAnsiTheme="minorEastAsia" w:eastAsiaTheme="minorEastAsia"/>
                <w:b/>
                <w:bCs/>
                <w:color w:val="auto"/>
                <w:kern w:val="0"/>
                <w:sz w:val="20"/>
                <w:szCs w:val="20"/>
              </w:rPr>
              <w:t>模型管理</w:t>
            </w:r>
          </w:p>
        </w:tc>
        <w:tc>
          <w:tcPr>
            <w:tcW w:w="1417" w:type="dxa"/>
            <w:gridSpan w:val="2"/>
            <w:shd w:val="clear" w:color="auto" w:fill="auto"/>
            <w:vAlign w:val="center"/>
          </w:tcPr>
          <w:p>
            <w:pPr>
              <w:widowControl/>
              <w:jc w:val="left"/>
              <w:rPr>
                <w:rFonts w:cs="宋体" w:asciiTheme="minorEastAsia" w:hAnsiTheme="minorEastAsia" w:eastAsiaTheme="minorEastAsia"/>
                <w:b/>
                <w:bCs/>
                <w:color w:val="auto"/>
                <w:kern w:val="0"/>
                <w:sz w:val="20"/>
                <w:szCs w:val="20"/>
              </w:rPr>
            </w:pPr>
            <w:r>
              <w:rPr>
                <w:rFonts w:hint="eastAsia" w:cs="宋体" w:asciiTheme="minorEastAsia" w:hAnsiTheme="minorEastAsia" w:eastAsiaTheme="minorEastAsia"/>
                <w:b/>
                <w:bCs/>
                <w:color w:val="auto"/>
                <w:kern w:val="0"/>
                <w:sz w:val="20"/>
                <w:szCs w:val="20"/>
              </w:rPr>
              <w:t>　</w:t>
            </w:r>
          </w:p>
        </w:tc>
        <w:tc>
          <w:tcPr>
            <w:tcW w:w="4763" w:type="dxa"/>
            <w:gridSpan w:val="2"/>
            <w:shd w:val="clear" w:color="auto" w:fill="auto"/>
            <w:vAlign w:val="center"/>
          </w:tcPr>
          <w:p>
            <w:pPr>
              <w:widowControl/>
              <w:jc w:val="left"/>
              <w:rPr>
                <w:rFonts w:cs="宋体" w:asciiTheme="minorEastAsia" w:hAnsiTheme="minorEastAsia" w:eastAsiaTheme="minorEastAsia"/>
                <w:b/>
                <w:bCs/>
                <w:color w:val="auto"/>
                <w:kern w:val="0"/>
                <w:sz w:val="20"/>
                <w:szCs w:val="20"/>
              </w:rPr>
            </w:pPr>
            <w:r>
              <w:rPr>
                <w:rFonts w:hint="eastAsia" w:cs="宋体" w:asciiTheme="minorEastAsia" w:hAnsiTheme="minorEastAsia" w:eastAsiaTheme="minorEastAsia"/>
                <w:b/>
                <w:bCs/>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restart"/>
            <w:shd w:val="clear" w:color="auto" w:fill="auto"/>
            <w:noWrap/>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1</w:t>
            </w:r>
          </w:p>
        </w:tc>
        <w:tc>
          <w:tcPr>
            <w:tcW w:w="1306" w:type="dxa"/>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模型注册</w:t>
            </w: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模型注册</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sz w:val="20"/>
                <w:szCs w:val="20"/>
              </w:rPr>
              <w:t>支持通过模型超市的模型注册功能，统一纳入模型超市清单，接受模型超市管理。注册内容主要包括模型名称、版本号、模型用途、入口参数、返回参数、调用方式及调用实例等。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模型标准</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sz w:val="20"/>
                <w:szCs w:val="20"/>
              </w:rPr>
              <w:t xml:space="preserve">需提供统一标准接口及Web配置页面；支持在可视化操作页面中进行API交换及分发配置。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restart"/>
            <w:shd w:val="clear" w:color="auto" w:fill="auto"/>
            <w:noWrap/>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2</w:t>
            </w:r>
          </w:p>
        </w:tc>
        <w:tc>
          <w:tcPr>
            <w:tcW w:w="1306" w:type="dxa"/>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模型监测</w:t>
            </w: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sz w:val="20"/>
                <w:szCs w:val="20"/>
              </w:rPr>
              <w:t>模型评估</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sz w:val="20"/>
                <w:szCs w:val="20"/>
              </w:rPr>
              <w:t>应支持在其他应用系统调度模型超市中的已注册的模型过程中，模型监控模块提供模型评估功能；可查看模型的可用性，以保障其他应用系统调用模型的过程可用。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olor w:val="auto"/>
              </w:rPr>
              <w:t>★</w:t>
            </w:r>
            <w:r>
              <w:rPr>
                <w:rFonts w:hint="eastAsia" w:cs="宋体" w:asciiTheme="minorEastAsia" w:hAnsiTheme="minorEastAsia" w:eastAsiaTheme="minorEastAsia"/>
                <w:color w:val="auto"/>
                <w:sz w:val="20"/>
                <w:szCs w:val="20"/>
              </w:rPr>
              <w:t>模型使用状态</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sz w:val="20"/>
                <w:szCs w:val="20"/>
              </w:rPr>
              <w:t>为保障第三方应用系统的正常使用，支持通过监测功能实时跟踪模型运行状态，监测模型的调用频次，对异常宕机及恶意使用及时发出报警。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sz w:val="20"/>
                <w:szCs w:val="20"/>
              </w:rPr>
              <w:t>模型检索</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sz w:val="20"/>
                <w:szCs w:val="20"/>
              </w:rPr>
              <w:t>支持通过模型检索功能实现快速浏览模型超市中存在的模型，支持对模型名称、版本号、模型用途、入口参数、返回参数、调用方式以及调用实例快速调用，同时亦可模拟调用查看返回结果。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restart"/>
            <w:shd w:val="clear" w:color="auto" w:fill="auto"/>
            <w:noWrap/>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3</w:t>
            </w:r>
          </w:p>
        </w:tc>
        <w:tc>
          <w:tcPr>
            <w:tcW w:w="1306" w:type="dxa"/>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模型授权</w:t>
            </w: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模型使用授权</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sz w:val="20"/>
                <w:szCs w:val="20"/>
              </w:rPr>
              <w:t>支持通过授权功能实现模型功能的开放，同时亦可对模型的使用情况进行全生命周期跟踪，以保证第三方应用系统高效、稳定使用以及模型超市自身的鲁棒性和安全性。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审批流</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sz w:val="20"/>
                <w:szCs w:val="20"/>
              </w:rPr>
              <w:t>应支持模型授权审批流程设计。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shd w:val="clear" w:color="auto" w:fill="auto"/>
            <w:noWrap/>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4</w:t>
            </w:r>
          </w:p>
        </w:tc>
        <w:tc>
          <w:tcPr>
            <w:tcW w:w="1306" w:type="dxa"/>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统计分析</w:t>
            </w: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统计分析</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sz w:val="20"/>
                <w:szCs w:val="20"/>
              </w:rPr>
              <w:t>应支持生成模型统计分析日志以及日志下载功能。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shd w:val="clear" w:color="auto" w:fill="auto"/>
            <w:noWrap/>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5</w:t>
            </w:r>
          </w:p>
        </w:tc>
        <w:tc>
          <w:tcPr>
            <w:tcW w:w="1306" w:type="dxa"/>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模型展示</w:t>
            </w: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模型展示</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sz w:val="20"/>
                <w:szCs w:val="20"/>
              </w:rPr>
              <w:t>应支持模型清单展示功能，包括但不限于模型清单展示、模型使用状态展示、模型使用授权展示、模型统计分析展示等功能。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shd w:val="clear" w:color="auto" w:fill="auto"/>
            <w:noWrap/>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　</w:t>
            </w:r>
          </w:p>
        </w:tc>
        <w:tc>
          <w:tcPr>
            <w:tcW w:w="1306" w:type="dxa"/>
            <w:shd w:val="clear" w:color="auto" w:fill="auto"/>
            <w:vAlign w:val="center"/>
          </w:tcPr>
          <w:p>
            <w:pPr>
              <w:widowControl/>
              <w:jc w:val="center"/>
              <w:rPr>
                <w:rFonts w:cs="宋体" w:asciiTheme="minorEastAsia" w:hAnsiTheme="minorEastAsia" w:eastAsiaTheme="minorEastAsia"/>
                <w:b/>
                <w:bCs/>
                <w:color w:val="auto"/>
                <w:kern w:val="0"/>
                <w:sz w:val="20"/>
                <w:szCs w:val="20"/>
              </w:rPr>
            </w:pPr>
            <w:r>
              <w:rPr>
                <w:rFonts w:hint="eastAsia" w:cs="宋体" w:asciiTheme="minorEastAsia" w:hAnsiTheme="minorEastAsia" w:eastAsiaTheme="minorEastAsia"/>
                <w:b/>
                <w:bCs/>
                <w:color w:val="auto"/>
                <w:kern w:val="0"/>
                <w:sz w:val="20"/>
                <w:szCs w:val="20"/>
              </w:rPr>
              <w:t>作业管理</w:t>
            </w: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　</w:t>
            </w:r>
          </w:p>
        </w:tc>
        <w:tc>
          <w:tcPr>
            <w:tcW w:w="4763"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restart"/>
            <w:shd w:val="clear" w:color="auto" w:fill="auto"/>
            <w:noWrap/>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1</w:t>
            </w:r>
          </w:p>
        </w:tc>
        <w:tc>
          <w:tcPr>
            <w:tcW w:w="1306" w:type="dxa"/>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作业总览</w:t>
            </w: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任务执行情况总览</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应支持数据中心作业任务执行情况总览功能，包括但不限于作业总数、作业成功数量、作业失败数量、已执行作业、未执行作业等功能展示。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可视化作业调度（24小时）</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应支持作业调度策略条形图、作业实际执行折线图；支持已上线作业的调度周期策略变更、执行节点，执行历史记录的查看；支持任务超时配置：超时时间、超时中断、通知邮箱。支持作业智能化调度，当并发数超过预设值时，后续作业暂时加入堵塞队列，等作业中心压力释放后，再继续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作业执行排名</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应支持作业运行耗时排行、作业运行失败排行、作业运行堆积排行。支持成功或失败的任务直接跳转，方便定位和排查失败等异常任务原因。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调度记录全监控</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应支持作业中心执行历史记录的查看，以及结构化日志展示模块；支持异常任务重新执行功能；支持运维策略配置，并根据任务调度结果提供多种告警方式；支持子任务失败自动重试机制提高系统容错性。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调度依赖配置</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应支持任务上线时配置前置任务作为任务执行依赖条件；支持任务独立性配置，区分两种任务的运行依赖情况。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shd w:val="clear" w:color="auto" w:fill="auto"/>
            <w:noWrap/>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2</w:t>
            </w:r>
          </w:p>
        </w:tc>
        <w:tc>
          <w:tcPr>
            <w:tcW w:w="1306" w:type="dxa"/>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周期作业</w:t>
            </w: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周期作业</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支持周期作业帮助运维人员管理线上作业。对于已上线的作业可以修改预设的调度周期策略、执行节点，支持节点智能调度，同时每项作业提供最高 30 天的执行历史记录的查看。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shd w:val="clear" w:color="auto" w:fill="auto"/>
            <w:noWrap/>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3</w:t>
            </w:r>
          </w:p>
        </w:tc>
        <w:tc>
          <w:tcPr>
            <w:tcW w:w="1306" w:type="dxa"/>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队列详情</w:t>
            </w: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队列详情</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支持作业中心作业调度的并发数超过预设的最大并发时，后续作业会暂时加入堵塞队列，等作业中心压力释放后，会继续执行。支持用户主动调整作业优先级，确保高优先级作业能够优先进入队列执行。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shd w:val="clear" w:color="auto" w:fill="auto"/>
            <w:noWrap/>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4</w:t>
            </w:r>
          </w:p>
        </w:tc>
        <w:tc>
          <w:tcPr>
            <w:tcW w:w="1306" w:type="dxa"/>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实时作业</w:t>
            </w: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实时作业</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实时作业运维提供实时任务的监控运维总览，支持实时作业的状态监控和运维，允许暂停、下线实时任务的操作；支持异常任务的状态查看、错误日志监控。支持对进行中的任务暂停或下线更新等操作，针对有异常的任务，允许开发者查看实时采集日志来检查实时采集任务的运行态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shd w:val="clear" w:color="auto" w:fill="auto"/>
            <w:noWrap/>
            <w:vAlign w:val="center"/>
          </w:tcPr>
          <w:p>
            <w:pPr>
              <w:widowControl/>
              <w:jc w:val="center"/>
              <w:rPr>
                <w:rFonts w:cs="宋体" w:asciiTheme="minorEastAsia" w:hAnsiTheme="minorEastAsia" w:eastAsiaTheme="minorEastAsia"/>
                <w:b/>
                <w:bCs/>
                <w:color w:val="auto"/>
                <w:kern w:val="0"/>
                <w:sz w:val="20"/>
                <w:szCs w:val="20"/>
              </w:rPr>
            </w:pPr>
            <w:r>
              <w:rPr>
                <w:rFonts w:hint="eastAsia" w:cs="宋体" w:asciiTheme="minorEastAsia" w:hAnsiTheme="minorEastAsia" w:eastAsiaTheme="minorEastAsia"/>
                <w:b/>
                <w:bCs/>
                <w:color w:val="auto"/>
                <w:kern w:val="0"/>
                <w:sz w:val="20"/>
                <w:szCs w:val="20"/>
              </w:rPr>
              <w:t>（二）</w:t>
            </w:r>
          </w:p>
        </w:tc>
        <w:tc>
          <w:tcPr>
            <w:tcW w:w="1306" w:type="dxa"/>
            <w:shd w:val="clear" w:color="auto" w:fill="auto"/>
            <w:vAlign w:val="center"/>
          </w:tcPr>
          <w:p>
            <w:pPr>
              <w:widowControl/>
              <w:jc w:val="center"/>
              <w:rPr>
                <w:rFonts w:cs="宋体" w:asciiTheme="minorEastAsia" w:hAnsiTheme="minorEastAsia" w:eastAsiaTheme="minorEastAsia"/>
                <w:b/>
                <w:bCs/>
                <w:color w:val="auto"/>
                <w:kern w:val="0"/>
                <w:sz w:val="20"/>
                <w:szCs w:val="20"/>
              </w:rPr>
            </w:pPr>
            <w:r>
              <w:rPr>
                <w:rFonts w:hint="eastAsia" w:cs="宋体" w:asciiTheme="minorEastAsia" w:hAnsiTheme="minorEastAsia" w:eastAsiaTheme="minorEastAsia"/>
                <w:b/>
                <w:bCs/>
                <w:color w:val="auto"/>
                <w:kern w:val="0"/>
                <w:sz w:val="20"/>
                <w:szCs w:val="20"/>
              </w:rPr>
              <w:t>AI能力提升</w:t>
            </w:r>
          </w:p>
        </w:tc>
        <w:tc>
          <w:tcPr>
            <w:tcW w:w="1417" w:type="dxa"/>
            <w:gridSpan w:val="2"/>
            <w:shd w:val="clear" w:color="auto" w:fill="auto"/>
            <w:vAlign w:val="center"/>
          </w:tcPr>
          <w:p>
            <w:pPr>
              <w:widowControl/>
              <w:jc w:val="left"/>
              <w:rPr>
                <w:rFonts w:cs="宋体" w:asciiTheme="minorEastAsia" w:hAnsiTheme="minorEastAsia" w:eastAsiaTheme="minorEastAsia"/>
                <w:b/>
                <w:bCs/>
                <w:color w:val="auto"/>
                <w:kern w:val="0"/>
                <w:sz w:val="20"/>
                <w:szCs w:val="20"/>
              </w:rPr>
            </w:pPr>
            <w:r>
              <w:rPr>
                <w:rFonts w:hint="eastAsia" w:cs="宋体" w:asciiTheme="minorEastAsia" w:hAnsiTheme="minorEastAsia" w:eastAsiaTheme="minorEastAsia"/>
                <w:b/>
                <w:bCs/>
                <w:color w:val="auto"/>
                <w:kern w:val="0"/>
                <w:sz w:val="20"/>
                <w:szCs w:val="20"/>
              </w:rPr>
              <w:t>　</w:t>
            </w:r>
          </w:p>
        </w:tc>
        <w:tc>
          <w:tcPr>
            <w:tcW w:w="4763" w:type="dxa"/>
            <w:gridSpan w:val="2"/>
            <w:shd w:val="clear" w:color="auto" w:fill="auto"/>
            <w:vAlign w:val="center"/>
          </w:tcPr>
          <w:p>
            <w:pPr>
              <w:widowControl/>
              <w:jc w:val="left"/>
              <w:rPr>
                <w:rFonts w:cs="宋体" w:asciiTheme="minorEastAsia" w:hAnsiTheme="minorEastAsia" w:eastAsiaTheme="minorEastAsia"/>
                <w:b/>
                <w:bCs/>
                <w:color w:val="auto"/>
                <w:kern w:val="0"/>
                <w:sz w:val="20"/>
                <w:szCs w:val="20"/>
              </w:rPr>
            </w:pPr>
            <w:r>
              <w:rPr>
                <w:rFonts w:hint="eastAsia" w:cs="宋体" w:asciiTheme="minorEastAsia" w:hAnsiTheme="minorEastAsia" w:eastAsiaTheme="minorEastAsia"/>
                <w:b/>
                <w:bCs/>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shd w:val="clear" w:color="auto" w:fill="auto"/>
            <w:noWrap/>
            <w:vAlign w:val="center"/>
          </w:tcPr>
          <w:p>
            <w:pPr>
              <w:widowControl/>
              <w:jc w:val="center"/>
              <w:rPr>
                <w:rFonts w:cs="宋体" w:asciiTheme="minorEastAsia" w:hAnsiTheme="minorEastAsia" w:eastAsiaTheme="minorEastAsia"/>
                <w:b/>
                <w:bCs/>
                <w:color w:val="auto"/>
                <w:kern w:val="0"/>
                <w:sz w:val="20"/>
                <w:szCs w:val="20"/>
              </w:rPr>
            </w:pPr>
            <w:r>
              <w:rPr>
                <w:rFonts w:hint="eastAsia" w:cs="宋体" w:asciiTheme="minorEastAsia" w:hAnsiTheme="minorEastAsia" w:eastAsiaTheme="minorEastAsia"/>
                <w:b/>
                <w:bCs/>
                <w:color w:val="auto"/>
                <w:kern w:val="0"/>
                <w:sz w:val="20"/>
                <w:szCs w:val="20"/>
              </w:rPr>
              <w:t>1</w:t>
            </w:r>
          </w:p>
        </w:tc>
        <w:tc>
          <w:tcPr>
            <w:tcW w:w="1306" w:type="dxa"/>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车辆识别算法</w:t>
            </w: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车辆识别算法</w:t>
            </w:r>
          </w:p>
        </w:tc>
        <w:tc>
          <w:tcPr>
            <w:tcW w:w="4763" w:type="dxa"/>
            <w:gridSpan w:val="2"/>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需满足台州辖区所有点位的解析及二次识别进行授权，算法识别能力支持从每日实时处理过车图片量1200万提升到每日实时处理过车图片量3000万。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shd w:val="clear" w:color="auto" w:fill="auto"/>
            <w:vAlign w:val="center"/>
          </w:tcPr>
          <w:p>
            <w:pPr>
              <w:widowControl/>
              <w:jc w:val="center"/>
              <w:rPr>
                <w:rFonts w:cs="宋体" w:asciiTheme="minorEastAsia" w:hAnsiTheme="minorEastAsia" w:eastAsiaTheme="minorEastAsia"/>
                <w:b/>
                <w:bCs/>
                <w:color w:val="auto"/>
                <w:kern w:val="0"/>
                <w:sz w:val="20"/>
                <w:szCs w:val="20"/>
              </w:rPr>
            </w:pPr>
            <w:r>
              <w:rPr>
                <w:rFonts w:hint="eastAsia" w:cs="宋体" w:asciiTheme="minorEastAsia" w:hAnsiTheme="minorEastAsia" w:eastAsiaTheme="minorEastAsia"/>
                <w:b/>
                <w:bCs/>
                <w:color w:val="auto"/>
                <w:kern w:val="0"/>
                <w:sz w:val="20"/>
                <w:szCs w:val="20"/>
              </w:rPr>
              <w:t>（三）</w:t>
            </w:r>
          </w:p>
        </w:tc>
        <w:tc>
          <w:tcPr>
            <w:tcW w:w="1306" w:type="dxa"/>
            <w:shd w:val="clear" w:color="auto" w:fill="auto"/>
            <w:vAlign w:val="center"/>
          </w:tcPr>
          <w:p>
            <w:pPr>
              <w:widowControl/>
              <w:jc w:val="center"/>
              <w:rPr>
                <w:rFonts w:cs="宋体" w:asciiTheme="minorEastAsia" w:hAnsiTheme="minorEastAsia" w:eastAsiaTheme="minorEastAsia"/>
                <w:b/>
                <w:bCs/>
                <w:color w:val="auto"/>
                <w:kern w:val="0"/>
                <w:sz w:val="20"/>
                <w:szCs w:val="20"/>
              </w:rPr>
            </w:pPr>
            <w:r>
              <w:rPr>
                <w:rFonts w:hint="eastAsia" w:cs="宋体" w:asciiTheme="minorEastAsia" w:hAnsiTheme="minorEastAsia" w:eastAsiaTheme="minorEastAsia"/>
                <w:b/>
                <w:bCs/>
                <w:color w:val="auto"/>
                <w:kern w:val="0"/>
                <w:sz w:val="20"/>
                <w:szCs w:val="20"/>
              </w:rPr>
              <w:t>模型超市</w:t>
            </w:r>
          </w:p>
        </w:tc>
        <w:tc>
          <w:tcPr>
            <w:tcW w:w="1417" w:type="dxa"/>
            <w:gridSpan w:val="2"/>
            <w:shd w:val="clear" w:color="auto" w:fill="auto"/>
            <w:vAlign w:val="center"/>
          </w:tcPr>
          <w:p>
            <w:pPr>
              <w:widowControl/>
              <w:jc w:val="left"/>
              <w:rPr>
                <w:rFonts w:cs="宋体" w:asciiTheme="minorEastAsia" w:hAnsiTheme="minorEastAsia" w:eastAsiaTheme="minorEastAsia"/>
                <w:b/>
                <w:bCs/>
                <w:color w:val="auto"/>
                <w:kern w:val="0"/>
                <w:sz w:val="20"/>
                <w:szCs w:val="20"/>
              </w:rPr>
            </w:pPr>
            <w:r>
              <w:rPr>
                <w:rFonts w:hint="eastAsia" w:cs="宋体" w:asciiTheme="minorEastAsia" w:hAnsiTheme="minorEastAsia" w:eastAsiaTheme="minorEastAsia"/>
                <w:b/>
                <w:bCs/>
                <w:color w:val="auto"/>
                <w:kern w:val="0"/>
                <w:sz w:val="20"/>
                <w:szCs w:val="20"/>
              </w:rPr>
              <w:t>　</w:t>
            </w:r>
          </w:p>
        </w:tc>
        <w:tc>
          <w:tcPr>
            <w:tcW w:w="4763" w:type="dxa"/>
            <w:gridSpan w:val="2"/>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1</w:t>
            </w:r>
          </w:p>
        </w:tc>
        <w:tc>
          <w:tcPr>
            <w:tcW w:w="1306" w:type="dxa"/>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交通态势研判专题模型</w:t>
            </w: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负荷突变、阻塞分析预警模型</w:t>
            </w:r>
          </w:p>
        </w:tc>
        <w:tc>
          <w:tcPr>
            <w:tcW w:w="4763" w:type="dxa"/>
            <w:gridSpan w:val="2"/>
            <w:shd w:val="clear" w:color="auto" w:fill="auto"/>
            <w:noWrap/>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提供针对道路常发拥堵路段通行趋势的分析模型。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bookmarkStart w:id="42" w:name="_Hlk103845577"/>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拥堵预测分析模型</w:t>
            </w:r>
          </w:p>
        </w:tc>
        <w:tc>
          <w:tcPr>
            <w:tcW w:w="4763" w:type="dxa"/>
            <w:gridSpan w:val="2"/>
            <w:shd w:val="clear" w:color="auto" w:fill="auto"/>
          </w:tcPr>
          <w:p>
            <w:pPr>
              <w:widowControl/>
              <w:jc w:val="left"/>
              <w:rPr>
                <w:rFonts w:hint="eastAsia" w:cs="宋体" w:asciiTheme="minorEastAsia" w:hAnsiTheme="minorEastAsia" w:eastAsiaTheme="minorEastAsia"/>
                <w:color w:val="auto"/>
                <w:kern w:val="0"/>
                <w:sz w:val="20"/>
                <w:szCs w:val="20"/>
                <w:lang w:eastAsia="zh-CN"/>
              </w:rPr>
            </w:pPr>
            <w:r>
              <w:rPr>
                <w:rFonts w:hint="eastAsia" w:cs="宋体" w:asciiTheme="minorEastAsia" w:hAnsiTheme="minorEastAsia" w:eastAsiaTheme="minorEastAsia"/>
                <w:color w:val="auto"/>
                <w:kern w:val="0"/>
                <w:sz w:val="20"/>
                <w:szCs w:val="20"/>
              </w:rPr>
              <w:t>系统可展示未来5min、15min、30min处于拥堵路段的拥堵程度路况分颜色显示，同时可展示路段平均车速、延误指数，并且可分别按该两项指标排序；展示各区域的平均车速，按该数值排序。</w:t>
            </w:r>
          </w:p>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长期预测可对未来一周内任意日期、小时的路况进行预测，预测的结果可在地图上以路况分颜色进行显示，展示轻度拥堵以上的路段，易于用户更快辨认即将会出现拥堵的路段。</w:t>
            </w:r>
          </w:p>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可对节假日等特殊日期的路况进行预测（可按日期、小时维度对路况进行预测），预测的结果可在地图上以路况分颜色进行显示，展示轻度拥堵以上的路段，易于用户更快辨认即将会出现拥堵的路段。可展示历史拥堵点、段、拥堵时长等</w:t>
            </w:r>
          </w:p>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可自定义景区等特殊区域，对特殊区域按照不同日期（节日、周末、工作日、旅游淡季、旺季）路况进行预测，预测的结果可在地图上以路况分颜色进行显示，展示轻度拥堵以上的路段，易于用户更快辨认即将会出现拥堵的路段。可展示历史拥堵点、段、拥堵时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路况图分析模型</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基于短期与长期预测路况，系统地图层显示路况图（轻度拥堵以上路段），可通过预测时间选择支持对未来道路状况的播放，帮助管理部门了解道路运行状态变化即城市路况分布情况，为拥堵缓解决策的制定提供数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可变导向车道分析模型</w:t>
            </w:r>
          </w:p>
        </w:tc>
        <w:tc>
          <w:tcPr>
            <w:tcW w:w="4763" w:type="dxa"/>
            <w:gridSpan w:val="2"/>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包含实时转向流量特征分析及可变导向车道研判，实时展示具有可变导向特性的路段，可按程度区分颜色显示，可按时间分流与空间分流特性分别展示路段以及路段的流量不均衡系数，相关管理者可实时查看进口道流量不均衡较为严重的路段，为信号控制以及其他交通组织设计措施提供决策支撑。同时可展示需设置可变导向车道的路段，并展示一个月内路段可变导向特征发生频次，可按频次进行路段排名；支持按区域搜索排序展示。流量不均衡系数可按每</w:t>
            </w:r>
            <w:r>
              <w:rPr>
                <w:rFonts w:hint="eastAsia" w:cs="宋体" w:asciiTheme="minorEastAsia" w:hAnsiTheme="minorEastAsia" w:eastAsiaTheme="minorEastAsia"/>
                <w:color w:val="auto"/>
                <w:kern w:val="0"/>
                <w:sz w:val="20"/>
                <w:szCs w:val="20"/>
                <w:lang w:val="en-US" w:eastAsia="zh-CN"/>
              </w:rPr>
              <w:t>5分钟</w:t>
            </w:r>
            <w:r>
              <w:rPr>
                <w:rFonts w:hint="eastAsia" w:cs="宋体" w:asciiTheme="minorEastAsia" w:hAnsiTheme="minorEastAsia" w:eastAsiaTheme="minorEastAsia"/>
                <w:color w:val="auto"/>
                <w:kern w:val="0"/>
                <w:sz w:val="20"/>
                <w:szCs w:val="20"/>
              </w:rPr>
              <w:t>刷新一次数据。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潮汐车道分析模型</w:t>
            </w:r>
          </w:p>
        </w:tc>
        <w:tc>
          <w:tcPr>
            <w:tcW w:w="4763" w:type="dxa"/>
            <w:gridSpan w:val="2"/>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包含实时车流特性分析及潮汐路段研判，实时展示具有潮汐特性的路段，可按程度区域颜色显示，可按时间分流与空间分流特性分别展示路段以及路段的方向分布系数，相关管理者可实时查看路段方向分布不均衡性较严重的路段，为信号控制以及其他交通组织设计措施提供决策支撑。同时可展示需设置潮汐车道的路段，并展示一个月路段潮汐特征发生频次，可按频次进行路段排名；支持按区域搜索排序展示。方向分布系数可按每</w:t>
            </w:r>
            <w:r>
              <w:rPr>
                <w:rFonts w:hint="eastAsia" w:cs="宋体" w:asciiTheme="minorEastAsia" w:hAnsiTheme="minorEastAsia" w:eastAsiaTheme="minorEastAsia"/>
                <w:color w:val="auto"/>
                <w:kern w:val="0"/>
                <w:sz w:val="20"/>
                <w:szCs w:val="20"/>
                <w:lang w:val="en-US" w:eastAsia="zh-CN"/>
              </w:rPr>
              <w:t>5分钟</w:t>
            </w:r>
            <w:r>
              <w:rPr>
                <w:rFonts w:hint="eastAsia" w:cs="宋体" w:asciiTheme="minorEastAsia" w:hAnsiTheme="minorEastAsia" w:eastAsiaTheme="minorEastAsia"/>
                <w:color w:val="auto"/>
                <w:kern w:val="0"/>
                <w:sz w:val="20"/>
                <w:szCs w:val="20"/>
              </w:rPr>
              <w:t>刷新一次数据。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bookmarkStart w:id="43" w:name="_Hlk103845718"/>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6180" w:type="dxa"/>
            <w:gridSpan w:val="4"/>
            <w:shd w:val="clear" w:color="auto" w:fill="auto"/>
            <w:vAlign w:val="center"/>
          </w:tcPr>
          <w:p>
            <w:pPr>
              <w:widowControl/>
              <w:tabs>
                <w:tab w:val="left" w:pos="2052"/>
              </w:tabs>
              <w:jc w:val="left"/>
              <w:rPr>
                <w:rFonts w:hint="eastAsia" w:cs="宋体" w:asciiTheme="minorEastAsia" w:hAnsiTheme="minorEastAsia" w:eastAsiaTheme="minorEastAsia"/>
                <w:color w:val="auto"/>
                <w:kern w:val="0"/>
                <w:sz w:val="20"/>
                <w:szCs w:val="20"/>
                <w:lang w:eastAsia="zh-CN"/>
              </w:rPr>
            </w:pPr>
            <w:r>
              <w:rPr>
                <w:rFonts w:hint="eastAsia" w:cs="宋体" w:asciiTheme="minorEastAsia" w:hAnsiTheme="minorEastAsia"/>
                <w:b/>
                <w:bCs/>
                <w:color w:val="auto"/>
                <w:kern w:val="0"/>
                <w:sz w:val="20"/>
                <w:szCs w:val="20"/>
                <w:lang w:eastAsia="zh-CN"/>
              </w:rPr>
              <w:t>根据部局、省局、市局等考核或者重点工作需要，提供定制分析模型、数据统计模型的模型建设技术服务，每年不超过</w:t>
            </w:r>
            <w:r>
              <w:rPr>
                <w:rFonts w:hint="eastAsia" w:cs="宋体" w:asciiTheme="minorEastAsia" w:hAnsiTheme="minorEastAsia"/>
                <w:b/>
                <w:bCs/>
                <w:color w:val="auto"/>
                <w:kern w:val="0"/>
                <w:sz w:val="20"/>
                <w:szCs w:val="20"/>
                <w:lang w:val="en-US" w:eastAsia="zh-CN"/>
              </w:rPr>
              <w:t>10个。</w:t>
            </w:r>
          </w:p>
        </w:tc>
      </w:tr>
      <w:bookmarkEnd w:id="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2</w:t>
            </w:r>
          </w:p>
        </w:tc>
        <w:tc>
          <w:tcPr>
            <w:tcW w:w="1306" w:type="dxa"/>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安全风险防控专题模型</w:t>
            </w: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机动车违法分析模型</w:t>
            </w:r>
          </w:p>
        </w:tc>
        <w:tc>
          <w:tcPr>
            <w:tcW w:w="4763" w:type="dxa"/>
            <w:gridSpan w:val="2"/>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支持基于交通违法数据，关联机动车登记数据，按违法时间、违法地点、违法行为、使用性质等进行分类统计，分析违法多发地、高发类型、高发时段、变化趋势等违法数据分析。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驾驶人违法分析模型</w:t>
            </w:r>
          </w:p>
        </w:tc>
        <w:tc>
          <w:tcPr>
            <w:tcW w:w="4763" w:type="dxa"/>
            <w:gridSpan w:val="2"/>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支持基于交通违法数据，关联驾驶证管理数据，按驾驶人性别、年龄段、驾驶证种类、违法时间、违法地点进行分类统计，分析驾驶人违法规律等违法数据分析。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交通事故分析模型</w:t>
            </w:r>
          </w:p>
        </w:tc>
        <w:tc>
          <w:tcPr>
            <w:tcW w:w="4763" w:type="dxa"/>
            <w:gridSpan w:val="2"/>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支持基于交通事故数据，按事故时间、行政辖区、事故类型、事故原因、事故地点进行分类统计，便于交通管理者及时掌握事故高发时段、高发地点以及事故成因等事故数据分析，并包含逃逸事故数据分析。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交通事件分析模型</w:t>
            </w:r>
          </w:p>
        </w:tc>
        <w:tc>
          <w:tcPr>
            <w:tcW w:w="4763" w:type="dxa"/>
            <w:gridSpan w:val="2"/>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基于交通事件数据（行人闯入、非机动车闯入、异常停车、逆行、拥堵、事故、信号灯故障、排队溢出、二次排队等），按事件发生时间、事件类型、事件发生地点等进行分类统计，分析事件高发时段、高发地点等变化规律等事件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highlight w:val="yellow"/>
              </w:rPr>
            </w:pPr>
            <w:r>
              <w:rPr>
                <w:rFonts w:hint="eastAsia" w:cs="宋体" w:asciiTheme="minorEastAsia" w:hAnsiTheme="minorEastAsia" w:eastAsiaTheme="minorEastAsia"/>
                <w:color w:val="auto"/>
                <w:kern w:val="0"/>
                <w:sz w:val="20"/>
                <w:szCs w:val="20"/>
              </w:rPr>
              <w:t>高危驾驶人分析模型</w:t>
            </w:r>
          </w:p>
        </w:tc>
        <w:tc>
          <w:tcPr>
            <w:tcW w:w="4763" w:type="dxa"/>
            <w:gridSpan w:val="2"/>
            <w:shd w:val="clear" w:color="auto" w:fill="auto"/>
          </w:tcPr>
          <w:p>
            <w:pPr>
              <w:widowControl/>
              <w:jc w:val="both"/>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基于卡口过车人脸识别解析后数据与六合一驾驶人照片解析后数据进行碰撞，比对无证、因醉驾毒驾暂扣等失驾人员分析研判，实现实时预警。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重点企业风险分析模型</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支持针对重点企业（即“两客一危”车辆所属企业）的客货车辆，分析违法、事故的发生情况，对违法、事故的发生数量进行统计排名，以企业为单位有针对性治理。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恶劣天气影响分析模型</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对大雾、团雾多发路段、冰雪天气及积雪不易融化路段、雨天（汛期）及积水路段、易坍塌滑坡路段等恶劣天气条件下交通流量的分析，发现恶劣天气对交通影响的规律，便于交管部门采取相应的保障交通的措施。</w:t>
            </w:r>
          </w:p>
        </w:tc>
      </w:tr>
      <w:bookmark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防控漏点分析模型</w:t>
            </w:r>
          </w:p>
        </w:tc>
        <w:tc>
          <w:tcPr>
            <w:tcW w:w="4763" w:type="dxa"/>
            <w:gridSpan w:val="2"/>
            <w:shd w:val="clear" w:color="auto" w:fill="auto"/>
            <w:noWrap/>
            <w:vAlign w:val="bottom"/>
          </w:tcPr>
          <w:p>
            <w:pPr>
              <w:widowControl/>
              <w:jc w:val="left"/>
              <w:rPr>
                <w:rFonts w:cs="宋体" w:asciiTheme="minorEastAsia" w:hAnsiTheme="minorEastAsia" w:eastAsiaTheme="minorEastAsia"/>
                <w:color w:val="auto"/>
                <w:kern w:val="0"/>
                <w:sz w:val="20"/>
                <w:szCs w:val="22"/>
              </w:rPr>
            </w:pPr>
            <w:r>
              <w:rPr>
                <w:rFonts w:hint="eastAsia" w:cs="宋体" w:asciiTheme="minorEastAsia" w:hAnsiTheme="minorEastAsia" w:eastAsiaTheme="minorEastAsia"/>
                <w:color w:val="auto"/>
                <w:kern w:val="0"/>
                <w:sz w:val="20"/>
                <w:szCs w:val="20"/>
              </w:rPr>
              <w:t>基于事故、拥堵和警力及设备配置信息，提供防控漏点的分析模型。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**效能分析模型</w:t>
            </w:r>
          </w:p>
        </w:tc>
        <w:tc>
          <w:tcPr>
            <w:tcW w:w="4763" w:type="dxa"/>
            <w:gridSpan w:val="2"/>
            <w:shd w:val="clear" w:color="auto" w:fill="auto"/>
            <w:noWrap/>
            <w:vAlign w:val="bottom"/>
          </w:tcPr>
          <w:p>
            <w:pPr>
              <w:widowControl/>
              <w:jc w:val="left"/>
              <w:rPr>
                <w:rFonts w:cs="宋体" w:asciiTheme="minorEastAsia" w:hAnsiTheme="minorEastAsia" w:eastAsiaTheme="minorEastAsia"/>
                <w:color w:val="auto"/>
                <w:kern w:val="0"/>
                <w:sz w:val="20"/>
                <w:szCs w:val="22"/>
              </w:rPr>
            </w:pPr>
            <w:r>
              <w:rPr>
                <w:rFonts w:hint="eastAsia" w:cs="宋体" w:asciiTheme="minorEastAsia" w:hAnsiTheme="minorEastAsia" w:eastAsiaTheme="minorEastAsia"/>
                <w:color w:val="auto"/>
                <w:kern w:val="0"/>
                <w:sz w:val="20"/>
                <w:szCs w:val="22"/>
              </w:rPr>
              <w:t>基于警情处置环节信息，提供针对**效能的分析模型。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bookmarkStart w:id="44" w:name="_Hlk103845757"/>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交通违法基本态势分析模型</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基于月度、违法采集、违法行为、道路类别、道路类型、车辆类型、使用性质、交通方式等基本信息；按地域分布、组成结构、变化趋势分类分析违法总量、现场违法数量、非现场违法的总数量、环比量、同比量等基本态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交通违法行为数量排名分析模型</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支持基于区域、月度、信息来源、重点车辆类型、重点车辆子类型、道路类别、道路类型、车辆类型等基本信息，分析每类违法行为的总数量、环比、同比、占比率等交通违法行为数量排名分析。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3</w:t>
            </w:r>
          </w:p>
        </w:tc>
        <w:tc>
          <w:tcPr>
            <w:tcW w:w="1306" w:type="dxa"/>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交通执法管控专题模型</w:t>
            </w: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强制注销车辆分析模型</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支持基于卡口过车数据和机动车登记数据，比对卡口过往车辆信息中的强制注销车辆，针对其中强制注销车辆进行预警分析。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事故未处理车辆分析模型</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支持基于卡口过车数据和事故数据，比对卡口过往车辆信息中的事故未处理车辆，针对其中事故未处理车辆进行预警分析。</w:t>
            </w:r>
          </w:p>
        </w:tc>
      </w:tr>
      <w:bookmarkEnd w:id="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bookmarkStart w:id="45" w:name="_Hlk103845833"/>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违法未处理车辆上路分析模型</w:t>
            </w:r>
          </w:p>
        </w:tc>
        <w:tc>
          <w:tcPr>
            <w:tcW w:w="4763" w:type="dxa"/>
            <w:gridSpan w:val="2"/>
            <w:shd w:val="clear" w:color="auto" w:fill="auto"/>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基于卡口过车数据和违法记录数据，分析比对卡口过往车辆信息中的违法未处理车辆，针对其中违法未处理车辆进行预警。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违法未处理模型</w:t>
            </w:r>
          </w:p>
        </w:tc>
        <w:tc>
          <w:tcPr>
            <w:tcW w:w="4763" w:type="dxa"/>
            <w:gridSpan w:val="2"/>
            <w:shd w:val="clear" w:color="auto" w:fill="auto"/>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基于六合一的车辆违法记录进行定时的分析比对，再针对其中违法未处理车辆进行预警。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逾期未年检车辆上路分析模型</w:t>
            </w:r>
          </w:p>
        </w:tc>
        <w:tc>
          <w:tcPr>
            <w:tcW w:w="4763" w:type="dxa"/>
            <w:gridSpan w:val="2"/>
            <w:shd w:val="clear" w:color="auto" w:fill="auto"/>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基于卡口过车数据和机动车登记数据，分析比对卡口过往车辆信息中的逾期未年检车辆，针对其中逾期未年检车辆进行预警。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逾期未年检车辆分析模型</w:t>
            </w:r>
          </w:p>
        </w:tc>
        <w:tc>
          <w:tcPr>
            <w:tcW w:w="4763" w:type="dxa"/>
            <w:gridSpan w:val="2"/>
            <w:shd w:val="clear" w:color="auto" w:fill="auto"/>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基于六合一的车辆未年检进行定时的分析比对，针对其中违法未年检车辆进行预警。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逾期未报废车辆分析模型</w:t>
            </w:r>
          </w:p>
        </w:tc>
        <w:tc>
          <w:tcPr>
            <w:tcW w:w="4763" w:type="dxa"/>
            <w:gridSpan w:val="2"/>
            <w:shd w:val="clear" w:color="auto" w:fill="auto"/>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基于六合一的报废车辆数据进行定时的分析比对，针对其中已报废车辆进行预警。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已报废车辆上路分析模型</w:t>
            </w:r>
          </w:p>
        </w:tc>
        <w:tc>
          <w:tcPr>
            <w:tcW w:w="4763" w:type="dxa"/>
            <w:gridSpan w:val="2"/>
            <w:shd w:val="clear" w:color="auto" w:fill="auto"/>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基于卡口过车数据和机动车登记数据，分析比对卡口过往车辆信息中的逾期未报废车辆，针对其中逾期未报废车辆进行预警。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重点驾驶人情况分析模型</w:t>
            </w:r>
          </w:p>
        </w:tc>
        <w:tc>
          <w:tcPr>
            <w:tcW w:w="4763" w:type="dxa"/>
            <w:gridSpan w:val="2"/>
            <w:shd w:val="clear" w:color="auto" w:fill="auto"/>
            <w:vAlign w:val="center"/>
          </w:tcPr>
          <w:p>
            <w:pPr>
              <w:widowControl/>
              <w:jc w:val="left"/>
              <w:rPr>
                <w:rFonts w:hint="eastAsia" w:cs="宋体" w:asciiTheme="minorEastAsia" w:hAnsiTheme="minorEastAsia" w:eastAsiaTheme="minorEastAsia"/>
                <w:color w:val="auto"/>
                <w:kern w:val="0"/>
                <w:sz w:val="20"/>
                <w:szCs w:val="20"/>
                <w:lang w:eastAsia="zh-CN"/>
              </w:rPr>
            </w:pPr>
            <w:r>
              <w:rPr>
                <w:rFonts w:hint="eastAsia" w:cs="宋体" w:asciiTheme="minorEastAsia" w:hAnsiTheme="minorEastAsia" w:eastAsiaTheme="minorEastAsia"/>
                <w:color w:val="auto"/>
                <w:kern w:val="0"/>
                <w:sz w:val="20"/>
                <w:szCs w:val="20"/>
              </w:rPr>
              <w:t>按驾驶证的准驾车型统计重点驾驶人的审验、换证情况，包括未审验量、审验率、未换证量、换证率等信息。分析结果数据可推送给对应的重点车企业落实整改。</w:t>
            </w:r>
          </w:p>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支持各个部门管辖辖区内持有A\B证驾驶人的数量，逾期未审验、逾期未换证、满分未学习的情况分析。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重点车辆分析模型</w:t>
            </w:r>
          </w:p>
        </w:tc>
        <w:tc>
          <w:tcPr>
            <w:tcW w:w="4763" w:type="dxa"/>
            <w:gridSpan w:val="2"/>
            <w:shd w:val="clear" w:color="auto" w:fill="auto"/>
            <w:vAlign w:val="center"/>
          </w:tcPr>
          <w:p>
            <w:pPr>
              <w:widowControl/>
              <w:jc w:val="left"/>
              <w:rPr>
                <w:rFonts w:hint="eastAsia" w:cs="宋体" w:asciiTheme="minorEastAsia" w:hAnsiTheme="minorEastAsia" w:eastAsiaTheme="minorEastAsia"/>
                <w:color w:val="auto"/>
                <w:kern w:val="0"/>
                <w:sz w:val="20"/>
                <w:szCs w:val="20"/>
                <w:lang w:eastAsia="zh-CN"/>
              </w:rPr>
            </w:pPr>
            <w:r>
              <w:rPr>
                <w:rFonts w:hint="eastAsia" w:cs="宋体" w:asciiTheme="minorEastAsia" w:hAnsiTheme="minorEastAsia" w:eastAsiaTheme="minorEastAsia"/>
                <w:color w:val="auto"/>
                <w:kern w:val="0"/>
                <w:sz w:val="20"/>
                <w:szCs w:val="20"/>
              </w:rPr>
              <w:t>针对大型公路客运、大型旅游客运、危化品运输车、重型货车、重型挂车、农村面包车、营转非大客车等类型车辆的检验情况进行统计，包括车辆总量、检验数、逾期未检验数、检验率等信息，分析筛选出逾期未检验、违法、报废的车辆信息。</w:t>
            </w:r>
          </w:p>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分析结果数据可推送给对应的重点车企业落实整改，也可共享给精准查控模块的脱检车辆上路分析模型作为基础数据支撑。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危化品运输分析</w:t>
            </w:r>
          </w:p>
        </w:tc>
        <w:tc>
          <w:tcPr>
            <w:tcW w:w="4763" w:type="dxa"/>
            <w:gridSpan w:val="2"/>
            <w:shd w:val="clear" w:color="auto" w:fill="auto"/>
            <w:vAlign w:val="center"/>
          </w:tcPr>
          <w:p>
            <w:pPr>
              <w:widowControl/>
              <w:jc w:val="left"/>
              <w:rPr>
                <w:rFonts w:hint="eastAsia" w:cs="宋体" w:asciiTheme="minorEastAsia" w:hAnsiTheme="minorEastAsia" w:eastAsiaTheme="minorEastAsia"/>
                <w:color w:val="auto"/>
                <w:kern w:val="0"/>
                <w:sz w:val="20"/>
                <w:szCs w:val="20"/>
                <w:lang w:eastAsia="zh-CN"/>
              </w:rPr>
            </w:pPr>
            <w:r>
              <w:rPr>
                <w:rFonts w:hint="eastAsia" w:cs="宋体" w:asciiTheme="minorEastAsia" w:hAnsiTheme="minorEastAsia" w:eastAsiaTheme="minorEastAsia"/>
                <w:color w:val="auto"/>
                <w:kern w:val="0"/>
                <w:sz w:val="20"/>
                <w:szCs w:val="20"/>
              </w:rPr>
              <w:t>支持对危化品车设立主题分析模块，对危化品车辆的各种维度进行分析，主要分析内容如下：</w:t>
            </w:r>
          </w:p>
          <w:p>
            <w:pPr>
              <w:widowControl/>
              <w:jc w:val="left"/>
              <w:rPr>
                <w:rFonts w:hint="eastAsia" w:cs="宋体" w:asciiTheme="minorEastAsia" w:hAnsiTheme="minorEastAsia" w:eastAsiaTheme="minorEastAsia"/>
                <w:color w:val="auto"/>
                <w:kern w:val="0"/>
                <w:sz w:val="20"/>
                <w:szCs w:val="20"/>
                <w:lang w:eastAsia="zh-CN"/>
              </w:rPr>
            </w:pPr>
            <w:r>
              <w:rPr>
                <w:rFonts w:hint="eastAsia" w:cs="宋体" w:asciiTheme="minorEastAsia" w:hAnsiTheme="minorEastAsia" w:eastAsiaTheme="minorEastAsia"/>
                <w:color w:val="auto"/>
                <w:kern w:val="0"/>
                <w:sz w:val="20"/>
                <w:szCs w:val="20"/>
              </w:rPr>
              <w:t>（1）危化品车基础信息概览：对危化品车的通行证通行情况、发放情况、通报签收率、运输物品情况等信息进行展示；</w:t>
            </w:r>
          </w:p>
          <w:p>
            <w:pPr>
              <w:widowControl/>
              <w:jc w:val="left"/>
              <w:rPr>
                <w:rFonts w:hint="eastAsia" w:cs="宋体" w:asciiTheme="minorEastAsia" w:hAnsiTheme="minorEastAsia" w:eastAsiaTheme="minorEastAsia"/>
                <w:color w:val="auto"/>
                <w:kern w:val="0"/>
                <w:sz w:val="20"/>
                <w:szCs w:val="20"/>
                <w:lang w:eastAsia="zh-CN"/>
              </w:rPr>
            </w:pPr>
            <w:r>
              <w:rPr>
                <w:rFonts w:hint="eastAsia" w:cs="宋体" w:asciiTheme="minorEastAsia" w:hAnsiTheme="minorEastAsia" w:eastAsiaTheme="minorEastAsia"/>
                <w:color w:val="auto"/>
                <w:kern w:val="0"/>
                <w:sz w:val="20"/>
                <w:szCs w:val="20"/>
              </w:rPr>
              <w:t>（2）危化品车通行证概览：统计通行证发证的各个机关部门发放情况，通行情况；</w:t>
            </w:r>
          </w:p>
          <w:p>
            <w:pPr>
              <w:widowControl/>
              <w:jc w:val="left"/>
              <w:rPr>
                <w:rFonts w:hint="eastAsia" w:cs="宋体" w:asciiTheme="minorEastAsia" w:hAnsiTheme="minorEastAsia" w:eastAsiaTheme="minorEastAsia"/>
                <w:color w:val="auto"/>
                <w:kern w:val="0"/>
                <w:sz w:val="20"/>
                <w:szCs w:val="20"/>
                <w:lang w:eastAsia="zh-CN"/>
              </w:rPr>
            </w:pPr>
            <w:r>
              <w:rPr>
                <w:rFonts w:hint="eastAsia" w:cs="宋体" w:asciiTheme="minorEastAsia" w:hAnsiTheme="minorEastAsia" w:eastAsiaTheme="minorEastAsia"/>
                <w:color w:val="auto"/>
                <w:kern w:val="0"/>
                <w:sz w:val="20"/>
                <w:szCs w:val="20"/>
              </w:rPr>
              <w:t>（3）通行证线路审批情况：统计各个机关部门对于通行证通行线路审批的情况；</w:t>
            </w:r>
          </w:p>
          <w:p>
            <w:pPr>
              <w:widowControl/>
              <w:jc w:val="left"/>
              <w:rPr>
                <w:rFonts w:hint="eastAsia" w:cs="宋体" w:asciiTheme="minorEastAsia" w:hAnsiTheme="minorEastAsia" w:eastAsiaTheme="minorEastAsia"/>
                <w:color w:val="auto"/>
                <w:kern w:val="0"/>
                <w:sz w:val="20"/>
                <w:szCs w:val="20"/>
                <w:lang w:eastAsia="zh-CN"/>
              </w:rPr>
            </w:pPr>
            <w:r>
              <w:rPr>
                <w:rFonts w:hint="eastAsia" w:cs="宋体" w:asciiTheme="minorEastAsia" w:hAnsiTheme="minorEastAsia" w:eastAsiaTheme="minorEastAsia"/>
                <w:color w:val="auto"/>
                <w:kern w:val="0"/>
                <w:sz w:val="20"/>
                <w:szCs w:val="20"/>
              </w:rPr>
              <w:t>（4）征询意见受理反馈情况：统计各个机关部门对推送的征询意见及反馈情况；</w:t>
            </w:r>
          </w:p>
          <w:p>
            <w:pPr>
              <w:widowControl/>
              <w:jc w:val="left"/>
              <w:rPr>
                <w:rFonts w:hint="eastAsia" w:cs="宋体" w:asciiTheme="minorEastAsia" w:hAnsiTheme="minorEastAsia" w:eastAsiaTheme="minorEastAsia"/>
                <w:color w:val="auto"/>
                <w:kern w:val="0"/>
                <w:sz w:val="20"/>
                <w:szCs w:val="20"/>
                <w:lang w:eastAsia="zh-CN"/>
              </w:rPr>
            </w:pPr>
            <w:r>
              <w:rPr>
                <w:rFonts w:hint="eastAsia" w:cs="宋体" w:asciiTheme="minorEastAsia" w:hAnsiTheme="minorEastAsia" w:eastAsiaTheme="minorEastAsia"/>
                <w:color w:val="auto"/>
                <w:kern w:val="0"/>
                <w:sz w:val="20"/>
                <w:szCs w:val="20"/>
              </w:rPr>
              <w:t>（5）承运单位运输物品情况：统计相关承运单位运输的物品、通行次数、运输量等情况；</w:t>
            </w:r>
          </w:p>
          <w:p>
            <w:pPr>
              <w:widowControl/>
              <w:jc w:val="left"/>
              <w:rPr>
                <w:rFonts w:hint="eastAsia" w:cs="宋体" w:asciiTheme="minorEastAsia" w:hAnsiTheme="minorEastAsia" w:eastAsiaTheme="minorEastAsia"/>
                <w:color w:val="auto"/>
                <w:kern w:val="0"/>
                <w:sz w:val="20"/>
                <w:szCs w:val="20"/>
                <w:lang w:eastAsia="zh-CN"/>
              </w:rPr>
            </w:pPr>
            <w:r>
              <w:rPr>
                <w:rFonts w:hint="eastAsia" w:cs="宋体" w:asciiTheme="minorEastAsia" w:hAnsiTheme="minorEastAsia" w:eastAsiaTheme="minorEastAsia"/>
                <w:color w:val="auto"/>
                <w:kern w:val="0"/>
                <w:sz w:val="20"/>
                <w:szCs w:val="20"/>
              </w:rPr>
              <w:t>（6）购买单位运输物品情况：统计相关购买单位运输的物品、运输量、购买凭证数等情况；</w:t>
            </w:r>
          </w:p>
          <w:p>
            <w:pPr>
              <w:widowControl/>
              <w:jc w:val="left"/>
              <w:rPr>
                <w:rFonts w:hint="eastAsia" w:cs="宋体" w:asciiTheme="minorEastAsia" w:hAnsiTheme="minorEastAsia" w:eastAsiaTheme="minorEastAsia"/>
                <w:color w:val="auto"/>
                <w:kern w:val="0"/>
                <w:sz w:val="20"/>
                <w:szCs w:val="20"/>
                <w:lang w:eastAsia="zh-CN"/>
              </w:rPr>
            </w:pPr>
            <w:r>
              <w:rPr>
                <w:rFonts w:hint="eastAsia" w:cs="宋体" w:asciiTheme="minorEastAsia" w:hAnsiTheme="minorEastAsia" w:eastAsiaTheme="minorEastAsia"/>
                <w:color w:val="auto"/>
                <w:kern w:val="0"/>
                <w:sz w:val="20"/>
                <w:szCs w:val="20"/>
              </w:rPr>
              <w:t>（7）地市运输物品情况：统计地市内各个运输物品的通行次数情况；</w:t>
            </w:r>
          </w:p>
          <w:p>
            <w:pPr>
              <w:widowControl/>
              <w:jc w:val="left"/>
              <w:rPr>
                <w:rFonts w:hint="eastAsia" w:cs="宋体" w:asciiTheme="minorEastAsia" w:hAnsiTheme="minorEastAsia" w:eastAsiaTheme="minorEastAsia"/>
                <w:color w:val="auto"/>
                <w:kern w:val="0"/>
                <w:sz w:val="20"/>
                <w:szCs w:val="20"/>
                <w:lang w:eastAsia="zh-CN"/>
              </w:rPr>
            </w:pPr>
            <w:r>
              <w:rPr>
                <w:rFonts w:hint="eastAsia" w:cs="宋体" w:asciiTheme="minorEastAsia" w:hAnsiTheme="minorEastAsia" w:eastAsiaTheme="minorEastAsia"/>
                <w:color w:val="auto"/>
                <w:kern w:val="0"/>
                <w:sz w:val="20"/>
                <w:szCs w:val="20"/>
              </w:rPr>
              <w:t>（8）始发地运输物品分析：统计始发地运输的次数、运输物品的数量、运输种类的情况；</w:t>
            </w:r>
          </w:p>
          <w:p>
            <w:pPr>
              <w:widowControl/>
              <w:jc w:val="left"/>
              <w:rPr>
                <w:rFonts w:hint="eastAsia" w:cs="宋体" w:asciiTheme="minorEastAsia" w:hAnsiTheme="minorEastAsia" w:eastAsiaTheme="minorEastAsia"/>
                <w:color w:val="auto"/>
                <w:kern w:val="0"/>
                <w:sz w:val="20"/>
                <w:szCs w:val="20"/>
                <w:lang w:eastAsia="zh-CN"/>
              </w:rPr>
            </w:pPr>
            <w:r>
              <w:rPr>
                <w:rFonts w:hint="eastAsia" w:cs="宋体" w:asciiTheme="minorEastAsia" w:hAnsiTheme="minorEastAsia" w:eastAsiaTheme="minorEastAsia"/>
                <w:color w:val="auto"/>
                <w:kern w:val="0"/>
                <w:sz w:val="20"/>
                <w:szCs w:val="20"/>
              </w:rPr>
              <w:t>（9）目的地运输物品分析：统计目的地运输的次数、运输物品的数量、运输种类的情况；</w:t>
            </w:r>
          </w:p>
          <w:p>
            <w:pPr>
              <w:widowControl/>
              <w:jc w:val="left"/>
              <w:rPr>
                <w:rFonts w:hint="eastAsia" w:cs="宋体" w:asciiTheme="minorEastAsia" w:hAnsiTheme="minorEastAsia" w:eastAsiaTheme="minorEastAsia"/>
                <w:color w:val="auto"/>
                <w:kern w:val="0"/>
                <w:sz w:val="20"/>
                <w:szCs w:val="20"/>
                <w:lang w:eastAsia="zh-CN"/>
              </w:rPr>
            </w:pPr>
            <w:r>
              <w:rPr>
                <w:rFonts w:hint="eastAsia" w:cs="宋体" w:asciiTheme="minorEastAsia" w:hAnsiTheme="minorEastAsia" w:eastAsiaTheme="minorEastAsia"/>
                <w:color w:val="auto"/>
                <w:kern w:val="0"/>
                <w:sz w:val="20"/>
                <w:szCs w:val="20"/>
              </w:rPr>
              <w:t>（10）市内运输分析：统计始发地、目的地均在台州市内的运输情况；</w:t>
            </w:r>
          </w:p>
          <w:p>
            <w:pPr>
              <w:widowControl/>
              <w:jc w:val="left"/>
              <w:rPr>
                <w:rFonts w:hint="eastAsia" w:cs="宋体" w:asciiTheme="minorEastAsia" w:hAnsiTheme="minorEastAsia" w:eastAsiaTheme="minorEastAsia"/>
                <w:color w:val="auto"/>
                <w:kern w:val="0"/>
                <w:sz w:val="20"/>
                <w:szCs w:val="20"/>
                <w:lang w:eastAsia="zh-CN"/>
              </w:rPr>
            </w:pPr>
            <w:r>
              <w:rPr>
                <w:rFonts w:hint="eastAsia" w:cs="宋体" w:asciiTheme="minorEastAsia" w:hAnsiTheme="minorEastAsia" w:eastAsiaTheme="minorEastAsia"/>
                <w:color w:val="auto"/>
                <w:kern w:val="0"/>
                <w:sz w:val="20"/>
                <w:szCs w:val="20"/>
              </w:rPr>
              <w:t>（11）跨市、跨省运输分析：统计始发地或目的地在台州，跨省跨市的运输情况；</w:t>
            </w:r>
          </w:p>
          <w:p>
            <w:pPr>
              <w:widowControl/>
              <w:jc w:val="left"/>
              <w:rPr>
                <w:rFonts w:hint="eastAsia" w:cs="宋体" w:asciiTheme="minorEastAsia" w:hAnsiTheme="minorEastAsia" w:eastAsiaTheme="minorEastAsia"/>
                <w:color w:val="auto"/>
                <w:kern w:val="0"/>
                <w:sz w:val="20"/>
                <w:szCs w:val="20"/>
                <w:lang w:eastAsia="zh-CN"/>
              </w:rPr>
            </w:pPr>
            <w:r>
              <w:rPr>
                <w:rFonts w:hint="eastAsia" w:cs="宋体" w:asciiTheme="minorEastAsia" w:hAnsiTheme="minorEastAsia" w:eastAsiaTheme="minorEastAsia"/>
                <w:color w:val="auto"/>
                <w:kern w:val="0"/>
                <w:sz w:val="20"/>
                <w:szCs w:val="20"/>
              </w:rPr>
              <w:t>（12）通行负载情况分析：统计危化品车经常通行的道路的通行次数，通行的同比及环比分析；</w:t>
            </w:r>
          </w:p>
          <w:p>
            <w:pPr>
              <w:widowControl/>
              <w:jc w:val="left"/>
              <w:rPr>
                <w:rFonts w:hint="eastAsia" w:cs="宋体" w:asciiTheme="minorEastAsia" w:hAnsiTheme="minorEastAsia" w:eastAsiaTheme="minorEastAsia"/>
                <w:color w:val="auto"/>
                <w:kern w:val="0"/>
                <w:sz w:val="20"/>
                <w:szCs w:val="20"/>
                <w:lang w:eastAsia="zh-CN"/>
              </w:rPr>
            </w:pPr>
            <w:r>
              <w:rPr>
                <w:rFonts w:hint="eastAsia" w:cs="宋体" w:asciiTheme="minorEastAsia" w:hAnsiTheme="minorEastAsia" w:eastAsiaTheme="minorEastAsia"/>
                <w:color w:val="auto"/>
                <w:kern w:val="0"/>
                <w:sz w:val="20"/>
                <w:szCs w:val="20"/>
              </w:rPr>
              <w:t>（13）任意路段运输物品分析：统计危化品车经常通行道路的运输情况；</w:t>
            </w:r>
          </w:p>
          <w:p>
            <w:pPr>
              <w:widowControl/>
              <w:jc w:val="left"/>
              <w:rPr>
                <w:rFonts w:hint="eastAsia" w:cs="宋体" w:asciiTheme="minorEastAsia" w:hAnsiTheme="minorEastAsia" w:eastAsiaTheme="minorEastAsia"/>
                <w:color w:val="auto"/>
                <w:kern w:val="0"/>
                <w:sz w:val="20"/>
                <w:szCs w:val="20"/>
                <w:lang w:eastAsia="zh-CN"/>
              </w:rPr>
            </w:pPr>
            <w:r>
              <w:rPr>
                <w:rFonts w:hint="eastAsia" w:cs="宋体" w:asciiTheme="minorEastAsia" w:hAnsiTheme="minorEastAsia" w:eastAsiaTheme="minorEastAsia"/>
                <w:color w:val="auto"/>
                <w:kern w:val="0"/>
                <w:sz w:val="20"/>
                <w:szCs w:val="20"/>
              </w:rPr>
              <w:t>（14）危化品车违法分析：统计各个辖区内危化品运输车的违法行为、次数；</w:t>
            </w:r>
          </w:p>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（15）危化品车事故分析：统计各个辖区内危化品运输车的事故次数。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hint="eastAsia" w:cs="宋体" w:asciiTheme="minorEastAsia" w:hAnsiTheme="minorEastAsia" w:eastAsiaTheme="minorEastAsia"/>
                <w:color w:val="auto"/>
                <w:kern w:val="0"/>
                <w:sz w:val="20"/>
                <w:szCs w:val="22"/>
              </w:rPr>
            </w:pPr>
            <w:r>
              <w:rPr>
                <w:rFonts w:hint="eastAsia" w:cs="宋体" w:asciiTheme="minorEastAsia" w:hAnsiTheme="minorEastAsia" w:eastAsiaTheme="minorEastAsia"/>
                <w:color w:val="auto"/>
                <w:kern w:val="0"/>
                <w:sz w:val="20"/>
                <w:szCs w:val="22"/>
              </w:rPr>
              <w:t>区域禁行预警模型</w:t>
            </w:r>
          </w:p>
        </w:tc>
        <w:tc>
          <w:tcPr>
            <w:tcW w:w="4763" w:type="dxa"/>
            <w:gridSpan w:val="2"/>
            <w:shd w:val="clear" w:color="auto" w:fill="auto"/>
            <w:vAlign w:val="center"/>
          </w:tcPr>
          <w:p>
            <w:pPr>
              <w:widowControl/>
              <w:jc w:val="left"/>
              <w:rPr>
                <w:rFonts w:hint="eastAsia" w:cs="宋体" w:asciiTheme="minorEastAsia" w:hAnsiTheme="minorEastAsia" w:eastAsiaTheme="minorEastAsia"/>
                <w:color w:val="auto"/>
                <w:kern w:val="0"/>
                <w:sz w:val="20"/>
                <w:szCs w:val="22"/>
              </w:rPr>
            </w:pPr>
            <w:r>
              <w:rPr>
                <w:rFonts w:hint="eastAsia" w:cs="宋体" w:asciiTheme="minorEastAsia" w:hAnsiTheme="minorEastAsia" w:eastAsiaTheme="minorEastAsia"/>
                <w:color w:val="auto"/>
                <w:kern w:val="0"/>
                <w:sz w:val="20"/>
                <w:szCs w:val="22"/>
              </w:rPr>
              <w:t>在特定时间段、禁行区域，重点车辆如渣土车、危化品车含已审批通行证，但在道路上未按通行证时间、线路通行的进行预警并推送到所属辖区。</w:t>
            </w:r>
          </w:p>
        </w:tc>
      </w:tr>
      <w:bookmark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hint="eastAsia" w:cs="宋体" w:asciiTheme="minorEastAsia" w:hAnsiTheme="minorEastAsia" w:eastAsiaTheme="minorEastAsia"/>
                <w:color w:val="auto"/>
                <w:kern w:val="0"/>
                <w:sz w:val="20"/>
                <w:szCs w:val="22"/>
              </w:rPr>
            </w:pPr>
            <w:r>
              <w:rPr>
                <w:rFonts w:hint="eastAsia" w:cs="宋体" w:asciiTheme="minorEastAsia" w:hAnsiTheme="minorEastAsia" w:eastAsiaTheme="minorEastAsia"/>
                <w:color w:val="auto"/>
                <w:kern w:val="0"/>
                <w:sz w:val="20"/>
                <w:szCs w:val="22"/>
              </w:rPr>
              <w:t>警情分析模型模型</w:t>
            </w:r>
          </w:p>
        </w:tc>
        <w:tc>
          <w:tcPr>
            <w:tcW w:w="4763" w:type="dxa"/>
            <w:gridSpan w:val="2"/>
            <w:shd w:val="clear" w:color="auto" w:fill="auto"/>
            <w:noWrap/>
            <w:vAlign w:val="bottom"/>
          </w:tcPr>
          <w:p>
            <w:pPr>
              <w:widowControl/>
              <w:jc w:val="left"/>
              <w:rPr>
                <w:rFonts w:hint="eastAsia" w:cs="宋体" w:asciiTheme="minorEastAsia" w:hAnsiTheme="minorEastAsia" w:eastAsiaTheme="minorEastAsia"/>
                <w:color w:val="auto"/>
                <w:kern w:val="0"/>
                <w:sz w:val="20"/>
                <w:szCs w:val="22"/>
              </w:rPr>
            </w:pPr>
            <w:r>
              <w:rPr>
                <w:rFonts w:hint="eastAsia" w:cs="宋体" w:asciiTheme="minorEastAsia" w:hAnsiTheme="minorEastAsia" w:eastAsiaTheme="minorEastAsia"/>
                <w:color w:val="auto"/>
                <w:kern w:val="0"/>
                <w:sz w:val="20"/>
                <w:szCs w:val="22"/>
              </w:rPr>
              <w:t>警情监控专题呈现今日警情数据综合状况、实时警情监控、实时警情预警、警情数量变化趋势分析、警情与警力的对比分析、台州交警警情处置数据对比分析、警情热力分布分析。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警力分析模型</w:t>
            </w:r>
          </w:p>
        </w:tc>
        <w:tc>
          <w:tcPr>
            <w:tcW w:w="4763" w:type="dxa"/>
            <w:gridSpan w:val="2"/>
            <w:shd w:val="clear" w:color="auto" w:fill="auto"/>
            <w:noWrap/>
            <w:vAlign w:val="bottom"/>
          </w:tcPr>
          <w:p>
            <w:pPr>
              <w:widowControl/>
              <w:jc w:val="left"/>
              <w:rPr>
                <w:rFonts w:cs="宋体" w:asciiTheme="minorEastAsia" w:hAnsiTheme="minorEastAsia" w:eastAsiaTheme="minorEastAsia"/>
                <w:color w:val="auto"/>
                <w:kern w:val="0"/>
                <w:sz w:val="20"/>
                <w:szCs w:val="22"/>
              </w:rPr>
            </w:pPr>
            <w:r>
              <w:rPr>
                <w:rFonts w:hint="eastAsia" w:cs="宋体" w:asciiTheme="minorEastAsia" w:hAnsiTheme="minorEastAsia" w:eastAsiaTheme="minorEastAsia"/>
                <w:color w:val="auto"/>
                <w:kern w:val="0"/>
                <w:sz w:val="20"/>
                <w:szCs w:val="22"/>
              </w:rPr>
              <w:t>警力分布模型，分析警力分布情况、实时勤务预警、警员离线分析、今日警车离线分析、警力与警情变化趋势分析，警力地图的可视化、警力巡逻里程统计分析、警力执法量统计分析等。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初次入城</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支持依据时间、区域、车型等行车信息，快速检索过车记录，筛选出初次入城车辆的功能。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落脚点分析</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支持通过对目标车辆的历史路径信息进行挖掘，发现车辆可能落脚停留地点的功能。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相似车牌串并</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支持快速检索出与目标车牌相差一位或多位的相似车牌的功能。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频繁过车</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支持检索到目标区域内频繁出现的车辆的功能。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轨迹重现</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支持对车辆在某时段内的过车数据进行汇总分析，重新绘制行车轨迹的功能。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遮挡面部检测</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支持能够识别前排驾乘人员放下遮阳板遮挡面部行为的功能。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同行车辆</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支持通过车牌号查找出与其同行超过设定次数的车辆信息的功能。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多点碰撞</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支持对不同时间、不同区域内相同车辆统计分析的功能。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实时目标车辆追踪</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支持实时检索出选定号牌的车辆信息及过车图片，并结合地图动态展示的功能。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车辆通行频次分析</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支持对指定车牌的车辆在设定时间内统计车辆通行点位情况的功能。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昼伏夜出</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支持通过设定固定的白天时段和夜间时段及其他条件（车型、类别、时段、区域）进行查询，检索出白天隐匿夜间外出车辆的功能。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车辆驾乘人员分析</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支持将车辆卡口和视频监控可识别的驾乘抓拍人脸做分析，结合公安人脸系统落地、确定该车的车主的真实身份及驾乘该车不同人员的身份信息。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隐匿车辆挖掘</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支持通过设置区域与时间，分析在指定时间内车辆轨迹信息，并显示前多后少、差异较大车辆的功能。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高危智能预警</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支持对异常车辆进行车辆实时数据查询，并支持预警车辆二次搜索的功能。异常车辆包括：车主或违法当事人有**记录，车主或其关系人为全国在逃人员等。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4</w:t>
            </w:r>
          </w:p>
        </w:tc>
        <w:tc>
          <w:tcPr>
            <w:tcW w:w="1306" w:type="dxa"/>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业务监管模型</w:t>
            </w:r>
          </w:p>
        </w:tc>
        <w:tc>
          <w:tcPr>
            <w:tcW w:w="1417" w:type="dxa"/>
            <w:gridSpan w:val="2"/>
            <w:vMerge w:val="restar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执勤执法监管-简易程序处罚</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实施简易程序处罚时未使用执法记录仪进行录音录像（在指定时间内未上传）。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同一天、同一地点、同一人当场处罚记录≥N条。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半小时内、同一地点、同一人、不同交通方式当场处罚记录≥N条。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现场处罚驾驶货车载物超过指定范围内核定载质量的违法行为。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vMerge w:val="restar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执勤执法监管-强制措施处罚</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强制措施凭证（包括违法处理通知书）开具后，未及时裁决（结案），在指定时间内提醒。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机动车未年检、注销、报废状态被处罚后未扣车。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处罚后发现机动车有≥N次非现场违法未处理，未扣留机动车。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超过指定时间逾期未对因酒驾等扣留驾驶证做出暂扣、吊销处理。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采取行政强制措施时未使用执法记录仪进行录音录像（指定时间内未上传）。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采取强制措施未核实当事人信息。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vMerge w:val="restar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执勤执法监管-案件办理</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采取逮捕强制措施后未在指定时间内移诉。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采取取保候审强制措施后未在指定时间内移诉。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开具醉酒行政强制措施凭证后未在指定时间内作刑事立案处理。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刑事立案后未在指定时间内采取刑事强制措施的。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采取取保候审强制措施后，指定时间无传讯通知书的。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采取刑事拘留强制措施后未在指定时间内办理延长羁押手续（提醒）。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办案区人员未关联警情。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执法办案警情未及时初审(指定时间内)。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执法办案案件未及时初审(指定时间内)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vMerge w:val="restar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窗口业务监管-窗口违法处理</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非工作时间处理违法（指定时间内）。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一个月内外地（同一地区）驾驶证在同一违法处理点（窗口）多次处理本地车辆非现场违法行为的（N次报警）。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一年内满分学习N次（含）以上，在窗口处理扣分违章。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同一驾驶人指定时间内处理N（含）辆以上非现场非本人车辆有记分违法。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多人处理一车非现场有记分违法（指定时间内N人以上）。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同一驾驶人一天内处理N（含）辆以上非本人车辆有记分违法。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同一车辆一天内有N（含）个以上驾驶人处理违法。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高龄驾驶人AB类驾驶证处理大车的非现场违法（指定年龄驾驶人）。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非现场超速指定范围以上处理。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非现场外地驾驶人处理非本人车辆有记分违法。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一个记分周期内2次以上因超速指定范围以上记满分。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vMerge w:val="restar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窗口业务监管-违法信息修改</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涉酒涉拘的案件，人员信息的姓名和身份证修改。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非现场处理，N分以后回退。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vMerge w:val="restar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涉案财物监管-涉案车辆管理</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民警扣留车辆后指定时间内未在涉案财物管理系统内入库。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扣留车辆超过指定时间，每过30日预警1次。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六合一未裁决，停车场已放车N天。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车辆暂扣时间早于强制措施违法时间。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vMerge w:val="restar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涉案财物监管-涉案证件管理</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强制措施扣留驾驶证超过30日未裁决，每过30日预警1次。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民警扣留证件后N天内未及时将证件信息录入涉案财物管理系统。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vMerge w:val="restar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涉案财物监管-涉案血样管理</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强制措施开具后3日内未送检。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血样抽取后24小时未打印委托书。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未及时上传血样鉴定报告。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血样鉴定结论接收后24小时内未在执法办案系统立案。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vMerge w:val="restar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事故处理监督-简易程序事故</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一月内申报遗失道路交通事故认定书（简易程序）N份（含）以上的。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存在明确交通违法行为的道路交通事故中未对交通违法行为进行处罚。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vMerge w:val="restar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事故处理监督-一般程序事故</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大队未在规定时间作出事故认定。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已经受案的一般程序道路交通事故需要检验鉴定的未在规定时间内委托有资质的单位。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vMerge w:val="restar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异常数据分析监管</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数字证书查同一个人N次以上。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窗口工作人员非工作时间查询。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shd w:val="clear" w:color="auto" w:fill="auto"/>
            <w:vAlign w:val="center"/>
          </w:tcPr>
          <w:p>
            <w:pPr>
              <w:widowControl/>
              <w:jc w:val="center"/>
              <w:rPr>
                <w:rFonts w:cs="宋体" w:asciiTheme="minorEastAsia" w:hAnsiTheme="minorEastAsia" w:eastAsiaTheme="minorEastAsia"/>
                <w:b/>
                <w:bCs/>
                <w:color w:val="auto"/>
                <w:kern w:val="0"/>
                <w:sz w:val="20"/>
                <w:szCs w:val="20"/>
              </w:rPr>
            </w:pPr>
            <w:bookmarkStart w:id="46" w:name="_Hlk83237544"/>
            <w:r>
              <w:rPr>
                <w:rFonts w:hint="eastAsia" w:cs="宋体" w:asciiTheme="minorEastAsia" w:hAnsiTheme="minorEastAsia" w:eastAsiaTheme="minorEastAsia"/>
                <w:b/>
                <w:bCs/>
                <w:color w:val="auto"/>
                <w:kern w:val="0"/>
                <w:sz w:val="20"/>
                <w:szCs w:val="20"/>
              </w:rPr>
              <w:t>（四）</w:t>
            </w:r>
          </w:p>
        </w:tc>
        <w:tc>
          <w:tcPr>
            <w:tcW w:w="1306" w:type="dxa"/>
            <w:shd w:val="clear" w:color="auto" w:fill="auto"/>
            <w:vAlign w:val="center"/>
          </w:tcPr>
          <w:p>
            <w:pPr>
              <w:widowControl/>
              <w:jc w:val="center"/>
              <w:rPr>
                <w:rFonts w:cs="宋体" w:asciiTheme="minorEastAsia" w:hAnsiTheme="minorEastAsia" w:eastAsiaTheme="minorEastAsia"/>
                <w:b/>
                <w:bCs/>
                <w:color w:val="auto"/>
                <w:kern w:val="0"/>
                <w:sz w:val="20"/>
                <w:szCs w:val="20"/>
              </w:rPr>
            </w:pPr>
            <w:r>
              <w:rPr>
                <w:rFonts w:hint="eastAsia" w:cs="宋体" w:asciiTheme="minorEastAsia" w:hAnsiTheme="minorEastAsia" w:eastAsiaTheme="minorEastAsia"/>
                <w:b/>
                <w:bCs/>
                <w:color w:val="auto"/>
                <w:kern w:val="0"/>
                <w:sz w:val="20"/>
                <w:szCs w:val="20"/>
              </w:rPr>
              <w:t>模型工具</w:t>
            </w:r>
          </w:p>
        </w:tc>
        <w:tc>
          <w:tcPr>
            <w:tcW w:w="1417" w:type="dxa"/>
            <w:gridSpan w:val="2"/>
            <w:shd w:val="clear" w:color="auto" w:fill="auto"/>
            <w:vAlign w:val="center"/>
          </w:tcPr>
          <w:p>
            <w:pPr>
              <w:widowControl/>
              <w:jc w:val="left"/>
              <w:rPr>
                <w:rFonts w:cs="宋体" w:asciiTheme="minorEastAsia" w:hAnsiTheme="minorEastAsia" w:eastAsiaTheme="minorEastAsia"/>
                <w:b/>
                <w:bCs/>
                <w:color w:val="auto"/>
                <w:kern w:val="0"/>
                <w:sz w:val="20"/>
                <w:szCs w:val="20"/>
              </w:rPr>
            </w:pPr>
            <w:r>
              <w:rPr>
                <w:rFonts w:hint="eastAsia" w:cs="宋体" w:asciiTheme="minorEastAsia" w:hAnsiTheme="minorEastAsia" w:eastAsiaTheme="minorEastAsia"/>
                <w:b/>
                <w:bCs/>
                <w:color w:val="auto"/>
                <w:kern w:val="0"/>
                <w:sz w:val="20"/>
                <w:szCs w:val="20"/>
              </w:rPr>
              <w:t>　</w:t>
            </w:r>
          </w:p>
        </w:tc>
        <w:tc>
          <w:tcPr>
            <w:tcW w:w="4763" w:type="dxa"/>
            <w:gridSpan w:val="2"/>
            <w:shd w:val="clear" w:color="auto" w:fill="auto"/>
            <w:vAlign w:val="center"/>
          </w:tcPr>
          <w:p>
            <w:pPr>
              <w:widowControl/>
              <w:jc w:val="left"/>
              <w:rPr>
                <w:rFonts w:cs="宋体" w:asciiTheme="minorEastAsia" w:hAnsiTheme="minorEastAsia" w:eastAsiaTheme="minorEastAsia"/>
                <w:b/>
                <w:bCs/>
                <w:color w:val="auto"/>
                <w:kern w:val="0"/>
                <w:sz w:val="20"/>
                <w:szCs w:val="20"/>
              </w:rPr>
            </w:pPr>
            <w:r>
              <w:rPr>
                <w:rFonts w:hint="eastAsia" w:cs="宋体" w:asciiTheme="minorEastAsia" w:hAnsiTheme="minorEastAsia" w:eastAsiaTheme="minorEastAsia"/>
                <w:b/>
                <w:bCs/>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restart"/>
            <w:shd w:val="clear" w:color="auto" w:fill="auto"/>
            <w:vAlign w:val="center"/>
          </w:tcPr>
          <w:p>
            <w:pPr>
              <w:jc w:val="center"/>
              <w:rPr>
                <w:rFonts w:cs="宋体" w:asciiTheme="minorEastAsia" w:hAnsiTheme="minorEastAsia" w:eastAsiaTheme="minorEastAsia"/>
                <w:color w:val="auto"/>
                <w:kern w:val="0"/>
                <w:sz w:val="20"/>
                <w:szCs w:val="20"/>
              </w:rPr>
            </w:pPr>
            <w:r>
              <w:rPr>
                <w:rFonts w:cs="宋体" w:asciiTheme="minorEastAsia" w:hAnsiTheme="minorEastAsia" w:eastAsiaTheme="minorEastAsia"/>
                <w:color w:val="auto"/>
                <w:kern w:val="0"/>
                <w:sz w:val="20"/>
                <w:szCs w:val="20"/>
              </w:rPr>
              <w:t>1</w:t>
            </w:r>
          </w:p>
        </w:tc>
        <w:tc>
          <w:tcPr>
            <w:tcW w:w="1306" w:type="dxa"/>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数据导入导出功能</w:t>
            </w: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数据库接入</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需具备灵活多样的数据接入功能，应支持主流数据库数据接入，包括但不限于MySQL、Oracle、P</w:t>
            </w:r>
            <w:r>
              <w:rPr>
                <w:rFonts w:cs="宋体" w:asciiTheme="minorEastAsia" w:hAnsiTheme="minorEastAsia" w:eastAsiaTheme="minorEastAsia"/>
                <w:color w:val="auto"/>
                <w:kern w:val="0"/>
                <w:sz w:val="20"/>
                <w:szCs w:val="20"/>
              </w:rPr>
              <w:t>G</w:t>
            </w:r>
            <w:r>
              <w:rPr>
                <w:rFonts w:hint="eastAsia" w:cs="宋体" w:asciiTheme="minorEastAsia" w:hAnsiTheme="minorEastAsia" w:eastAsiaTheme="minorEastAsia"/>
                <w:color w:val="auto"/>
                <w:kern w:val="0"/>
                <w:sz w:val="20"/>
                <w:szCs w:val="20"/>
              </w:rPr>
              <w:t>等数据库接入。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文本数据表导入导出</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支持Excel等文件型的数据直接作为数据源进行分析；支持分析结果灵活下载导出。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868" w:type="dxa"/>
            <w:gridSpan w:val="3"/>
            <w:shd w:val="clear" w:color="auto" w:fill="auto"/>
            <w:vAlign w:val="center"/>
          </w:tcPr>
          <w:p>
            <w:pPr>
              <w:widowControl/>
              <w:jc w:val="center"/>
              <w:rPr>
                <w:rFonts w:cs="宋体" w:asciiTheme="minorEastAsia" w:hAnsiTheme="minorEastAsia" w:eastAsiaTheme="minorEastAsia"/>
                <w:color w:val="auto"/>
                <w:kern w:val="0"/>
                <w:sz w:val="20"/>
                <w:szCs w:val="20"/>
              </w:rPr>
            </w:pPr>
            <w:r>
              <w:rPr>
                <w:rFonts w:cs="宋体" w:asciiTheme="minorEastAsia" w:hAnsiTheme="minorEastAsia" w:eastAsiaTheme="minorEastAsia"/>
                <w:color w:val="auto"/>
                <w:kern w:val="0"/>
                <w:sz w:val="20"/>
                <w:szCs w:val="20"/>
              </w:rPr>
              <w:t>2</w:t>
            </w:r>
          </w:p>
        </w:tc>
        <w:tc>
          <w:tcPr>
            <w:tcW w:w="1306" w:type="dxa"/>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模型数据源目录功能</w:t>
            </w: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数据源目录</w:t>
            </w:r>
          </w:p>
        </w:tc>
        <w:tc>
          <w:tcPr>
            <w:tcW w:w="4763" w:type="dxa"/>
            <w:gridSpan w:val="2"/>
            <w:shd w:val="clear" w:color="auto" w:fill="auto"/>
            <w:vAlign w:val="center"/>
          </w:tcPr>
          <w:p>
            <w:pPr>
              <w:widowControl/>
              <w:jc w:val="left"/>
              <w:rPr>
                <w:rFonts w:cs="宋体" w:asciiTheme="minorEastAsia" w:hAnsiTheme="minorEastAsia" w:eastAsiaTheme="minorEastAsia"/>
                <w:bCs/>
                <w:color w:val="auto"/>
                <w:kern w:val="0"/>
                <w:sz w:val="20"/>
                <w:szCs w:val="20"/>
              </w:rPr>
            </w:pPr>
            <w:r>
              <w:rPr>
                <w:rFonts w:hint="eastAsia" w:cs="宋体" w:asciiTheme="minorEastAsia" w:hAnsiTheme="minorEastAsia" w:eastAsiaTheme="minorEastAsia"/>
                <w:bCs/>
                <w:color w:val="auto"/>
                <w:kern w:val="0"/>
                <w:sz w:val="20"/>
                <w:szCs w:val="20"/>
              </w:rPr>
              <w:t>需提供数据源管理功能，包括提供浏览数据源概况、查询、新增数据源、编辑、删除、测试连接、预览数据源表等功能；需提供数据源详细信息查看功能，需显示数据表的详细信息，包括但不限于创建人、资产类型、数据量、资产目录、数据行数、更新时间、数据来源等，并可显示数据字段明细，同时支持匹配数据标准；需提供样本数据预览功能，需示例展现数据表具体字段内容，方便快速了解浏览数据内容；需提供数据关联功能，需提供数据表关联的创建、编辑与查询，便于查找相关数据，需提供数据剖析功能，需提供数据表的快速探查与质量报告，便于快速理解数据；需提供数据使用情况查看功能，可快速浏览数据表的使用情况，包括但不限于字段的调用次数、调用时间、和调用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restart"/>
            <w:shd w:val="clear" w:color="auto" w:fill="auto"/>
            <w:vAlign w:val="center"/>
          </w:tcPr>
          <w:p>
            <w:pPr>
              <w:jc w:val="center"/>
              <w:rPr>
                <w:rFonts w:cs="宋体" w:asciiTheme="minorEastAsia" w:hAnsiTheme="minorEastAsia" w:eastAsiaTheme="minorEastAsia"/>
                <w:color w:val="auto"/>
                <w:kern w:val="0"/>
                <w:sz w:val="20"/>
                <w:szCs w:val="20"/>
              </w:rPr>
            </w:pPr>
            <w:r>
              <w:rPr>
                <w:rFonts w:cs="宋体" w:asciiTheme="minorEastAsia" w:hAnsiTheme="minorEastAsia" w:eastAsiaTheme="minorEastAsia"/>
                <w:color w:val="auto"/>
                <w:kern w:val="0"/>
                <w:sz w:val="20"/>
                <w:szCs w:val="20"/>
              </w:rPr>
              <w:t>3</w:t>
            </w:r>
          </w:p>
        </w:tc>
        <w:tc>
          <w:tcPr>
            <w:tcW w:w="1306" w:type="dxa"/>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数据编辑功能</w:t>
            </w: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数据过滤筛选</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数据过滤筛选操作，包括但不限于数值字段筛选、文本字段筛选、时间字段筛选；支持时间字段筛选，至少包含日期选择和具体时段选择；支持文本字段筛选，需具备通过搜索或者关键字进行选择；支持数值字段筛选，支持设定筛选范围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jc w:val="center"/>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数据列操作</w:t>
            </w:r>
          </w:p>
        </w:tc>
        <w:tc>
          <w:tcPr>
            <w:tcW w:w="4763" w:type="dxa"/>
            <w:gridSpan w:val="2"/>
            <w:shd w:val="clear" w:color="auto" w:fill="auto"/>
            <w:vAlign w:val="center"/>
          </w:tcPr>
          <w:p>
            <w:pPr>
              <w:widowControl/>
              <w:jc w:val="left"/>
              <w:rPr>
                <w:rFonts w:cs="宋体" w:asciiTheme="minorEastAsia" w:hAnsiTheme="minorEastAsia" w:eastAsiaTheme="minorEastAsia"/>
                <w:bCs/>
                <w:color w:val="auto"/>
                <w:kern w:val="0"/>
                <w:sz w:val="20"/>
                <w:szCs w:val="20"/>
              </w:rPr>
            </w:pPr>
            <w:r>
              <w:rPr>
                <w:rFonts w:hint="eastAsia" w:cs="宋体" w:asciiTheme="minorEastAsia" w:hAnsiTheme="minorEastAsia" w:eastAsiaTheme="minorEastAsia"/>
                <w:bCs/>
                <w:color w:val="auto"/>
                <w:kern w:val="0"/>
                <w:sz w:val="20"/>
                <w:szCs w:val="20"/>
              </w:rPr>
              <w:t>支持数据源数据列操作功能，包括但不限于：支持在原数据集基础上新增列或者表达式列；支持数据公式，使用数值字段进行加减乘除；支持多字段的拼接，使用多个字段进行拼接；支持数据分组，使用数值字段进行分组；支持按照字段排名，选择字段进行排名，包括时间和数值字段排名；支持条件判断，时间类型、文本类型、数值类型、条件组合、复制条件等条件判断；支持时间获取，选择时间字段，获取年月日等；支持隐藏列操作；支持字段拆分，支持按照分割符合字段长度进行拆分；支持列显示，支持字段搜索显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jc w:val="center"/>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数据表合并</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数据表与表之间进行合并操作，包括但不限于左右合并、上下合并、交集合并等功能，支持数据表左右并集合并形成新表，新表包含两张表的所有字段；支持左右交集合并，新表包含两张表中均有的字段；支持数据表上下合并，自动按照字段对应列关系，将两数据表合并为同一表格，支持手动操作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jc w:val="center"/>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数据探查</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需具备探查数据规律能力，可展现数据源数据的分布规律，发现异常数据。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jc w:val="center"/>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b/>
                <w:bCs/>
                <w:color w:val="auto"/>
                <w:kern w:val="0"/>
                <w:sz w:val="20"/>
                <w:szCs w:val="20"/>
              </w:rPr>
            </w:pPr>
            <w:r>
              <w:rPr>
                <w:rFonts w:hint="eastAsia"/>
                <w:color w:val="auto"/>
              </w:rPr>
              <w:t>★</w:t>
            </w:r>
            <w:r>
              <w:rPr>
                <w:rFonts w:hint="eastAsia" w:cs="宋体" w:asciiTheme="minorEastAsia" w:hAnsiTheme="minorEastAsia" w:eastAsiaTheme="minorEastAsia"/>
                <w:b/>
                <w:bCs/>
                <w:color w:val="auto"/>
                <w:kern w:val="0"/>
                <w:sz w:val="20"/>
                <w:szCs w:val="20"/>
              </w:rPr>
              <w:t>数据血缘</w:t>
            </w:r>
          </w:p>
        </w:tc>
        <w:tc>
          <w:tcPr>
            <w:tcW w:w="4763" w:type="dxa"/>
            <w:gridSpan w:val="2"/>
            <w:shd w:val="clear" w:color="auto" w:fill="auto"/>
            <w:vAlign w:val="center"/>
          </w:tcPr>
          <w:p>
            <w:pPr>
              <w:widowControl/>
              <w:jc w:val="left"/>
              <w:rPr>
                <w:rFonts w:cs="宋体" w:asciiTheme="minorEastAsia" w:hAnsiTheme="minorEastAsia" w:eastAsiaTheme="minorEastAsia"/>
                <w:b/>
                <w:bCs/>
                <w:color w:val="auto"/>
                <w:kern w:val="0"/>
                <w:sz w:val="20"/>
                <w:szCs w:val="20"/>
              </w:rPr>
            </w:pPr>
            <w:r>
              <w:rPr>
                <w:rFonts w:hint="eastAsia" w:cs="宋体" w:asciiTheme="minorEastAsia" w:hAnsiTheme="minorEastAsia" w:eastAsiaTheme="minorEastAsia"/>
                <w:b w:val="0"/>
                <w:bCs w:val="0"/>
                <w:color w:val="auto"/>
                <w:kern w:val="0"/>
                <w:sz w:val="20"/>
                <w:szCs w:val="20"/>
              </w:rPr>
              <w:t>需具备数据集中数据血缘关系展示功能， 包括但不限于数据血缘更新信息展示、数据血缘关联视图、关联信息展示。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字段设置</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支持字段设置功能，包括但不限于列名称字段设置和表名称字段设置，可在原有字段名称上直接修改名称。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restart"/>
            <w:shd w:val="clear" w:color="auto" w:fill="auto"/>
            <w:vAlign w:val="center"/>
          </w:tcPr>
          <w:p>
            <w:pPr>
              <w:jc w:val="center"/>
              <w:rPr>
                <w:rFonts w:cs="宋体" w:asciiTheme="minorEastAsia" w:hAnsiTheme="minorEastAsia" w:eastAsiaTheme="minorEastAsia"/>
                <w:color w:val="auto"/>
                <w:kern w:val="0"/>
                <w:sz w:val="20"/>
                <w:szCs w:val="20"/>
              </w:rPr>
            </w:pPr>
            <w:r>
              <w:rPr>
                <w:rFonts w:cs="宋体" w:asciiTheme="minorEastAsia" w:hAnsiTheme="minorEastAsia" w:eastAsiaTheme="minorEastAsia"/>
                <w:color w:val="auto"/>
                <w:kern w:val="0"/>
                <w:sz w:val="20"/>
                <w:szCs w:val="20"/>
              </w:rPr>
              <w:t>4</w:t>
            </w:r>
          </w:p>
        </w:tc>
        <w:tc>
          <w:tcPr>
            <w:tcW w:w="1306" w:type="dxa"/>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数据分析功能</w:t>
            </w: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数据碰撞</w:t>
            </w:r>
          </w:p>
        </w:tc>
        <w:tc>
          <w:tcPr>
            <w:tcW w:w="4763" w:type="dxa"/>
            <w:gridSpan w:val="2"/>
            <w:shd w:val="clear" w:color="auto" w:fill="auto"/>
            <w:vAlign w:val="center"/>
          </w:tcPr>
          <w:p>
            <w:pPr>
              <w:widowControl/>
              <w:jc w:val="left"/>
              <w:rPr>
                <w:rFonts w:cs="宋体" w:asciiTheme="minorEastAsia" w:hAnsiTheme="minorEastAsia" w:eastAsiaTheme="minorEastAsia"/>
                <w:bCs/>
                <w:color w:val="auto"/>
                <w:kern w:val="0"/>
                <w:sz w:val="20"/>
                <w:szCs w:val="20"/>
              </w:rPr>
            </w:pPr>
            <w:r>
              <w:rPr>
                <w:rFonts w:hint="eastAsia" w:cs="宋体" w:asciiTheme="minorEastAsia" w:hAnsiTheme="minorEastAsia" w:eastAsiaTheme="minorEastAsia"/>
                <w:bCs/>
                <w:color w:val="auto"/>
                <w:kern w:val="0"/>
                <w:sz w:val="20"/>
                <w:szCs w:val="20"/>
              </w:rPr>
              <w:t>支持数据关联碰撞操作，包括数据表的快速选择、拖拽式球形数据集碰撞、碰撞结果预览、碰撞接触操作等。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jc w:val="center"/>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碰撞条件选择</w:t>
            </w:r>
          </w:p>
        </w:tc>
        <w:tc>
          <w:tcPr>
            <w:tcW w:w="4763" w:type="dxa"/>
            <w:gridSpan w:val="2"/>
            <w:shd w:val="clear" w:color="auto" w:fill="auto"/>
            <w:vAlign w:val="center"/>
          </w:tcPr>
          <w:p>
            <w:pPr>
              <w:widowControl/>
              <w:jc w:val="left"/>
              <w:rPr>
                <w:rFonts w:cs="宋体" w:asciiTheme="minorEastAsia" w:hAnsiTheme="minorEastAsia" w:eastAsiaTheme="minorEastAsia"/>
                <w:bCs/>
                <w:color w:val="auto"/>
                <w:kern w:val="0"/>
                <w:sz w:val="20"/>
                <w:szCs w:val="20"/>
              </w:rPr>
            </w:pPr>
            <w:r>
              <w:rPr>
                <w:rFonts w:hint="eastAsia" w:cs="宋体" w:asciiTheme="minorEastAsia" w:hAnsiTheme="minorEastAsia" w:eastAsiaTheme="minorEastAsia"/>
                <w:bCs/>
                <w:color w:val="auto"/>
                <w:kern w:val="0"/>
                <w:sz w:val="20"/>
                <w:szCs w:val="20"/>
              </w:rPr>
              <w:t>支持碰撞条件自动推荐，根据交通管理场景，自动推荐大概率需要选择的碰撞条件，辅助民警完成数据碰撞，提高分析效率。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jc w:val="center"/>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碰撞结果展示</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支持碰撞后多种结果选择，包括但不限于并集、交集操作，交集表示取两张表均有的数据，并集表示取两张表的合集。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jc w:val="center"/>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排序分类统计</w:t>
            </w:r>
          </w:p>
        </w:tc>
        <w:tc>
          <w:tcPr>
            <w:tcW w:w="4763" w:type="dxa"/>
            <w:gridSpan w:val="2"/>
            <w:shd w:val="clear" w:color="auto" w:fill="auto"/>
            <w:vAlign w:val="center"/>
          </w:tcPr>
          <w:p>
            <w:pPr>
              <w:widowControl/>
              <w:jc w:val="left"/>
              <w:rPr>
                <w:rFonts w:cs="宋体" w:asciiTheme="minorEastAsia" w:hAnsiTheme="minorEastAsia" w:eastAsiaTheme="minorEastAsia"/>
                <w:bCs/>
                <w:color w:val="auto"/>
                <w:kern w:val="0"/>
                <w:sz w:val="20"/>
                <w:szCs w:val="20"/>
              </w:rPr>
            </w:pPr>
            <w:r>
              <w:rPr>
                <w:rFonts w:hint="eastAsia" w:cs="宋体" w:asciiTheme="minorEastAsia" w:hAnsiTheme="minorEastAsia" w:eastAsiaTheme="minorEastAsia"/>
                <w:bCs/>
                <w:color w:val="auto"/>
                <w:kern w:val="0"/>
                <w:sz w:val="20"/>
                <w:szCs w:val="20"/>
              </w:rPr>
              <w:t>支持排序分类统计功能，包括但不限于对数据进行升序或降序操作、对某字段进行分类统计、选择分类汇总参数（求和、求平均、去重计数）、字段可在分类和汇总间进行切换等。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jc w:val="center"/>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条件判断</w:t>
            </w:r>
          </w:p>
        </w:tc>
        <w:tc>
          <w:tcPr>
            <w:tcW w:w="4763" w:type="dxa"/>
            <w:gridSpan w:val="2"/>
            <w:shd w:val="clear" w:color="auto" w:fill="auto"/>
            <w:vAlign w:val="center"/>
          </w:tcPr>
          <w:p>
            <w:pPr>
              <w:widowControl/>
              <w:jc w:val="left"/>
              <w:rPr>
                <w:rFonts w:cs="宋体" w:asciiTheme="minorEastAsia" w:hAnsiTheme="minorEastAsia" w:eastAsiaTheme="minorEastAsia"/>
                <w:bCs/>
                <w:color w:val="auto"/>
                <w:kern w:val="0"/>
                <w:sz w:val="20"/>
                <w:szCs w:val="20"/>
              </w:rPr>
            </w:pPr>
            <w:r>
              <w:rPr>
                <w:rFonts w:hint="eastAsia" w:cs="宋体" w:asciiTheme="minorEastAsia" w:hAnsiTheme="minorEastAsia" w:eastAsiaTheme="minorEastAsia"/>
                <w:bCs/>
                <w:color w:val="auto"/>
                <w:kern w:val="0"/>
                <w:sz w:val="20"/>
                <w:szCs w:val="20"/>
              </w:rPr>
              <w:t>支持条件判断功能，可通过数据条件设置，对不同字段进行标签化，形成相应标签，如根据频率划分中频、高频通行等。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jc w:val="center"/>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数据集复制删除</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支持数据集复制，支持快捷键复制和点击复制；应支持删除数据集，删除当前数据集等。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公式计算</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支持公式计算功能，包括但不限于数字加减乘除计算、数据精度切换等。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restart"/>
            <w:shd w:val="clear" w:color="auto" w:fill="auto"/>
            <w:vAlign w:val="center"/>
          </w:tcPr>
          <w:p>
            <w:pPr>
              <w:jc w:val="center"/>
              <w:rPr>
                <w:rFonts w:cs="宋体" w:asciiTheme="minorEastAsia" w:hAnsiTheme="minorEastAsia" w:eastAsiaTheme="minorEastAsia"/>
                <w:color w:val="auto"/>
                <w:kern w:val="0"/>
                <w:sz w:val="20"/>
                <w:szCs w:val="20"/>
              </w:rPr>
            </w:pPr>
            <w:r>
              <w:rPr>
                <w:rFonts w:cs="宋体" w:asciiTheme="minorEastAsia" w:hAnsiTheme="minorEastAsia" w:eastAsiaTheme="minorEastAsia"/>
                <w:color w:val="auto"/>
                <w:kern w:val="0"/>
                <w:sz w:val="20"/>
                <w:szCs w:val="20"/>
              </w:rPr>
              <w:t>5</w:t>
            </w:r>
          </w:p>
        </w:tc>
        <w:tc>
          <w:tcPr>
            <w:tcW w:w="1306" w:type="dxa"/>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图表报表功能</w:t>
            </w: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图表生成</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支持图表饼图、曲线图、柱状图、柱状堆积图、分组表格、明细表格、折线图、折线+柱状等形式展示数据功能。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jc w:val="center"/>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仪表盘布局</w:t>
            </w:r>
          </w:p>
        </w:tc>
        <w:tc>
          <w:tcPr>
            <w:tcW w:w="4763" w:type="dxa"/>
            <w:gridSpan w:val="2"/>
            <w:shd w:val="clear" w:color="auto" w:fill="auto"/>
            <w:vAlign w:val="center"/>
          </w:tcPr>
          <w:p>
            <w:pPr>
              <w:widowControl/>
              <w:jc w:val="left"/>
              <w:rPr>
                <w:rFonts w:cs="宋体" w:asciiTheme="minorEastAsia" w:hAnsiTheme="minorEastAsia" w:eastAsiaTheme="minorEastAsia"/>
                <w:bCs/>
                <w:color w:val="auto"/>
                <w:kern w:val="0"/>
                <w:sz w:val="20"/>
                <w:szCs w:val="20"/>
              </w:rPr>
            </w:pPr>
            <w:r>
              <w:rPr>
                <w:rFonts w:hint="eastAsia" w:cs="宋体" w:asciiTheme="minorEastAsia" w:hAnsiTheme="minorEastAsia" w:eastAsiaTheme="minorEastAsia"/>
                <w:bCs/>
                <w:color w:val="auto"/>
                <w:kern w:val="0"/>
                <w:sz w:val="20"/>
                <w:szCs w:val="20"/>
              </w:rPr>
              <w:t>支持仪表盘灵活布置美化，包括但不限于：拖拽报表图表灵活布局、大小自定义、多组件添加、组件间隙自动优化、组件悬浮等。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jc w:val="center"/>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报表过滤</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支持数据分析结果数据可通过时间、数值、文本条件过滤功能；可通过不同方式让用户在查看仪表板时支持自由筛选，查看不同数据。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jc w:val="center"/>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图表报表编辑</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支持数据报表行列互转；支持截图、下载数据，图表演示设置；支持对比编辑操作，可进行同比、环比操作。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868" w:type="dxa"/>
            <w:gridSpan w:val="3"/>
            <w:vMerge w:val="continue"/>
            <w:shd w:val="clear" w:color="auto" w:fill="auto"/>
            <w:vAlign w:val="center"/>
          </w:tcPr>
          <w:p>
            <w:pPr>
              <w:jc w:val="center"/>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对比编辑</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支持图表同比、环比操作。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jc w:val="center"/>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图表自定义</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支持图表自定义设置，包括颜色、标签、元素大小等。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jc w:val="center"/>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报表导出</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支持将数据报表和图表导出为Excel，存至本地，以为便于日常报告使用，数据的二次加工。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报表分享</w:t>
            </w:r>
          </w:p>
        </w:tc>
        <w:tc>
          <w:tcPr>
            <w:tcW w:w="4763" w:type="dxa"/>
            <w:gridSpan w:val="2"/>
            <w:shd w:val="clear" w:color="auto" w:fill="auto"/>
            <w:vAlign w:val="center"/>
          </w:tcPr>
          <w:p>
            <w:pPr>
              <w:widowControl/>
              <w:jc w:val="left"/>
              <w:rPr>
                <w:rFonts w:cs="宋体" w:asciiTheme="minorEastAsia" w:hAnsiTheme="minorEastAsia" w:eastAsiaTheme="minorEastAsia"/>
                <w:bCs/>
                <w:color w:val="auto"/>
                <w:kern w:val="0"/>
                <w:sz w:val="20"/>
                <w:szCs w:val="20"/>
              </w:rPr>
            </w:pPr>
            <w:r>
              <w:rPr>
                <w:rFonts w:hint="eastAsia" w:cs="宋体" w:asciiTheme="minorEastAsia" w:hAnsiTheme="minorEastAsia" w:eastAsiaTheme="minorEastAsia"/>
                <w:bCs/>
                <w:color w:val="auto"/>
                <w:kern w:val="0"/>
                <w:sz w:val="20"/>
                <w:szCs w:val="20"/>
              </w:rPr>
              <w:t>支持报表分享，可设置分享范围，包括但不限于完全公开、指定用户公开、私密等多种分享模式。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restart"/>
            <w:shd w:val="clear" w:color="auto" w:fill="auto"/>
            <w:vAlign w:val="center"/>
          </w:tcPr>
          <w:p>
            <w:pPr>
              <w:jc w:val="center"/>
              <w:rPr>
                <w:rFonts w:cs="宋体" w:asciiTheme="minorEastAsia" w:hAnsiTheme="minorEastAsia" w:eastAsiaTheme="minorEastAsia"/>
                <w:color w:val="auto"/>
                <w:kern w:val="0"/>
                <w:sz w:val="20"/>
                <w:szCs w:val="20"/>
              </w:rPr>
            </w:pPr>
            <w:r>
              <w:rPr>
                <w:rFonts w:cs="宋体" w:asciiTheme="minorEastAsia" w:hAnsiTheme="minorEastAsia" w:eastAsiaTheme="minorEastAsia"/>
                <w:color w:val="auto"/>
                <w:kern w:val="0"/>
                <w:sz w:val="20"/>
                <w:szCs w:val="20"/>
              </w:rPr>
              <w:t>6</w:t>
            </w:r>
          </w:p>
        </w:tc>
        <w:tc>
          <w:tcPr>
            <w:tcW w:w="1306" w:type="dxa"/>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模型共享共建功能</w:t>
            </w: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模型共享</w:t>
            </w:r>
          </w:p>
        </w:tc>
        <w:tc>
          <w:tcPr>
            <w:tcW w:w="4763" w:type="dxa"/>
            <w:gridSpan w:val="2"/>
            <w:shd w:val="clear" w:color="auto" w:fill="auto"/>
            <w:vAlign w:val="center"/>
          </w:tcPr>
          <w:p>
            <w:pPr>
              <w:widowControl/>
              <w:jc w:val="left"/>
              <w:rPr>
                <w:rFonts w:cs="宋体" w:asciiTheme="minorEastAsia" w:hAnsiTheme="minorEastAsia" w:eastAsiaTheme="minorEastAsia"/>
                <w:bCs/>
                <w:color w:val="auto"/>
                <w:kern w:val="0"/>
                <w:sz w:val="20"/>
                <w:szCs w:val="20"/>
              </w:rPr>
            </w:pPr>
            <w:r>
              <w:rPr>
                <w:rFonts w:hint="eastAsia" w:cs="宋体" w:asciiTheme="minorEastAsia" w:hAnsiTheme="minorEastAsia" w:eastAsiaTheme="minorEastAsia"/>
                <w:bCs/>
                <w:color w:val="auto"/>
                <w:kern w:val="0"/>
                <w:sz w:val="20"/>
                <w:szCs w:val="20"/>
              </w:rPr>
              <w:t>需具备模型市场能力，包括但不限于：模型上传、模型归集、模型查看、模型分类、模型筛选、模型排序（热度、更新时间）等能力。支持各业务民警或部门将应用效果较好的模型进行上传，供其他民警或部门查看借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模型共建</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需具备模型协同共建能力，在权限允许的情况下，支持在他人模型基础上进行协同创作；支持灵活自由组建，支持发布组合模型。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868" w:type="dxa"/>
            <w:gridSpan w:val="3"/>
            <w:vMerge w:val="restart"/>
            <w:shd w:val="clear" w:color="auto" w:fill="auto"/>
            <w:vAlign w:val="center"/>
          </w:tcPr>
          <w:p>
            <w:pPr>
              <w:jc w:val="center"/>
              <w:rPr>
                <w:rFonts w:cs="宋体" w:asciiTheme="minorEastAsia" w:hAnsiTheme="minorEastAsia" w:eastAsiaTheme="minorEastAsia"/>
                <w:color w:val="auto"/>
                <w:kern w:val="0"/>
                <w:sz w:val="20"/>
                <w:szCs w:val="20"/>
              </w:rPr>
            </w:pPr>
            <w:r>
              <w:rPr>
                <w:rFonts w:cs="宋体" w:asciiTheme="minorEastAsia" w:hAnsiTheme="minorEastAsia" w:eastAsiaTheme="minorEastAsia"/>
                <w:color w:val="auto"/>
                <w:kern w:val="0"/>
                <w:sz w:val="20"/>
                <w:szCs w:val="20"/>
              </w:rPr>
              <w:t>7</w:t>
            </w:r>
          </w:p>
        </w:tc>
        <w:tc>
          <w:tcPr>
            <w:tcW w:w="1306" w:type="dxa"/>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模型更新设置功能</w:t>
            </w: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定时更新设置</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支持模型定时更新功能，可通过设置定时更新任务，设定后会在指定时间定期自动完成设定的更新任务，更新模型数据，保证模型数据时效性。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jc w:val="center"/>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前置数据触发更新管理</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需具备模型前置数据触发更新管理功能，当该模型依赖的上游数据更新后，自动触发该模型的更新任务。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jc w:val="center"/>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手动更新设置</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支持手动更新设置功能，根据业务需要，支持灵活的手动触发更新。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更新任务管理</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支持快速查看当日任务执行情况，包括但不限于任务数总量、执行中任务数量、调度失败数量、任务列表、任务详情等。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restart"/>
            <w:shd w:val="clear" w:color="auto" w:fill="auto"/>
            <w:vAlign w:val="center"/>
          </w:tcPr>
          <w:p>
            <w:pPr>
              <w:jc w:val="center"/>
              <w:rPr>
                <w:rFonts w:cs="宋体" w:asciiTheme="minorEastAsia" w:hAnsiTheme="minorEastAsia" w:eastAsiaTheme="minorEastAsia"/>
                <w:color w:val="auto"/>
                <w:kern w:val="0"/>
                <w:sz w:val="20"/>
                <w:szCs w:val="20"/>
              </w:rPr>
            </w:pPr>
            <w:r>
              <w:rPr>
                <w:rFonts w:cs="宋体" w:asciiTheme="minorEastAsia" w:hAnsiTheme="minorEastAsia" w:eastAsiaTheme="minorEastAsia"/>
                <w:color w:val="auto"/>
                <w:kern w:val="0"/>
                <w:sz w:val="20"/>
                <w:szCs w:val="20"/>
              </w:rPr>
              <w:t>8</w:t>
            </w:r>
          </w:p>
        </w:tc>
        <w:tc>
          <w:tcPr>
            <w:tcW w:w="1306" w:type="dxa"/>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工具权限管理</w:t>
            </w: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用户角色管理</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需具备用户角色管理能力，包括但不限于：创建角色、角色分配、角色名称编辑、与外部账号如**通账号打通。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306" w:type="dxa"/>
            <w:vMerge w:val="continue"/>
            <w:shd w:val="clear" w:color="auto" w:fill="auto"/>
            <w:vAlign w:val="center"/>
          </w:tcPr>
          <w:p>
            <w:pPr>
              <w:widowControl/>
              <w:jc w:val="center"/>
              <w:rPr>
                <w:rFonts w:cs="宋体" w:asciiTheme="minorEastAsia" w:hAnsiTheme="minorEastAsia" w:eastAsiaTheme="minorEastAsia"/>
                <w:color w:val="auto"/>
                <w:kern w:val="0"/>
                <w:sz w:val="20"/>
                <w:szCs w:val="20"/>
              </w:rPr>
            </w:pPr>
          </w:p>
        </w:tc>
        <w:tc>
          <w:tcPr>
            <w:tcW w:w="1417" w:type="dxa"/>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数据源权限管理</w:t>
            </w:r>
          </w:p>
        </w:tc>
        <w:tc>
          <w:tcPr>
            <w:tcW w:w="4763" w:type="dxa"/>
            <w:gridSpan w:val="2"/>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需具备数据源权限管理能力，包括但不限于数据连接管理、系统数据文件夹管理、系统数据表管理等，其中系统数据包管理支持使用、编辑、行列权限设置等。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8" w:type="dxa"/>
            <w:gridSpan w:val="3"/>
            <w:shd w:val="clear" w:color="auto" w:fill="auto"/>
            <w:vAlign w:val="center"/>
          </w:tcPr>
          <w:p>
            <w:pPr>
              <w:widowControl/>
              <w:jc w:val="center"/>
              <w:rPr>
                <w:rFonts w:hint="eastAsia" w:cs="宋体" w:asciiTheme="minorEastAsia" w:hAnsiTheme="minorEastAsia" w:eastAsiaTheme="minorEastAsia"/>
                <w:b/>
                <w:bCs/>
                <w:color w:val="auto"/>
                <w:kern w:val="0"/>
                <w:sz w:val="20"/>
                <w:szCs w:val="20"/>
                <w:lang w:eastAsia="zh-CN"/>
              </w:rPr>
            </w:pPr>
            <w:r>
              <w:rPr>
                <w:rFonts w:hint="eastAsia" w:cs="宋体" w:asciiTheme="minorEastAsia" w:hAnsiTheme="minorEastAsia" w:eastAsiaTheme="minorEastAsia"/>
                <w:b/>
                <w:bCs/>
                <w:color w:val="auto"/>
                <w:kern w:val="0"/>
                <w:sz w:val="20"/>
                <w:szCs w:val="20"/>
                <w:lang w:eastAsia="zh-CN"/>
              </w:rPr>
              <w:t>（五）</w:t>
            </w:r>
          </w:p>
        </w:tc>
        <w:tc>
          <w:tcPr>
            <w:tcW w:w="2723" w:type="dxa"/>
            <w:gridSpan w:val="3"/>
            <w:shd w:val="clear" w:color="auto" w:fill="auto"/>
            <w:vAlign w:val="center"/>
          </w:tcPr>
          <w:p>
            <w:pPr>
              <w:widowControl/>
              <w:tabs>
                <w:tab w:val="left" w:pos="618"/>
              </w:tabs>
              <w:jc w:val="left"/>
              <w:rPr>
                <w:rFonts w:hint="eastAsia" w:cs="宋体" w:asciiTheme="minorEastAsia" w:hAnsiTheme="minorEastAsia" w:eastAsiaTheme="minorEastAsia"/>
                <w:b/>
                <w:bCs/>
                <w:color w:val="auto"/>
                <w:kern w:val="0"/>
                <w:sz w:val="20"/>
                <w:szCs w:val="20"/>
                <w:lang w:eastAsia="zh-CN"/>
              </w:rPr>
            </w:pPr>
            <w:r>
              <w:rPr>
                <w:rFonts w:hint="eastAsia" w:cs="宋体" w:asciiTheme="minorEastAsia" w:hAnsiTheme="minorEastAsia" w:eastAsiaTheme="minorEastAsia"/>
                <w:b/>
                <w:bCs/>
                <w:color w:val="auto"/>
                <w:kern w:val="0"/>
                <w:sz w:val="20"/>
                <w:szCs w:val="20"/>
                <w:lang w:eastAsia="zh-CN"/>
              </w:rPr>
              <w:tab/>
            </w:r>
            <w:r>
              <w:rPr>
                <w:rFonts w:hint="eastAsia" w:cs="宋体" w:asciiTheme="minorEastAsia" w:hAnsiTheme="minorEastAsia" w:eastAsiaTheme="minorEastAsia"/>
                <w:b/>
                <w:bCs/>
                <w:color w:val="auto"/>
                <w:kern w:val="0"/>
                <w:sz w:val="20"/>
                <w:szCs w:val="20"/>
                <w:lang w:eastAsia="zh-CN"/>
              </w:rPr>
              <w:t>高速数据赋能实战</w:t>
            </w:r>
          </w:p>
        </w:tc>
        <w:tc>
          <w:tcPr>
            <w:tcW w:w="4763" w:type="dxa"/>
            <w:gridSpan w:val="2"/>
            <w:shd w:val="clear" w:color="auto" w:fill="auto"/>
            <w:vAlign w:val="center"/>
          </w:tcPr>
          <w:p>
            <w:pPr>
              <w:widowControl/>
              <w:jc w:val="left"/>
              <w:rPr>
                <w:rFonts w:hint="eastAsia" w:cs="宋体" w:asciiTheme="minorEastAsia" w:hAnsiTheme="minorEastAsia" w:eastAsiaTheme="minorEastAsia"/>
                <w:b/>
                <w:bCs/>
                <w:color w:val="auto"/>
                <w:kern w:val="0"/>
                <w:sz w:val="20"/>
                <w:szCs w:val="20"/>
              </w:rPr>
            </w:pPr>
          </w:p>
        </w:tc>
      </w:tr>
      <w:bookmarkEnd w:id="46"/>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80" w:hRule="atLeast"/>
        </w:trPr>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3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数据同步抽取</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本单位数据</w:t>
            </w:r>
          </w:p>
        </w:tc>
        <w:tc>
          <w:tcPr>
            <w:tcW w:w="4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卡口信息数据、过车数据、前端设备采集数据、互联网数据等。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1200" w:hRule="atLeast"/>
        </w:trPr>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3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省交管局数据</w:t>
            </w:r>
          </w:p>
        </w:tc>
        <w:tc>
          <w:tcPr>
            <w:tcW w:w="4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①省局自有：原高总**通数据、国省干道交界卡口数据、全省卡口数据、全省六合一(车驾管、事故数据、违法数据等)、重点车辆数据等。</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②省局外部交换：电子运单、两客一危GPS数据、企业挂靠数据等。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80" w:hRule="atLeast"/>
        </w:trPr>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3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其他部门数据</w:t>
            </w:r>
          </w:p>
        </w:tc>
        <w:tc>
          <w:tcPr>
            <w:tcW w:w="4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根据实际需求确定的高速业主、交通运输局及公安市局数据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1200" w:hRule="atLeast"/>
        </w:trPr>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数据时效</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数据时效</w:t>
            </w:r>
          </w:p>
        </w:tc>
        <w:tc>
          <w:tcPr>
            <w:tcW w:w="4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提供数据同步服务，设置同步周期，支持全量同步和增量同步等多种方式，对于新接入数据库，通过数据全量同步方式，实现数据的全量同步，对于已接入新增数据，通过增量数据同步方式，并定期做数据校验，保障数据的时效性和有效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1680" w:hRule="atLeast"/>
        </w:trPr>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数据质量</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数据质量</w:t>
            </w:r>
          </w:p>
        </w:tc>
        <w:tc>
          <w:tcPr>
            <w:tcW w:w="4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数据进行统一格式的转换处理和归一化处理，解决数据完整性、有效性和合法性等问题。实现不同来源的数据，进行统一格式的转换，维度整合和数据归集，对异常数据、不完整数据、冗余数据和无效数据进行过滤，形成对于系统最有效的数据存储格式，提升数据价值密度，为后续数据的存储、入库、索引、检索和挖掘做好准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60" w:hRule="atLeast"/>
        </w:trPr>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3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数据主题库</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过车记录表</w:t>
            </w:r>
          </w:p>
        </w:tc>
        <w:tc>
          <w:tcPr>
            <w:tcW w:w="4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根据过车库的一次识别过车表、二次识别过车表、卡口设备信息表以及字典表清洗获得，主要包含过车车辆信息、设备信息、位置信息、数据录入更新等相关信息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80" w:hRule="atLeast"/>
        </w:trPr>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3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高速违法信息表</w:t>
            </w:r>
          </w:p>
        </w:tc>
        <w:tc>
          <w:tcPr>
            <w:tcW w:w="4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高速违法信息表整合了现场、非现场违法信息，可以针对高速违法信息表进行高速违法相关的统计和分析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80" w:hRule="atLeast"/>
        </w:trPr>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3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事故信息记录表</w:t>
            </w:r>
          </w:p>
        </w:tc>
        <w:tc>
          <w:tcPr>
            <w:tcW w:w="4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高速事故信息表整合了来源于12123及**通两种事故数据，可用于进行事故数据方面的统计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20" w:hRule="atLeast"/>
        </w:trPr>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3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检查登记记录表</w:t>
            </w:r>
          </w:p>
        </w:tc>
        <w:tc>
          <w:tcPr>
            <w:tcW w:w="4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检查登记表整合了车辆状态、检查时间、使用性质、交通方式及驾驶员信息，记录车辆行驶信息，包括始发地目的地等，可统计车辆检查情况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80" w:hRule="atLeast"/>
        </w:trPr>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3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卡口设备基础信息表</w:t>
            </w:r>
          </w:p>
        </w:tc>
        <w:tc>
          <w:tcPr>
            <w:tcW w:w="4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卡口设备基础信息表主要包含设备基础信息表、所属信息、位置信息、数据录入更新等相关信息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80" w:hRule="atLeast"/>
        </w:trPr>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13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电子运单记录表</w:t>
            </w:r>
          </w:p>
        </w:tc>
        <w:tc>
          <w:tcPr>
            <w:tcW w:w="4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电子运单表整合了企业信息、载货地址、卸货地址、驾驶员和押运员信息以及托运单号、货物信息等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20" w:hRule="atLeast"/>
        </w:trPr>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3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机动车信息表</w:t>
            </w:r>
          </w:p>
        </w:tc>
        <w:tc>
          <w:tcPr>
            <w:tcW w:w="4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机动车信息表包含了机动车所有人信息以及车辆详细信息，可结合其他数据表碰撞关联分析，得到目标车辆的所有人信息及联系方式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80" w:hRule="atLeast"/>
        </w:trPr>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13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警员基础信息表</w:t>
            </w:r>
          </w:p>
        </w:tc>
        <w:tc>
          <w:tcPr>
            <w:tcW w:w="4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警员基础信息表主要包含警员基础信息表、部门信息、联系方式、数据录入更新等相关信息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80" w:hRule="atLeast"/>
        </w:trPr>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13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部门信息表</w:t>
            </w:r>
          </w:p>
        </w:tc>
        <w:tc>
          <w:tcPr>
            <w:tcW w:w="4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部门信息表主要包含部门基础信息表、联系信息、所属信息、编制信息、数据录入更新等相关信息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20" w:hRule="atLeast"/>
        </w:trPr>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3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简易程序处罚记录表</w:t>
            </w:r>
          </w:p>
        </w:tc>
        <w:tc>
          <w:tcPr>
            <w:tcW w:w="4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简易程序处罚记录表主要包含处罚基础信息、车辆信息、当事人信息、违法地点信息、违法行为地点信息、违法处理信息、数据录入更新等相关信息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60" w:hRule="atLeast"/>
        </w:trPr>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3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一般程序处罚记录表</w:t>
            </w:r>
          </w:p>
        </w:tc>
        <w:tc>
          <w:tcPr>
            <w:tcW w:w="4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一般程序处罚记录表（强制措施）主要包含强制措施基础信息、车辆信息、当事人信息、违法地点信息、执勤执法信息、强制措施信息、数据录入更新等相关信息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60" w:hRule="atLeast"/>
        </w:trPr>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13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业务模型库</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卡口流量类模型</w:t>
            </w:r>
          </w:p>
        </w:tc>
        <w:tc>
          <w:tcPr>
            <w:tcW w:w="4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含出入台高速总流量模型、重点卡口过车流量模型、收费站流量统计模型、高频车统计模型、卡口异常设备模型、重点车辆出入台统计模型和断面流量及枢纽流量统计模型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5" w:type="dxa"/>
          <w:trHeight w:val="720" w:hRule="atLeast"/>
        </w:trPr>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13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秩序管理类模型</w:t>
            </w:r>
          </w:p>
        </w:tc>
        <w:tc>
          <w:tcPr>
            <w:tcW w:w="4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含疲劳驾驶嫌疑车辆统计模型、重点车辆违法查询统计模型、重点违法行为统计模型、非现场违法已处理情况统计模型和、非现场违法未处理情况统计模型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20" w:hRule="atLeast"/>
        </w:trPr>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13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执法监督类模型</w:t>
            </w:r>
          </w:p>
        </w:tc>
        <w:tc>
          <w:tcPr>
            <w:tcW w:w="4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含台州高速设备非现场抓拍量统计模型、非现场采集不规范-同车同设备违法异常采集模型和虚增工作量嫌疑-民警连续开具简易处罚决定书模型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80" w:hRule="atLeast"/>
        </w:trPr>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3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事故对策类模型</w:t>
            </w:r>
          </w:p>
        </w:tc>
        <w:tc>
          <w:tcPr>
            <w:tcW w:w="4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含简易/一般事故统计模型、高速伤亡人数统计模型和事故成因分析模型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80" w:hRule="atLeast"/>
        </w:trPr>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13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匝道测速类模型</w:t>
            </w:r>
          </w:p>
        </w:tc>
        <w:tc>
          <w:tcPr>
            <w:tcW w:w="4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含匝道测速超速统计及排名模型、匝道超速卡口排名统计模型和匝道超速车辆占比模型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80" w:hRule="atLeast"/>
        </w:trPr>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13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勤务管理类模型</w:t>
            </w:r>
          </w:p>
        </w:tc>
        <w:tc>
          <w:tcPr>
            <w:tcW w:w="4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含12122接警量统计模型和**通高速支队日工作量模型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1440" w:hRule="atLeast"/>
        </w:trPr>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13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对象标签库</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标签指标设计及实现</w:t>
            </w:r>
          </w:p>
        </w:tc>
        <w:tc>
          <w:tcPr>
            <w:tcW w:w="4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基于台州高速的客观现状，结合创新交通管理模式，充分利用科技手段，开展基于多源数据的重点对象分析研判业务，实现高速重点对象标签化管理，有效提升在隐患车辆、企业、路段风险研判与违法打击方面的能力，结合历史经验梳理出事实标签、模型标签和预策标签共计34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20" w:hRule="atLeast"/>
        </w:trPr>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13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标签数据库设计及实现</w:t>
            </w:r>
          </w:p>
        </w:tc>
        <w:tc>
          <w:tcPr>
            <w:tcW w:w="4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为保证数据的可维护性和前后端一致性，将标签库数据在数据库中划分为三个表，分别为：标签表、标签字典表、色码表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5" w:type="dxa"/>
          <w:trHeight w:val="720" w:hRule="atLeast"/>
        </w:trPr>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13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标签赋值赋色规则设计及实现</w:t>
            </w:r>
          </w:p>
        </w:tc>
        <w:tc>
          <w:tcPr>
            <w:tcW w:w="4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设计并实现标签库四色码业务规则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60" w:hRule="atLeast"/>
        </w:trPr>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数据开放</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数据开放</w:t>
            </w:r>
          </w:p>
        </w:tc>
        <w:tc>
          <w:tcPr>
            <w:tcW w:w="4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面向上层应用或外部单位数据需求，提供主题数据、标签数据、模型数据共享开放，生成API接口文档，协助客户实现数据的开放交换，提高跨警种跨部门的业务协同和资源共享能力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20" w:hRule="atLeast"/>
        </w:trPr>
        <w:tc>
          <w:tcPr>
            <w:tcW w:w="819" w:type="dxa"/>
            <w:shd w:val="clear" w:color="auto" w:fill="auto"/>
            <w:noWrap/>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w:t>
            </w:r>
            <w:r>
              <w:rPr>
                <w:rFonts w:hint="eastAsia" w:ascii="宋体" w:hAnsi="宋体" w:cs="宋体"/>
                <w:b/>
                <w:bCs/>
                <w:color w:val="auto"/>
                <w:kern w:val="0"/>
                <w:sz w:val="20"/>
                <w:szCs w:val="20"/>
                <w:lang w:eastAsia="zh-CN"/>
              </w:rPr>
              <w:t>六</w:t>
            </w:r>
            <w:r>
              <w:rPr>
                <w:rFonts w:hint="eastAsia" w:ascii="宋体" w:hAnsi="宋体" w:cs="宋体"/>
                <w:b/>
                <w:bCs/>
                <w:color w:val="auto"/>
                <w:kern w:val="0"/>
                <w:sz w:val="20"/>
                <w:szCs w:val="20"/>
              </w:rPr>
              <w:t>）</w:t>
            </w:r>
          </w:p>
        </w:tc>
        <w:tc>
          <w:tcPr>
            <w:tcW w:w="2768" w:type="dxa"/>
            <w:gridSpan w:val="4"/>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性能和建设要求</w:t>
            </w:r>
          </w:p>
        </w:tc>
        <w:tc>
          <w:tcPr>
            <w:tcW w:w="4762" w:type="dxa"/>
            <w:gridSpan w:val="2"/>
            <w:shd w:val="clear" w:color="auto" w:fill="auto"/>
            <w:vAlign w:val="center"/>
          </w:tcPr>
          <w:p>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20" w:hRule="atLeast"/>
        </w:trPr>
        <w:tc>
          <w:tcPr>
            <w:tcW w:w="819" w:type="dxa"/>
            <w:shd w:val="clear" w:color="auto" w:fill="auto"/>
            <w:noWrap/>
            <w:vAlign w:val="center"/>
          </w:tcPr>
          <w:p>
            <w:pPr>
              <w:widowControl/>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1</w:t>
            </w:r>
          </w:p>
        </w:tc>
        <w:tc>
          <w:tcPr>
            <w:tcW w:w="2768" w:type="dxa"/>
            <w:gridSpan w:val="4"/>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★高可用要求</w:t>
            </w:r>
          </w:p>
        </w:tc>
        <w:tc>
          <w:tcPr>
            <w:tcW w:w="4762" w:type="dxa"/>
            <w:gridSpan w:val="2"/>
            <w:shd w:val="clear" w:color="auto" w:fill="auto"/>
            <w:vAlign w:val="center"/>
          </w:tcPr>
          <w:p>
            <w:pPr>
              <w:widowControl/>
              <w:jc w:val="left"/>
              <w:rPr>
                <w:rFonts w:ascii="宋体" w:hAnsi="宋体" w:cs="宋体"/>
                <w:b/>
                <w:bCs/>
                <w:color w:val="auto"/>
                <w:kern w:val="0"/>
                <w:sz w:val="20"/>
                <w:szCs w:val="20"/>
              </w:rPr>
            </w:pPr>
            <w:r>
              <w:rPr>
                <w:rFonts w:hint="eastAsia" w:cs="宋体" w:asciiTheme="minorEastAsia" w:hAnsiTheme="minorEastAsia" w:eastAsiaTheme="minorEastAsia"/>
                <w:b/>
                <w:bCs/>
                <w:color w:val="auto"/>
                <w:kern w:val="0"/>
                <w:sz w:val="20"/>
                <w:szCs w:val="20"/>
              </w:rPr>
              <w:t>任务管理</w:t>
            </w:r>
            <w:r>
              <w:rPr>
                <w:rFonts w:hint="eastAsia" w:ascii="宋体" w:hAnsi="宋体" w:cs="宋体"/>
                <w:b/>
                <w:bCs/>
                <w:color w:val="auto"/>
                <w:kern w:val="0"/>
                <w:sz w:val="20"/>
                <w:szCs w:val="20"/>
              </w:rPr>
              <w:t>应支持分布式部署、高可用设计。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899" w:hRule="atLeast"/>
        </w:trPr>
        <w:tc>
          <w:tcPr>
            <w:tcW w:w="819" w:type="dxa"/>
            <w:shd w:val="clear" w:color="auto" w:fill="auto"/>
            <w:noWrap/>
            <w:vAlign w:val="center"/>
          </w:tcPr>
          <w:p>
            <w:pPr>
              <w:widowControl/>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2</w:t>
            </w:r>
          </w:p>
        </w:tc>
        <w:tc>
          <w:tcPr>
            <w:tcW w:w="2768" w:type="dxa"/>
            <w:gridSpan w:val="4"/>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★双网双平台建设要求</w:t>
            </w:r>
          </w:p>
        </w:tc>
        <w:tc>
          <w:tcPr>
            <w:tcW w:w="4762" w:type="dxa"/>
            <w:gridSpan w:val="2"/>
            <w:shd w:val="clear" w:color="auto" w:fill="auto"/>
            <w:vAlign w:val="center"/>
          </w:tcPr>
          <w:p>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本项目</w:t>
            </w:r>
            <w:r>
              <w:rPr>
                <w:rFonts w:hint="eastAsia" w:ascii="宋体" w:hAnsi="宋体" w:cs="宋体"/>
                <w:b/>
                <w:bCs/>
                <w:color w:val="auto"/>
                <w:kern w:val="0"/>
                <w:sz w:val="20"/>
                <w:szCs w:val="20"/>
                <w:lang w:val="en-US" w:eastAsia="zh-CN"/>
              </w:rPr>
              <w:t>在</w:t>
            </w:r>
            <w:r>
              <w:rPr>
                <w:rFonts w:hint="eastAsia" w:ascii="宋体" w:hAnsi="宋体" w:cs="宋体"/>
                <w:b/>
                <w:bCs/>
                <w:color w:val="auto"/>
                <w:kern w:val="0"/>
                <w:sz w:val="20"/>
                <w:szCs w:val="20"/>
              </w:rPr>
              <w:t>视频专网和公安信息网，应分别建设</w:t>
            </w:r>
            <w:r>
              <w:rPr>
                <w:rFonts w:hint="eastAsia" w:ascii="宋体" w:hAnsi="宋体" w:cs="宋体"/>
                <w:b/>
                <w:bCs/>
                <w:color w:val="auto"/>
                <w:kern w:val="0"/>
                <w:sz w:val="20"/>
                <w:szCs w:val="20"/>
                <w:lang w:eastAsia="zh-CN"/>
              </w:rPr>
              <w:t>赋能</w:t>
            </w:r>
            <w:r>
              <w:rPr>
                <w:rFonts w:hint="eastAsia" w:ascii="宋体" w:hAnsi="宋体" w:cs="宋体"/>
                <w:b/>
                <w:bCs/>
                <w:color w:val="auto"/>
                <w:kern w:val="0"/>
                <w:sz w:val="20"/>
                <w:szCs w:val="20"/>
              </w:rPr>
              <w:t>中心</w:t>
            </w:r>
            <w:r>
              <w:rPr>
                <w:rFonts w:hint="eastAsia" w:ascii="宋体" w:hAnsi="宋体" w:cs="宋体"/>
                <w:b/>
                <w:bCs/>
                <w:color w:val="auto"/>
                <w:kern w:val="0"/>
                <w:sz w:val="20"/>
                <w:szCs w:val="20"/>
                <w:lang w:eastAsia="zh-CN"/>
              </w:rPr>
              <w:t>，根据不同网络上的不同模型分别进行管理</w:t>
            </w:r>
            <w:r>
              <w:rPr>
                <w:rFonts w:hint="eastAsia" w:ascii="宋体" w:hAnsi="宋体" w:cs="宋体"/>
                <w:b/>
                <w:bCs/>
                <w:color w:val="auto"/>
                <w:kern w:val="0"/>
                <w:sz w:val="20"/>
                <w:szCs w:val="20"/>
              </w:rPr>
              <w:t>。</w:t>
            </w:r>
          </w:p>
        </w:tc>
      </w:tr>
    </w:tbl>
    <w:p>
      <w:pPr>
        <w:pStyle w:val="10"/>
        <w:numPr>
          <w:ilvl w:val="3"/>
          <w:numId w:val="2"/>
        </w:numPr>
        <w:ind w:left="864" w:leftChars="0" w:hanging="864" w:firstLineChars="0"/>
        <w:rPr>
          <w:rFonts w:hint="eastAsia" w:ascii="黑体" w:hAnsi="黑体" w:eastAsia="黑体" w:cs="黑体"/>
          <w:b/>
          <w:bCs/>
          <w:sz w:val="28"/>
          <w:szCs w:val="28"/>
        </w:rPr>
      </w:pPr>
      <w:r>
        <w:rPr>
          <w:rFonts w:hint="eastAsia" w:ascii="黑体" w:hAnsi="黑体" w:eastAsia="黑体" w:cs="黑体"/>
          <w:b/>
          <w:bCs/>
          <w:sz w:val="28"/>
          <w:szCs w:val="28"/>
          <w:lang w:val="en-US" w:eastAsia="zh-CN"/>
        </w:rPr>
        <w:t>协同应用体系</w:t>
      </w:r>
    </w:p>
    <w:bookmarkEnd w:id="40"/>
    <w:p>
      <w:pPr>
        <w:keepNext/>
        <w:keepLines/>
        <w:numPr>
          <w:ilvl w:val="0"/>
          <w:numId w:val="0"/>
        </w:numPr>
        <w:tabs>
          <w:tab w:val="left" w:pos="142"/>
          <w:tab w:val="left" w:pos="360"/>
        </w:tabs>
        <w:adjustRightInd w:val="0"/>
        <w:spacing w:line="360" w:lineRule="auto"/>
        <w:ind w:leftChars="0"/>
        <w:outlineLvl w:val="3"/>
        <w:rPr>
          <w:rFonts w:ascii="黑体" w:hAnsi="黑体" w:eastAsia="黑体" w:cs="仿宋"/>
          <w:b/>
          <w:bCs/>
          <w:color w:val="auto"/>
          <w:sz w:val="28"/>
          <w:szCs w:val="28"/>
        </w:rPr>
        <w:sectPr>
          <w:headerReference r:id="rId5" w:type="default"/>
          <w:footerReference r:id="rId6" w:type="default"/>
          <w:type w:val="continuous"/>
          <w:pgSz w:w="11906" w:h="16838"/>
          <w:pgMar w:top="1440" w:right="1797" w:bottom="1440" w:left="1797" w:header="851" w:footer="992" w:gutter="0"/>
          <w:cols w:space="425" w:num="1"/>
          <w:docGrid w:type="linesAndChars" w:linePitch="312" w:charSpace="0"/>
        </w:sectPr>
      </w:pPr>
    </w:p>
    <w:p>
      <w:pPr>
        <w:pStyle w:val="6"/>
        <w:rPr>
          <w:color w:val="auto"/>
        </w:rPr>
      </w:pPr>
      <w:r>
        <w:rPr>
          <w:rFonts w:hint="eastAsia"/>
          <w:color w:val="auto"/>
        </w:rPr>
        <w:t>应用融合管理模块</w:t>
      </w:r>
    </w:p>
    <w:tbl>
      <w:tblPr>
        <w:tblStyle w:val="22"/>
        <w:tblW w:w="5000" w:type="pct"/>
        <w:tblInd w:w="0" w:type="dxa"/>
        <w:tblLayout w:type="autofit"/>
        <w:tblCellMar>
          <w:top w:w="0" w:type="dxa"/>
          <w:left w:w="108" w:type="dxa"/>
          <w:bottom w:w="0" w:type="dxa"/>
          <w:right w:w="108" w:type="dxa"/>
        </w:tblCellMar>
      </w:tblPr>
      <w:tblGrid>
        <w:gridCol w:w="722"/>
        <w:gridCol w:w="1165"/>
        <w:gridCol w:w="1155"/>
        <w:gridCol w:w="5486"/>
      </w:tblGrid>
      <w:tr>
        <w:tblPrEx>
          <w:tblCellMar>
            <w:top w:w="0" w:type="dxa"/>
            <w:left w:w="108" w:type="dxa"/>
            <w:bottom w:w="0" w:type="dxa"/>
            <w:right w:w="108" w:type="dxa"/>
          </w:tblCellMar>
        </w:tblPrEx>
        <w:trPr>
          <w:trHeight w:val="20" w:hRule="atLeast"/>
        </w:trPr>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序号</w:t>
            </w:r>
          </w:p>
        </w:tc>
        <w:tc>
          <w:tcPr>
            <w:tcW w:w="68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功能模块</w:t>
            </w:r>
          </w:p>
        </w:tc>
        <w:tc>
          <w:tcPr>
            <w:tcW w:w="67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子模块</w:t>
            </w:r>
          </w:p>
        </w:tc>
        <w:tc>
          <w:tcPr>
            <w:tcW w:w="321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技术要求</w:t>
            </w:r>
          </w:p>
        </w:tc>
      </w:tr>
      <w:tr>
        <w:tblPrEx>
          <w:tblCellMar>
            <w:top w:w="0" w:type="dxa"/>
            <w:left w:w="108" w:type="dxa"/>
            <w:bottom w:w="0" w:type="dxa"/>
            <w:right w:w="108" w:type="dxa"/>
          </w:tblCellMar>
        </w:tblPrEx>
        <w:trPr>
          <w:trHeight w:val="20" w:hRule="atLeast"/>
        </w:trPr>
        <w:tc>
          <w:tcPr>
            <w:tcW w:w="423" w:type="pct"/>
            <w:vMerge w:val="restart"/>
            <w:tcBorders>
              <w:top w:val="nil"/>
              <w:left w:val="single" w:color="auto" w:sz="4" w:space="0"/>
              <w:right w:val="single" w:color="auto" w:sz="4" w:space="0"/>
            </w:tcBorders>
            <w:shd w:val="clear" w:color="auto" w:fill="auto"/>
            <w:vAlign w:val="center"/>
          </w:tcPr>
          <w:p>
            <w:pPr>
              <w:jc w:val="center"/>
              <w:rPr>
                <w:rFonts w:ascii="宋体" w:hAnsi="宋体" w:cs="宋体"/>
                <w:color w:val="auto"/>
                <w:kern w:val="0"/>
                <w:sz w:val="20"/>
                <w:szCs w:val="20"/>
              </w:rPr>
            </w:pPr>
            <w:r>
              <w:rPr>
                <w:rFonts w:ascii="宋体" w:hAnsi="宋体" w:cs="宋体"/>
                <w:color w:val="auto"/>
                <w:kern w:val="0"/>
                <w:sz w:val="20"/>
                <w:szCs w:val="20"/>
              </w:rPr>
              <w:t>1</w:t>
            </w:r>
          </w:p>
        </w:tc>
        <w:tc>
          <w:tcPr>
            <w:tcW w:w="683"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应用融合子模块</w:t>
            </w:r>
          </w:p>
        </w:tc>
        <w:tc>
          <w:tcPr>
            <w:tcW w:w="67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0"/>
                <w:szCs w:val="20"/>
                <w:lang w:eastAsia="zh-CN"/>
              </w:rPr>
            </w:pPr>
            <w:r>
              <w:rPr>
                <w:rFonts w:hint="eastAsia" w:ascii="宋体" w:hAnsi="宋体" w:cs="宋体"/>
                <w:color w:val="auto"/>
                <w:kern w:val="0"/>
                <w:sz w:val="20"/>
                <w:szCs w:val="20"/>
                <w:lang w:eastAsia="zh-CN"/>
              </w:rPr>
              <w:t>我的桌面</w:t>
            </w:r>
          </w:p>
        </w:tc>
        <w:tc>
          <w:tcPr>
            <w:tcW w:w="321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0"/>
                <w:szCs w:val="20"/>
                <w:lang w:eastAsia="zh-CN"/>
              </w:rPr>
            </w:pPr>
            <w:r>
              <w:rPr>
                <w:rFonts w:hint="eastAsia" w:ascii="宋体" w:hAnsi="宋体" w:cs="宋体"/>
                <w:color w:val="auto"/>
                <w:kern w:val="0"/>
                <w:sz w:val="20"/>
                <w:szCs w:val="20"/>
              </w:rPr>
              <w:t>按照用户权限体系构建用户个性化登录桌面，并且支持用户个性化设置，需支持按照应用类型分组</w:t>
            </w:r>
            <w:r>
              <w:rPr>
                <w:rFonts w:hint="eastAsia" w:ascii="宋体" w:hAnsi="宋体" w:cs="宋体"/>
                <w:color w:val="auto"/>
                <w:kern w:val="0"/>
                <w:sz w:val="20"/>
                <w:szCs w:val="20"/>
                <w:lang w:eastAsia="zh-CN"/>
              </w:rPr>
              <w:t>。</w:t>
            </w:r>
          </w:p>
        </w:tc>
      </w:tr>
      <w:tr>
        <w:tblPrEx>
          <w:tblCellMar>
            <w:top w:w="0" w:type="dxa"/>
            <w:left w:w="108" w:type="dxa"/>
            <w:bottom w:w="0" w:type="dxa"/>
            <w:right w:w="108" w:type="dxa"/>
          </w:tblCellMar>
        </w:tblPrEx>
        <w:trPr>
          <w:trHeight w:val="20" w:hRule="atLeast"/>
        </w:trPr>
        <w:tc>
          <w:tcPr>
            <w:tcW w:w="423" w:type="pct"/>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0"/>
                <w:szCs w:val="20"/>
              </w:rPr>
            </w:pPr>
          </w:p>
        </w:tc>
        <w:tc>
          <w:tcPr>
            <w:tcW w:w="683" w:type="pct"/>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0"/>
                <w:szCs w:val="20"/>
              </w:rPr>
            </w:pPr>
          </w:p>
        </w:tc>
        <w:tc>
          <w:tcPr>
            <w:tcW w:w="67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应用市场</w:t>
            </w:r>
          </w:p>
        </w:tc>
        <w:tc>
          <w:tcPr>
            <w:tcW w:w="321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0"/>
                <w:szCs w:val="20"/>
                <w:lang w:eastAsia="zh-CN"/>
              </w:rPr>
            </w:pPr>
            <w:r>
              <w:rPr>
                <w:rFonts w:hint="eastAsia" w:ascii="宋体" w:hAnsi="宋体" w:cs="宋体"/>
                <w:color w:val="auto"/>
                <w:kern w:val="0"/>
                <w:sz w:val="20"/>
                <w:szCs w:val="20"/>
              </w:rPr>
              <w:t>在应用市场中将各种应用类型按照部-省-市-县部门层级分类显示，并按照不同用户权限显示不用应用。可支持将应用添加至我的桌面</w:t>
            </w:r>
            <w:r>
              <w:rPr>
                <w:rFonts w:hint="eastAsia" w:ascii="宋体" w:hAnsi="宋体" w:cs="宋体"/>
                <w:color w:val="auto"/>
                <w:kern w:val="0"/>
                <w:sz w:val="20"/>
                <w:szCs w:val="20"/>
                <w:lang w:eastAsia="zh-CN"/>
              </w:rPr>
              <w:t>。</w:t>
            </w:r>
          </w:p>
          <w:p>
            <w:pPr>
              <w:widowControl/>
              <w:jc w:val="left"/>
              <w:rPr>
                <w:rFonts w:hint="eastAsia"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具有权限的操作人员支持提交应用上架申请，申请的应用审批完成后可对全局用户发布展示。</w:t>
            </w:r>
          </w:p>
        </w:tc>
      </w:tr>
      <w:tr>
        <w:tblPrEx>
          <w:tblCellMar>
            <w:top w:w="0" w:type="dxa"/>
            <w:left w:w="108" w:type="dxa"/>
            <w:bottom w:w="0" w:type="dxa"/>
            <w:right w:w="108" w:type="dxa"/>
          </w:tblCellMar>
        </w:tblPrEx>
        <w:trPr>
          <w:trHeight w:val="20" w:hRule="atLeast"/>
        </w:trPr>
        <w:tc>
          <w:tcPr>
            <w:tcW w:w="423" w:type="pct"/>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0"/>
                <w:szCs w:val="20"/>
              </w:rPr>
            </w:pPr>
          </w:p>
        </w:tc>
        <w:tc>
          <w:tcPr>
            <w:tcW w:w="683" w:type="pct"/>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0"/>
                <w:szCs w:val="20"/>
              </w:rPr>
            </w:pPr>
          </w:p>
        </w:tc>
        <w:tc>
          <w:tcPr>
            <w:tcW w:w="67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0"/>
                <w:szCs w:val="20"/>
                <w:lang w:val="en-US" w:eastAsia="zh-CN"/>
              </w:rPr>
            </w:pPr>
            <w:r>
              <w:rPr>
                <w:rFonts w:hint="eastAsia" w:ascii="宋体" w:hAnsi="宋体" w:cs="宋体"/>
                <w:color w:val="auto"/>
                <w:kern w:val="0"/>
                <w:sz w:val="20"/>
                <w:szCs w:val="20"/>
              </w:rPr>
              <w:t>统一认证管理</w:t>
            </w:r>
          </w:p>
        </w:tc>
        <w:tc>
          <w:tcPr>
            <w:tcW w:w="321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同一用户访问不同应用中的受保护资源，只需要登录一次，即通过一个应用中的安全验证后，再访问其他应用中的受保护资源时，不再需要重新登录验证。单点登录设计，支持用户只需要登录一次，即可访问所有相互信任的应用系统。登录方式支持证书登录、手机验证码登录、手势登录（大屏展示时使用）。</w:t>
            </w:r>
          </w:p>
          <w:p>
            <w:pPr>
              <w:widowControl/>
              <w:jc w:val="left"/>
              <w:rPr>
                <w:rFonts w:hint="eastAsia"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制定相应的应用规范及上架规范，实现与市县级以下新建设系统及应用的统一认证。部省级系统只以超链接的方式接入到门户。</w:t>
            </w:r>
          </w:p>
        </w:tc>
      </w:tr>
      <w:tr>
        <w:tblPrEx>
          <w:tblCellMar>
            <w:top w:w="0" w:type="dxa"/>
            <w:left w:w="108" w:type="dxa"/>
            <w:bottom w:w="0" w:type="dxa"/>
            <w:right w:w="108" w:type="dxa"/>
          </w:tblCellMar>
        </w:tblPrEx>
        <w:trPr>
          <w:trHeight w:val="20" w:hRule="atLeast"/>
        </w:trPr>
        <w:tc>
          <w:tcPr>
            <w:tcW w:w="423" w:type="pct"/>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0"/>
                <w:szCs w:val="20"/>
              </w:rPr>
            </w:pPr>
          </w:p>
        </w:tc>
        <w:tc>
          <w:tcPr>
            <w:tcW w:w="683"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auto"/>
                <w:kern w:val="0"/>
                <w:sz w:val="20"/>
                <w:szCs w:val="20"/>
              </w:rPr>
            </w:pPr>
          </w:p>
        </w:tc>
        <w:tc>
          <w:tcPr>
            <w:tcW w:w="67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统一门户集成</w:t>
            </w:r>
          </w:p>
        </w:tc>
        <w:tc>
          <w:tcPr>
            <w:tcW w:w="321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统一门户以单点登录为核心，将本标的应用模块及现网应用模块进行业务功能统一门户集成，形成统一的工作平台，避免民警面对多个系统，在不同的工作界面之间反复切换，工作效率不高等问题，实现一次登录，千人千面。</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Logo及系统名称可以自定义，系统背景可以自定义。</w:t>
            </w:r>
          </w:p>
        </w:tc>
      </w:tr>
      <w:tr>
        <w:tblPrEx>
          <w:tblCellMar>
            <w:top w:w="0" w:type="dxa"/>
            <w:left w:w="108" w:type="dxa"/>
            <w:bottom w:w="0" w:type="dxa"/>
            <w:right w:w="108" w:type="dxa"/>
          </w:tblCellMar>
        </w:tblPrEx>
        <w:trPr>
          <w:trHeight w:val="20" w:hRule="atLeast"/>
        </w:trPr>
        <w:tc>
          <w:tcPr>
            <w:tcW w:w="423" w:type="pct"/>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0"/>
                <w:szCs w:val="20"/>
              </w:rPr>
            </w:pPr>
          </w:p>
        </w:tc>
        <w:tc>
          <w:tcPr>
            <w:tcW w:w="683"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auto"/>
                <w:kern w:val="0"/>
                <w:sz w:val="20"/>
                <w:szCs w:val="20"/>
              </w:rPr>
            </w:pPr>
          </w:p>
        </w:tc>
        <w:tc>
          <w:tcPr>
            <w:tcW w:w="67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统一用户管理</w:t>
            </w:r>
          </w:p>
        </w:tc>
        <w:tc>
          <w:tcPr>
            <w:tcW w:w="321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对接“浙政钉”用户体系，同时结合可提供的第三方平台用户体系（政法委四平台、省厅警综、公安交通管理综合应用平台等），基于交警业务系统的用户信息、组织信息，建立支持台州公安应用的用户体系，支持在本模块中新增用户和组织</w:t>
            </w:r>
            <w:r>
              <w:rPr>
                <w:rFonts w:hint="eastAsia" w:ascii="宋体" w:hAnsi="宋体" w:cs="宋体"/>
                <w:color w:val="auto"/>
                <w:kern w:val="0"/>
                <w:sz w:val="20"/>
                <w:szCs w:val="20"/>
                <w:lang w:eastAsia="zh-CN"/>
              </w:rPr>
              <w:t>，在门户中对用户进行统一管理。</w:t>
            </w:r>
            <w:r>
              <w:rPr>
                <w:rFonts w:hint="eastAsia" w:ascii="宋体" w:hAnsi="宋体" w:cs="宋体"/>
                <w:color w:val="auto"/>
                <w:kern w:val="0"/>
                <w:sz w:val="20"/>
                <w:szCs w:val="20"/>
              </w:rPr>
              <w:t>用户体系要和新一代公安信息网的安全访问平台对接，实现基于安全访问平台的应用访问。</w:t>
            </w:r>
          </w:p>
        </w:tc>
      </w:tr>
      <w:tr>
        <w:tblPrEx>
          <w:tblCellMar>
            <w:top w:w="0" w:type="dxa"/>
            <w:left w:w="108" w:type="dxa"/>
            <w:bottom w:w="0" w:type="dxa"/>
            <w:right w:w="108" w:type="dxa"/>
          </w:tblCellMar>
        </w:tblPrEx>
        <w:trPr>
          <w:trHeight w:val="20" w:hRule="atLeast"/>
        </w:trPr>
        <w:tc>
          <w:tcPr>
            <w:tcW w:w="423" w:type="pct"/>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0"/>
                <w:szCs w:val="20"/>
              </w:rPr>
            </w:pPr>
          </w:p>
        </w:tc>
        <w:tc>
          <w:tcPr>
            <w:tcW w:w="683"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auto"/>
                <w:kern w:val="0"/>
                <w:sz w:val="20"/>
                <w:szCs w:val="20"/>
              </w:rPr>
            </w:pPr>
          </w:p>
        </w:tc>
        <w:tc>
          <w:tcPr>
            <w:tcW w:w="67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统一授权管理</w:t>
            </w:r>
          </w:p>
        </w:tc>
        <w:tc>
          <w:tcPr>
            <w:tcW w:w="321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支持应用功能管理，对用户访问资源的请求开展鉴权，并开展权限的管理。</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对于市县级以下新建高系统的权限管理，统一由门户进行管理。</w:t>
            </w:r>
          </w:p>
        </w:tc>
      </w:tr>
      <w:tr>
        <w:tblPrEx>
          <w:tblCellMar>
            <w:top w:w="0" w:type="dxa"/>
            <w:left w:w="108" w:type="dxa"/>
            <w:bottom w:w="0" w:type="dxa"/>
            <w:right w:w="108" w:type="dxa"/>
          </w:tblCellMar>
        </w:tblPrEx>
        <w:trPr>
          <w:trHeight w:val="20" w:hRule="atLeast"/>
        </w:trPr>
        <w:tc>
          <w:tcPr>
            <w:tcW w:w="423" w:type="pct"/>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p>
        </w:tc>
        <w:tc>
          <w:tcPr>
            <w:tcW w:w="683"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auto"/>
                <w:kern w:val="0"/>
                <w:sz w:val="20"/>
                <w:szCs w:val="20"/>
              </w:rPr>
            </w:pPr>
          </w:p>
        </w:tc>
        <w:tc>
          <w:tcPr>
            <w:tcW w:w="67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统一接入管理</w:t>
            </w:r>
          </w:p>
        </w:tc>
        <w:tc>
          <w:tcPr>
            <w:tcW w:w="321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本模块需设计应用融合技术规范和标准，应用融合提供统一接入规范，包括接入标准、统一UI规范、消息推送标准，作为应用模块统一接入的规范依据，本期接入新建应用。各应用模块按照标准要求接入，确保各大业务应用能高效运行，以支撑各单位部门日常作业所需。</w:t>
            </w:r>
          </w:p>
        </w:tc>
      </w:tr>
      <w:tr>
        <w:tblPrEx>
          <w:tblCellMar>
            <w:top w:w="0" w:type="dxa"/>
            <w:left w:w="108" w:type="dxa"/>
            <w:bottom w:w="0" w:type="dxa"/>
            <w:right w:w="108" w:type="dxa"/>
          </w:tblCellMar>
        </w:tblPrEx>
        <w:trPr>
          <w:trHeight w:val="20" w:hRule="atLeast"/>
        </w:trPr>
        <w:tc>
          <w:tcPr>
            <w:tcW w:w="423" w:type="pct"/>
            <w:vMerge w:val="restart"/>
            <w:tcBorders>
              <w:top w:val="nil"/>
              <w:left w:val="single" w:color="auto" w:sz="4" w:space="0"/>
              <w:right w:val="single" w:color="auto" w:sz="4" w:space="0"/>
            </w:tcBorders>
            <w:shd w:val="clear" w:color="auto" w:fill="auto"/>
            <w:vAlign w:val="center"/>
          </w:tcPr>
          <w:p>
            <w:pPr>
              <w:jc w:val="center"/>
              <w:rPr>
                <w:rFonts w:ascii="宋体" w:hAnsi="宋体" w:cs="宋体"/>
                <w:color w:val="auto"/>
                <w:kern w:val="0"/>
                <w:sz w:val="20"/>
                <w:szCs w:val="20"/>
              </w:rPr>
            </w:pPr>
            <w:r>
              <w:rPr>
                <w:rFonts w:ascii="宋体" w:hAnsi="宋体" w:cs="宋体"/>
                <w:color w:val="auto"/>
                <w:kern w:val="0"/>
                <w:sz w:val="20"/>
                <w:szCs w:val="20"/>
              </w:rPr>
              <w:t>2</w:t>
            </w:r>
          </w:p>
        </w:tc>
        <w:tc>
          <w:tcPr>
            <w:tcW w:w="683"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通用能力子模块</w:t>
            </w:r>
          </w:p>
        </w:tc>
        <w:tc>
          <w:tcPr>
            <w:tcW w:w="67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微服务功能</w:t>
            </w:r>
          </w:p>
        </w:tc>
        <w:tc>
          <w:tcPr>
            <w:tcW w:w="321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微服务体系能力包括注册功能、配置功能、应用网关、微服务监控管理四部分。</w:t>
            </w:r>
          </w:p>
        </w:tc>
      </w:tr>
      <w:tr>
        <w:tblPrEx>
          <w:tblCellMar>
            <w:top w:w="0" w:type="dxa"/>
            <w:left w:w="108" w:type="dxa"/>
            <w:bottom w:w="0" w:type="dxa"/>
            <w:right w:w="108" w:type="dxa"/>
          </w:tblCellMar>
        </w:tblPrEx>
        <w:trPr>
          <w:trHeight w:val="20" w:hRule="atLeast"/>
        </w:trPr>
        <w:tc>
          <w:tcPr>
            <w:tcW w:w="423" w:type="pct"/>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0"/>
                <w:szCs w:val="20"/>
              </w:rPr>
            </w:pPr>
          </w:p>
        </w:tc>
        <w:tc>
          <w:tcPr>
            <w:tcW w:w="683"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auto"/>
                <w:kern w:val="0"/>
                <w:sz w:val="20"/>
                <w:szCs w:val="20"/>
              </w:rPr>
            </w:pPr>
          </w:p>
        </w:tc>
        <w:tc>
          <w:tcPr>
            <w:tcW w:w="67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鉴权功能</w:t>
            </w:r>
          </w:p>
        </w:tc>
        <w:tc>
          <w:tcPr>
            <w:tcW w:w="321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基于令牌安全，使用oauth标准嵌入网关，支持所有服务、登录、访问、资源等的鉴权处理。</w:t>
            </w:r>
          </w:p>
        </w:tc>
      </w:tr>
      <w:tr>
        <w:tblPrEx>
          <w:tblCellMar>
            <w:top w:w="0" w:type="dxa"/>
            <w:left w:w="108" w:type="dxa"/>
            <w:bottom w:w="0" w:type="dxa"/>
            <w:right w:w="108" w:type="dxa"/>
          </w:tblCellMar>
        </w:tblPrEx>
        <w:trPr>
          <w:trHeight w:val="20" w:hRule="atLeast"/>
        </w:trPr>
        <w:tc>
          <w:tcPr>
            <w:tcW w:w="423" w:type="pct"/>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0"/>
                <w:szCs w:val="20"/>
              </w:rPr>
            </w:pPr>
          </w:p>
        </w:tc>
        <w:tc>
          <w:tcPr>
            <w:tcW w:w="683"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auto"/>
                <w:kern w:val="0"/>
                <w:sz w:val="20"/>
                <w:szCs w:val="20"/>
              </w:rPr>
            </w:pPr>
          </w:p>
        </w:tc>
        <w:tc>
          <w:tcPr>
            <w:tcW w:w="67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日志功能</w:t>
            </w:r>
          </w:p>
        </w:tc>
        <w:tc>
          <w:tcPr>
            <w:tcW w:w="321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构建统一的日志采集和管理平台。针对各系统的系统日志和能力调用日志进行集中的管理和分析，系统可以对所有的系统操作记录日志、保留痕迹。民警可查询相关系统操作日志。</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对于市县级以下新建设系统的日志，要定时向门户进行推送，在门户进行汇聚管理。</w:t>
            </w:r>
          </w:p>
        </w:tc>
      </w:tr>
      <w:tr>
        <w:tblPrEx>
          <w:tblCellMar>
            <w:top w:w="0" w:type="dxa"/>
            <w:left w:w="108" w:type="dxa"/>
            <w:bottom w:w="0" w:type="dxa"/>
            <w:right w:w="108" w:type="dxa"/>
          </w:tblCellMar>
        </w:tblPrEx>
        <w:trPr>
          <w:trHeight w:val="20" w:hRule="atLeast"/>
        </w:trPr>
        <w:tc>
          <w:tcPr>
            <w:tcW w:w="423" w:type="pct"/>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0"/>
                <w:szCs w:val="20"/>
              </w:rPr>
            </w:pPr>
          </w:p>
        </w:tc>
        <w:tc>
          <w:tcPr>
            <w:tcW w:w="683"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p>
        </w:tc>
        <w:tc>
          <w:tcPr>
            <w:tcW w:w="67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任务功能</w:t>
            </w:r>
          </w:p>
        </w:tc>
        <w:tc>
          <w:tcPr>
            <w:tcW w:w="321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集中化管理任务调度，支持可视化设置任务调度的方式和周期，同时对每一次调度进行日志记录方便追溯排查。系统支持集群部署可同时支撑多任务调度管理。</w:t>
            </w:r>
          </w:p>
        </w:tc>
      </w:tr>
      <w:tr>
        <w:tblPrEx>
          <w:tblCellMar>
            <w:top w:w="0" w:type="dxa"/>
            <w:left w:w="108" w:type="dxa"/>
            <w:bottom w:w="0" w:type="dxa"/>
            <w:right w:w="108" w:type="dxa"/>
          </w:tblCellMar>
        </w:tblPrEx>
        <w:trPr>
          <w:trHeight w:val="20" w:hRule="atLeast"/>
        </w:trPr>
        <w:tc>
          <w:tcPr>
            <w:tcW w:w="423" w:type="pct"/>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0"/>
                <w:szCs w:val="20"/>
              </w:rPr>
            </w:pPr>
          </w:p>
        </w:tc>
        <w:tc>
          <w:tcPr>
            <w:tcW w:w="683"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p>
        </w:tc>
        <w:tc>
          <w:tcPr>
            <w:tcW w:w="67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排名及通知公告</w:t>
            </w:r>
          </w:p>
        </w:tc>
        <w:tc>
          <w:tcPr>
            <w:tcW w:w="321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0"/>
                <w:szCs w:val="20"/>
                <w:lang w:eastAsia="zh-CN"/>
              </w:rPr>
            </w:pPr>
            <w:r>
              <w:rPr>
                <w:rFonts w:hint="eastAsia" w:ascii="宋体" w:hAnsi="宋体" w:cs="宋体"/>
                <w:color w:val="auto"/>
                <w:kern w:val="0"/>
                <w:sz w:val="20"/>
                <w:szCs w:val="20"/>
              </w:rPr>
              <w:t>常用应用按用户点击量排名</w:t>
            </w:r>
            <w:r>
              <w:rPr>
                <w:rFonts w:hint="eastAsia" w:ascii="宋体" w:hAnsi="宋体" w:cs="宋体"/>
                <w:color w:val="auto"/>
                <w:kern w:val="0"/>
                <w:sz w:val="20"/>
                <w:szCs w:val="20"/>
                <w:lang w:eastAsia="zh-CN"/>
              </w:rPr>
              <w:t>。</w:t>
            </w:r>
          </w:p>
          <w:p>
            <w:pPr>
              <w:widowControl/>
              <w:jc w:val="left"/>
              <w:rPr>
                <w:rFonts w:hint="eastAsia" w:ascii="宋体" w:hAnsi="宋体" w:cs="宋体"/>
                <w:color w:val="auto"/>
                <w:kern w:val="0"/>
                <w:sz w:val="20"/>
                <w:szCs w:val="20"/>
                <w:lang w:eastAsia="zh-CN"/>
              </w:rPr>
            </w:pPr>
            <w:r>
              <w:rPr>
                <w:rFonts w:hint="eastAsia" w:ascii="宋体" w:hAnsi="宋体" w:cs="宋体"/>
                <w:color w:val="auto"/>
                <w:kern w:val="0"/>
                <w:sz w:val="20"/>
                <w:szCs w:val="20"/>
                <w:lang w:eastAsia="zh-CN"/>
              </w:rPr>
              <w:t>热门应用下载按搜索量排名。</w:t>
            </w:r>
          </w:p>
          <w:p>
            <w:pPr>
              <w:widowControl/>
              <w:jc w:val="left"/>
              <w:rPr>
                <w:rFonts w:hint="eastAsia" w:ascii="宋体" w:hAnsi="宋体" w:cs="宋体"/>
                <w:color w:val="auto"/>
                <w:kern w:val="0"/>
                <w:sz w:val="20"/>
                <w:szCs w:val="20"/>
                <w:lang w:eastAsia="zh-CN"/>
              </w:rPr>
            </w:pPr>
            <w:r>
              <w:rPr>
                <w:rFonts w:hint="eastAsia" w:ascii="宋体" w:hAnsi="宋体" w:cs="宋体"/>
                <w:color w:val="auto"/>
                <w:kern w:val="0"/>
                <w:sz w:val="20"/>
                <w:szCs w:val="20"/>
                <w:lang w:eastAsia="zh-CN"/>
              </w:rPr>
              <w:t>通知公告推送。</w:t>
            </w:r>
          </w:p>
        </w:tc>
      </w:tr>
      <w:tr>
        <w:tblPrEx>
          <w:tblCellMar>
            <w:top w:w="0" w:type="dxa"/>
            <w:left w:w="108" w:type="dxa"/>
            <w:bottom w:w="0" w:type="dxa"/>
            <w:right w:w="108" w:type="dxa"/>
          </w:tblCellMar>
        </w:tblPrEx>
        <w:trPr>
          <w:trHeight w:val="20" w:hRule="atLeast"/>
        </w:trPr>
        <w:tc>
          <w:tcPr>
            <w:tcW w:w="423" w:type="pct"/>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p>
        </w:tc>
        <w:tc>
          <w:tcPr>
            <w:tcW w:w="6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p>
        </w:tc>
        <w:tc>
          <w:tcPr>
            <w:tcW w:w="67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消息功能</w:t>
            </w:r>
          </w:p>
        </w:tc>
        <w:tc>
          <w:tcPr>
            <w:tcW w:w="3216"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构建统一的消息总线，集中对系统中涉及消息推送的模块进行管理。</w:t>
            </w:r>
          </w:p>
        </w:tc>
      </w:tr>
      <w:tr>
        <w:tblPrEx>
          <w:tblCellMar>
            <w:top w:w="0" w:type="dxa"/>
            <w:left w:w="108" w:type="dxa"/>
            <w:bottom w:w="0" w:type="dxa"/>
            <w:right w:w="108" w:type="dxa"/>
          </w:tblCellMar>
        </w:tblPrEx>
        <w:trPr>
          <w:trHeight w:val="20" w:hRule="atLeast"/>
        </w:trPr>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3</w:t>
            </w:r>
          </w:p>
        </w:tc>
        <w:tc>
          <w:tcPr>
            <w:tcW w:w="136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统一资源</w:t>
            </w:r>
          </w:p>
        </w:tc>
        <w:tc>
          <w:tcPr>
            <w:tcW w:w="3216"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模块需要复用资源中心提供的关系型数据库及分布式数据库，统一使用资源中心提供的大数据能力。</w:t>
            </w:r>
          </w:p>
        </w:tc>
      </w:tr>
    </w:tbl>
    <w:p>
      <w:pPr>
        <w:widowControl/>
        <w:autoSpaceDE w:val="0"/>
        <w:autoSpaceDN w:val="0"/>
        <w:adjustRightInd w:val="0"/>
        <w:spacing w:line="360" w:lineRule="auto"/>
        <w:ind w:firstLine="460" w:firstLineChars="192"/>
        <w:jc w:val="left"/>
        <w:rPr>
          <w:rFonts w:hint="eastAsia"/>
          <w:b/>
          <w:color w:val="auto"/>
          <w:kern w:val="0"/>
          <w:sz w:val="24"/>
          <w:szCs w:val="28"/>
        </w:rPr>
      </w:pPr>
    </w:p>
    <w:p>
      <w:pPr>
        <w:pStyle w:val="10"/>
        <w:rPr>
          <w:rFonts w:hint="eastAsia"/>
          <w:color w:val="auto"/>
        </w:rPr>
      </w:pPr>
    </w:p>
    <w:p>
      <w:pPr>
        <w:pStyle w:val="56"/>
        <w:rPr>
          <w:color w:val="auto"/>
        </w:rPr>
      </w:pPr>
    </w:p>
    <w:p>
      <w:pPr>
        <w:pStyle w:val="6"/>
        <w:rPr>
          <w:color w:val="auto"/>
        </w:rPr>
      </w:pPr>
      <w:r>
        <w:rPr>
          <w:rFonts w:hint="eastAsia"/>
          <w:color w:val="auto"/>
        </w:rPr>
        <w:t>数智实战模块</w:t>
      </w:r>
    </w:p>
    <w:p>
      <w:pPr>
        <w:keepNext/>
        <w:jc w:val="center"/>
        <w:rPr>
          <w:color w:val="auto"/>
        </w:rPr>
      </w:pPr>
      <w:r>
        <w:rPr>
          <w:color w:val="auto"/>
        </w:rPr>
        <w:drawing>
          <wp:inline distT="0" distB="0" distL="0" distR="0">
            <wp:extent cx="5599430" cy="2574925"/>
            <wp:effectExtent l="0" t="0" r="1270" b="1587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15"/>
                    <a:stretch>
                      <a:fillRect/>
                    </a:stretch>
                  </pic:blipFill>
                  <pic:spPr>
                    <a:xfrm>
                      <a:off x="0" y="0"/>
                      <a:ext cx="5607015" cy="2578757"/>
                    </a:xfrm>
                    <a:prstGeom prst="rect">
                      <a:avLst/>
                    </a:prstGeom>
                  </pic:spPr>
                </pic:pic>
              </a:graphicData>
            </a:graphic>
          </wp:inline>
        </w:drawing>
      </w:r>
    </w:p>
    <w:p>
      <w:pPr>
        <w:spacing w:before="152" w:after="160"/>
        <w:jc w:val="center"/>
        <w:rPr>
          <w:rFonts w:hint="eastAsia" w:ascii="Arial" w:hAnsi="Arial" w:eastAsia="黑体" w:cs="Arial"/>
          <w:color w:val="auto"/>
          <w:sz w:val="20"/>
          <w:szCs w:val="20"/>
          <w:lang w:eastAsia="zh-CN"/>
        </w:rPr>
      </w:pPr>
      <w:r>
        <w:rPr>
          <w:rFonts w:hint="eastAsia" w:ascii="Arial" w:hAnsi="Arial" w:eastAsia="黑体" w:cs="Arial"/>
          <w:color w:val="auto"/>
          <w:sz w:val="20"/>
          <w:szCs w:val="20"/>
        </w:rPr>
        <w:t>图</w:t>
      </w:r>
      <w:r>
        <w:rPr>
          <w:rFonts w:ascii="Arial" w:hAnsi="Arial" w:eastAsia="黑体" w:cs="Arial"/>
          <w:color w:val="auto"/>
          <w:sz w:val="20"/>
          <w:szCs w:val="20"/>
        </w:rPr>
        <w:fldChar w:fldCharType="begin"/>
      </w:r>
      <w:r>
        <w:rPr>
          <w:rFonts w:ascii="Arial" w:hAnsi="Arial" w:eastAsia="黑体" w:cs="Arial"/>
          <w:color w:val="auto"/>
          <w:sz w:val="20"/>
          <w:szCs w:val="20"/>
        </w:rPr>
        <w:instrText xml:space="preserve"> </w:instrText>
      </w:r>
      <w:r>
        <w:rPr>
          <w:rFonts w:hint="eastAsia" w:ascii="Arial" w:hAnsi="Arial" w:eastAsia="黑体" w:cs="Arial"/>
          <w:color w:val="auto"/>
          <w:sz w:val="20"/>
          <w:szCs w:val="20"/>
        </w:rPr>
        <w:instrText xml:space="preserve">SEQ 图 \* ARABIC</w:instrText>
      </w:r>
      <w:r>
        <w:rPr>
          <w:rFonts w:ascii="Arial" w:hAnsi="Arial" w:eastAsia="黑体" w:cs="Arial"/>
          <w:color w:val="auto"/>
          <w:sz w:val="20"/>
          <w:szCs w:val="20"/>
        </w:rPr>
        <w:instrText xml:space="preserve"> </w:instrText>
      </w:r>
      <w:r>
        <w:rPr>
          <w:rFonts w:ascii="Arial" w:hAnsi="Arial" w:eastAsia="黑体" w:cs="Arial"/>
          <w:color w:val="auto"/>
          <w:sz w:val="20"/>
          <w:szCs w:val="20"/>
        </w:rPr>
        <w:fldChar w:fldCharType="separate"/>
      </w:r>
      <w:r>
        <w:rPr>
          <w:rFonts w:ascii="Arial" w:hAnsi="Arial" w:eastAsia="黑体" w:cs="Arial"/>
          <w:color w:val="auto"/>
          <w:sz w:val="20"/>
          <w:szCs w:val="20"/>
        </w:rPr>
        <w:t>1</w:t>
      </w:r>
      <w:r>
        <w:rPr>
          <w:rFonts w:ascii="Arial" w:hAnsi="Arial" w:eastAsia="黑体" w:cs="Arial"/>
          <w:color w:val="auto"/>
          <w:sz w:val="20"/>
          <w:szCs w:val="20"/>
        </w:rPr>
        <w:fldChar w:fldCharType="end"/>
      </w:r>
      <w:r>
        <w:rPr>
          <w:rFonts w:ascii="Arial" w:hAnsi="Arial" w:eastAsia="黑体" w:cs="Arial"/>
          <w:color w:val="auto"/>
          <w:sz w:val="20"/>
          <w:szCs w:val="20"/>
        </w:rPr>
        <w:t>总体流程图</w:t>
      </w:r>
      <w:r>
        <w:rPr>
          <w:rFonts w:hint="eastAsia" w:ascii="Arial" w:hAnsi="Arial" w:eastAsia="黑体" w:cs="Arial"/>
          <w:color w:val="auto"/>
          <w:sz w:val="20"/>
          <w:szCs w:val="20"/>
          <w:lang w:eastAsia="zh-CN"/>
        </w:rPr>
        <w:t>（仅供参考）</w:t>
      </w:r>
    </w:p>
    <w:p>
      <w:pPr>
        <w:widowControl/>
        <w:autoSpaceDE w:val="0"/>
        <w:autoSpaceDN w:val="0"/>
        <w:adjustRightInd w:val="0"/>
        <w:spacing w:line="360" w:lineRule="auto"/>
        <w:ind w:firstLine="460" w:firstLineChars="192"/>
        <w:jc w:val="left"/>
        <w:rPr>
          <w:color w:val="auto"/>
          <w:kern w:val="0"/>
          <w:sz w:val="24"/>
          <w:szCs w:val="28"/>
        </w:rPr>
      </w:pPr>
      <w:r>
        <w:rPr>
          <w:rFonts w:hint="eastAsia"/>
          <w:color w:val="auto"/>
          <w:kern w:val="0"/>
          <w:sz w:val="24"/>
          <w:szCs w:val="28"/>
        </w:rPr>
        <w:t>流程说明：</w:t>
      </w:r>
    </w:p>
    <w:p>
      <w:pPr>
        <w:widowControl/>
        <w:autoSpaceDE w:val="0"/>
        <w:autoSpaceDN w:val="0"/>
        <w:adjustRightInd w:val="0"/>
        <w:spacing w:line="360" w:lineRule="auto"/>
        <w:ind w:firstLine="460" w:firstLineChars="192"/>
        <w:jc w:val="left"/>
        <w:rPr>
          <w:bCs/>
          <w:color w:val="auto"/>
          <w:kern w:val="0"/>
          <w:sz w:val="24"/>
          <w:szCs w:val="28"/>
        </w:rPr>
      </w:pPr>
      <w:r>
        <w:rPr>
          <w:rFonts w:hint="eastAsia" w:ascii="宋体" w:hAnsi="宋体"/>
          <w:bCs/>
          <w:color w:val="auto"/>
          <w:kern w:val="0"/>
          <w:sz w:val="24"/>
          <w:szCs w:val="28"/>
        </w:rPr>
        <w:t>1</w:t>
      </w:r>
      <w:r>
        <w:rPr>
          <w:rFonts w:hint="eastAsia"/>
          <w:bCs/>
          <w:color w:val="auto"/>
          <w:kern w:val="0"/>
          <w:sz w:val="24"/>
          <w:szCs w:val="28"/>
        </w:rPr>
        <w:t>）</w:t>
      </w:r>
      <w:r>
        <w:rPr>
          <w:bCs/>
          <w:color w:val="auto"/>
          <w:kern w:val="0"/>
          <w:sz w:val="24"/>
          <w:szCs w:val="28"/>
        </w:rPr>
        <w:t>情报支撑</w:t>
      </w:r>
    </w:p>
    <w:p>
      <w:pPr>
        <w:widowControl/>
        <w:autoSpaceDE w:val="0"/>
        <w:autoSpaceDN w:val="0"/>
        <w:adjustRightInd w:val="0"/>
        <w:spacing w:line="360" w:lineRule="auto"/>
        <w:ind w:firstLine="460" w:firstLineChars="192"/>
        <w:jc w:val="left"/>
        <w:rPr>
          <w:color w:val="auto"/>
          <w:kern w:val="0"/>
          <w:sz w:val="24"/>
          <w:szCs w:val="28"/>
        </w:rPr>
      </w:pPr>
      <w:r>
        <w:rPr>
          <w:color w:val="auto"/>
          <w:kern w:val="0"/>
          <w:sz w:val="24"/>
          <w:szCs w:val="28"/>
        </w:rPr>
        <w:t>系统接收各类情报信息，包括前端感知设备的事件检测信息</w:t>
      </w:r>
      <w:r>
        <w:rPr>
          <w:rFonts w:hint="eastAsia"/>
          <w:color w:val="auto"/>
          <w:kern w:val="0"/>
          <w:sz w:val="24"/>
          <w:szCs w:val="28"/>
        </w:rPr>
        <w:t>，</w:t>
      </w:r>
      <w:r>
        <w:rPr>
          <w:color w:val="auto"/>
          <w:kern w:val="0"/>
          <w:sz w:val="24"/>
          <w:szCs w:val="28"/>
        </w:rPr>
        <w:t>支</w:t>
      </w:r>
      <w:r>
        <w:rPr>
          <w:rFonts w:hint="eastAsia"/>
          <w:color w:val="auto"/>
          <w:kern w:val="0"/>
          <w:sz w:val="24"/>
          <w:szCs w:val="28"/>
        </w:rPr>
        <w:t>\</w:t>
      </w:r>
      <w:r>
        <w:rPr>
          <w:color w:val="auto"/>
          <w:kern w:val="0"/>
          <w:sz w:val="24"/>
          <w:szCs w:val="28"/>
        </w:rPr>
        <w:t>大队通过大数据研判</w:t>
      </w:r>
      <w:r>
        <w:rPr>
          <w:rFonts w:hint="eastAsia"/>
          <w:color w:val="auto"/>
          <w:kern w:val="0"/>
          <w:sz w:val="24"/>
          <w:szCs w:val="28"/>
        </w:rPr>
        <w:t>产生情报信息</w:t>
      </w:r>
      <w:r>
        <w:rPr>
          <w:color w:val="auto"/>
          <w:kern w:val="0"/>
          <w:sz w:val="24"/>
          <w:szCs w:val="28"/>
        </w:rPr>
        <w:t>、人工采集</w:t>
      </w:r>
      <w:r>
        <w:rPr>
          <w:rFonts w:hint="eastAsia"/>
          <w:color w:val="auto"/>
          <w:kern w:val="0"/>
          <w:sz w:val="24"/>
          <w:szCs w:val="28"/>
        </w:rPr>
        <w:t>情报信息</w:t>
      </w:r>
      <w:r>
        <w:rPr>
          <w:color w:val="auto"/>
          <w:kern w:val="0"/>
          <w:sz w:val="24"/>
          <w:szCs w:val="28"/>
        </w:rPr>
        <w:t>、互联网</w:t>
      </w:r>
      <w:r>
        <w:rPr>
          <w:rFonts w:hint="eastAsia"/>
          <w:color w:val="auto"/>
          <w:kern w:val="0"/>
          <w:sz w:val="24"/>
          <w:szCs w:val="28"/>
        </w:rPr>
        <w:t>警情</w:t>
      </w:r>
      <w:r>
        <w:rPr>
          <w:color w:val="auto"/>
          <w:kern w:val="0"/>
          <w:sz w:val="24"/>
          <w:szCs w:val="28"/>
        </w:rPr>
        <w:t>和市局</w:t>
      </w:r>
      <w:r>
        <w:rPr>
          <w:rFonts w:ascii="宋体" w:hAnsi="宋体"/>
          <w:color w:val="auto"/>
          <w:kern w:val="0"/>
          <w:sz w:val="24"/>
          <w:szCs w:val="28"/>
        </w:rPr>
        <w:t>110</w:t>
      </w:r>
      <w:r>
        <w:rPr>
          <w:color w:val="auto"/>
          <w:kern w:val="0"/>
          <w:sz w:val="24"/>
          <w:szCs w:val="28"/>
        </w:rPr>
        <w:t>警情，其中市局</w:t>
      </w:r>
      <w:r>
        <w:rPr>
          <w:rFonts w:ascii="宋体" w:hAnsi="宋体"/>
          <w:color w:val="auto"/>
          <w:kern w:val="0"/>
          <w:sz w:val="24"/>
          <w:szCs w:val="28"/>
        </w:rPr>
        <w:t>110</w:t>
      </w:r>
      <w:r>
        <w:rPr>
          <w:color w:val="auto"/>
          <w:kern w:val="0"/>
          <w:sz w:val="24"/>
          <w:szCs w:val="28"/>
        </w:rPr>
        <w:t>警情只进行可视化展示，不派警。</w:t>
      </w:r>
    </w:p>
    <w:p>
      <w:pPr>
        <w:widowControl/>
        <w:autoSpaceDE w:val="0"/>
        <w:autoSpaceDN w:val="0"/>
        <w:adjustRightInd w:val="0"/>
        <w:spacing w:line="360" w:lineRule="auto"/>
        <w:ind w:firstLine="460" w:firstLineChars="192"/>
        <w:jc w:val="left"/>
        <w:rPr>
          <w:color w:val="auto"/>
          <w:kern w:val="0"/>
          <w:sz w:val="24"/>
          <w:szCs w:val="28"/>
        </w:rPr>
      </w:pPr>
      <w:r>
        <w:rPr>
          <w:rFonts w:hint="eastAsia" w:ascii="宋体" w:hAnsi="宋体"/>
          <w:color w:val="auto"/>
          <w:kern w:val="0"/>
          <w:sz w:val="24"/>
          <w:szCs w:val="28"/>
        </w:rPr>
        <w:t>（1）</w:t>
      </w:r>
      <w:r>
        <w:rPr>
          <w:color w:val="auto"/>
          <w:kern w:val="0"/>
          <w:sz w:val="24"/>
          <w:szCs w:val="28"/>
        </w:rPr>
        <w:t>情报确认</w:t>
      </w:r>
    </w:p>
    <w:p>
      <w:pPr>
        <w:widowControl/>
        <w:autoSpaceDE w:val="0"/>
        <w:autoSpaceDN w:val="0"/>
        <w:adjustRightInd w:val="0"/>
        <w:spacing w:line="360" w:lineRule="auto"/>
        <w:ind w:firstLine="460" w:firstLineChars="192"/>
        <w:jc w:val="left"/>
        <w:rPr>
          <w:color w:val="auto"/>
          <w:kern w:val="0"/>
          <w:sz w:val="24"/>
          <w:szCs w:val="28"/>
        </w:rPr>
      </w:pPr>
      <w:r>
        <w:rPr>
          <w:color w:val="auto"/>
          <w:kern w:val="0"/>
          <w:sz w:val="24"/>
          <w:szCs w:val="28"/>
        </w:rPr>
        <w:t>a）系统对接入的各类情报进行重复警情筛选，并根据警情发生地属地、机动车、驾驶人管理属地、情报研判</w:t>
      </w:r>
      <w:r>
        <w:rPr>
          <w:rFonts w:hint="eastAsia"/>
          <w:color w:val="auto"/>
          <w:kern w:val="0"/>
          <w:sz w:val="24"/>
          <w:szCs w:val="28"/>
        </w:rPr>
        <w:t>所属</w:t>
      </w:r>
      <w:r>
        <w:rPr>
          <w:color w:val="auto"/>
          <w:kern w:val="0"/>
          <w:sz w:val="24"/>
          <w:szCs w:val="28"/>
        </w:rPr>
        <w:t>部门、情报类型进行分级分类</w:t>
      </w:r>
      <w:r>
        <w:rPr>
          <w:rFonts w:hint="eastAsia"/>
          <w:color w:val="auto"/>
          <w:kern w:val="0"/>
          <w:sz w:val="24"/>
          <w:szCs w:val="28"/>
        </w:rPr>
        <w:t>标签化处置</w:t>
      </w:r>
      <w:r>
        <w:rPr>
          <w:color w:val="auto"/>
          <w:kern w:val="0"/>
          <w:sz w:val="24"/>
          <w:szCs w:val="28"/>
        </w:rPr>
        <w:t>，形成事件类</w:t>
      </w:r>
      <w:r>
        <w:rPr>
          <w:rFonts w:hint="eastAsia"/>
          <w:color w:val="auto"/>
          <w:kern w:val="0"/>
          <w:sz w:val="24"/>
          <w:szCs w:val="28"/>
        </w:rPr>
        <w:t>、</w:t>
      </w:r>
      <w:r>
        <w:rPr>
          <w:color w:val="auto"/>
          <w:kern w:val="0"/>
          <w:sz w:val="24"/>
          <w:szCs w:val="28"/>
        </w:rPr>
        <w:t>治理类</w:t>
      </w:r>
      <w:r>
        <w:rPr>
          <w:rFonts w:hint="eastAsia"/>
          <w:color w:val="auto"/>
          <w:kern w:val="0"/>
          <w:sz w:val="24"/>
          <w:szCs w:val="28"/>
        </w:rPr>
        <w:t>、布控类三种</w:t>
      </w:r>
      <w:r>
        <w:rPr>
          <w:color w:val="auto"/>
          <w:kern w:val="0"/>
          <w:sz w:val="24"/>
          <w:szCs w:val="28"/>
        </w:rPr>
        <w:t>警情。</w:t>
      </w:r>
    </w:p>
    <w:p>
      <w:pPr>
        <w:widowControl/>
        <w:autoSpaceDE w:val="0"/>
        <w:autoSpaceDN w:val="0"/>
        <w:adjustRightInd w:val="0"/>
        <w:spacing w:line="360" w:lineRule="auto"/>
        <w:ind w:firstLine="460" w:firstLineChars="192"/>
        <w:jc w:val="left"/>
        <w:rPr>
          <w:color w:val="auto"/>
          <w:kern w:val="0"/>
          <w:sz w:val="24"/>
          <w:szCs w:val="28"/>
        </w:rPr>
      </w:pPr>
      <w:r>
        <w:rPr>
          <w:color w:val="auto"/>
          <w:kern w:val="0"/>
          <w:sz w:val="24"/>
          <w:szCs w:val="28"/>
        </w:rPr>
        <w:t>b）</w:t>
      </w:r>
      <w:r>
        <w:rPr>
          <w:rFonts w:hint="eastAsia"/>
          <w:color w:val="auto"/>
          <w:kern w:val="0"/>
          <w:sz w:val="24"/>
          <w:szCs w:val="28"/>
        </w:rPr>
        <w:t>情报研判</w:t>
      </w:r>
      <w:r>
        <w:rPr>
          <w:color w:val="auto"/>
          <w:kern w:val="0"/>
          <w:sz w:val="24"/>
          <w:szCs w:val="28"/>
        </w:rPr>
        <w:t>人员进行情报有效性和情报内容分类确认。</w:t>
      </w:r>
    </w:p>
    <w:p>
      <w:pPr>
        <w:widowControl/>
        <w:autoSpaceDE w:val="0"/>
        <w:autoSpaceDN w:val="0"/>
        <w:adjustRightInd w:val="0"/>
        <w:spacing w:line="360" w:lineRule="auto"/>
        <w:ind w:firstLine="460" w:firstLineChars="192"/>
        <w:jc w:val="left"/>
        <w:rPr>
          <w:color w:val="auto"/>
          <w:kern w:val="0"/>
          <w:sz w:val="24"/>
          <w:szCs w:val="28"/>
        </w:rPr>
      </w:pPr>
      <w:r>
        <w:rPr>
          <w:color w:val="auto"/>
          <w:kern w:val="0"/>
          <w:sz w:val="24"/>
          <w:szCs w:val="28"/>
        </w:rPr>
        <w:t>c）对各辖区确认的情报</w:t>
      </w:r>
      <w:r>
        <w:rPr>
          <w:rFonts w:hint="eastAsia"/>
          <w:color w:val="auto"/>
          <w:kern w:val="0"/>
          <w:sz w:val="24"/>
          <w:szCs w:val="28"/>
          <w:lang w:eastAsia="zh-CN"/>
        </w:rPr>
        <w:t>、处置结果等</w:t>
      </w:r>
      <w:r>
        <w:rPr>
          <w:color w:val="auto"/>
          <w:kern w:val="0"/>
          <w:sz w:val="24"/>
          <w:szCs w:val="28"/>
        </w:rPr>
        <w:t>进行分类分析，发现高频发生的警情，形成辖区勤务新需求，辅助各辖区勤务部署。</w:t>
      </w:r>
    </w:p>
    <w:p>
      <w:pPr>
        <w:widowControl/>
        <w:autoSpaceDE w:val="0"/>
        <w:autoSpaceDN w:val="0"/>
        <w:adjustRightInd w:val="0"/>
        <w:spacing w:line="360" w:lineRule="auto"/>
        <w:ind w:firstLine="460" w:firstLineChars="192"/>
        <w:jc w:val="left"/>
        <w:rPr>
          <w:color w:val="auto"/>
          <w:kern w:val="0"/>
          <w:sz w:val="24"/>
          <w:szCs w:val="28"/>
        </w:rPr>
      </w:pPr>
      <w:r>
        <w:rPr>
          <w:rFonts w:hint="eastAsia" w:ascii="宋体" w:hAnsi="宋体"/>
          <w:color w:val="auto"/>
          <w:kern w:val="0"/>
          <w:sz w:val="24"/>
          <w:szCs w:val="28"/>
        </w:rPr>
        <w:t>2</w:t>
      </w:r>
      <w:r>
        <w:rPr>
          <w:rFonts w:hint="eastAsia"/>
          <w:color w:val="auto"/>
          <w:kern w:val="0"/>
          <w:sz w:val="24"/>
          <w:szCs w:val="28"/>
        </w:rPr>
        <w:t>）</w:t>
      </w:r>
      <w:r>
        <w:rPr>
          <w:color w:val="auto"/>
          <w:kern w:val="0"/>
          <w:sz w:val="24"/>
          <w:szCs w:val="28"/>
        </w:rPr>
        <w:t>任务调度</w:t>
      </w:r>
    </w:p>
    <w:p>
      <w:pPr>
        <w:widowControl/>
        <w:autoSpaceDE w:val="0"/>
        <w:autoSpaceDN w:val="0"/>
        <w:adjustRightInd w:val="0"/>
        <w:spacing w:line="360" w:lineRule="auto"/>
        <w:ind w:firstLine="460" w:firstLineChars="192"/>
        <w:jc w:val="left"/>
        <w:rPr>
          <w:color w:val="auto"/>
          <w:kern w:val="0"/>
          <w:sz w:val="24"/>
          <w:szCs w:val="28"/>
        </w:rPr>
      </w:pPr>
      <w:r>
        <w:rPr>
          <w:rFonts w:hint="eastAsia" w:ascii="宋体" w:hAnsi="宋体"/>
          <w:color w:val="auto"/>
          <w:kern w:val="0"/>
          <w:sz w:val="24"/>
          <w:szCs w:val="28"/>
        </w:rPr>
        <w:t>（1）</w:t>
      </w:r>
      <w:r>
        <w:rPr>
          <w:color w:val="auto"/>
          <w:kern w:val="0"/>
          <w:sz w:val="24"/>
          <w:szCs w:val="28"/>
        </w:rPr>
        <w:t>事件类：</w:t>
      </w:r>
      <w:r>
        <w:rPr>
          <w:rFonts w:hint="eastAsia"/>
          <w:color w:val="auto"/>
          <w:kern w:val="0"/>
          <w:sz w:val="24"/>
          <w:szCs w:val="28"/>
        </w:rPr>
        <w:t>首先对事件类警情进行三级分类并进行分级标签化处置，一、二级警情可推送至指挥中心或大队指挥室，由指挥中心或大队指挥室直接进行处置指挥，三级警情直接推送至中队数字勤务室或现场执勤民警移动终端，由中队或现场执勤民警直接处置。指挥中心或大队指挥室处置指令可直接推送至民警移动**终端由民警直接到达现场进行事件处置；也可将处置指令发送至中队数字勤务室，再由中队指挥人员将处置指令推送至一个或多个民警移动**终端执行现场处置任务。</w:t>
      </w:r>
    </w:p>
    <w:p>
      <w:pPr>
        <w:widowControl/>
        <w:autoSpaceDE w:val="0"/>
        <w:autoSpaceDN w:val="0"/>
        <w:adjustRightInd w:val="0"/>
        <w:spacing w:line="360" w:lineRule="auto"/>
        <w:ind w:firstLine="460" w:firstLineChars="192"/>
        <w:jc w:val="left"/>
        <w:rPr>
          <w:color w:val="auto"/>
          <w:kern w:val="0"/>
          <w:sz w:val="24"/>
          <w:szCs w:val="28"/>
        </w:rPr>
      </w:pPr>
      <w:r>
        <w:rPr>
          <w:rFonts w:hint="eastAsia" w:ascii="宋体" w:hAnsi="宋体"/>
          <w:color w:val="auto"/>
          <w:kern w:val="0"/>
          <w:sz w:val="24"/>
          <w:szCs w:val="28"/>
        </w:rPr>
        <w:t>（2）</w:t>
      </w:r>
      <w:r>
        <w:rPr>
          <w:color w:val="auto"/>
          <w:kern w:val="0"/>
          <w:sz w:val="24"/>
          <w:szCs w:val="28"/>
        </w:rPr>
        <w:t>治理类：</w:t>
      </w:r>
      <w:r>
        <w:rPr>
          <w:rFonts w:hint="eastAsia"/>
          <w:color w:val="auto"/>
          <w:kern w:val="0"/>
          <w:sz w:val="24"/>
          <w:szCs w:val="28"/>
        </w:rPr>
        <w:t>台州交警</w:t>
      </w:r>
      <w:r>
        <w:rPr>
          <w:color w:val="auto"/>
          <w:kern w:val="0"/>
          <w:sz w:val="24"/>
          <w:szCs w:val="28"/>
        </w:rPr>
        <w:t>针对情报信息存在的安全隐患，制定相应的治理措施、治理需达成的成效、完成时间等任务要求，经领导审核通过后下达任务，由大中队进行任务签收。</w:t>
      </w:r>
    </w:p>
    <w:p>
      <w:pPr>
        <w:widowControl/>
        <w:autoSpaceDE w:val="0"/>
        <w:autoSpaceDN w:val="0"/>
        <w:adjustRightInd w:val="0"/>
        <w:spacing w:line="360" w:lineRule="auto"/>
        <w:ind w:firstLine="460" w:firstLineChars="192"/>
        <w:jc w:val="left"/>
        <w:rPr>
          <w:color w:val="auto"/>
          <w:kern w:val="0"/>
          <w:sz w:val="24"/>
          <w:szCs w:val="28"/>
        </w:rPr>
      </w:pPr>
      <w:r>
        <w:rPr>
          <w:rFonts w:hint="eastAsia" w:ascii="宋体" w:hAnsi="宋体"/>
          <w:color w:val="auto"/>
          <w:kern w:val="0"/>
          <w:sz w:val="24"/>
          <w:szCs w:val="28"/>
        </w:rPr>
        <w:t>（3）</w:t>
      </w:r>
      <w:r>
        <w:rPr>
          <w:rFonts w:hint="eastAsia"/>
          <w:color w:val="auto"/>
          <w:kern w:val="0"/>
          <w:sz w:val="24"/>
          <w:szCs w:val="28"/>
        </w:rPr>
        <w:t>布控类</w:t>
      </w:r>
    </w:p>
    <w:p>
      <w:pPr>
        <w:widowControl/>
        <w:autoSpaceDE w:val="0"/>
        <w:autoSpaceDN w:val="0"/>
        <w:adjustRightInd w:val="0"/>
        <w:spacing w:line="360" w:lineRule="auto"/>
        <w:ind w:firstLine="460" w:firstLineChars="192"/>
        <w:jc w:val="left"/>
        <w:rPr>
          <w:color w:val="auto"/>
          <w:kern w:val="0"/>
          <w:sz w:val="24"/>
          <w:szCs w:val="28"/>
        </w:rPr>
      </w:pPr>
      <w:r>
        <w:rPr>
          <w:rFonts w:hint="eastAsia"/>
          <w:color w:val="auto"/>
          <w:kern w:val="0"/>
          <w:sz w:val="24"/>
          <w:szCs w:val="28"/>
        </w:rPr>
        <w:t>情报研判结果分为待确认情报和确认警情（报废车行驶、逾期未检验车辆等），确认警情通过布控中心给部版集指平台和自建管控平台布控，该布控中心后续作为全局统一的布控入口，可对全局所有布控平台下发布控任务，接收布控结果；前端感知产生预警信息，通过事件检测经过情报确认形成事件类警情，进入任务调度处置流程。</w:t>
      </w:r>
    </w:p>
    <w:p>
      <w:pPr>
        <w:widowControl/>
        <w:autoSpaceDE w:val="0"/>
        <w:autoSpaceDN w:val="0"/>
        <w:adjustRightInd w:val="0"/>
        <w:spacing w:line="360" w:lineRule="auto"/>
        <w:ind w:firstLine="460" w:firstLineChars="192"/>
        <w:jc w:val="left"/>
        <w:rPr>
          <w:color w:val="auto"/>
          <w:kern w:val="0"/>
          <w:sz w:val="24"/>
          <w:szCs w:val="28"/>
        </w:rPr>
      </w:pPr>
      <w:r>
        <w:rPr>
          <w:rFonts w:hint="eastAsia" w:ascii="宋体" w:hAnsi="宋体"/>
          <w:color w:val="auto"/>
          <w:kern w:val="0"/>
          <w:sz w:val="24"/>
          <w:szCs w:val="28"/>
        </w:rPr>
        <w:t>3</w:t>
      </w:r>
      <w:r>
        <w:rPr>
          <w:rFonts w:hint="eastAsia"/>
          <w:color w:val="auto"/>
          <w:kern w:val="0"/>
          <w:sz w:val="24"/>
          <w:szCs w:val="28"/>
        </w:rPr>
        <w:t>）</w:t>
      </w:r>
      <w:r>
        <w:rPr>
          <w:color w:val="auto"/>
          <w:kern w:val="0"/>
          <w:sz w:val="24"/>
          <w:szCs w:val="28"/>
        </w:rPr>
        <w:t>勤务管理</w:t>
      </w:r>
    </w:p>
    <w:p>
      <w:pPr>
        <w:widowControl/>
        <w:autoSpaceDE w:val="0"/>
        <w:autoSpaceDN w:val="0"/>
        <w:adjustRightInd w:val="0"/>
        <w:spacing w:line="360" w:lineRule="auto"/>
        <w:ind w:firstLine="460" w:firstLineChars="192"/>
        <w:jc w:val="left"/>
        <w:rPr>
          <w:color w:val="auto"/>
          <w:kern w:val="0"/>
          <w:sz w:val="24"/>
          <w:szCs w:val="28"/>
        </w:rPr>
      </w:pPr>
      <w:r>
        <w:rPr>
          <w:rFonts w:hint="eastAsia"/>
          <w:color w:val="auto"/>
          <w:kern w:val="0"/>
          <w:sz w:val="24"/>
          <w:szCs w:val="28"/>
        </w:rPr>
        <w:t>大中队接收到上级下达的治理类任务后或者根据本辖区勤务管理工作需求，进行勤务部署、岗位设置、岗位排班，民警根据勤务部署要求上岗执勤，任务调度时可根据民警轨迹查看警情周边可用的警力资源。</w:t>
      </w:r>
    </w:p>
    <w:p>
      <w:pPr>
        <w:widowControl/>
        <w:autoSpaceDE w:val="0"/>
        <w:autoSpaceDN w:val="0"/>
        <w:adjustRightInd w:val="0"/>
        <w:spacing w:line="360" w:lineRule="auto"/>
        <w:ind w:firstLine="460" w:firstLineChars="192"/>
        <w:jc w:val="left"/>
        <w:rPr>
          <w:color w:val="auto"/>
          <w:kern w:val="0"/>
          <w:sz w:val="24"/>
          <w:szCs w:val="28"/>
        </w:rPr>
      </w:pPr>
      <w:r>
        <w:rPr>
          <w:rFonts w:hint="eastAsia" w:ascii="宋体" w:hAnsi="宋体"/>
          <w:color w:val="auto"/>
          <w:kern w:val="0"/>
          <w:sz w:val="24"/>
          <w:szCs w:val="28"/>
        </w:rPr>
        <w:t>4</w:t>
      </w:r>
      <w:r>
        <w:rPr>
          <w:rFonts w:hint="eastAsia"/>
          <w:color w:val="auto"/>
          <w:kern w:val="0"/>
          <w:sz w:val="24"/>
          <w:szCs w:val="28"/>
        </w:rPr>
        <w:t>）</w:t>
      </w:r>
      <w:r>
        <w:rPr>
          <w:color w:val="auto"/>
          <w:kern w:val="0"/>
          <w:sz w:val="24"/>
          <w:szCs w:val="28"/>
        </w:rPr>
        <w:t>督查监管</w:t>
      </w:r>
    </w:p>
    <w:p>
      <w:pPr>
        <w:widowControl/>
        <w:autoSpaceDE w:val="0"/>
        <w:autoSpaceDN w:val="0"/>
        <w:adjustRightInd w:val="0"/>
        <w:spacing w:line="360" w:lineRule="auto"/>
        <w:ind w:firstLine="460" w:firstLineChars="192"/>
        <w:jc w:val="left"/>
        <w:rPr>
          <w:color w:val="auto"/>
          <w:kern w:val="0"/>
          <w:sz w:val="24"/>
          <w:szCs w:val="28"/>
        </w:rPr>
      </w:pPr>
      <w:r>
        <w:rPr>
          <w:rFonts w:hint="eastAsia" w:ascii="宋体" w:hAnsi="宋体"/>
          <w:color w:val="auto"/>
          <w:kern w:val="0"/>
          <w:sz w:val="24"/>
          <w:szCs w:val="28"/>
        </w:rPr>
        <w:t>（1）</w:t>
      </w:r>
      <w:r>
        <w:rPr>
          <w:color w:val="auto"/>
          <w:kern w:val="0"/>
          <w:sz w:val="24"/>
          <w:szCs w:val="28"/>
        </w:rPr>
        <w:t>实时督查：系统根据勤务排班信息和民警移动**终端GPS信息，结合勤务网格化电子围栏，对民警上岗、在岗情况进行实时督查，发现异常情况及时预警并将异常信息推送至移动**终端。</w:t>
      </w:r>
    </w:p>
    <w:p>
      <w:pPr>
        <w:widowControl/>
        <w:autoSpaceDE w:val="0"/>
        <w:autoSpaceDN w:val="0"/>
        <w:adjustRightInd w:val="0"/>
        <w:spacing w:line="360" w:lineRule="auto"/>
        <w:ind w:firstLine="460" w:firstLineChars="192"/>
        <w:jc w:val="left"/>
        <w:rPr>
          <w:color w:val="auto"/>
          <w:kern w:val="0"/>
          <w:sz w:val="24"/>
          <w:szCs w:val="28"/>
        </w:rPr>
      </w:pPr>
      <w:r>
        <w:rPr>
          <w:rFonts w:hint="eastAsia" w:ascii="宋体" w:hAnsi="宋体"/>
          <w:color w:val="auto"/>
          <w:kern w:val="0"/>
          <w:sz w:val="24"/>
          <w:szCs w:val="28"/>
        </w:rPr>
        <w:t>（2）</w:t>
      </w:r>
      <w:r>
        <w:rPr>
          <w:color w:val="auto"/>
          <w:kern w:val="0"/>
          <w:sz w:val="24"/>
          <w:szCs w:val="28"/>
        </w:rPr>
        <w:t>**督查：任务调度结果反馈作为**事后督查的基础数据来源，可对民警的巡逻里程、执法量等进行统计分析。</w:t>
      </w:r>
    </w:p>
    <w:p>
      <w:pPr>
        <w:widowControl/>
        <w:autoSpaceDE w:val="0"/>
        <w:autoSpaceDN w:val="0"/>
        <w:adjustRightInd w:val="0"/>
        <w:spacing w:line="360" w:lineRule="auto"/>
        <w:ind w:firstLine="460" w:firstLineChars="192"/>
        <w:jc w:val="left"/>
        <w:rPr>
          <w:color w:val="auto"/>
          <w:kern w:val="0"/>
          <w:sz w:val="24"/>
          <w:szCs w:val="28"/>
        </w:rPr>
      </w:pPr>
      <w:r>
        <w:rPr>
          <w:rFonts w:hint="eastAsia" w:ascii="宋体" w:hAnsi="宋体"/>
          <w:color w:val="auto"/>
          <w:kern w:val="0"/>
          <w:sz w:val="24"/>
          <w:szCs w:val="28"/>
        </w:rPr>
        <w:t>（</w:t>
      </w:r>
      <w:r>
        <w:rPr>
          <w:rFonts w:hint="eastAsia" w:ascii="宋体" w:hAnsi="宋体"/>
          <w:color w:val="auto"/>
          <w:kern w:val="0"/>
          <w:sz w:val="24"/>
          <w:szCs w:val="28"/>
          <w:lang w:val="en-US" w:eastAsia="zh-CN"/>
        </w:rPr>
        <w:t>3</w:t>
      </w:r>
      <w:r>
        <w:rPr>
          <w:rFonts w:hint="eastAsia" w:ascii="宋体" w:hAnsi="宋体"/>
          <w:color w:val="auto"/>
          <w:kern w:val="0"/>
          <w:sz w:val="24"/>
          <w:szCs w:val="28"/>
        </w:rPr>
        <w:t>）</w:t>
      </w:r>
      <w:r>
        <w:rPr>
          <w:rFonts w:hint="eastAsia"/>
          <w:color w:val="auto"/>
          <w:kern w:val="0"/>
          <w:sz w:val="24"/>
          <w:szCs w:val="28"/>
        </w:rPr>
        <w:t>勤务评估：按辖区对发生的各类情报态势、警情处置过程等进行分析，结合辖区勤务岗位设置、警力资源安排信息，对辖区勤务部署进行评估，发现辖区勤务部署的薄弱环节，辖区根据评估结果对勤务部署进行调整、优化，使勤务部署不断趋于合理。</w:t>
      </w:r>
    </w:p>
    <w:p>
      <w:pPr>
        <w:rPr>
          <w:color w:val="auto"/>
        </w:rPr>
      </w:pP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1028"/>
        <w:gridCol w:w="2194"/>
        <w:gridCol w:w="4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shd w:val="clear" w:color="auto" w:fill="auto"/>
            <w:vAlign w:val="center"/>
          </w:tcPr>
          <w:p>
            <w:pPr>
              <w:widowControl/>
              <w:jc w:val="center"/>
              <w:rPr>
                <w:rFonts w:cs="宋体" w:asciiTheme="minorEastAsia" w:hAnsiTheme="minorEastAsia" w:eastAsiaTheme="minorEastAsia"/>
                <w:b/>
                <w:bCs/>
                <w:color w:val="auto"/>
                <w:kern w:val="0"/>
                <w:sz w:val="20"/>
                <w:szCs w:val="20"/>
              </w:rPr>
            </w:pPr>
            <w:r>
              <w:rPr>
                <w:rFonts w:hint="eastAsia" w:cs="宋体" w:asciiTheme="minorEastAsia" w:hAnsiTheme="minorEastAsia" w:eastAsiaTheme="minorEastAsia"/>
                <w:b/>
                <w:bCs/>
                <w:color w:val="auto"/>
                <w:kern w:val="0"/>
                <w:sz w:val="20"/>
                <w:szCs w:val="20"/>
              </w:rPr>
              <w:t>序号</w:t>
            </w:r>
          </w:p>
        </w:tc>
        <w:tc>
          <w:tcPr>
            <w:tcW w:w="603" w:type="pct"/>
            <w:shd w:val="clear" w:color="auto" w:fill="auto"/>
            <w:vAlign w:val="center"/>
          </w:tcPr>
          <w:p>
            <w:pPr>
              <w:widowControl/>
              <w:jc w:val="center"/>
              <w:rPr>
                <w:rFonts w:cs="宋体" w:asciiTheme="minorEastAsia" w:hAnsiTheme="minorEastAsia" w:eastAsiaTheme="minorEastAsia"/>
                <w:b/>
                <w:bCs/>
                <w:color w:val="auto"/>
                <w:kern w:val="0"/>
                <w:sz w:val="20"/>
                <w:szCs w:val="20"/>
              </w:rPr>
            </w:pPr>
            <w:r>
              <w:rPr>
                <w:rFonts w:hint="eastAsia" w:cs="宋体" w:asciiTheme="minorEastAsia" w:hAnsiTheme="minorEastAsia" w:eastAsiaTheme="minorEastAsia"/>
                <w:b/>
                <w:bCs/>
                <w:color w:val="auto"/>
                <w:kern w:val="0"/>
                <w:sz w:val="20"/>
                <w:szCs w:val="20"/>
              </w:rPr>
              <w:t>功能模块</w:t>
            </w:r>
          </w:p>
        </w:tc>
        <w:tc>
          <w:tcPr>
            <w:tcW w:w="1286" w:type="pct"/>
            <w:shd w:val="clear" w:color="auto" w:fill="auto"/>
            <w:vAlign w:val="center"/>
          </w:tcPr>
          <w:p>
            <w:pPr>
              <w:widowControl/>
              <w:jc w:val="center"/>
              <w:rPr>
                <w:rFonts w:cs="宋体" w:asciiTheme="minorEastAsia" w:hAnsiTheme="minorEastAsia" w:eastAsiaTheme="minorEastAsia"/>
                <w:b/>
                <w:bCs/>
                <w:color w:val="auto"/>
                <w:kern w:val="0"/>
                <w:sz w:val="20"/>
                <w:szCs w:val="20"/>
              </w:rPr>
            </w:pPr>
            <w:r>
              <w:rPr>
                <w:rFonts w:hint="eastAsia" w:cs="宋体" w:asciiTheme="minorEastAsia" w:hAnsiTheme="minorEastAsia" w:eastAsiaTheme="minorEastAsia"/>
                <w:b/>
                <w:bCs/>
                <w:color w:val="auto"/>
                <w:kern w:val="0"/>
                <w:sz w:val="20"/>
                <w:szCs w:val="20"/>
              </w:rPr>
              <w:t>子模块</w:t>
            </w:r>
          </w:p>
        </w:tc>
        <w:tc>
          <w:tcPr>
            <w:tcW w:w="2630" w:type="pct"/>
            <w:shd w:val="clear" w:color="auto" w:fill="auto"/>
            <w:vAlign w:val="center"/>
          </w:tcPr>
          <w:p>
            <w:pPr>
              <w:widowControl/>
              <w:jc w:val="center"/>
              <w:rPr>
                <w:rFonts w:cs="宋体" w:asciiTheme="minorEastAsia" w:hAnsiTheme="minorEastAsia" w:eastAsiaTheme="minorEastAsia"/>
                <w:b/>
                <w:bCs/>
                <w:color w:val="auto"/>
                <w:kern w:val="0"/>
                <w:sz w:val="20"/>
                <w:szCs w:val="20"/>
              </w:rPr>
            </w:pPr>
            <w:r>
              <w:rPr>
                <w:rFonts w:hint="eastAsia" w:ascii="宋体" w:hAnsi="宋体" w:cs="宋体"/>
                <w:b/>
                <w:bCs/>
                <w:color w:val="auto"/>
                <w:kern w:val="0"/>
                <w:sz w:val="20"/>
                <w:szCs w:val="20"/>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shd w:val="clear" w:color="auto" w:fill="auto"/>
            <w:vAlign w:val="center"/>
          </w:tcPr>
          <w:p>
            <w:pPr>
              <w:widowControl/>
              <w:jc w:val="left"/>
              <w:rPr>
                <w:rFonts w:cs="宋体" w:asciiTheme="minorEastAsia" w:hAnsiTheme="minorEastAsia" w:eastAsiaTheme="minorEastAsia"/>
                <w:b/>
                <w:bCs/>
                <w:color w:val="auto"/>
                <w:kern w:val="0"/>
                <w:sz w:val="20"/>
                <w:szCs w:val="20"/>
              </w:rPr>
            </w:pPr>
            <w:r>
              <w:rPr>
                <w:rFonts w:hint="eastAsia" w:cs="宋体" w:asciiTheme="minorEastAsia" w:hAnsiTheme="minorEastAsia" w:eastAsiaTheme="minorEastAsia"/>
                <w:b/>
                <w:bCs/>
                <w:color w:val="auto"/>
                <w:kern w:val="0"/>
                <w:sz w:val="20"/>
                <w:szCs w:val="20"/>
              </w:rPr>
              <w:t>（一）</w:t>
            </w:r>
          </w:p>
        </w:tc>
        <w:tc>
          <w:tcPr>
            <w:tcW w:w="603" w:type="pct"/>
            <w:shd w:val="clear" w:color="auto" w:fill="auto"/>
            <w:vAlign w:val="center"/>
          </w:tcPr>
          <w:p>
            <w:pPr>
              <w:widowControl/>
              <w:jc w:val="left"/>
              <w:rPr>
                <w:rFonts w:cs="宋体" w:asciiTheme="minorEastAsia" w:hAnsiTheme="minorEastAsia" w:eastAsiaTheme="minorEastAsia"/>
                <w:b/>
                <w:bCs/>
                <w:color w:val="auto"/>
                <w:kern w:val="0"/>
                <w:sz w:val="20"/>
                <w:szCs w:val="20"/>
              </w:rPr>
            </w:pPr>
            <w:r>
              <w:rPr>
                <w:rFonts w:hint="eastAsia" w:cs="宋体" w:asciiTheme="minorEastAsia" w:hAnsiTheme="minorEastAsia" w:eastAsiaTheme="minorEastAsia"/>
                <w:b/>
                <w:bCs/>
                <w:color w:val="auto"/>
                <w:kern w:val="0"/>
                <w:sz w:val="20"/>
                <w:szCs w:val="20"/>
              </w:rPr>
              <w:t>情报支撑</w:t>
            </w:r>
          </w:p>
        </w:tc>
        <w:tc>
          <w:tcPr>
            <w:tcW w:w="1286" w:type="pct"/>
            <w:shd w:val="clear" w:color="auto" w:fill="auto"/>
            <w:vAlign w:val="center"/>
          </w:tcPr>
          <w:p>
            <w:pPr>
              <w:widowControl/>
              <w:jc w:val="left"/>
              <w:rPr>
                <w:rFonts w:cs="宋体" w:asciiTheme="minorEastAsia" w:hAnsiTheme="minorEastAsia" w:eastAsiaTheme="minorEastAsia"/>
                <w:b/>
                <w:bCs/>
                <w:color w:val="auto"/>
                <w:kern w:val="0"/>
                <w:sz w:val="20"/>
                <w:szCs w:val="20"/>
              </w:rPr>
            </w:pPr>
            <w:r>
              <w:rPr>
                <w:rFonts w:hint="eastAsia" w:cs="宋体" w:asciiTheme="minorEastAsia" w:hAnsiTheme="minorEastAsia" w:eastAsiaTheme="minorEastAsia"/>
                <w:b/>
                <w:bCs/>
                <w:color w:val="auto"/>
                <w:kern w:val="0"/>
                <w:sz w:val="20"/>
                <w:szCs w:val="20"/>
              </w:rPr>
              <w:t>　</w:t>
            </w:r>
          </w:p>
        </w:tc>
        <w:tc>
          <w:tcPr>
            <w:tcW w:w="2630" w:type="pct"/>
            <w:shd w:val="clear" w:color="auto" w:fill="auto"/>
            <w:vAlign w:val="center"/>
          </w:tcPr>
          <w:p>
            <w:pPr>
              <w:widowControl/>
              <w:jc w:val="center"/>
              <w:rPr>
                <w:rFonts w:cs="宋体" w:asciiTheme="minorEastAsia" w:hAnsiTheme="minorEastAsia" w:eastAsiaTheme="minorEastAsia"/>
                <w:b/>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restart"/>
            <w:shd w:val="clear" w:color="auto" w:fill="auto"/>
            <w:noWrap/>
            <w:vAlign w:val="center"/>
          </w:tcPr>
          <w:p>
            <w:pPr>
              <w:jc w:val="center"/>
              <w:rPr>
                <w:rFonts w:cs="宋体" w:asciiTheme="minorEastAsia" w:hAnsiTheme="minorEastAsia" w:eastAsiaTheme="minorEastAsia"/>
                <w:color w:val="auto"/>
                <w:kern w:val="0"/>
                <w:sz w:val="20"/>
                <w:szCs w:val="20"/>
              </w:rPr>
            </w:pPr>
            <w:r>
              <w:rPr>
                <w:rFonts w:cs="宋体" w:asciiTheme="minorEastAsia" w:hAnsiTheme="minorEastAsia" w:eastAsiaTheme="minorEastAsia"/>
                <w:color w:val="auto"/>
                <w:kern w:val="0"/>
                <w:sz w:val="20"/>
                <w:szCs w:val="20"/>
              </w:rPr>
              <w:t>1</w:t>
            </w:r>
          </w:p>
        </w:tc>
        <w:tc>
          <w:tcPr>
            <w:tcW w:w="603" w:type="pct"/>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情报获取</w:t>
            </w: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情报信息接入</w:t>
            </w: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对接数据中心，建立情报信息接入机制，支持公安交通基础数据、感知类事件信息、各类模型研判分析结果、互联网警情信息的接入并进行预警展示，同时需将交通事故、异常拥堵警情通过共享服务推送至市局大公安任务调度系统</w:t>
            </w:r>
            <w:r>
              <w:rPr>
                <w:rFonts w:hint="eastAsia" w:cs="宋体" w:asciiTheme="minorEastAsia" w:hAnsiTheme="minorEastAsia" w:eastAsiaTheme="minorEastAsia"/>
                <w:color w:val="auto"/>
                <w:kern w:val="0"/>
                <w:sz w:val="20"/>
                <w:szCs w:val="20"/>
                <w:lang w:eastAsia="zh-CN"/>
              </w:rPr>
              <w:t>，</w:t>
            </w:r>
            <w:r>
              <w:rPr>
                <w:rFonts w:hint="eastAsia" w:cs="宋体" w:asciiTheme="minorEastAsia" w:hAnsiTheme="minorEastAsia"/>
                <w:color w:val="auto"/>
                <w:kern w:val="0"/>
                <w:sz w:val="20"/>
                <w:szCs w:val="20"/>
                <w:lang w:eastAsia="zh-CN"/>
              </w:rPr>
              <w:t>实现地图按需求分等级预警</w:t>
            </w:r>
            <w:r>
              <w:rPr>
                <w:rFonts w:hint="eastAsia" w:cs="宋体" w:asciiTheme="minorEastAsia" w:hAnsiTheme="minorEastAsia" w:eastAsiaTheme="minorEastAsia"/>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情报信息录入-民警上报</w:t>
            </w:r>
          </w:p>
        </w:tc>
        <w:tc>
          <w:tcPr>
            <w:tcW w:w="2630" w:type="pct"/>
            <w:vMerge w:val="restar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支持民警上报、领导交办、舆情发现等情报信息采集。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情报信息录入-领导交办</w:t>
            </w:r>
          </w:p>
        </w:tc>
        <w:tc>
          <w:tcPr>
            <w:tcW w:w="2630"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widowControl/>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情报信息录入-舆情发现</w:t>
            </w:r>
          </w:p>
        </w:tc>
        <w:tc>
          <w:tcPr>
            <w:tcW w:w="2630"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restart"/>
            <w:shd w:val="clear" w:color="auto" w:fill="auto"/>
            <w:noWrap/>
            <w:vAlign w:val="center"/>
          </w:tcPr>
          <w:p>
            <w:pPr>
              <w:jc w:val="center"/>
              <w:rPr>
                <w:rFonts w:cs="宋体" w:asciiTheme="minorEastAsia" w:hAnsiTheme="minorEastAsia" w:eastAsiaTheme="minorEastAsia"/>
                <w:color w:val="auto"/>
                <w:kern w:val="0"/>
                <w:sz w:val="20"/>
                <w:szCs w:val="20"/>
              </w:rPr>
            </w:pPr>
            <w:r>
              <w:rPr>
                <w:rFonts w:cs="宋体" w:asciiTheme="minorEastAsia" w:hAnsiTheme="minorEastAsia" w:eastAsiaTheme="minorEastAsia"/>
                <w:color w:val="auto"/>
                <w:kern w:val="0"/>
                <w:sz w:val="20"/>
                <w:szCs w:val="20"/>
              </w:rPr>
              <w:t>2</w:t>
            </w:r>
          </w:p>
        </w:tc>
        <w:tc>
          <w:tcPr>
            <w:tcW w:w="603" w:type="pct"/>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情报管理</w:t>
            </w: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情报识别</w:t>
            </w: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支持对各类情报的有效性识别，并根据识别结果进行任务部署，包含自动识别和人工识别。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情报流转</w:t>
            </w: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支持各类情报信息的情报流转机制，并可对情报流转的状态进行跟踪。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情报综合查询</w:t>
            </w: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支持情报信息的</w:t>
            </w:r>
            <w:r>
              <w:rPr>
                <w:rFonts w:hint="eastAsia" w:cs="宋体" w:asciiTheme="minorEastAsia" w:hAnsiTheme="minorEastAsia"/>
                <w:color w:val="auto"/>
                <w:kern w:val="0"/>
                <w:sz w:val="20"/>
                <w:szCs w:val="20"/>
                <w:lang w:eastAsia="zh-CN"/>
              </w:rPr>
              <w:t>多维度</w:t>
            </w:r>
            <w:r>
              <w:rPr>
                <w:rFonts w:hint="eastAsia" w:cs="宋体" w:asciiTheme="minorEastAsia" w:hAnsiTheme="minorEastAsia" w:eastAsiaTheme="minorEastAsia"/>
                <w:color w:val="auto"/>
                <w:kern w:val="0"/>
                <w:sz w:val="20"/>
                <w:szCs w:val="20"/>
              </w:rPr>
              <w:t>综合查询，查询结果以图表的形式展示</w:t>
            </w:r>
            <w:r>
              <w:rPr>
                <w:rFonts w:hint="eastAsia" w:cs="宋体" w:asciiTheme="minorEastAsia" w:hAnsiTheme="minorEastAsia" w:eastAsiaTheme="minorEastAsia"/>
                <w:color w:val="auto"/>
                <w:kern w:val="0"/>
                <w:sz w:val="20"/>
                <w:szCs w:val="20"/>
                <w:lang w:eastAsia="zh-CN"/>
              </w:rPr>
              <w:t>，</w:t>
            </w:r>
            <w:r>
              <w:rPr>
                <w:rFonts w:hint="eastAsia" w:cs="宋体" w:asciiTheme="minorEastAsia" w:hAnsiTheme="minorEastAsia"/>
                <w:color w:val="auto"/>
                <w:kern w:val="0"/>
                <w:sz w:val="20"/>
                <w:szCs w:val="20"/>
                <w:lang w:eastAsia="zh-CN"/>
              </w:rPr>
              <w:t>支持查询、统计数据导出功能</w:t>
            </w:r>
            <w:r>
              <w:rPr>
                <w:rFonts w:hint="eastAsia" w:cs="宋体" w:asciiTheme="minorEastAsia" w:hAnsiTheme="minorEastAsia" w:eastAsiaTheme="minorEastAsia"/>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widowControl/>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情报撤销</w:t>
            </w: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对于确认录用的情报信息，可根据实际情况对情报信息进行撤销，包含自动撤销和手动撤销。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restart"/>
            <w:shd w:val="clear" w:color="auto" w:fill="auto"/>
            <w:noWrap/>
            <w:vAlign w:val="center"/>
          </w:tcPr>
          <w:p>
            <w:pPr>
              <w:jc w:val="center"/>
              <w:rPr>
                <w:rFonts w:cs="宋体" w:asciiTheme="minorEastAsia" w:hAnsiTheme="minorEastAsia" w:eastAsiaTheme="minorEastAsia"/>
                <w:color w:val="auto"/>
                <w:kern w:val="0"/>
                <w:sz w:val="20"/>
                <w:szCs w:val="20"/>
              </w:rPr>
            </w:pPr>
            <w:r>
              <w:rPr>
                <w:rFonts w:cs="宋体" w:asciiTheme="minorEastAsia" w:hAnsiTheme="minorEastAsia" w:eastAsiaTheme="minorEastAsia"/>
                <w:color w:val="auto"/>
                <w:kern w:val="0"/>
                <w:sz w:val="20"/>
                <w:szCs w:val="20"/>
              </w:rPr>
              <w:t>3</w:t>
            </w:r>
          </w:p>
        </w:tc>
        <w:tc>
          <w:tcPr>
            <w:tcW w:w="603" w:type="pct"/>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情报预警</w:t>
            </w: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配置管理</w:t>
            </w: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支持情报的分级分类预警和情报预警关键指标项和指标阈值的设定。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 xml:space="preserve"> 情报比对</w:t>
            </w: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本功能对接数据中心，支持布控嫌疑车辆比对，根据情报的分级分类进行分色预警并基于GIS地图实时跟踪车辆行驶轨迹。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事故预警</w:t>
            </w: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本功能支持对辖区内超过预警值的</w:t>
            </w:r>
            <w:r>
              <w:rPr>
                <w:rFonts w:hint="eastAsia" w:cs="宋体" w:asciiTheme="minorEastAsia" w:hAnsiTheme="minorEastAsia"/>
                <w:color w:val="auto"/>
                <w:kern w:val="0"/>
                <w:sz w:val="20"/>
                <w:szCs w:val="20"/>
                <w:lang w:eastAsia="zh-CN"/>
              </w:rPr>
              <w:t>重大、敏感</w:t>
            </w:r>
            <w:r>
              <w:rPr>
                <w:rFonts w:hint="eastAsia" w:cs="宋体" w:asciiTheme="minorEastAsia" w:hAnsiTheme="minorEastAsia" w:eastAsiaTheme="minorEastAsia"/>
                <w:color w:val="auto"/>
                <w:kern w:val="0"/>
                <w:sz w:val="20"/>
                <w:szCs w:val="20"/>
              </w:rPr>
              <w:t>事故类警情进行预警。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态势预警</w:t>
            </w:r>
          </w:p>
        </w:tc>
        <w:tc>
          <w:tcPr>
            <w:tcW w:w="2630"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本功能对重点片区、重点路段、重点时段及整体道路拥堵、道路流量、道路安全交通拥堵状况进行分析评估；并对重大节假日和重大活动日的交通拥堵状态进行分析及预测，当分析结果严重偏离指标值时则基于GIS地图进行分级分色预警，分析结果在指挥中心大屏上展示。同时根据系统设置的预警信息刷新参数，实时刷新预警信息。</w:t>
            </w:r>
            <w:r>
              <w:rPr>
                <w:rFonts w:hint="eastAsia" w:cs="宋体" w:asciiTheme="minorEastAsia" w:hAnsiTheme="minorEastAsia"/>
                <w:color w:val="auto"/>
                <w:kern w:val="0"/>
                <w:sz w:val="20"/>
                <w:szCs w:val="20"/>
                <w:lang w:eastAsia="zh-CN"/>
              </w:rPr>
              <w:t>支持对以上的拥</w:t>
            </w:r>
            <w:r>
              <w:rPr>
                <w:rFonts w:hint="eastAsia" w:cs="宋体" w:asciiTheme="minorEastAsia" w:hAnsiTheme="minorEastAsia" w:eastAsiaTheme="minorEastAsia"/>
                <w:color w:val="auto"/>
                <w:kern w:val="0"/>
                <w:sz w:val="20"/>
                <w:szCs w:val="20"/>
                <w:lang w:eastAsia="zh-CN"/>
              </w:rPr>
              <w:t>堵、流量等历史数据查询（可按照时间节点快进回放），对分析及预测详情支持导出。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widowControl/>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预警推送</w:t>
            </w:r>
          </w:p>
        </w:tc>
        <w:tc>
          <w:tcPr>
            <w:tcW w:w="2630"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支持预警方式管理，支持自动预警和手工预警方式。系统根据设定的预警方式自动将获取的各类情报信息推送至指挥模块并展示或直接推送至移动终端。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restart"/>
            <w:shd w:val="clear" w:color="auto" w:fill="auto"/>
            <w:noWrap/>
            <w:vAlign w:val="center"/>
          </w:tcPr>
          <w:p>
            <w:pPr>
              <w:jc w:val="center"/>
              <w:rPr>
                <w:rFonts w:cs="宋体" w:asciiTheme="minorEastAsia" w:hAnsiTheme="minorEastAsia" w:eastAsiaTheme="minorEastAsia"/>
                <w:color w:val="auto"/>
                <w:kern w:val="0"/>
                <w:sz w:val="20"/>
                <w:szCs w:val="20"/>
              </w:rPr>
            </w:pPr>
            <w:r>
              <w:rPr>
                <w:rFonts w:cs="宋体" w:asciiTheme="minorEastAsia" w:hAnsiTheme="minorEastAsia" w:eastAsiaTheme="minorEastAsia"/>
                <w:color w:val="auto"/>
                <w:kern w:val="0"/>
                <w:sz w:val="20"/>
                <w:szCs w:val="20"/>
              </w:rPr>
              <w:t>4</w:t>
            </w:r>
          </w:p>
        </w:tc>
        <w:tc>
          <w:tcPr>
            <w:tcW w:w="603" w:type="pct"/>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情报分析</w:t>
            </w: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警情辖区分布分析</w:t>
            </w:r>
          </w:p>
        </w:tc>
        <w:tc>
          <w:tcPr>
            <w:tcW w:w="2630"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支持对辖区范围内各类警情的分布分析，针对事故类警情，支持对事故发生时段、事发地点管辖区域、</w:t>
            </w:r>
            <w:r>
              <w:rPr>
                <w:rFonts w:hint="eastAsia" w:cs="宋体" w:asciiTheme="minorEastAsia" w:hAnsiTheme="minorEastAsia"/>
                <w:color w:val="auto"/>
                <w:kern w:val="0"/>
                <w:sz w:val="20"/>
                <w:szCs w:val="20"/>
                <w:lang w:eastAsia="zh-CN"/>
              </w:rPr>
              <w:t>路段</w:t>
            </w:r>
            <w:r>
              <w:rPr>
                <w:rFonts w:hint="eastAsia" w:cs="宋体" w:asciiTheme="minorEastAsia" w:hAnsiTheme="minorEastAsia" w:eastAsiaTheme="minorEastAsia"/>
                <w:color w:val="auto"/>
                <w:kern w:val="0"/>
                <w:sz w:val="20"/>
                <w:szCs w:val="20"/>
              </w:rPr>
              <w:t>、事故原因、违法行为、当事人通行方式、当事人年龄段等维度的分布分析，可叠加同比、环比数据并以图表方式展示。</w:t>
            </w:r>
            <w:r>
              <w:rPr>
                <w:rFonts w:hint="eastAsia" w:cs="宋体" w:asciiTheme="minorEastAsia" w:hAnsiTheme="minorEastAsia"/>
                <w:color w:val="auto"/>
                <w:kern w:val="0"/>
                <w:sz w:val="20"/>
                <w:szCs w:val="20"/>
                <w:lang w:eastAsia="zh-CN"/>
              </w:rPr>
              <w:t>支持数据导出（支持警情热力图含数据值等参数查询、导出）。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警情时段分布分析</w:t>
            </w: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支持对各时段各类警情的分布分析，可叠加同比、环比数据并以图表方式展示。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widowControl/>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警情警力分布分析</w:t>
            </w: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支持对各时段各类警情、警力配比分析，可叠加同比、环比数据并以图表方式展示。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shd w:val="clear" w:color="auto" w:fill="auto"/>
            <w:vAlign w:val="center"/>
          </w:tcPr>
          <w:p>
            <w:pPr>
              <w:widowControl/>
              <w:jc w:val="left"/>
              <w:rPr>
                <w:rFonts w:cs="宋体" w:asciiTheme="minorEastAsia" w:hAnsiTheme="minorEastAsia" w:eastAsiaTheme="minorEastAsia"/>
                <w:b/>
                <w:bCs/>
                <w:color w:val="auto"/>
                <w:kern w:val="0"/>
                <w:sz w:val="20"/>
                <w:szCs w:val="20"/>
              </w:rPr>
            </w:pPr>
            <w:r>
              <w:rPr>
                <w:rFonts w:hint="eastAsia" w:cs="宋体" w:asciiTheme="minorEastAsia" w:hAnsiTheme="minorEastAsia" w:eastAsiaTheme="minorEastAsia"/>
                <w:b/>
                <w:bCs/>
                <w:color w:val="auto"/>
                <w:kern w:val="0"/>
                <w:sz w:val="20"/>
                <w:szCs w:val="20"/>
              </w:rPr>
              <w:t>（二）</w:t>
            </w:r>
          </w:p>
        </w:tc>
        <w:tc>
          <w:tcPr>
            <w:tcW w:w="603" w:type="pct"/>
            <w:shd w:val="clear" w:color="auto" w:fill="auto"/>
            <w:vAlign w:val="center"/>
          </w:tcPr>
          <w:p>
            <w:pPr>
              <w:widowControl/>
              <w:jc w:val="left"/>
              <w:rPr>
                <w:rFonts w:cs="宋体" w:asciiTheme="minorEastAsia" w:hAnsiTheme="minorEastAsia" w:eastAsiaTheme="minorEastAsia"/>
                <w:b/>
                <w:bCs/>
                <w:color w:val="auto"/>
                <w:kern w:val="0"/>
                <w:sz w:val="20"/>
                <w:szCs w:val="20"/>
              </w:rPr>
            </w:pPr>
            <w:r>
              <w:rPr>
                <w:rFonts w:hint="eastAsia" w:cs="宋体" w:asciiTheme="minorEastAsia" w:hAnsiTheme="minorEastAsia" w:eastAsiaTheme="minorEastAsia"/>
                <w:b/>
                <w:bCs/>
                <w:color w:val="auto"/>
                <w:kern w:val="0"/>
                <w:sz w:val="20"/>
                <w:szCs w:val="20"/>
              </w:rPr>
              <w:t>任务调度</w:t>
            </w:r>
          </w:p>
        </w:tc>
        <w:tc>
          <w:tcPr>
            <w:tcW w:w="1286" w:type="pct"/>
            <w:shd w:val="clear" w:color="auto" w:fill="auto"/>
            <w:vAlign w:val="center"/>
          </w:tcPr>
          <w:p>
            <w:pPr>
              <w:widowControl/>
              <w:jc w:val="left"/>
              <w:rPr>
                <w:rFonts w:cs="宋体" w:asciiTheme="minorEastAsia" w:hAnsiTheme="minorEastAsia" w:eastAsiaTheme="minorEastAsia"/>
                <w:b/>
                <w:bCs/>
                <w:color w:val="auto"/>
                <w:kern w:val="0"/>
                <w:sz w:val="20"/>
                <w:szCs w:val="20"/>
              </w:rPr>
            </w:pPr>
            <w:r>
              <w:rPr>
                <w:rFonts w:hint="eastAsia" w:cs="宋体" w:asciiTheme="minorEastAsia" w:hAnsiTheme="minorEastAsia" w:eastAsiaTheme="minorEastAsia"/>
                <w:b/>
                <w:bCs/>
                <w:color w:val="auto"/>
                <w:kern w:val="0"/>
                <w:sz w:val="20"/>
                <w:szCs w:val="20"/>
              </w:rPr>
              <w:t>　</w:t>
            </w: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restart"/>
            <w:shd w:val="clear" w:color="auto" w:fill="auto"/>
            <w:noWrap/>
            <w:vAlign w:val="center"/>
          </w:tcPr>
          <w:p>
            <w:pPr>
              <w:jc w:val="center"/>
              <w:rPr>
                <w:rFonts w:cs="宋体" w:asciiTheme="minorEastAsia" w:hAnsiTheme="minorEastAsia" w:eastAsiaTheme="minorEastAsia"/>
                <w:color w:val="auto"/>
                <w:kern w:val="0"/>
                <w:sz w:val="20"/>
                <w:szCs w:val="20"/>
              </w:rPr>
            </w:pPr>
            <w:r>
              <w:rPr>
                <w:rFonts w:cs="宋体" w:asciiTheme="minorEastAsia" w:hAnsiTheme="minorEastAsia" w:eastAsiaTheme="minorEastAsia"/>
                <w:color w:val="auto"/>
                <w:kern w:val="0"/>
                <w:sz w:val="20"/>
                <w:szCs w:val="20"/>
              </w:rPr>
              <w:t>1</w:t>
            </w:r>
          </w:p>
        </w:tc>
        <w:tc>
          <w:tcPr>
            <w:tcW w:w="603" w:type="pct"/>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接处警指挥</w:t>
            </w: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图上指挥</w:t>
            </w:r>
          </w:p>
        </w:tc>
        <w:tc>
          <w:tcPr>
            <w:tcW w:w="2630" w:type="pct"/>
            <w:shd w:val="clear" w:color="auto" w:fill="auto"/>
            <w:vAlign w:val="center"/>
          </w:tcPr>
          <w:p>
            <w:pPr>
              <w:widowControl/>
              <w:jc w:val="left"/>
              <w:rPr>
                <w:rFonts w:cs="宋体" w:asciiTheme="minorEastAsia" w:hAnsiTheme="minorEastAsia"/>
                <w:color w:val="auto"/>
                <w:kern w:val="0"/>
                <w:sz w:val="20"/>
                <w:szCs w:val="20"/>
              </w:rPr>
            </w:pPr>
            <w:r>
              <w:rPr>
                <w:rFonts w:hint="eastAsia" w:cs="宋体" w:asciiTheme="minorEastAsia" w:hAnsiTheme="minorEastAsia" w:eastAsiaTheme="minorEastAsia"/>
                <w:color w:val="auto"/>
                <w:kern w:val="0"/>
                <w:sz w:val="20"/>
                <w:szCs w:val="20"/>
              </w:rPr>
              <w:t>支持任务调度的可视化指挥，基于GIS地图一图展示事件、警力、视频、卡口等交通资源，可对资源进行标签化管理；支持图层管理、图上圈图统计、执法记录仪调阅等；同时可以对**通、辅警通和对讲机、4G执法记录仪等所有时段实时在线数量自定义统计、查看，可查看某个设备信息，4G记录仪实时图像，支持多维度的统计。针对警情的内容提取关键词，根据关键词进行分级，对于所有警情的关键处置签收、到场、反馈、最终反馈等节点逾期进行预警提</w:t>
            </w:r>
            <w:r>
              <w:rPr>
                <w:rFonts w:hint="eastAsia" w:ascii="宋体" w:hAnsi="宋体" w:cs="宋体"/>
                <w:color w:val="auto"/>
                <w:sz w:val="20"/>
                <w:szCs w:val="20"/>
              </w:rPr>
              <w:t>醒。可实时展示交警局购买第三方服务的施救力量（拖车、铲车、吊车）、业主单位（道路主管部门、高速业主、指挥部业主等）力量、车辆定位。</w:t>
            </w:r>
            <w:r>
              <w:rPr>
                <w:rFonts w:hint="eastAsia" w:ascii="宋体" w:hAnsi="宋体" w:cs="宋体"/>
                <w:color w:val="auto"/>
                <w:sz w:val="20"/>
                <w:szCs w:val="20"/>
                <w:lang w:eastAsia="zh-CN"/>
              </w:rPr>
              <w:t>可在地图对历史轨迹查询、回放。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移动APP接处警模块升级</w:t>
            </w: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对移动APP接处警模块进行升级，包括移动终端车牌识别系统、地图应用、移动APP接处警界面提升和反馈抄送提醒、照片后台上传、拍照功能优化。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查询统计</w:t>
            </w: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接处警指挥各类查询功能，包括受理记录查询、处警查询、指令单查询、反馈单查询、回访单查询、电话库查询、上下岗纪录查询、警情查询、重点路段查询、公告查询、通知查询、操作记录查询和组合查询，查询结果可以打印和导出excel或者word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警情类统计</w:t>
            </w: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支持接处警指挥各类警情统计功能，包括警情数量统计、 各巡区各类警情数量统计、 报警处理结果统计、 各类警情案发地点数量统计、接警员工作量统计、单位出警量、反馈量统计、 各单位接处警反馈情况统计</w:t>
            </w:r>
            <w:r>
              <w:rPr>
                <w:rFonts w:hint="eastAsia" w:cs="宋体" w:asciiTheme="minorEastAsia" w:hAnsiTheme="minorEastAsia" w:eastAsiaTheme="minorEastAsia"/>
                <w:color w:val="auto"/>
                <w:kern w:val="0"/>
                <w:sz w:val="20"/>
                <w:szCs w:val="20"/>
                <w:lang w:eastAsia="zh-CN"/>
              </w:rPr>
              <w:t>、</w:t>
            </w:r>
            <w:r>
              <w:rPr>
                <w:rFonts w:hint="eastAsia" w:cs="宋体" w:asciiTheme="minorEastAsia" w:hAnsiTheme="minorEastAsia"/>
                <w:color w:val="auto"/>
                <w:kern w:val="0"/>
                <w:sz w:val="20"/>
                <w:szCs w:val="20"/>
                <w:lang w:eastAsia="zh-CN"/>
              </w:rPr>
              <w:t>同环比</w:t>
            </w:r>
            <w:r>
              <w:rPr>
                <w:rFonts w:hint="eastAsia" w:cs="宋体" w:asciiTheme="minorEastAsia" w:hAnsiTheme="minorEastAsia" w:eastAsiaTheme="minorEastAsia"/>
                <w:color w:val="auto"/>
                <w:kern w:val="0"/>
                <w:sz w:val="20"/>
                <w:szCs w:val="20"/>
              </w:rPr>
              <w:t>和自定义统计模块。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快处快撤</w:t>
            </w:r>
          </w:p>
        </w:tc>
        <w:tc>
          <w:tcPr>
            <w:tcW w:w="2630"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快处快撤时视频调阅、视频抓拍图片合成，形成证据图片，周边视频管理，支持视频的快进/快退，视频的抓拍、截取，保存作为现场证据。证据合成，从不同视角抓取的证据图片，支持合成为证据链。同时与事故处理系统对接，将现场证据信息实时推送至事故处理系统，便于事故处理部门（含快处中心）调阅、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widowControl/>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数据同步</w:t>
            </w:r>
          </w:p>
        </w:tc>
        <w:tc>
          <w:tcPr>
            <w:tcW w:w="2630"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支持单兵装备绑定数据、警情数据、GPS数据、勤务排班、绩效数据以及数据中心的公安交通基础数据双向同步。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restart"/>
            <w:shd w:val="clear" w:color="auto" w:fill="auto"/>
            <w:noWrap/>
            <w:vAlign w:val="center"/>
          </w:tcPr>
          <w:p>
            <w:pPr>
              <w:jc w:val="center"/>
              <w:rPr>
                <w:rFonts w:cs="宋体" w:asciiTheme="minorEastAsia" w:hAnsiTheme="minorEastAsia" w:eastAsiaTheme="minorEastAsia"/>
                <w:color w:val="auto"/>
                <w:kern w:val="0"/>
                <w:sz w:val="20"/>
                <w:szCs w:val="20"/>
              </w:rPr>
            </w:pPr>
            <w:r>
              <w:rPr>
                <w:rFonts w:cs="宋体" w:asciiTheme="minorEastAsia" w:hAnsiTheme="minorEastAsia" w:eastAsiaTheme="minorEastAsia"/>
                <w:color w:val="auto"/>
                <w:kern w:val="0"/>
                <w:sz w:val="20"/>
                <w:szCs w:val="20"/>
              </w:rPr>
              <w:t>2</w:t>
            </w:r>
          </w:p>
        </w:tc>
        <w:tc>
          <w:tcPr>
            <w:tcW w:w="603" w:type="pct"/>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专项行动</w:t>
            </w:r>
          </w:p>
        </w:tc>
        <w:tc>
          <w:tcPr>
            <w:tcW w:w="1286" w:type="pct"/>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方案制定</w:t>
            </w: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支持对支队执行的专项行动指挥方案基本信息录入功能，包括文档材料上传。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在专项行动方案任务要素设置时，可调取方案模板、可视化设置和具体审核要求。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方案审核</w:t>
            </w: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方案制定完成进入审核环节，系统需审核人员进行方案审核。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支持对已编制完成的方案进行审核功能。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方案发布/签收</w:t>
            </w: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支持通过审核的方案发布、方案所涉及部门签收功能。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勤务部署/检查</w:t>
            </w: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根据专项行动制定的方案要求，各参加部门进行警力部署，系统同时提供勤务部署检查功能。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方案启动</w:t>
            </w: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根据方案的执行时间，在专项行动执行前进行方案的启动提醒、岗位警力检查和正式启动。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480" w:type="pct"/>
            <w:vMerge w:val="continue"/>
            <w:tcBorders>
              <w:bottom w:val="single" w:color="auto" w:sz="4" w:space="0"/>
            </w:tcBorders>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tcBorders>
              <w:bottom w:val="single" w:color="auto" w:sz="4" w:space="0"/>
            </w:tcBorders>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tcBorders>
              <w:bottom w:val="single" w:color="auto" w:sz="4" w:space="0"/>
            </w:tcBorders>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专项行动指挥</w:t>
            </w:r>
          </w:p>
        </w:tc>
        <w:tc>
          <w:tcPr>
            <w:tcW w:w="2630" w:type="pct"/>
            <w:tcBorders>
              <w:bottom w:val="single" w:color="auto" w:sz="4" w:space="0"/>
            </w:tcBorders>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基于GIS地图，实时展示本次行动所涉及的所有岗位、线路、区域、警力资源，在行动过程中，实时接收执勤警员上传的战果情况，对反馈的现场照片、处罚凭证照片等进行查看，可实时调阅与活动相关的视频监控设备，指挥员可实时掌握现场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战果总结</w:t>
            </w: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专项行动执行完成后，对专项行动的结果进行总结，可根据模板生成战果报告。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widowControl/>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方案查询</w:t>
            </w: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支持对专项行动方案的查询功能。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restart"/>
            <w:shd w:val="clear" w:color="auto" w:fill="auto"/>
            <w:noWrap/>
            <w:vAlign w:val="center"/>
          </w:tcPr>
          <w:p>
            <w:pPr>
              <w:jc w:val="center"/>
              <w:rPr>
                <w:rFonts w:cs="宋体" w:asciiTheme="minorEastAsia" w:hAnsiTheme="minorEastAsia" w:eastAsiaTheme="minorEastAsia"/>
                <w:color w:val="auto"/>
                <w:kern w:val="0"/>
                <w:sz w:val="20"/>
                <w:szCs w:val="20"/>
              </w:rPr>
            </w:pPr>
            <w:r>
              <w:rPr>
                <w:rFonts w:cs="宋体" w:asciiTheme="minorEastAsia" w:hAnsiTheme="minorEastAsia" w:eastAsiaTheme="minorEastAsia"/>
                <w:color w:val="auto"/>
                <w:kern w:val="0"/>
                <w:sz w:val="20"/>
                <w:szCs w:val="20"/>
              </w:rPr>
              <w:t>3</w:t>
            </w:r>
          </w:p>
        </w:tc>
        <w:tc>
          <w:tcPr>
            <w:tcW w:w="603" w:type="pct"/>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应急处置</w:t>
            </w:r>
          </w:p>
        </w:tc>
        <w:tc>
          <w:tcPr>
            <w:tcW w:w="1286" w:type="pct"/>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预案管理</w:t>
            </w: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提供根据突发事件的类型（突发灾害天气、重大交通事故等）编制各类突发事件处置预案功能，根据预案执行方式可分为文本型预案和任务型预案的编制。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支持预案评审结果信息录入功能。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支持预案修正、完善功能。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支持预案发布功能，相关人员可调阅预案，查看预案具体内容。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支持预案培训/演练结果信息录入功能。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支持已发布预案查询功能。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应急响应指挥</w:t>
            </w: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预案调取：支持预案调取功能，包括人工调取和系统自动调取。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预案启动：人工或自动调取的预案经预案处置员确认后，预案正式启动。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2630"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应急处置：应急响应指挥根据应急预案进行实时指挥，可分为文本型预案处置指挥和任务型预案处置指挥，针对任务型预案，系统根据预案设定的突发事件处置任务步骤打开数字化应急处置预案，指挥员按步骤进行处置任务的指挥调度，并完整记录指挥人员的操作、处置指令、信息报送等信息。</w:t>
            </w:r>
            <w:r>
              <w:rPr>
                <w:rFonts w:hint="eastAsia" w:cs="宋体" w:asciiTheme="minorEastAsia" w:hAnsiTheme="minorEastAsia"/>
                <w:color w:val="auto"/>
                <w:kern w:val="0"/>
                <w:sz w:val="20"/>
                <w:szCs w:val="20"/>
                <w:lang w:eastAsia="zh-CN"/>
              </w:rPr>
              <w:t>可对每个处置进度中注意事项、处置关键要点进行提示；支持支队、大队、中队的应急事件信息采集、上报，支队向上级部门信息报送等全流程记录。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2630"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应急处置响应关闭：应急事件处置完成后，需及时关闭应急响应处置任务。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可视化展示：在应急响应指挥过程中，指挥中心大屏可实时展示突发事件现场的警力资源、视频监控设备等。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应急响应评估</w:t>
            </w: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预案评估：应急事件处置完成后，需根据处置操作记录和处置措施步骤对方案进行评估。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处置评估：应急事件处置完成后，需根据处置操作记录和处置措施步骤对处置过程进行评估。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widowControl/>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应急资源管理</w:t>
            </w: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提供对应急资源统筹管理功能，包括对应急机构、应急队伍、社会救援力量、应急专家和应急物资等资源的维护，当发生重大警情时，系统可根据警情自动关联应急资源并在电子地图上进行展示。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restart"/>
            <w:shd w:val="clear" w:color="auto" w:fill="auto"/>
            <w:noWrap/>
            <w:vAlign w:val="center"/>
          </w:tcPr>
          <w:p>
            <w:pPr>
              <w:jc w:val="center"/>
              <w:rPr>
                <w:rFonts w:cs="宋体" w:asciiTheme="minorEastAsia" w:hAnsiTheme="minorEastAsia" w:eastAsiaTheme="minorEastAsia"/>
                <w:color w:val="auto"/>
                <w:kern w:val="0"/>
                <w:sz w:val="20"/>
                <w:szCs w:val="20"/>
              </w:rPr>
            </w:pPr>
            <w:r>
              <w:rPr>
                <w:rFonts w:cs="宋体" w:asciiTheme="minorEastAsia" w:hAnsiTheme="minorEastAsia" w:eastAsiaTheme="minorEastAsia"/>
                <w:color w:val="auto"/>
                <w:kern w:val="0"/>
                <w:sz w:val="20"/>
                <w:szCs w:val="20"/>
              </w:rPr>
              <w:t>4</w:t>
            </w:r>
          </w:p>
        </w:tc>
        <w:tc>
          <w:tcPr>
            <w:tcW w:w="603" w:type="pct"/>
            <w:vMerge w:val="restart"/>
            <w:shd w:val="clear" w:color="auto" w:fill="auto"/>
            <w:noWrap/>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缉查布控</w:t>
            </w: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批量车牌搜车</w:t>
            </w: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通过提供的模板，将车牌号码填入excel模板导入系统，支持批量车牌的搜索功能</w:t>
            </w:r>
            <w:r>
              <w:rPr>
                <w:rFonts w:hint="eastAsia" w:cs="宋体" w:asciiTheme="minorEastAsia" w:hAnsiTheme="minorEastAsia" w:eastAsiaTheme="minorEastAsia"/>
                <w:color w:val="auto"/>
                <w:kern w:val="0"/>
                <w:sz w:val="20"/>
                <w:szCs w:val="20"/>
                <w:lang w:eastAsia="zh-CN"/>
              </w:rPr>
              <w:t>，也支持人工多辆车输入搜索功能</w:t>
            </w:r>
            <w:r>
              <w:rPr>
                <w:rFonts w:hint="eastAsia" w:cs="宋体" w:asciiTheme="minorEastAsia" w:hAnsiTheme="minorEastAsia" w:eastAsiaTheme="minorEastAsia"/>
                <w:color w:val="auto"/>
                <w:kern w:val="0"/>
                <w:sz w:val="20"/>
                <w:szCs w:val="20"/>
              </w:rPr>
              <w:t>。支持对结果的二次搜索功能，搜索结果可支持万级数量的下载。</w:t>
            </w:r>
            <w:r>
              <w:rPr>
                <w:rFonts w:hint="eastAsia" w:cs="宋体" w:asciiTheme="minorEastAsia" w:hAnsiTheme="minorEastAsia"/>
                <w:color w:val="auto"/>
                <w:kern w:val="0"/>
                <w:sz w:val="20"/>
                <w:szCs w:val="20"/>
                <w:lang w:eastAsia="zh-CN"/>
              </w:rPr>
              <w:t>支持地图轨迹展现。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特种车辆搜索</w:t>
            </w:r>
          </w:p>
        </w:tc>
        <w:tc>
          <w:tcPr>
            <w:tcW w:w="2630" w:type="pct"/>
            <w:shd w:val="clear" w:color="auto" w:fill="auto"/>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识别校车、集装箱车、油罐车、搅拌车、出租车、消防车、公检法车、工程抢险车、渣土车、公交车、教练车、救护车、运钞车、殡仪车、行政执法车等15种特种车辆或特殊车辆，并进行对应车辆搜索的功能。</w:t>
            </w:r>
            <w:r>
              <w:rPr>
                <w:rFonts w:hint="eastAsia" w:cs="宋体" w:asciiTheme="minorEastAsia" w:hAnsiTheme="minorEastAsia" w:eastAsiaTheme="minorEastAsia"/>
                <w:b/>
                <w:bCs/>
                <w:color w:val="auto"/>
                <w:kern w:val="0"/>
                <w:sz w:val="20"/>
                <w:szCs w:val="20"/>
              </w:rPr>
              <w:t>支持对结果的二次搜索功能，搜索结果可支持万级数量的下载。</w:t>
            </w:r>
            <w:r>
              <w:rPr>
                <w:rFonts w:hint="eastAsia" w:cs="宋体" w:asciiTheme="minorEastAsia" w:hAnsiTheme="minorEastAsia"/>
                <w:b/>
                <w:bCs/>
                <w:color w:val="auto"/>
                <w:kern w:val="0"/>
                <w:sz w:val="20"/>
                <w:szCs w:val="20"/>
                <w:lang w:eastAsia="zh-CN"/>
              </w:rPr>
              <w:t>支持搜索结果导出功能。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模糊特征搜车</w:t>
            </w:r>
          </w:p>
        </w:tc>
        <w:tc>
          <w:tcPr>
            <w:tcW w:w="2630" w:type="pct"/>
            <w:shd w:val="clear" w:color="auto" w:fill="auto"/>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★支持选择车辆的车头或车尾特征（年检标数量、是否有摆件、挂件、纸巾盒、天窗、行李架、车身喷字等），检索出指定位置、时间段内有指定局部特征车辆的功能。</w:t>
            </w:r>
          </w:p>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对实际在线系统的千亿数据规模，根据条件过滤的结果，进行模糊特征搜车，平均查询时间不超过1秒。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危险品车辆搜索（升级）</w:t>
            </w:r>
          </w:p>
        </w:tc>
        <w:tc>
          <w:tcPr>
            <w:tcW w:w="2630" w:type="pct"/>
            <w:shd w:val="clear" w:color="auto" w:fill="auto"/>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支持识别车头、车顶部分有‘危险’标示特征的车辆，并根据时间段、区域等条件，检索出所有过车记录中符合条件的危险品车信息，支持对结果的二次搜索功能，搜索结果可支持万级数量的下载。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自定义特征搜车（升级）</w:t>
            </w:r>
          </w:p>
        </w:tc>
        <w:tc>
          <w:tcPr>
            <w:tcW w:w="2630" w:type="pct"/>
            <w:shd w:val="clear" w:color="auto" w:fill="auto"/>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★支持在上传场景图片中可识别车辆进行识别分析，对照片上车辆目标划选一个或多个局部特征，根据所选标识的特征检索具有相同或相似特征的车辆，并按相似度排序的功能。</w:t>
            </w:r>
          </w:p>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对实际在线系统的千亿数据规模，根据条件过滤的结果，进行自定义特征搜车，平均查询时间不超过1秒。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人脸搜车</w:t>
            </w:r>
          </w:p>
        </w:tc>
        <w:tc>
          <w:tcPr>
            <w:tcW w:w="2630" w:type="pct"/>
            <w:shd w:val="clear" w:color="auto" w:fill="auto"/>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支持通过上传一张人脸照片与车辆卡口抓拍图片中的人脸进行比对，显示人脸比对结果及车辆二次分析识别结果，支持人脸搜车的功能。</w:t>
            </w:r>
            <w:r>
              <w:rPr>
                <w:rFonts w:hint="eastAsia" w:cs="宋体" w:asciiTheme="minorEastAsia" w:hAnsiTheme="minorEastAsia"/>
                <w:color w:val="auto"/>
                <w:kern w:val="0"/>
                <w:sz w:val="20"/>
                <w:szCs w:val="20"/>
                <w:lang w:eastAsia="zh-CN"/>
              </w:rPr>
              <w:t>应支持上传人脸照片实时布控预警。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离线数据分析</w:t>
            </w:r>
          </w:p>
        </w:tc>
        <w:tc>
          <w:tcPr>
            <w:tcW w:w="2630" w:type="pct"/>
            <w:shd w:val="clear" w:color="auto" w:fill="auto"/>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支持上传车辆图片的压缩包进行品牌、型号、年款、车身颜色等信息的识别，并可对识别的信息进行二次检索的功能。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双胞胎车搜索</w:t>
            </w:r>
          </w:p>
        </w:tc>
        <w:tc>
          <w:tcPr>
            <w:tcW w:w="2630" w:type="pct"/>
            <w:shd w:val="clear" w:color="auto" w:fill="auto"/>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支持对同车型，同车牌车辆，对车辆信息进行比对分析，利用时空分析短时间较大距离移动的同车辆信息，筛选出克隆车辆（双胞胎车）的功能。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外地车辆分布矩阵</w:t>
            </w:r>
          </w:p>
        </w:tc>
        <w:tc>
          <w:tcPr>
            <w:tcW w:w="2630" w:type="pct"/>
            <w:shd w:val="clear" w:color="auto" w:fill="auto"/>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展示外地车辆数量的比值关系，要求分为三级，可按照缩放等级逐级进行查看，支持三级矩阵，一级矩阵代表省份简称；二级矩阵代表省份简称加首字母；三级矩阵代表详细车辆号码，并可链接到该车牌的按车牌搜车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三轮车违法载人</w:t>
            </w: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支持能够识别三轮车是否载人，对结果按照辖区进行统计汇总。</w:t>
            </w:r>
            <w:r>
              <w:rPr>
                <w:rFonts w:hint="eastAsia" w:cs="宋体" w:asciiTheme="minorEastAsia" w:hAnsiTheme="minorEastAsia"/>
                <w:color w:val="auto"/>
                <w:kern w:val="0"/>
                <w:sz w:val="20"/>
                <w:szCs w:val="20"/>
                <w:lang w:eastAsia="zh-CN"/>
              </w:rPr>
              <w:t>通过驾驶人人脸识别，自动关联该驾驶人人员信息（名字、住址、电话、工作单位、暂住地等信息）。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接打电话检测（升级）</w:t>
            </w:r>
          </w:p>
        </w:tc>
        <w:tc>
          <w:tcPr>
            <w:tcW w:w="2630" w:type="pct"/>
            <w:shd w:val="clear" w:color="auto" w:fill="auto"/>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支持对主驾驶人员是否打电话进行检测，并支持按照车牌号码、抓拍时间、视频监控位置、车牌颜色和车辆颜色进行检索的功能。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实时预警平台</w:t>
            </w:r>
          </w:p>
        </w:tc>
        <w:tc>
          <w:tcPr>
            <w:tcW w:w="2630" w:type="pct"/>
            <w:shd w:val="clear" w:color="auto" w:fill="auto"/>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对今日抓拍车辆、今日上路车辆、系统使用状况、实时过车、重点车辆、初次入区车辆、历史过车、昨日外省车辆入区情况做统计，并通过高危预警方式对过车数据中的重点车辆做智能分析，并筛选其中危险指数较高，需及时重点管控的车辆进行预警和展示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按精确车牌布控</w:t>
            </w:r>
          </w:p>
        </w:tc>
        <w:tc>
          <w:tcPr>
            <w:tcW w:w="2630" w:type="pct"/>
            <w:shd w:val="clear" w:color="auto" w:fill="auto"/>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支持在自定义布控的时限、区域内对一个或多个精确车牌布控的功能。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批量车牌布控</w:t>
            </w:r>
          </w:p>
        </w:tc>
        <w:tc>
          <w:tcPr>
            <w:tcW w:w="2630" w:type="pct"/>
            <w:shd w:val="clear" w:color="auto" w:fill="auto"/>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 xml:space="preserve">支持在自定义布控的时限、区域内对导入的批量精确车牌进行布控的功能。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按模糊车牌布控</w:t>
            </w:r>
          </w:p>
        </w:tc>
        <w:tc>
          <w:tcPr>
            <w:tcW w:w="2630" w:type="pct"/>
            <w:shd w:val="clear" w:color="auto" w:fill="auto"/>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支持在自定义布控的时限、区域内对一个或多个模糊车牌布控的功能。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按车型布控</w:t>
            </w:r>
          </w:p>
        </w:tc>
        <w:tc>
          <w:tcPr>
            <w:tcW w:w="2630" w:type="pct"/>
            <w:shd w:val="clear" w:color="auto" w:fill="auto"/>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支持在自定义布控的时限、区域内对按品牌、型号、年款等车型信息进行布控的功能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按类别布控</w:t>
            </w:r>
          </w:p>
        </w:tc>
        <w:tc>
          <w:tcPr>
            <w:tcW w:w="2630" w:type="pct"/>
            <w:shd w:val="clear" w:color="auto" w:fill="auto"/>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支持在自定义布控的时限、区域内对轿车、越野车、商务车、面包车、皮卡车、小型货车、大型货车、小型客车、大型客车等车辆类别及细化品牌进行布控的功能。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布控明细</w:t>
            </w: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支持可查看当前用户申请的待审批布控项目、布控中项目和已关闭项目的功能，并可进行撤销、查看等操作。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布控告警台</w:t>
            </w: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支持在布控告警实时展示界面，当过车数据符合布控条件时，通过列表及地图弹框展示布控告警的功能。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以图布控</w:t>
            </w:r>
          </w:p>
        </w:tc>
        <w:tc>
          <w:tcPr>
            <w:tcW w:w="2630" w:type="pct"/>
            <w:shd w:val="clear" w:color="auto" w:fill="auto"/>
          </w:tcPr>
          <w:p>
            <w:pPr>
              <w:widowControl/>
              <w:jc w:val="left"/>
              <w:rPr>
                <w:rFonts w:hint="eastAsia" w:cs="宋体" w:asciiTheme="minorEastAsia" w:hAnsiTheme="minorEastAsia" w:eastAsiaTheme="minorEastAsia"/>
                <w:color w:val="auto"/>
                <w:kern w:val="0"/>
                <w:sz w:val="20"/>
                <w:szCs w:val="20"/>
                <w:lang w:eastAsia="zh-CN"/>
              </w:rPr>
            </w:pPr>
            <w:r>
              <w:rPr>
                <w:rFonts w:hint="eastAsia" w:cs="宋体" w:asciiTheme="minorEastAsia" w:hAnsiTheme="minorEastAsia" w:eastAsiaTheme="minorEastAsia"/>
                <w:color w:val="auto"/>
                <w:kern w:val="0"/>
                <w:sz w:val="20"/>
                <w:szCs w:val="20"/>
              </w:rPr>
              <w:t>支持一键上传车辆图片，识别图片中车辆并对与之相似车辆进行布控。支持上传重点人员、重点车辆驾驶人等人脸进行布控，比对卡口人脸自动预警，可根据不同类型需求单选或多选驾驶人人脸、乘坐人人脸进行预警</w:t>
            </w:r>
            <w:r>
              <w:rPr>
                <w:rFonts w:hint="eastAsia" w:cs="宋体" w:asciiTheme="minorEastAsia" w:hAnsiTheme="minorEastAsia" w:eastAsiaTheme="minorEastAsia"/>
                <w:color w:val="auto"/>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档案信息管理</w:t>
            </w:r>
          </w:p>
        </w:tc>
        <w:tc>
          <w:tcPr>
            <w:tcW w:w="2630" w:type="pct"/>
            <w:shd w:val="clear" w:color="auto" w:fill="auto"/>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记录和展示设备的厂商ID、设备名称、IP地址、端口号、管辖单位、关联卡口、关联车道等信息，支持对设备信息进行修改、删除操作，支持以所属区域、管辖单位、卡口名称、设备名称作为搜索条件对设备的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纠错管理</w:t>
            </w:r>
          </w:p>
        </w:tc>
        <w:tc>
          <w:tcPr>
            <w:tcW w:w="2630" w:type="pct"/>
            <w:shd w:val="clear" w:color="auto" w:fill="auto"/>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记录纠错信息的上报时间、上报人、卡口名称、所属区域、错误类别、详细错误内容、是否修复等信息，支持选择纠错信息，支持修复操作，支持查看错误图片，支持以所属区域、类别、是否修复、卡口组名称作为搜索条件对纠错进行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白名单管理</w:t>
            </w: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支持将车牌号设置成白名单（白名单车辆不在前台检索范围内）的功能。</w:t>
            </w:r>
            <w:r>
              <w:rPr>
                <w:rFonts w:hint="eastAsia" w:cs="宋体" w:asciiTheme="minorEastAsia" w:hAnsiTheme="minorEastAsia" w:eastAsiaTheme="minorEastAsia"/>
                <w:color w:val="auto"/>
                <w:kern w:val="0"/>
                <w:sz w:val="20"/>
                <w:szCs w:val="20"/>
                <w:lang w:eastAsia="zh-CN"/>
              </w:rPr>
              <w:t>白名单不影响上级权限检索。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高危预警参数设置</w:t>
            </w:r>
          </w:p>
        </w:tc>
        <w:tc>
          <w:tcPr>
            <w:tcW w:w="2630" w:type="pct"/>
            <w:shd w:val="clear" w:color="auto" w:fill="auto"/>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支持展示不同预警方式的名称、预警积分值、授权是否预警、预警项简称及标识颜色，支持修改预警各项参数。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暂存架</w:t>
            </w: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支持建立暂存架，将查询、研判结果中的图片数据转存到暂存架中进行收藏，并支持轨迹查询重现等功能。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外地车筛选</w:t>
            </w:r>
          </w:p>
        </w:tc>
        <w:tc>
          <w:tcPr>
            <w:tcW w:w="2630" w:type="pct"/>
            <w:shd w:val="clear" w:color="auto" w:fill="auto"/>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支持通过选择数据来源、时间段等相应的筛选条件信息，即可检索出满足条件的所有外地车辆。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noWrap/>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大客车触网预警</w:t>
            </w:r>
          </w:p>
        </w:tc>
        <w:tc>
          <w:tcPr>
            <w:tcW w:w="2630" w:type="pct"/>
            <w:shd w:val="clear" w:color="auto" w:fill="auto"/>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支持建立大客车白名单，当白名单以外大客车未在指定路段内行驶，当被前端卡口抓拍后实时推送到系统进行预警。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非机动车违法行为统计</w:t>
            </w:r>
          </w:p>
        </w:tc>
        <w:tc>
          <w:tcPr>
            <w:tcW w:w="2630" w:type="pct"/>
            <w:shd w:val="clear" w:color="auto" w:fill="auto"/>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对路段、交叉口的图像过车数据进行自动识别、智能分析，利用AI图像识别技术对图像中的非机动车违法载人，未佩戴安全头盔行为进行实时监测，并根据点位违法数据量统计排行。可精准到大队、中队，或者按照行政区划全市、县市区排行统计并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noWrap/>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地图对接</w:t>
            </w:r>
          </w:p>
        </w:tc>
        <w:tc>
          <w:tcPr>
            <w:tcW w:w="2630" w:type="pct"/>
            <w:shd w:val="clear" w:color="auto" w:fill="auto"/>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支持对接采购方指定地图，并且地图能显示区县轮廓。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视频非机动车违法行为分析</w:t>
            </w:r>
          </w:p>
        </w:tc>
        <w:tc>
          <w:tcPr>
            <w:tcW w:w="2630" w:type="pct"/>
            <w:shd w:val="clear" w:color="auto" w:fill="auto"/>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支持通过对路段、交叉口的视频数据进行自动识别、智能分析，利用AI图像识别技术对图像中的非机动车违法载人，未佩戴安全头盔行为进行实时监测，并根据点位违法数据量统计排行。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widowControl/>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特种车辆布控</w:t>
            </w:r>
          </w:p>
        </w:tc>
        <w:tc>
          <w:tcPr>
            <w:tcW w:w="2630" w:type="pct"/>
            <w:shd w:val="clear" w:color="auto" w:fill="auto"/>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支持在自定义布控的时限、区域内，对渣土车，危化品车等特种车辆进行布控预警。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shd w:val="clear" w:color="auto" w:fill="auto"/>
            <w:vAlign w:val="center"/>
          </w:tcPr>
          <w:p>
            <w:pPr>
              <w:widowControl/>
              <w:jc w:val="left"/>
              <w:rPr>
                <w:rFonts w:cs="宋体" w:asciiTheme="minorEastAsia" w:hAnsiTheme="minorEastAsia" w:eastAsiaTheme="minorEastAsia"/>
                <w:b/>
                <w:bCs/>
                <w:color w:val="auto"/>
                <w:kern w:val="0"/>
                <w:sz w:val="20"/>
                <w:szCs w:val="20"/>
              </w:rPr>
            </w:pPr>
            <w:r>
              <w:rPr>
                <w:rFonts w:hint="eastAsia" w:cs="宋体" w:asciiTheme="minorEastAsia" w:hAnsiTheme="minorEastAsia" w:eastAsiaTheme="minorEastAsia"/>
                <w:b/>
                <w:bCs/>
                <w:color w:val="auto"/>
                <w:kern w:val="0"/>
                <w:sz w:val="20"/>
                <w:szCs w:val="20"/>
              </w:rPr>
              <w:t>（三）</w:t>
            </w:r>
          </w:p>
        </w:tc>
        <w:tc>
          <w:tcPr>
            <w:tcW w:w="603" w:type="pct"/>
            <w:shd w:val="clear" w:color="auto" w:fill="auto"/>
            <w:vAlign w:val="center"/>
          </w:tcPr>
          <w:p>
            <w:pPr>
              <w:widowControl/>
              <w:jc w:val="left"/>
              <w:rPr>
                <w:rFonts w:cs="宋体" w:asciiTheme="minorEastAsia" w:hAnsiTheme="minorEastAsia" w:eastAsiaTheme="minorEastAsia"/>
                <w:b/>
                <w:bCs/>
                <w:color w:val="auto"/>
                <w:kern w:val="0"/>
                <w:sz w:val="20"/>
                <w:szCs w:val="20"/>
              </w:rPr>
            </w:pPr>
            <w:r>
              <w:rPr>
                <w:rFonts w:hint="eastAsia" w:cs="宋体" w:asciiTheme="minorEastAsia" w:hAnsiTheme="minorEastAsia" w:eastAsiaTheme="minorEastAsia"/>
                <w:b/>
                <w:bCs/>
                <w:color w:val="auto"/>
                <w:kern w:val="0"/>
                <w:sz w:val="20"/>
                <w:szCs w:val="20"/>
              </w:rPr>
              <w:t>勤务管理</w:t>
            </w:r>
          </w:p>
        </w:tc>
        <w:tc>
          <w:tcPr>
            <w:tcW w:w="1286" w:type="pct"/>
            <w:shd w:val="clear" w:color="auto" w:fill="auto"/>
            <w:vAlign w:val="center"/>
          </w:tcPr>
          <w:p>
            <w:pPr>
              <w:widowControl/>
              <w:jc w:val="left"/>
              <w:rPr>
                <w:rFonts w:cs="宋体" w:asciiTheme="minorEastAsia" w:hAnsiTheme="minorEastAsia" w:eastAsiaTheme="minorEastAsia"/>
                <w:b/>
                <w:bCs/>
                <w:color w:val="auto"/>
                <w:kern w:val="0"/>
                <w:sz w:val="20"/>
                <w:szCs w:val="20"/>
              </w:rPr>
            </w:pPr>
            <w:r>
              <w:rPr>
                <w:rFonts w:hint="eastAsia" w:cs="宋体" w:asciiTheme="minorEastAsia" w:hAnsiTheme="minorEastAsia" w:eastAsiaTheme="minorEastAsia"/>
                <w:b/>
                <w:bCs/>
                <w:color w:val="auto"/>
                <w:kern w:val="0"/>
                <w:sz w:val="20"/>
                <w:szCs w:val="20"/>
              </w:rPr>
              <w:t>　</w:t>
            </w:r>
          </w:p>
        </w:tc>
        <w:tc>
          <w:tcPr>
            <w:tcW w:w="2630" w:type="pct"/>
            <w:shd w:val="clear" w:color="auto" w:fill="auto"/>
            <w:vAlign w:val="center"/>
          </w:tcPr>
          <w:p>
            <w:pPr>
              <w:widowControl/>
              <w:jc w:val="left"/>
              <w:rPr>
                <w:rFonts w:cs="宋体" w:asciiTheme="minorEastAsia" w:hAnsiTheme="minorEastAsia" w:eastAsiaTheme="minorEastAsia"/>
                <w:b/>
                <w:bCs/>
                <w:color w:val="auto"/>
                <w:kern w:val="0"/>
                <w:sz w:val="20"/>
                <w:szCs w:val="20"/>
              </w:rPr>
            </w:pPr>
            <w:r>
              <w:rPr>
                <w:rFonts w:hint="eastAsia" w:cs="宋体" w:asciiTheme="minorEastAsia" w:hAnsiTheme="minorEastAsia" w:eastAsiaTheme="minorEastAsia"/>
                <w:b/>
                <w:bCs/>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restart"/>
            <w:shd w:val="clear" w:color="auto" w:fill="auto"/>
            <w:noWrap/>
            <w:vAlign w:val="center"/>
          </w:tcPr>
          <w:p>
            <w:pPr>
              <w:jc w:val="center"/>
              <w:rPr>
                <w:rFonts w:cs="宋体" w:asciiTheme="minorEastAsia" w:hAnsiTheme="minorEastAsia" w:eastAsiaTheme="minorEastAsia"/>
                <w:color w:val="auto"/>
                <w:kern w:val="0"/>
                <w:sz w:val="20"/>
                <w:szCs w:val="20"/>
              </w:rPr>
            </w:pPr>
            <w:r>
              <w:rPr>
                <w:rFonts w:cs="宋体" w:asciiTheme="minorEastAsia" w:hAnsiTheme="minorEastAsia" w:eastAsiaTheme="minorEastAsia"/>
                <w:color w:val="auto"/>
                <w:kern w:val="0"/>
                <w:sz w:val="20"/>
                <w:szCs w:val="20"/>
              </w:rPr>
              <w:t>1</w:t>
            </w:r>
          </w:p>
        </w:tc>
        <w:tc>
          <w:tcPr>
            <w:tcW w:w="603" w:type="pct"/>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规划管理</w:t>
            </w: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区域规划</w:t>
            </w:r>
          </w:p>
        </w:tc>
        <w:tc>
          <w:tcPr>
            <w:tcW w:w="2630"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基于地理信息服务平台在GIS电子地图上直接划分各大队、中队、警组的责任区域，需采集责任区的各责任区边界的道路路口路段名称、经纬度、责任人、创建时间等信息。主要功能包括警区设置、岗位设置、班次设置、岗位级别设置及任务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widowControl/>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勤务模式管理</w:t>
            </w:r>
          </w:p>
        </w:tc>
        <w:tc>
          <w:tcPr>
            <w:tcW w:w="2630"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根据用户勤务管理要求，制定相应的勤务模式，主要包括：勤务名称、执勤任务、适用部门、创建时间、创建人等信息，完成后在系统中发布，各大中队根据勤务模式的执勤要求编制勤务部署方案。勤务模式管理包括勤务模式编制、领导审核、勤务模式下发、勤务模式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restart"/>
            <w:shd w:val="clear" w:color="auto" w:fill="auto"/>
            <w:noWrap/>
            <w:vAlign w:val="center"/>
          </w:tcPr>
          <w:p>
            <w:pPr>
              <w:jc w:val="center"/>
              <w:rPr>
                <w:rFonts w:cs="宋体" w:asciiTheme="minorEastAsia" w:hAnsiTheme="minorEastAsia" w:eastAsiaTheme="minorEastAsia"/>
                <w:color w:val="auto"/>
                <w:kern w:val="0"/>
                <w:sz w:val="20"/>
                <w:szCs w:val="20"/>
              </w:rPr>
            </w:pPr>
            <w:r>
              <w:rPr>
                <w:rFonts w:cs="宋体" w:asciiTheme="minorEastAsia" w:hAnsiTheme="minorEastAsia" w:eastAsiaTheme="minorEastAsia"/>
                <w:color w:val="auto"/>
                <w:kern w:val="0"/>
                <w:sz w:val="20"/>
                <w:szCs w:val="20"/>
              </w:rPr>
              <w:t>2</w:t>
            </w:r>
          </w:p>
        </w:tc>
        <w:tc>
          <w:tcPr>
            <w:tcW w:w="603" w:type="pct"/>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勤务部署</w:t>
            </w: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岗位管理</w:t>
            </w:r>
          </w:p>
        </w:tc>
        <w:tc>
          <w:tcPr>
            <w:tcW w:w="2630"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系统支持路面执勤岗位设定功能，设立各个执勤工作岗位，主要包括岗位的名称、岗位类型（路口、路段、区域等）、执勤时间段、执勤区域、所属中队、负责人、执勤类型（定点、巡逻等），并结合GIS地图绘制标注岗位具体位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部署方案管理</w:t>
            </w:r>
          </w:p>
        </w:tc>
        <w:tc>
          <w:tcPr>
            <w:tcW w:w="2630"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用户可以根据具体的勤务工作要求，在系统中编制详细的勤务部署方案，通过填写或选择部署方案名称、执勤岗位、执勤时间、执勤警力人数、执勤任务等编制要素，建立勤务岗位对应勤务模式的要求，完成方案编制工作。主要功能包含部署方案编制、部署方案审核、部署方案查询、部署方案下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widowControl/>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勤务智能推荐</w:t>
            </w:r>
          </w:p>
        </w:tc>
        <w:tc>
          <w:tcPr>
            <w:tcW w:w="2630"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对各种应用场景下的勤务部署方案进行定义（方案标签化），为各类警情的处置自动生成合适的勤务方案。功能需包含标签化定义、建立匹配规则，匹配方式包含自动匹配和手工匹配。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restart"/>
            <w:shd w:val="clear" w:color="auto" w:fill="auto"/>
            <w:noWrap/>
            <w:vAlign w:val="center"/>
          </w:tcPr>
          <w:p>
            <w:pPr>
              <w:jc w:val="center"/>
              <w:rPr>
                <w:rFonts w:cs="宋体" w:asciiTheme="minorEastAsia" w:hAnsiTheme="minorEastAsia" w:eastAsiaTheme="minorEastAsia"/>
                <w:color w:val="auto"/>
                <w:kern w:val="0"/>
                <w:sz w:val="20"/>
                <w:szCs w:val="20"/>
              </w:rPr>
            </w:pPr>
            <w:r>
              <w:rPr>
                <w:rFonts w:cs="宋体" w:asciiTheme="minorEastAsia" w:hAnsiTheme="minorEastAsia" w:eastAsiaTheme="minorEastAsia"/>
                <w:color w:val="auto"/>
                <w:kern w:val="0"/>
                <w:sz w:val="20"/>
                <w:szCs w:val="20"/>
              </w:rPr>
              <w:t>3</w:t>
            </w:r>
          </w:p>
        </w:tc>
        <w:tc>
          <w:tcPr>
            <w:tcW w:w="603" w:type="pct"/>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勤务排班管理</w:t>
            </w: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勤务排班</w:t>
            </w:r>
          </w:p>
        </w:tc>
        <w:tc>
          <w:tcPr>
            <w:tcW w:w="2630"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根据勤务部署方案设置的勤务执勤要求，各中（大）队可以针对本辖区的交通状况和部门警力，制定相对应的路面警力排班方案。功能需包含星期模式排班、日模式排班信息查询、复制排班、合理性校验、排班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请假管理</w:t>
            </w:r>
          </w:p>
        </w:tc>
        <w:tc>
          <w:tcPr>
            <w:tcW w:w="2630"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民警或辅警可通过移动终端或本系统提供的请假申请功能模块进行请假申请，主要功能包含请假申请和修改、补请假、请假申请审核、请假信息查询。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勤务报审</w:t>
            </w:r>
          </w:p>
        </w:tc>
        <w:tc>
          <w:tcPr>
            <w:tcW w:w="2630"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各单位完成勤务排班后，以报备的形式向指挥中心提交勤务排班数据，包括排班方案上报、排班方案审核及审核结果反馈功能。同时与市局110接处警平台对接，将审核通过的勤务安排数据推送至市局110接处警平台，使想110平台派警时更精准、快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widowControl/>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勤务报备</w:t>
            </w:r>
          </w:p>
        </w:tc>
        <w:tc>
          <w:tcPr>
            <w:tcW w:w="2630"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实时接收民辅警通过移动**终端上报的勤务到岗报备信息；同时需支持数字勤务室的签到和未签到的预警功能。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restart"/>
            <w:shd w:val="clear" w:color="auto" w:fill="auto"/>
            <w:noWrap/>
            <w:vAlign w:val="center"/>
          </w:tcPr>
          <w:p>
            <w:pPr>
              <w:jc w:val="center"/>
              <w:rPr>
                <w:rFonts w:cs="宋体" w:asciiTheme="minorEastAsia" w:hAnsiTheme="minorEastAsia" w:eastAsiaTheme="minorEastAsia"/>
                <w:color w:val="auto"/>
                <w:kern w:val="0"/>
                <w:sz w:val="20"/>
                <w:szCs w:val="20"/>
              </w:rPr>
            </w:pPr>
            <w:r>
              <w:rPr>
                <w:rFonts w:cs="宋体" w:asciiTheme="minorEastAsia" w:hAnsiTheme="minorEastAsia" w:eastAsiaTheme="minorEastAsia"/>
                <w:color w:val="auto"/>
                <w:kern w:val="0"/>
                <w:sz w:val="20"/>
                <w:szCs w:val="20"/>
              </w:rPr>
              <w:t>4</w:t>
            </w:r>
          </w:p>
        </w:tc>
        <w:tc>
          <w:tcPr>
            <w:tcW w:w="603" w:type="pct"/>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铁骑勤务管理</w:t>
            </w: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铁骑巡逻路线规划</w:t>
            </w:r>
          </w:p>
        </w:tc>
        <w:tc>
          <w:tcPr>
            <w:tcW w:w="2630"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提供铁骑巡逻路线规划功能，在GIS电子地图上进行铁骑巡逻路线的勾画，形成各铁骑勤务巡逻路线。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铁骑勤务部署</w:t>
            </w:r>
          </w:p>
        </w:tc>
        <w:tc>
          <w:tcPr>
            <w:tcW w:w="2630"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提供铁骑勤务部署功能，铁骑中队根据本部门铁骑人数进行铁骑勤务部署操作。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widowControl/>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铁骑执勤专题图</w:t>
            </w:r>
          </w:p>
        </w:tc>
        <w:tc>
          <w:tcPr>
            <w:tcW w:w="2630"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实时接收铁骑执勤民警和辅警通过移动终端GPS信息，并结合GIS电子地图实时展示，形成铁骑勤务可视化专题图。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shd w:val="clear" w:color="auto" w:fill="auto"/>
            <w:noWrap/>
            <w:vAlign w:val="center"/>
          </w:tcPr>
          <w:p>
            <w:pPr>
              <w:widowControl/>
              <w:jc w:val="center"/>
              <w:rPr>
                <w:rFonts w:cs="宋体" w:asciiTheme="minorEastAsia" w:hAnsiTheme="minorEastAsia" w:eastAsiaTheme="minorEastAsia"/>
                <w:color w:val="auto"/>
                <w:kern w:val="0"/>
                <w:sz w:val="20"/>
                <w:szCs w:val="20"/>
              </w:rPr>
            </w:pPr>
            <w:r>
              <w:rPr>
                <w:rFonts w:cs="宋体" w:asciiTheme="minorEastAsia" w:hAnsiTheme="minorEastAsia" w:eastAsiaTheme="minorEastAsia"/>
                <w:color w:val="auto"/>
                <w:kern w:val="0"/>
                <w:sz w:val="20"/>
                <w:szCs w:val="20"/>
              </w:rPr>
              <w:t>5</w:t>
            </w:r>
          </w:p>
        </w:tc>
        <w:tc>
          <w:tcPr>
            <w:tcW w:w="1889" w:type="pct"/>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移动**对接</w:t>
            </w:r>
          </w:p>
        </w:tc>
        <w:tc>
          <w:tcPr>
            <w:tcW w:w="2630"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与“浙政钉”对接，支持执勤人员日常打卡、请假报备信息的接收以及警情、勤务排班信息的推送。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shd w:val="clear" w:color="auto" w:fill="auto"/>
            <w:vAlign w:val="center"/>
          </w:tcPr>
          <w:p>
            <w:pPr>
              <w:widowControl/>
              <w:jc w:val="left"/>
              <w:rPr>
                <w:rFonts w:cs="宋体" w:asciiTheme="minorEastAsia" w:hAnsiTheme="minorEastAsia" w:eastAsiaTheme="minorEastAsia"/>
                <w:b/>
                <w:bCs/>
                <w:color w:val="auto"/>
                <w:kern w:val="0"/>
                <w:sz w:val="20"/>
                <w:szCs w:val="20"/>
              </w:rPr>
            </w:pPr>
            <w:r>
              <w:rPr>
                <w:rFonts w:hint="eastAsia" w:cs="宋体" w:asciiTheme="minorEastAsia" w:hAnsiTheme="minorEastAsia" w:eastAsiaTheme="minorEastAsia"/>
                <w:b/>
                <w:bCs/>
                <w:color w:val="auto"/>
                <w:kern w:val="0"/>
                <w:sz w:val="20"/>
                <w:szCs w:val="20"/>
              </w:rPr>
              <w:t>（四）</w:t>
            </w:r>
          </w:p>
        </w:tc>
        <w:tc>
          <w:tcPr>
            <w:tcW w:w="603" w:type="pct"/>
            <w:shd w:val="clear" w:color="auto" w:fill="auto"/>
            <w:vAlign w:val="center"/>
          </w:tcPr>
          <w:p>
            <w:pPr>
              <w:widowControl/>
              <w:jc w:val="center"/>
              <w:rPr>
                <w:rFonts w:cs="宋体" w:asciiTheme="minorEastAsia" w:hAnsiTheme="minorEastAsia" w:eastAsiaTheme="minorEastAsia"/>
                <w:b/>
                <w:bCs/>
                <w:color w:val="auto"/>
                <w:kern w:val="0"/>
                <w:sz w:val="20"/>
                <w:szCs w:val="20"/>
              </w:rPr>
            </w:pPr>
            <w:r>
              <w:rPr>
                <w:rFonts w:hint="eastAsia" w:cs="宋体" w:asciiTheme="minorEastAsia" w:hAnsiTheme="minorEastAsia" w:eastAsiaTheme="minorEastAsia"/>
                <w:b/>
                <w:bCs/>
                <w:color w:val="auto"/>
                <w:kern w:val="0"/>
                <w:sz w:val="20"/>
                <w:szCs w:val="20"/>
              </w:rPr>
              <w:t>督查监管</w:t>
            </w:r>
          </w:p>
        </w:tc>
        <w:tc>
          <w:tcPr>
            <w:tcW w:w="1286" w:type="pct"/>
            <w:shd w:val="clear" w:color="auto" w:fill="auto"/>
            <w:vAlign w:val="center"/>
          </w:tcPr>
          <w:p>
            <w:pPr>
              <w:widowControl/>
              <w:jc w:val="left"/>
              <w:rPr>
                <w:rFonts w:cs="宋体" w:asciiTheme="minorEastAsia" w:hAnsiTheme="minorEastAsia" w:eastAsiaTheme="minorEastAsia"/>
                <w:b/>
                <w:bCs/>
                <w:color w:val="auto"/>
                <w:kern w:val="0"/>
                <w:sz w:val="20"/>
                <w:szCs w:val="20"/>
              </w:rPr>
            </w:pPr>
            <w:r>
              <w:rPr>
                <w:rFonts w:hint="eastAsia" w:cs="宋体" w:asciiTheme="minorEastAsia" w:hAnsiTheme="minorEastAsia" w:eastAsiaTheme="minorEastAsia"/>
                <w:b/>
                <w:bCs/>
                <w:color w:val="auto"/>
                <w:kern w:val="0"/>
                <w:sz w:val="20"/>
                <w:szCs w:val="20"/>
              </w:rPr>
              <w:t>　</w:t>
            </w:r>
          </w:p>
        </w:tc>
        <w:tc>
          <w:tcPr>
            <w:tcW w:w="2630"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restart"/>
            <w:shd w:val="clear" w:color="auto" w:fill="auto"/>
            <w:noWrap/>
            <w:vAlign w:val="center"/>
          </w:tcPr>
          <w:p>
            <w:pPr>
              <w:jc w:val="center"/>
              <w:rPr>
                <w:rFonts w:cs="宋体" w:asciiTheme="minorEastAsia" w:hAnsiTheme="minorEastAsia" w:eastAsiaTheme="minorEastAsia"/>
                <w:color w:val="auto"/>
                <w:kern w:val="0"/>
                <w:sz w:val="20"/>
                <w:szCs w:val="20"/>
              </w:rPr>
            </w:pPr>
            <w:r>
              <w:rPr>
                <w:rFonts w:cs="宋体" w:asciiTheme="minorEastAsia" w:hAnsiTheme="minorEastAsia" w:eastAsiaTheme="minorEastAsia"/>
                <w:color w:val="auto"/>
                <w:kern w:val="0"/>
                <w:sz w:val="20"/>
                <w:szCs w:val="20"/>
              </w:rPr>
              <w:t>1</w:t>
            </w:r>
          </w:p>
        </w:tc>
        <w:tc>
          <w:tcPr>
            <w:tcW w:w="603" w:type="pct"/>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**督查</w:t>
            </w: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岗位督查-基础督查</w:t>
            </w:r>
          </w:p>
        </w:tc>
        <w:tc>
          <w:tcPr>
            <w:tcW w:w="2630"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提供勤务执勤上岗督查功能，以执勤上岗勤务排班信息、移动终端勤务报备信息和实时接收的移动终端GPS数据，实时计算执勤人员在岗执勤轨迹，包含督查信息查看、督查信息推送、自动督查服务三个功能。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岗位督查-轨迹查询</w:t>
            </w:r>
          </w:p>
        </w:tc>
        <w:tc>
          <w:tcPr>
            <w:tcW w:w="2630"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轨迹查询根据警员警车的GPS轨迹数据，在电子地图上展示运行轨迹，具体功能包含警员轨迹查询、警车轨迹查询、历史轨迹查询。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执法督查-现场执法督查</w:t>
            </w:r>
          </w:p>
        </w:tc>
        <w:tc>
          <w:tcPr>
            <w:tcW w:w="2630"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勤务督查人员通过视频查看等方法或采取明查暗访和不定期随机抽查的方式可对路面民警执法过程进行现场督查结果的采集、维护、查询统计功能，主要支持督查的方式有现场执法督查、执法记录仪督查；同时把督查结果自动推送给所属的领导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执法督查-执法记录仪督查</w:t>
            </w:r>
          </w:p>
        </w:tc>
        <w:tc>
          <w:tcPr>
            <w:tcW w:w="2630"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与数据中心对接，获取执法记录仪平台相关数据，支持勤务督查人员对民警使用执法记录仪的情况进行有效监督。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督查结果干预</w:t>
            </w:r>
          </w:p>
        </w:tc>
        <w:tc>
          <w:tcPr>
            <w:tcW w:w="2630"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提供督查监管结果修正功能。对督查结果进行修正，再由督查员审核确认后消除督查异常结果。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督查信息查询和统计-督查信息查询</w:t>
            </w:r>
          </w:p>
        </w:tc>
        <w:tc>
          <w:tcPr>
            <w:tcW w:w="2630"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系统记录勤务督查信息后，支持对民警勤务时段内事件可追溯。主要检索条件支持按警员查询、按部门查询、按区域查询、按处警类型查询、按类型查询等。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督查信息查询和统计-督查信息统计</w:t>
            </w:r>
          </w:p>
        </w:tc>
        <w:tc>
          <w:tcPr>
            <w:tcW w:w="2630"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支持按照组织机构、警区、警员或特定区域路段对勤务督查结果进行统计，主要功能包括按警员统计、按区域统计、按组织机构统计、按类型统计、图形化显示、统计导出、推送配置等。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widowControl/>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督查信息推送</w:t>
            </w:r>
          </w:p>
        </w:tc>
        <w:tc>
          <w:tcPr>
            <w:tcW w:w="2630"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督查信息推送支持**督查数据推送给相关的**人员，包括推送查看及日志查看功能。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restart"/>
            <w:shd w:val="clear" w:color="auto" w:fill="auto"/>
            <w:noWrap/>
            <w:vAlign w:val="center"/>
          </w:tcPr>
          <w:p>
            <w:pPr>
              <w:jc w:val="center"/>
              <w:rPr>
                <w:rFonts w:hint="eastAsia" w:cs="宋体" w:asciiTheme="minorEastAsia" w:hAnsiTheme="minorEastAsia" w:eastAsiaTheme="minorEastAsia"/>
                <w:color w:val="auto"/>
                <w:kern w:val="0"/>
                <w:sz w:val="20"/>
                <w:szCs w:val="20"/>
                <w:lang w:val="en-US" w:eastAsia="zh-CN"/>
              </w:rPr>
            </w:pPr>
            <w:r>
              <w:rPr>
                <w:rFonts w:hint="eastAsia" w:cs="宋体" w:asciiTheme="minorEastAsia" w:hAnsiTheme="minorEastAsia" w:eastAsiaTheme="minorEastAsia"/>
                <w:color w:val="auto"/>
                <w:kern w:val="0"/>
                <w:sz w:val="20"/>
                <w:szCs w:val="20"/>
                <w:lang w:val="en-US" w:eastAsia="zh-CN"/>
              </w:rPr>
              <w:t>2</w:t>
            </w:r>
          </w:p>
        </w:tc>
        <w:tc>
          <w:tcPr>
            <w:tcW w:w="603" w:type="pct"/>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勤务评估</w:t>
            </w: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评估数据接入</w:t>
            </w:r>
          </w:p>
        </w:tc>
        <w:tc>
          <w:tcPr>
            <w:tcW w:w="2630"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对接数据中心，支持勤务评估所需数据的接入功能。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勤务评估分析</w:t>
            </w:r>
          </w:p>
        </w:tc>
        <w:tc>
          <w:tcPr>
            <w:tcW w:w="2630"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根据勤务部署评估的各类要素 ，建立勤务部署评估分析模型，支持对各辖区的**效能、交通态势和勤务部署进行综合分析，形成各辖区勤务部署评估报告并发布。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评估结果查询</w:t>
            </w:r>
          </w:p>
        </w:tc>
        <w:tc>
          <w:tcPr>
            <w:tcW w:w="2630"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支持对勤务评估结果的查询功能，查询结果需具备同比、环比功能，同时需支持跟同期内交通态势、警情分布、警力部署等关联，通过可视化方式综合展示勤务部署前后变化趋势。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widowControl/>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评估管理</w:t>
            </w:r>
          </w:p>
        </w:tc>
        <w:tc>
          <w:tcPr>
            <w:tcW w:w="2630"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支持对勤务评估要素、评估频率、评估结果发布方式的设置和评估模型优化功能。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restart"/>
            <w:shd w:val="clear" w:color="auto" w:fill="auto"/>
            <w:noWrap/>
            <w:vAlign w:val="center"/>
          </w:tcPr>
          <w:p>
            <w:pPr>
              <w:jc w:val="center"/>
              <w:rPr>
                <w:rFonts w:hint="eastAsia" w:cs="宋体" w:asciiTheme="minorEastAsia" w:hAnsiTheme="minorEastAsia" w:eastAsiaTheme="minorEastAsia"/>
                <w:color w:val="auto"/>
                <w:kern w:val="0"/>
                <w:sz w:val="20"/>
                <w:szCs w:val="20"/>
                <w:lang w:eastAsia="zh-CN"/>
              </w:rPr>
            </w:pPr>
            <w:r>
              <w:rPr>
                <w:rFonts w:hint="eastAsia" w:cs="宋体" w:asciiTheme="minorEastAsia" w:hAnsiTheme="minorEastAsia" w:eastAsiaTheme="minorEastAsia"/>
                <w:color w:val="auto"/>
                <w:kern w:val="0"/>
                <w:sz w:val="20"/>
                <w:szCs w:val="20"/>
                <w:lang w:val="en-US" w:eastAsia="zh-CN"/>
              </w:rPr>
              <w:t>3</w:t>
            </w:r>
          </w:p>
        </w:tc>
        <w:tc>
          <w:tcPr>
            <w:tcW w:w="603" w:type="pct"/>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业务监管</w:t>
            </w:r>
          </w:p>
        </w:tc>
        <w:tc>
          <w:tcPr>
            <w:tcW w:w="1286" w:type="pct"/>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预警处置中心</w:t>
            </w:r>
          </w:p>
        </w:tc>
        <w:tc>
          <w:tcPr>
            <w:tcW w:w="2630"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待办任务管理：在模块中可进行个人待处理、待审核任务的总览和详情查看处理等管理操作。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2630"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已办任务管理：在模块中可进行个人已办任务的总览和详情查看等管理操作。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2630"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手工报警：支持对无法通过数据规则预警的风险信息进行手工报警录入。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预警处理：用户登录平台后查看对应警情的详情证据信息，并可在有权限的情况下支持警情处理、上报、退办、审核等操作功能。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预警提醒：对预警信息的处理进行通知提醒。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综合查询</w:t>
            </w: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综合查询：对风险预警信息、处理信息的综合查询。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预警详情：对接机动车、驾驶人、违法、强制措施等详情页面；展示用户操作日志。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效能评估</w:t>
            </w: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按部门统计：针对各模块预警按部门进行多维统计报表输出。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按风险类型统计：针对各模块预警按风险类型进行多维统计报表输出。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按人员统计：针对各模块预警按人员进行多维统计报表输出。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执法记录</w:t>
            </w: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执法量统计：执法量包含一般事故、简易事故、简单处罚、强制措施；统计各执法量数据情况。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执法总览：以柱状图的形式统计部门/警员执法量TOP5。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执法列表：以列表的形式，展示各部门/警员各类型执法量的统计结果。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参数设置</w:t>
            </w: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风险点管理：通过可视化页面配置风险点的配置项和可变参数阈值。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风险点白名单管理：对每个风险点可分别配置对应时间范围的对应人员的白名单，提高预警的容错性。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非工作日管理：非工作日管理是对一年以来特殊日期（节假日等）对“假期类型”进行补充定义的。定义的日期一般为节假日前后，以此来确定该日期为“休息”还是“上班”。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系统监控</w:t>
            </w: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运行报表：运行报表提供可视化的调度报表的统计（任务数量、调度次数、执行器数量、比例图），可以让用户快速了解到执行器在系统中的运行状态。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任务管理：任务管理用来控制各风险点的开关，来保证系统能够每天自动生成对应风险点的预警。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调度日志：提供自动生成风险点的执行日志（包括：调度时间、任务ID、调度结果、执行时间）。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执行器管理：在此页面中可以查看系统中注册的执行器列表。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警员管理</w:t>
            </w: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警员管理：可以对预警到的警员进行新增、删除、修改操作。支持同步其他平台警员数据。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vMerge w:val="continue"/>
            <w:shd w:val="clear" w:color="auto" w:fill="auto"/>
            <w:noWrap/>
            <w:vAlign w:val="center"/>
          </w:tcPr>
          <w:p>
            <w:pPr>
              <w:widowControl/>
              <w:jc w:val="center"/>
              <w:rPr>
                <w:rFonts w:cs="宋体" w:asciiTheme="minorEastAsia" w:hAnsiTheme="minorEastAsia" w:eastAsiaTheme="minorEastAsia"/>
                <w:color w:val="auto"/>
                <w:kern w:val="0"/>
                <w:sz w:val="20"/>
                <w:szCs w:val="20"/>
              </w:rPr>
            </w:pPr>
          </w:p>
        </w:tc>
        <w:tc>
          <w:tcPr>
            <w:tcW w:w="603"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1286"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民警画像：展示民警个人基本信息，以及个人执法量和风险量统计结果。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shd w:val="clear" w:color="auto" w:fill="auto"/>
            <w:noWrap/>
            <w:vAlign w:val="center"/>
          </w:tcPr>
          <w:p>
            <w:pPr>
              <w:widowControl/>
              <w:jc w:val="center"/>
              <w:rPr>
                <w:rFonts w:cs="宋体" w:asciiTheme="minorEastAsia" w:hAnsiTheme="minorEastAsia" w:eastAsiaTheme="minorEastAsia"/>
                <w:b/>
                <w:color w:val="auto"/>
                <w:kern w:val="0"/>
                <w:sz w:val="20"/>
                <w:szCs w:val="20"/>
              </w:rPr>
            </w:pPr>
            <w:r>
              <w:rPr>
                <w:rFonts w:hint="eastAsia" w:cs="宋体" w:asciiTheme="minorEastAsia" w:hAnsiTheme="minorEastAsia" w:eastAsiaTheme="minorEastAsia"/>
                <w:b/>
                <w:color w:val="auto"/>
                <w:kern w:val="0"/>
                <w:sz w:val="20"/>
                <w:szCs w:val="20"/>
              </w:rPr>
              <w:t>（五）</w:t>
            </w:r>
          </w:p>
        </w:tc>
        <w:tc>
          <w:tcPr>
            <w:tcW w:w="603" w:type="pct"/>
            <w:shd w:val="clear" w:color="auto" w:fill="auto"/>
            <w:vAlign w:val="center"/>
          </w:tcPr>
          <w:p>
            <w:pPr>
              <w:widowControl/>
              <w:jc w:val="center"/>
              <w:rPr>
                <w:rFonts w:cs="宋体" w:asciiTheme="minorEastAsia" w:hAnsiTheme="minorEastAsia" w:eastAsiaTheme="minorEastAsia"/>
                <w:b/>
                <w:color w:val="auto"/>
                <w:kern w:val="0"/>
                <w:sz w:val="20"/>
                <w:szCs w:val="20"/>
              </w:rPr>
            </w:pPr>
            <w:r>
              <w:rPr>
                <w:rFonts w:hint="eastAsia" w:cs="宋体" w:asciiTheme="minorEastAsia" w:hAnsiTheme="minorEastAsia" w:eastAsiaTheme="minorEastAsia"/>
                <w:b/>
                <w:color w:val="auto"/>
                <w:kern w:val="0"/>
                <w:sz w:val="20"/>
                <w:szCs w:val="20"/>
              </w:rPr>
              <w:t>统一资源</w:t>
            </w:r>
          </w:p>
        </w:tc>
        <w:tc>
          <w:tcPr>
            <w:tcW w:w="1286" w:type="pct"/>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shd w:val="clear" w:color="auto" w:fill="auto"/>
            <w:noWrap/>
            <w:vAlign w:val="center"/>
          </w:tcPr>
          <w:p>
            <w:pPr>
              <w:widowControl/>
              <w:jc w:val="center"/>
              <w:rPr>
                <w:rFonts w:cs="宋体" w:asciiTheme="minorEastAsia" w:hAnsiTheme="minorEastAsia" w:eastAsiaTheme="minorEastAsia"/>
                <w:color w:val="auto"/>
                <w:kern w:val="0"/>
                <w:sz w:val="20"/>
                <w:szCs w:val="20"/>
              </w:rPr>
            </w:pPr>
            <w:r>
              <w:rPr>
                <w:rFonts w:ascii="宋体" w:hAnsi="宋体" w:cs="宋体"/>
                <w:color w:val="auto"/>
                <w:kern w:val="0"/>
                <w:sz w:val="20"/>
                <w:szCs w:val="20"/>
              </w:rPr>
              <w:t>1</w:t>
            </w:r>
          </w:p>
        </w:tc>
        <w:tc>
          <w:tcPr>
            <w:tcW w:w="1889" w:type="pct"/>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统一资源</w:t>
            </w:r>
          </w:p>
        </w:tc>
        <w:tc>
          <w:tcPr>
            <w:tcW w:w="2630"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ascii="宋体" w:hAnsi="宋体"/>
                <w:color w:val="auto"/>
              </w:rPr>
              <w:t>模块需要复用资源中心提供的关系型数据库及分布式数据库，统一使用资源中心提供的大数据能力。</w:t>
            </w:r>
          </w:p>
        </w:tc>
      </w:tr>
    </w:tbl>
    <w:p>
      <w:pPr>
        <w:pStyle w:val="10"/>
        <w:rPr>
          <w:color w:val="auto"/>
        </w:rPr>
      </w:pPr>
    </w:p>
    <w:p>
      <w:pPr>
        <w:pStyle w:val="6"/>
        <w:rPr>
          <w:color w:val="auto"/>
        </w:rPr>
      </w:pPr>
      <w:r>
        <w:rPr>
          <w:rFonts w:hint="eastAsia"/>
          <w:color w:val="auto"/>
        </w:rPr>
        <w:t>数智决策模块</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163"/>
        <w:gridCol w:w="1458"/>
        <w:gridCol w:w="5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shd w:val="clear" w:color="auto" w:fill="auto"/>
            <w:vAlign w:val="center"/>
          </w:tcPr>
          <w:p>
            <w:pPr>
              <w:widowControl/>
              <w:jc w:val="center"/>
              <w:rPr>
                <w:rFonts w:cs="宋体" w:asciiTheme="minorEastAsia" w:hAnsiTheme="minorEastAsia" w:eastAsiaTheme="minorEastAsia"/>
                <w:b/>
                <w:bCs/>
                <w:color w:val="auto"/>
                <w:kern w:val="0"/>
                <w:sz w:val="20"/>
                <w:szCs w:val="20"/>
              </w:rPr>
            </w:pPr>
            <w:r>
              <w:rPr>
                <w:rFonts w:hint="eastAsia" w:cs="宋体" w:asciiTheme="minorEastAsia" w:hAnsiTheme="minorEastAsia" w:eastAsiaTheme="minorEastAsia"/>
                <w:b/>
                <w:bCs/>
                <w:color w:val="auto"/>
                <w:kern w:val="0"/>
                <w:sz w:val="20"/>
                <w:szCs w:val="20"/>
              </w:rPr>
              <w:t>序号</w:t>
            </w:r>
          </w:p>
        </w:tc>
        <w:tc>
          <w:tcPr>
            <w:tcW w:w="682" w:type="pct"/>
            <w:shd w:val="clear" w:color="auto" w:fill="auto"/>
            <w:vAlign w:val="center"/>
          </w:tcPr>
          <w:p>
            <w:pPr>
              <w:widowControl/>
              <w:jc w:val="center"/>
              <w:rPr>
                <w:rFonts w:cs="宋体" w:asciiTheme="minorEastAsia" w:hAnsiTheme="minorEastAsia" w:eastAsiaTheme="minorEastAsia"/>
                <w:b/>
                <w:bCs/>
                <w:color w:val="auto"/>
                <w:kern w:val="0"/>
                <w:sz w:val="20"/>
                <w:szCs w:val="20"/>
              </w:rPr>
            </w:pPr>
            <w:r>
              <w:rPr>
                <w:rFonts w:hint="eastAsia" w:cs="宋体" w:asciiTheme="minorEastAsia" w:hAnsiTheme="minorEastAsia" w:eastAsiaTheme="minorEastAsia"/>
                <w:b/>
                <w:bCs/>
                <w:color w:val="auto"/>
                <w:kern w:val="0"/>
                <w:sz w:val="20"/>
                <w:szCs w:val="20"/>
              </w:rPr>
              <w:t>功能模块</w:t>
            </w:r>
          </w:p>
        </w:tc>
        <w:tc>
          <w:tcPr>
            <w:tcW w:w="855" w:type="pct"/>
            <w:shd w:val="clear" w:color="auto" w:fill="auto"/>
            <w:vAlign w:val="center"/>
          </w:tcPr>
          <w:p>
            <w:pPr>
              <w:widowControl/>
              <w:jc w:val="center"/>
              <w:rPr>
                <w:rFonts w:cs="宋体" w:asciiTheme="minorEastAsia" w:hAnsiTheme="minorEastAsia" w:eastAsiaTheme="minorEastAsia"/>
                <w:b/>
                <w:bCs/>
                <w:color w:val="auto"/>
                <w:kern w:val="0"/>
                <w:sz w:val="20"/>
                <w:szCs w:val="20"/>
              </w:rPr>
            </w:pPr>
            <w:r>
              <w:rPr>
                <w:rFonts w:hint="eastAsia" w:cs="宋体" w:asciiTheme="minorEastAsia" w:hAnsiTheme="minorEastAsia" w:eastAsiaTheme="minorEastAsia"/>
                <w:b/>
                <w:bCs/>
                <w:color w:val="auto"/>
                <w:kern w:val="0"/>
                <w:sz w:val="20"/>
                <w:szCs w:val="20"/>
              </w:rPr>
              <w:t>子模块</w:t>
            </w:r>
          </w:p>
        </w:tc>
        <w:tc>
          <w:tcPr>
            <w:tcW w:w="2953" w:type="pct"/>
            <w:shd w:val="clear" w:color="auto" w:fill="auto"/>
            <w:vAlign w:val="center"/>
          </w:tcPr>
          <w:p>
            <w:pPr>
              <w:widowControl/>
              <w:jc w:val="center"/>
              <w:rPr>
                <w:rFonts w:cs="宋体" w:asciiTheme="minorEastAsia" w:hAnsiTheme="minorEastAsia" w:eastAsiaTheme="minorEastAsia"/>
                <w:b/>
                <w:bCs/>
                <w:color w:val="auto"/>
                <w:kern w:val="0"/>
                <w:sz w:val="20"/>
                <w:szCs w:val="20"/>
              </w:rPr>
            </w:pPr>
            <w:r>
              <w:rPr>
                <w:rFonts w:hint="eastAsia" w:ascii="宋体" w:hAnsi="宋体" w:cs="宋体"/>
                <w:b/>
                <w:bCs/>
                <w:color w:val="auto"/>
                <w:kern w:val="0"/>
                <w:sz w:val="20"/>
                <w:szCs w:val="20"/>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restart"/>
            <w:shd w:val="clear" w:color="auto" w:fill="auto"/>
            <w:noWrap/>
            <w:vAlign w:val="center"/>
          </w:tcPr>
          <w:p>
            <w:pPr>
              <w:jc w:val="center"/>
              <w:rPr>
                <w:rFonts w:cs="宋体" w:asciiTheme="minorEastAsia" w:hAnsiTheme="minorEastAsia" w:eastAsiaTheme="minorEastAsia"/>
                <w:color w:val="auto"/>
                <w:kern w:val="0"/>
                <w:sz w:val="20"/>
                <w:szCs w:val="20"/>
              </w:rPr>
            </w:pPr>
            <w:r>
              <w:rPr>
                <w:rFonts w:cs="宋体" w:asciiTheme="minorEastAsia" w:hAnsiTheme="minorEastAsia" w:eastAsiaTheme="minorEastAsia"/>
                <w:color w:val="auto"/>
                <w:kern w:val="0"/>
                <w:sz w:val="20"/>
                <w:szCs w:val="20"/>
              </w:rPr>
              <w:t>1</w:t>
            </w:r>
          </w:p>
        </w:tc>
        <w:tc>
          <w:tcPr>
            <w:tcW w:w="682" w:type="pct"/>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交通态势看板</w:t>
            </w:r>
          </w:p>
        </w:tc>
        <w:tc>
          <w:tcPr>
            <w:tcW w:w="855"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交通态势看板-交通看板</w:t>
            </w:r>
          </w:p>
        </w:tc>
        <w:tc>
          <w:tcPr>
            <w:tcW w:w="2953"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基于GIS地图，提供各辖区宏观掌握管辖区的交通态势的交通看板，根据权限配置管理层级不同，向不同层级单位提供不同范围的数据。综合展示</w:t>
            </w:r>
            <w:r>
              <w:rPr>
                <w:rFonts w:hint="eastAsia" w:cs="宋体" w:asciiTheme="minorEastAsia" w:hAnsiTheme="minorEastAsia"/>
                <w:color w:val="auto"/>
                <w:kern w:val="0"/>
                <w:sz w:val="20"/>
                <w:szCs w:val="20"/>
                <w:lang w:eastAsia="zh-CN"/>
              </w:rPr>
              <w:t>全市、市区、</w:t>
            </w:r>
            <w:r>
              <w:rPr>
                <w:rFonts w:hint="eastAsia" w:cs="宋体" w:asciiTheme="minorEastAsia" w:hAnsiTheme="minorEastAsia" w:eastAsiaTheme="minorEastAsia"/>
                <w:color w:val="auto"/>
                <w:kern w:val="0"/>
                <w:sz w:val="20"/>
                <w:szCs w:val="20"/>
              </w:rPr>
              <w:t>各辖区管辖区县</w:t>
            </w:r>
            <w:r>
              <w:rPr>
                <w:rFonts w:hint="eastAsia" w:cs="宋体" w:asciiTheme="minorEastAsia" w:hAnsiTheme="minorEastAsia"/>
                <w:color w:val="auto"/>
                <w:kern w:val="0"/>
                <w:sz w:val="20"/>
                <w:szCs w:val="20"/>
                <w:lang w:eastAsia="zh-CN"/>
              </w:rPr>
              <w:t>、中队、乡镇</w:t>
            </w:r>
            <w:r>
              <w:rPr>
                <w:rFonts w:hint="eastAsia" w:cs="宋体" w:asciiTheme="minorEastAsia" w:hAnsiTheme="minorEastAsia" w:eastAsiaTheme="minorEastAsia"/>
                <w:color w:val="auto"/>
                <w:kern w:val="0"/>
                <w:sz w:val="20"/>
                <w:szCs w:val="20"/>
              </w:rPr>
              <w:t>图层、路网结构图层、路况情况，动态展示实施道路交通流量情况、</w:t>
            </w:r>
            <w:r>
              <w:rPr>
                <w:rFonts w:hint="eastAsia" w:cs="宋体" w:asciiTheme="minorEastAsia" w:hAnsiTheme="minorEastAsia"/>
                <w:color w:val="auto"/>
                <w:kern w:val="0"/>
                <w:sz w:val="20"/>
                <w:szCs w:val="20"/>
                <w:lang w:eastAsia="zh-CN"/>
              </w:rPr>
              <w:t>在途量、</w:t>
            </w:r>
            <w:r>
              <w:rPr>
                <w:rFonts w:hint="eastAsia" w:cs="宋体" w:asciiTheme="minorEastAsia" w:hAnsiTheme="minorEastAsia" w:eastAsiaTheme="minorEastAsia"/>
                <w:color w:val="auto"/>
                <w:kern w:val="0"/>
                <w:sz w:val="20"/>
                <w:szCs w:val="20"/>
              </w:rPr>
              <w:t>城市道路拥堵路段排名、宏观拥堵指数、实时动态警情情况（例如：警情分布、警情状态、警情总数、警情处置情况等）、实时警力分布情况，实时警员勤务状态（单兵的岗位情况等）</w:t>
            </w:r>
            <w:r>
              <w:rPr>
                <w:rFonts w:hint="eastAsia" w:cs="宋体" w:asciiTheme="minorEastAsia" w:hAnsiTheme="minorEastAsia"/>
                <w:color w:val="auto"/>
                <w:kern w:val="0"/>
                <w:sz w:val="20"/>
                <w:szCs w:val="20"/>
                <w:lang w:eastAsia="zh-CN"/>
              </w:rPr>
              <w:t>、当前图层交警部门值班领导等信息</w:t>
            </w:r>
            <w:r>
              <w:rPr>
                <w:rFonts w:hint="eastAsia" w:cs="宋体" w:asciiTheme="minorEastAsia" w:hAnsiTheme="minorEastAsia" w:eastAsiaTheme="minorEastAsia"/>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82"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855"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交通态势看板-早晚高峰看板</w:t>
            </w:r>
          </w:p>
        </w:tc>
        <w:tc>
          <w:tcPr>
            <w:tcW w:w="2953"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基于GIS地图，提供各辖区早晚高峰管辖区域内整体交通态势的早晚高峰看板，根据权限配置管理层级不同，向不同层级单位提供不同范围的数据。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82"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855"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交通态势看板-平峰看板</w:t>
            </w:r>
          </w:p>
        </w:tc>
        <w:tc>
          <w:tcPr>
            <w:tcW w:w="2953"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提供平峰看板功能，展示平峰期动态交通态势情况，并提供道路整治工作进展及成果信息。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82"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855"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交通态势看板-夜间看板</w:t>
            </w:r>
          </w:p>
        </w:tc>
        <w:tc>
          <w:tcPr>
            <w:tcW w:w="2953"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基于GIS地图，提供夜间交通态势的夜间看板，展示夜间各类勤务及执法情况。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82"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855"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交通态势看板-节假日看板</w:t>
            </w:r>
          </w:p>
        </w:tc>
        <w:tc>
          <w:tcPr>
            <w:tcW w:w="2953"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针对法定节假日，提供节假日勤务模式的动态监管动态信息。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widowControl/>
              <w:jc w:val="center"/>
              <w:rPr>
                <w:rFonts w:cs="宋体" w:asciiTheme="minorEastAsia" w:hAnsiTheme="minorEastAsia" w:eastAsiaTheme="minorEastAsia"/>
                <w:color w:val="auto"/>
                <w:kern w:val="0"/>
                <w:sz w:val="20"/>
                <w:szCs w:val="20"/>
              </w:rPr>
            </w:pPr>
          </w:p>
        </w:tc>
        <w:tc>
          <w:tcPr>
            <w:tcW w:w="682"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855"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交通态势看板-恶劣气象看板</w:t>
            </w:r>
          </w:p>
        </w:tc>
        <w:tc>
          <w:tcPr>
            <w:tcW w:w="2953"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提供展示气象情况的恶劣气象看板功能。显示气象对道路安全影响，并叠加气象风云图。</w:t>
            </w:r>
            <w:r>
              <w:rPr>
                <w:rFonts w:hint="eastAsia" w:cs="宋体" w:asciiTheme="minorEastAsia" w:hAnsiTheme="minorEastAsia"/>
                <w:color w:val="auto"/>
                <w:kern w:val="0"/>
                <w:sz w:val="20"/>
                <w:szCs w:val="20"/>
                <w:lang w:eastAsia="zh-CN"/>
              </w:rPr>
              <w:t>可查看至少</w:t>
            </w:r>
            <w:r>
              <w:rPr>
                <w:rFonts w:hint="eastAsia" w:cs="宋体" w:asciiTheme="minorEastAsia" w:hAnsiTheme="minorEastAsia"/>
                <w:color w:val="auto"/>
                <w:kern w:val="0"/>
                <w:sz w:val="20"/>
                <w:szCs w:val="20"/>
                <w:lang w:val="en-US" w:eastAsia="zh-CN"/>
              </w:rPr>
              <w:t>7日气象预报信息。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restart"/>
            <w:shd w:val="clear" w:color="auto" w:fill="auto"/>
            <w:noWrap/>
            <w:vAlign w:val="center"/>
          </w:tcPr>
          <w:p>
            <w:pPr>
              <w:jc w:val="center"/>
              <w:rPr>
                <w:rFonts w:cs="宋体" w:asciiTheme="minorEastAsia" w:hAnsiTheme="minorEastAsia" w:eastAsiaTheme="minorEastAsia"/>
                <w:color w:val="auto"/>
                <w:kern w:val="0"/>
                <w:sz w:val="20"/>
                <w:szCs w:val="20"/>
              </w:rPr>
            </w:pPr>
            <w:r>
              <w:rPr>
                <w:rFonts w:cs="宋体" w:asciiTheme="minorEastAsia" w:hAnsiTheme="minorEastAsia" w:eastAsiaTheme="minorEastAsia"/>
                <w:color w:val="auto"/>
                <w:kern w:val="0"/>
                <w:sz w:val="20"/>
                <w:szCs w:val="20"/>
              </w:rPr>
              <w:t>2</w:t>
            </w:r>
          </w:p>
        </w:tc>
        <w:tc>
          <w:tcPr>
            <w:tcW w:w="682" w:type="pct"/>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指挥看板</w:t>
            </w:r>
          </w:p>
        </w:tc>
        <w:tc>
          <w:tcPr>
            <w:tcW w:w="855"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指挥看板-指挥中心工作台</w:t>
            </w:r>
          </w:p>
        </w:tc>
        <w:tc>
          <w:tcPr>
            <w:tcW w:w="2953"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向用户提供各类信息概览和工作清单的工作台功能。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82"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855"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指挥看板-电子地图可视化</w:t>
            </w:r>
          </w:p>
        </w:tc>
        <w:tc>
          <w:tcPr>
            <w:tcW w:w="2953"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基于GIS平台，提供基础地图功能及路网态势。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82"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855"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指挥看板-到岗整体情况</w:t>
            </w:r>
          </w:p>
        </w:tc>
        <w:tc>
          <w:tcPr>
            <w:tcW w:w="2953"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基于GIS平台，展示各辖区警员勤务到岗情况及出勤信息。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82"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855"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指挥看板-重点岗勤情况</w:t>
            </w:r>
          </w:p>
        </w:tc>
        <w:tc>
          <w:tcPr>
            <w:tcW w:w="2953"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对于当前勤务管理信息，展示重点岗勤情况，并提供异常显示功能。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82"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855"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指挥看板-常堵、敏感监视</w:t>
            </w:r>
          </w:p>
        </w:tc>
        <w:tc>
          <w:tcPr>
            <w:tcW w:w="2953"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基于交通流信息，展示敏感区域内相关流量及拥堵信息。</w:t>
            </w:r>
            <w:r>
              <w:rPr>
                <w:rFonts w:hint="eastAsia" w:cs="宋体" w:asciiTheme="minorEastAsia" w:hAnsiTheme="minorEastAsia"/>
                <w:color w:val="auto"/>
                <w:kern w:val="0"/>
                <w:sz w:val="20"/>
                <w:szCs w:val="20"/>
                <w:lang w:eastAsia="zh-CN"/>
              </w:rPr>
              <w:t>应对当前流量及流量增、减趋势提供预测的拥堵加剧或者缓减判断信息。流量异常增加、减少（含百分比）信息。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82"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855"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指挥看板-干线通行监视</w:t>
            </w:r>
          </w:p>
        </w:tc>
        <w:tc>
          <w:tcPr>
            <w:tcW w:w="2953"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基于GIS平台，分色展示干线路网实时路况，并可进行视频查看。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10" w:type="pct"/>
            <w:vMerge w:val="continue"/>
            <w:shd w:val="clear" w:color="auto" w:fill="auto"/>
            <w:noWrap/>
            <w:vAlign w:val="center"/>
          </w:tcPr>
          <w:p>
            <w:pPr>
              <w:widowControl/>
              <w:jc w:val="center"/>
              <w:rPr>
                <w:rFonts w:cs="宋体" w:asciiTheme="minorEastAsia" w:hAnsiTheme="minorEastAsia" w:eastAsiaTheme="minorEastAsia"/>
                <w:color w:val="auto"/>
                <w:kern w:val="0"/>
                <w:sz w:val="20"/>
                <w:szCs w:val="20"/>
              </w:rPr>
            </w:pPr>
          </w:p>
        </w:tc>
        <w:tc>
          <w:tcPr>
            <w:tcW w:w="682"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855"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指挥看板-事件关键节点处置督导</w:t>
            </w:r>
          </w:p>
        </w:tc>
        <w:tc>
          <w:tcPr>
            <w:tcW w:w="2953"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监控警情处置过程，并提供异常提醒功能。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widowControl/>
              <w:jc w:val="center"/>
              <w:rPr>
                <w:rFonts w:cs="宋体" w:asciiTheme="minorEastAsia" w:hAnsiTheme="minorEastAsia" w:eastAsiaTheme="minorEastAsia"/>
                <w:color w:val="auto"/>
                <w:kern w:val="0"/>
                <w:sz w:val="20"/>
                <w:szCs w:val="20"/>
              </w:rPr>
            </w:pPr>
          </w:p>
        </w:tc>
        <w:tc>
          <w:tcPr>
            <w:tcW w:w="682"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855"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指挥看板-交通警情</w:t>
            </w:r>
          </w:p>
        </w:tc>
        <w:tc>
          <w:tcPr>
            <w:tcW w:w="2953" w:type="pct"/>
            <w:shd w:val="clear" w:color="auto" w:fill="auto"/>
            <w:vAlign w:val="center"/>
          </w:tcPr>
          <w:p>
            <w:pPr>
              <w:widowControl/>
              <w:jc w:val="left"/>
              <w:rPr>
                <w:rFonts w:hint="eastAsia" w:cs="宋体" w:asciiTheme="minorEastAsia" w:hAnsiTheme="minorEastAsia" w:eastAsiaTheme="minorEastAsia"/>
                <w:color w:val="auto"/>
                <w:kern w:val="0"/>
                <w:sz w:val="20"/>
                <w:szCs w:val="20"/>
                <w:lang w:eastAsia="zh-CN"/>
              </w:rPr>
            </w:pPr>
            <w:r>
              <w:rPr>
                <w:rFonts w:hint="eastAsia" w:cs="宋体" w:asciiTheme="minorEastAsia" w:hAnsiTheme="minorEastAsia" w:eastAsiaTheme="minorEastAsia"/>
                <w:color w:val="auto"/>
                <w:kern w:val="0"/>
                <w:sz w:val="20"/>
                <w:szCs w:val="20"/>
              </w:rPr>
              <w:t>基于GIS平台，显示当前重要警情点位、处置进度信息（当天）；按辖区显示实时未派警、未签收、未反馈等警情点位，按照影响等级三色显示</w:t>
            </w:r>
            <w:r>
              <w:rPr>
                <w:rFonts w:hint="eastAsia" w:cs="宋体" w:asciiTheme="minorEastAsia" w:hAnsiTheme="minorEastAsia" w:eastAsiaTheme="minorEastAsia"/>
                <w:color w:val="auto"/>
                <w:kern w:val="0"/>
                <w:sz w:val="20"/>
                <w:szCs w:val="20"/>
                <w:lang w:eastAsia="zh-CN"/>
              </w:rPr>
              <w:t>；</w:t>
            </w:r>
            <w:r>
              <w:rPr>
                <w:rFonts w:hint="eastAsia" w:cs="宋体" w:asciiTheme="minorEastAsia" w:hAnsiTheme="minorEastAsia"/>
                <w:color w:val="auto"/>
                <w:kern w:val="0"/>
                <w:sz w:val="20"/>
                <w:szCs w:val="20"/>
                <w:lang w:eastAsia="zh-CN"/>
              </w:rPr>
              <w:t>重大、敏感警情独立展示处置进度，可一键调取出警警车、</w:t>
            </w:r>
            <w:r>
              <w:rPr>
                <w:rFonts w:hint="eastAsia" w:cs="宋体" w:asciiTheme="minorEastAsia" w:hAnsiTheme="minorEastAsia"/>
                <w:color w:val="auto"/>
                <w:kern w:val="0"/>
                <w:sz w:val="20"/>
                <w:szCs w:val="20"/>
                <w:lang w:val="en-US" w:eastAsia="zh-CN"/>
              </w:rPr>
              <w:t>4G执法记录仪信息。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widowControl/>
              <w:jc w:val="center"/>
              <w:rPr>
                <w:rFonts w:cs="宋体" w:asciiTheme="minorEastAsia" w:hAnsiTheme="minorEastAsia" w:eastAsiaTheme="minorEastAsia"/>
                <w:color w:val="auto"/>
                <w:kern w:val="0"/>
                <w:sz w:val="20"/>
                <w:szCs w:val="20"/>
              </w:rPr>
            </w:pPr>
          </w:p>
        </w:tc>
        <w:tc>
          <w:tcPr>
            <w:tcW w:w="682"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855"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指挥看板-施工管制</w:t>
            </w:r>
          </w:p>
        </w:tc>
        <w:tc>
          <w:tcPr>
            <w:tcW w:w="2953"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基于GIS平台，显示目前正管制、施工地点，并展示详细信息等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restart"/>
            <w:shd w:val="clear" w:color="auto" w:fill="auto"/>
            <w:noWrap/>
            <w:vAlign w:val="center"/>
          </w:tcPr>
          <w:p>
            <w:pPr>
              <w:jc w:val="center"/>
              <w:rPr>
                <w:rFonts w:cs="宋体" w:asciiTheme="minorEastAsia" w:hAnsiTheme="minorEastAsia" w:eastAsiaTheme="minorEastAsia"/>
                <w:color w:val="auto"/>
                <w:kern w:val="0"/>
                <w:sz w:val="20"/>
                <w:szCs w:val="20"/>
              </w:rPr>
            </w:pPr>
            <w:r>
              <w:rPr>
                <w:rFonts w:cs="宋体" w:asciiTheme="minorEastAsia" w:hAnsiTheme="minorEastAsia" w:eastAsiaTheme="minorEastAsia"/>
                <w:color w:val="auto"/>
                <w:kern w:val="0"/>
                <w:sz w:val="20"/>
                <w:szCs w:val="20"/>
              </w:rPr>
              <w:t>3</w:t>
            </w:r>
          </w:p>
        </w:tc>
        <w:tc>
          <w:tcPr>
            <w:tcW w:w="682" w:type="pct"/>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情报看板</w:t>
            </w:r>
          </w:p>
        </w:tc>
        <w:tc>
          <w:tcPr>
            <w:tcW w:w="855"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情报看板-交通流量</w:t>
            </w:r>
          </w:p>
        </w:tc>
        <w:tc>
          <w:tcPr>
            <w:tcW w:w="2953"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基于GIS平台，展示交通流量信息及异常拥堵相关路段状况。呈现城市通行车辆综合状况、异常拥堵路段及交通状况、常堵路段及交通状况、敏感路段及交通状况、今日交通态势趋势的统计分析、交通路况。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82"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855"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情报看板-路面防控数据</w:t>
            </w:r>
          </w:p>
        </w:tc>
        <w:tc>
          <w:tcPr>
            <w:tcW w:w="2953"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针对交通违法信息进行各类统计，提供路面防控类信息展示。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widowControl/>
              <w:jc w:val="center"/>
              <w:rPr>
                <w:rFonts w:cs="宋体" w:asciiTheme="minorEastAsia" w:hAnsiTheme="minorEastAsia" w:eastAsiaTheme="minorEastAsia"/>
                <w:color w:val="auto"/>
                <w:kern w:val="0"/>
                <w:sz w:val="20"/>
                <w:szCs w:val="20"/>
              </w:rPr>
            </w:pPr>
          </w:p>
        </w:tc>
        <w:tc>
          <w:tcPr>
            <w:tcW w:w="682"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855"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情报看板-交通情报数据</w:t>
            </w:r>
          </w:p>
        </w:tc>
        <w:tc>
          <w:tcPr>
            <w:tcW w:w="2953"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提供机驾、路况等专题看板，展示交通情报相关数据。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restart"/>
            <w:shd w:val="clear" w:color="auto" w:fill="auto"/>
            <w:noWrap/>
            <w:vAlign w:val="center"/>
          </w:tcPr>
          <w:p>
            <w:pPr>
              <w:jc w:val="center"/>
              <w:rPr>
                <w:rFonts w:cs="宋体" w:asciiTheme="minorEastAsia" w:hAnsiTheme="minorEastAsia" w:eastAsiaTheme="minorEastAsia"/>
                <w:color w:val="auto"/>
                <w:kern w:val="0"/>
                <w:sz w:val="20"/>
                <w:szCs w:val="20"/>
              </w:rPr>
            </w:pPr>
            <w:r>
              <w:rPr>
                <w:rFonts w:cs="宋体" w:asciiTheme="minorEastAsia" w:hAnsiTheme="minorEastAsia" w:eastAsiaTheme="minorEastAsia"/>
                <w:color w:val="auto"/>
                <w:kern w:val="0"/>
                <w:sz w:val="20"/>
                <w:szCs w:val="20"/>
              </w:rPr>
              <w:t>4</w:t>
            </w:r>
          </w:p>
        </w:tc>
        <w:tc>
          <w:tcPr>
            <w:tcW w:w="682" w:type="pct"/>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勤务看板</w:t>
            </w:r>
          </w:p>
        </w:tc>
        <w:tc>
          <w:tcPr>
            <w:tcW w:w="855"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勤务看板-勤务部署专题展示</w:t>
            </w:r>
          </w:p>
        </w:tc>
        <w:tc>
          <w:tcPr>
            <w:tcW w:w="2953"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基于GIS平台，展示交通治理、勤务岗位部署及勤务排班等各类勤务部署专题内容展示，重点展示交通堵点、乱点、黑点、盲点，重点区域等，同时，通过调整时间轴，可以查看在不同时间段内勤务岗位排班情况。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82"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855"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勤务看板-实时勤务专题展示</w:t>
            </w:r>
          </w:p>
        </w:tc>
        <w:tc>
          <w:tcPr>
            <w:tcW w:w="2953"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提供**绩效、勤务部署及勤务动态等信息，通过实时勤务专题展示功能进行展示包括警情处置成果、主动发现成果、巡逻盘查成果、专项打击成果、警情处置成果等，同时将展示最新警情动态，并对警情进行分类统计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widowControl/>
              <w:jc w:val="center"/>
              <w:rPr>
                <w:rFonts w:cs="宋体" w:asciiTheme="minorEastAsia" w:hAnsiTheme="minorEastAsia" w:eastAsiaTheme="minorEastAsia"/>
                <w:color w:val="auto"/>
                <w:kern w:val="0"/>
                <w:sz w:val="20"/>
                <w:szCs w:val="20"/>
              </w:rPr>
            </w:pPr>
          </w:p>
        </w:tc>
        <w:tc>
          <w:tcPr>
            <w:tcW w:w="682"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855"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勤务看板-绩效评价专题展示</w:t>
            </w:r>
          </w:p>
        </w:tc>
        <w:tc>
          <w:tcPr>
            <w:tcW w:w="2953" w:type="pct"/>
            <w:shd w:val="clear" w:color="auto" w:fill="auto"/>
            <w:vAlign w:val="center"/>
          </w:tcPr>
          <w:p>
            <w:pPr>
              <w:widowControl/>
              <w:jc w:val="left"/>
              <w:rPr>
                <w:rFonts w:hint="eastAsia" w:cs="宋体" w:asciiTheme="minorEastAsia" w:hAnsiTheme="minorEastAsia" w:eastAsiaTheme="minorEastAsia"/>
                <w:color w:val="auto"/>
                <w:kern w:val="0"/>
                <w:sz w:val="20"/>
                <w:szCs w:val="20"/>
                <w:lang w:eastAsia="zh-CN"/>
              </w:rPr>
            </w:pPr>
            <w:r>
              <w:rPr>
                <w:rFonts w:hint="eastAsia" w:cs="宋体" w:asciiTheme="minorEastAsia" w:hAnsiTheme="minorEastAsia" w:eastAsiaTheme="minorEastAsia"/>
                <w:color w:val="auto"/>
                <w:kern w:val="0"/>
                <w:sz w:val="20"/>
                <w:szCs w:val="20"/>
              </w:rPr>
              <w:t>在绩效评价专题展示界面，将展示民警的**工作全息记录，客观展示民警的工作经历和表现，全面掌握民警政治业务素质和履职情况。</w:t>
            </w:r>
          </w:p>
          <w:p>
            <w:pPr>
              <w:widowControl/>
              <w:jc w:val="left"/>
              <w:rPr>
                <w:rFonts w:hint="eastAsia" w:cs="宋体" w:asciiTheme="minorEastAsia" w:hAnsiTheme="minorEastAsia" w:eastAsiaTheme="minorEastAsia"/>
                <w:color w:val="auto"/>
                <w:kern w:val="0"/>
                <w:sz w:val="20"/>
                <w:szCs w:val="20"/>
                <w:lang w:eastAsia="zh-CN"/>
              </w:rPr>
            </w:pPr>
            <w:r>
              <w:rPr>
                <w:rFonts w:hint="eastAsia" w:cs="宋体" w:asciiTheme="minorEastAsia" w:hAnsiTheme="minorEastAsia" w:eastAsiaTheme="minorEastAsia"/>
                <w:color w:val="auto"/>
                <w:kern w:val="0"/>
                <w:sz w:val="20"/>
                <w:szCs w:val="20"/>
              </w:rPr>
              <w:t>基本信息展示：基本信息展示模块，将详细展示当前民警信息，包括个人基本信息、休假信息、装备信息等。</w:t>
            </w:r>
          </w:p>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政工考评展示：在政工考评展示模块，将详细展示警员的**工作情况，包括执法任务、主动**、战力分析、政务执行等。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restart"/>
            <w:shd w:val="clear" w:color="auto" w:fill="auto"/>
            <w:noWrap/>
            <w:vAlign w:val="center"/>
          </w:tcPr>
          <w:p>
            <w:pPr>
              <w:jc w:val="center"/>
              <w:rPr>
                <w:rFonts w:cs="宋体" w:asciiTheme="minorEastAsia" w:hAnsiTheme="minorEastAsia" w:eastAsiaTheme="minorEastAsia"/>
                <w:color w:val="auto"/>
                <w:kern w:val="0"/>
                <w:sz w:val="20"/>
                <w:szCs w:val="20"/>
              </w:rPr>
            </w:pPr>
            <w:r>
              <w:rPr>
                <w:rFonts w:cs="宋体" w:asciiTheme="minorEastAsia" w:hAnsiTheme="minorEastAsia" w:eastAsiaTheme="minorEastAsia"/>
                <w:color w:val="auto"/>
                <w:kern w:val="0"/>
                <w:sz w:val="20"/>
                <w:szCs w:val="20"/>
              </w:rPr>
              <w:t>5</w:t>
            </w:r>
          </w:p>
        </w:tc>
        <w:tc>
          <w:tcPr>
            <w:tcW w:w="682" w:type="pct"/>
            <w:vMerge w:val="restart"/>
            <w:shd w:val="clear" w:color="auto" w:fill="auto"/>
            <w:vAlign w:val="center"/>
          </w:tcPr>
          <w:p>
            <w:pPr>
              <w:widowControl/>
              <w:jc w:val="center"/>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基础看板</w:t>
            </w:r>
          </w:p>
        </w:tc>
        <w:tc>
          <w:tcPr>
            <w:tcW w:w="855"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基础通览-人员分布</w:t>
            </w:r>
          </w:p>
        </w:tc>
        <w:tc>
          <w:tcPr>
            <w:tcW w:w="2953"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展示辖区内人员分布情况，包括常住人口、暂住人口、60岁老人、**人员等人员类型分布，以图表或者表格的形式展示。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82"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855"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基础通览-驾驶人</w:t>
            </w:r>
          </w:p>
        </w:tc>
        <w:tc>
          <w:tcPr>
            <w:tcW w:w="2953"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通过各维度展示辖区内驾驶人情况，包括驾驶人年龄段分布、准驾车型结构、男女比例、失驾毒驾</w:t>
            </w:r>
            <w:r>
              <w:rPr>
                <w:rFonts w:hint="eastAsia" w:cs="宋体" w:asciiTheme="minorEastAsia" w:hAnsiTheme="minorEastAsia"/>
                <w:color w:val="auto"/>
                <w:kern w:val="0"/>
                <w:sz w:val="20"/>
                <w:szCs w:val="20"/>
                <w:lang w:eastAsia="zh-CN"/>
              </w:rPr>
              <w:t>酒驾</w:t>
            </w:r>
            <w:r>
              <w:rPr>
                <w:rFonts w:hint="eastAsia" w:cs="宋体" w:asciiTheme="minorEastAsia" w:hAnsiTheme="minorEastAsia" w:eastAsiaTheme="minorEastAsia"/>
                <w:color w:val="auto"/>
                <w:kern w:val="0"/>
                <w:sz w:val="20"/>
                <w:szCs w:val="20"/>
              </w:rPr>
              <w:t>人员分布、驾驶证异常状态总数等，以图表或者表格的形式展示。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82"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855"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基础通览-车辆保有量</w:t>
            </w:r>
          </w:p>
        </w:tc>
        <w:tc>
          <w:tcPr>
            <w:tcW w:w="2953"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通过各维度展示辖区内车辆情况，包括机动车保有量、电动二轮自行车保有量、三轮自行车、共享单车、机动车使用性质分类、重点机动车分类、状态异常总数等，以图表或者表格的形式展示。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82"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855"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基础通览-辖区信息汇总</w:t>
            </w:r>
          </w:p>
        </w:tc>
        <w:tc>
          <w:tcPr>
            <w:tcW w:w="2953"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通过各维度汇总展示辖区交通信息，包括道路平均流量、事故黑点、社会停车场、小区停车场、学校、医院、道路施工路段、交通设施、教育培训点等。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82"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855"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基础通览-重点企业管理</w:t>
            </w:r>
          </w:p>
        </w:tc>
        <w:tc>
          <w:tcPr>
            <w:tcW w:w="2953"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通过各维度展示辖区内重点企业信息，包括大型商超等企业，包括重点企业分布、重点机动车信息及重点驾驶人信息，以图表或者表格的形式展示。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82"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855"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基础通览-**执法成效</w:t>
            </w:r>
          </w:p>
        </w:tc>
        <w:tc>
          <w:tcPr>
            <w:tcW w:w="2953"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通过各维度展示辖区**执法成效，包括违法执法数、接处警处置数、主动发现警情数。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82"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855"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基础通览-中队业务评价</w:t>
            </w:r>
          </w:p>
        </w:tc>
        <w:tc>
          <w:tcPr>
            <w:tcW w:w="2953"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基于GIS平台，展示中队网格，计算并分色展示中队各业务指标评价信息。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82"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855"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研判预警-拥堵预警</w:t>
            </w:r>
          </w:p>
        </w:tc>
        <w:tc>
          <w:tcPr>
            <w:tcW w:w="2953"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提供对辖区内拥堵的预警功能，包括拥堵路段预测预警、突发拥堵实时预警、交通流失衡状态预警等，以图表或者表格的形式展示。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82"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855"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研判预警-事故预警</w:t>
            </w:r>
          </w:p>
        </w:tc>
        <w:tc>
          <w:tcPr>
            <w:tcW w:w="2953"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提供对辖区内事故类信息的预警功能，包含重点车辆事故预警、重点驾驶人事故预警、60岁老人事故预警、中小学生事故预警并以图表或者表格的形式展示。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82"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855"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研判预警-安全隐患预警</w:t>
            </w:r>
          </w:p>
        </w:tc>
        <w:tc>
          <w:tcPr>
            <w:tcW w:w="2953"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提供对辖区内安全隐患类的预警功能，包括未检车辆上路行驶预警、报废车辆上路行驶预警、失驾人员车辆上路行驶预警、**人员车辆上路行驶预警并以图表或者表格的形式展示。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82"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855"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工作助理-工作任务提醒</w:t>
            </w:r>
          </w:p>
        </w:tc>
        <w:tc>
          <w:tcPr>
            <w:tcW w:w="2953"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接入数智实战应用模块中，需要本辖区完成的工作任务，并进行提醒和展示。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82"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855"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工作助理-未完成任务提醒</w:t>
            </w:r>
          </w:p>
        </w:tc>
        <w:tc>
          <w:tcPr>
            <w:tcW w:w="2953"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接入数智实战应用模块中，本辖区尚未完成的工作任务提醒，包括缉查任务未执行提醒及接处警超时提醒，在统一应用门户中提醒，用户点击可直接进入处理功能界面。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82"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855"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工作助理-队伍管理</w:t>
            </w:r>
          </w:p>
        </w:tc>
        <w:tc>
          <w:tcPr>
            <w:tcW w:w="2953"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对队伍管理谈话过程进行录入等管理操作，并提供谈话记录查询功能。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82"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855"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工作助理-工作成效</w:t>
            </w:r>
          </w:p>
        </w:tc>
        <w:tc>
          <w:tcPr>
            <w:tcW w:w="2953"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提供辖区内工作成效功能，包括告知信息处置登记及工作成效分析等并以图表或者表格的形式展示。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82"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855"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公众服务-安全出行提示</w:t>
            </w:r>
          </w:p>
        </w:tc>
        <w:tc>
          <w:tcPr>
            <w:tcW w:w="2953"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提供对辖区内公众出行提示服务，并提供安全出行提示数据汇总、发送短信确认、短信发送清单、短信回执接收等功能。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82"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855"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公众服务-短信模板管理</w:t>
            </w:r>
          </w:p>
        </w:tc>
        <w:tc>
          <w:tcPr>
            <w:tcW w:w="2953"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对发送的公众服务短信提供短信模板定制、修订、停用功能，并可设置每月发送短信数量。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82"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855"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信息维护-小区信息维护</w:t>
            </w:r>
          </w:p>
        </w:tc>
        <w:tc>
          <w:tcPr>
            <w:tcW w:w="2953"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对辖区内小区信息进行维护，包括数据接入、补充采集和停车位采集。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cs="宋体" w:asciiTheme="minorEastAsia" w:hAnsiTheme="minorEastAsia" w:eastAsiaTheme="minorEastAsia"/>
                <w:color w:val="auto"/>
                <w:kern w:val="0"/>
                <w:sz w:val="20"/>
                <w:szCs w:val="20"/>
              </w:rPr>
            </w:pPr>
          </w:p>
        </w:tc>
        <w:tc>
          <w:tcPr>
            <w:tcW w:w="682"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855"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信息维护-停车场信息维护</w:t>
            </w:r>
          </w:p>
        </w:tc>
        <w:tc>
          <w:tcPr>
            <w:tcW w:w="2953"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对辖区内停车场信息进行维护，包括对社会停车场和路边停车场的数据接入及数据采集功能，能够显示停车位总数、已用数、可用数等；显示绿色配送车辆专用停车位数及使用情况。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widowControl/>
              <w:jc w:val="center"/>
              <w:rPr>
                <w:rFonts w:cs="宋体" w:asciiTheme="minorEastAsia" w:hAnsiTheme="minorEastAsia" w:eastAsiaTheme="minorEastAsia"/>
                <w:color w:val="auto"/>
                <w:kern w:val="0"/>
                <w:sz w:val="20"/>
                <w:szCs w:val="20"/>
              </w:rPr>
            </w:pPr>
          </w:p>
        </w:tc>
        <w:tc>
          <w:tcPr>
            <w:tcW w:w="682"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855"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信息维护-业务参数管理</w:t>
            </w:r>
          </w:p>
        </w:tc>
        <w:tc>
          <w:tcPr>
            <w:tcW w:w="2953"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对中队分色预警的指标项和指标值提供参数管理功能。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widowControl/>
              <w:jc w:val="center"/>
              <w:rPr>
                <w:rFonts w:cs="宋体" w:asciiTheme="minorEastAsia" w:hAnsiTheme="minorEastAsia" w:eastAsiaTheme="minorEastAsia"/>
                <w:color w:val="auto"/>
                <w:kern w:val="0"/>
                <w:sz w:val="20"/>
                <w:szCs w:val="20"/>
              </w:rPr>
            </w:pPr>
          </w:p>
        </w:tc>
        <w:tc>
          <w:tcPr>
            <w:tcW w:w="682"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855"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信息维护-信息录入</w:t>
            </w:r>
          </w:p>
        </w:tc>
        <w:tc>
          <w:tcPr>
            <w:tcW w:w="2953"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对中队缺失的信息，提供人工录入功能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restart"/>
            <w:shd w:val="clear" w:color="auto" w:fill="auto"/>
            <w:noWrap/>
            <w:vAlign w:val="center"/>
          </w:tcPr>
          <w:p>
            <w:pPr>
              <w:widowControl/>
              <w:jc w:val="center"/>
              <w:rPr>
                <w:rFonts w:cs="宋体" w:asciiTheme="minorEastAsia" w:hAnsiTheme="minorEastAsia" w:eastAsiaTheme="minorEastAsia"/>
                <w:color w:val="auto"/>
                <w:kern w:val="0"/>
                <w:sz w:val="20"/>
                <w:szCs w:val="20"/>
              </w:rPr>
            </w:pPr>
            <w:r>
              <w:rPr>
                <w:rFonts w:cs="宋体" w:asciiTheme="minorEastAsia" w:hAnsiTheme="minorEastAsia" w:eastAsiaTheme="minorEastAsia"/>
                <w:color w:val="auto"/>
                <w:kern w:val="0"/>
                <w:sz w:val="20"/>
                <w:szCs w:val="20"/>
              </w:rPr>
              <w:t>6</w:t>
            </w:r>
          </w:p>
        </w:tc>
        <w:tc>
          <w:tcPr>
            <w:tcW w:w="682" w:type="pct"/>
            <w:vMerge w:val="restar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事故看板</w:t>
            </w:r>
          </w:p>
        </w:tc>
        <w:tc>
          <w:tcPr>
            <w:tcW w:w="855" w:type="pct"/>
            <w:vMerge w:val="restar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事故可视化展示</w:t>
            </w:r>
          </w:p>
        </w:tc>
        <w:tc>
          <w:tcPr>
            <w:tcW w:w="2953"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黑点黑段分析：</w:t>
            </w:r>
            <w:r>
              <w:rPr>
                <w:rFonts w:hint="eastAsia" w:cs="宋体" w:asciiTheme="minorEastAsia" w:hAnsiTheme="minorEastAsia" w:eastAsiaTheme="minorEastAsia"/>
                <w:color w:val="auto"/>
                <w:kern w:val="0"/>
                <w:sz w:val="20"/>
                <w:szCs w:val="20"/>
                <w:lang w:eastAsia="zh-Hans"/>
              </w:rPr>
              <w:t>可以查询高发时间段、高发单位、高发年龄段、高发违法行为、事故高发路段等的事故发生情况，并且可以自定义条件以黑点、黑段、事故数形式在地图上展示，并且点击可以查看事故详情以及成因内容。也支持从机动车、道路、环境、当事人等多维条件，自定义组合查询事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682"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855"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2953"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动态多维分析：</w:t>
            </w:r>
            <w:r>
              <w:rPr>
                <w:rFonts w:hint="eastAsia" w:cs="宋体" w:asciiTheme="minorEastAsia" w:hAnsiTheme="minorEastAsia" w:eastAsiaTheme="minorEastAsia"/>
                <w:color w:val="auto"/>
                <w:kern w:val="0"/>
                <w:sz w:val="20"/>
                <w:szCs w:val="20"/>
                <w:lang w:eastAsia="zh-Hans"/>
              </w:rPr>
              <w:t>对高发时间段、高发单位、高发年龄段、高发违法行为、事故高发路段等的事故发生情况进行具体的深度下钻分析，例如分析某个高发时段中是具体哪个年龄段,这个年龄段下高发在哪个路段的哪种违法行为或交通方式等，可以自由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682"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855"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2953"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热力图：</w:t>
            </w:r>
            <w:r>
              <w:rPr>
                <w:rFonts w:hint="eastAsia" w:cs="宋体" w:asciiTheme="minorEastAsia" w:hAnsiTheme="minorEastAsia" w:eastAsiaTheme="minorEastAsia"/>
                <w:color w:val="auto"/>
                <w:kern w:val="0"/>
                <w:sz w:val="20"/>
                <w:szCs w:val="20"/>
                <w:lang w:eastAsia="zh-Hans"/>
              </w:rPr>
              <w:t>可以查询根据查询时间查询不同事故类型以及接警信息的情况，在地图上以热力图的形式展现。</w:t>
            </w:r>
            <w:r>
              <w:rPr>
                <w:rFonts w:hint="eastAsia" w:cs="宋体" w:asciiTheme="minorEastAsia" w:hAnsiTheme="minorEastAsia" w:eastAsiaTheme="minorEastAsia"/>
                <w:color w:val="auto"/>
                <w:kern w:val="0"/>
                <w:sz w:val="20"/>
                <w:szCs w:val="20"/>
              </w:rPr>
              <w:t>按照辖区、时间段显示事故多发点、段。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682"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855"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2953" w:type="pct"/>
            <w:shd w:val="clear" w:color="auto" w:fill="auto"/>
            <w:vAlign w:val="center"/>
          </w:tcPr>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事故黑点自动展示：能够根据后台配置的条件，显示默认事故黑点信息。</w:t>
            </w:r>
          </w:p>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1）黑点自动化展示</w:t>
            </w:r>
          </w:p>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系统对大队或中队任意时间段内所发生的不同类型的事故，根据单位面积事故密度从高到底列表展示，并可生成列表导出，展示数量可自由设定。</w:t>
            </w:r>
          </w:p>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系统根据道路名称或道路类型、事故时间段、所属大队或中队、车辆类型、人员类型、违法行为、天气、照明等组合条件，展示发案点位。</w:t>
            </w:r>
          </w:p>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能够根据后台设置的事故黑点生成条件，自动显示符合条件的事故黑点。</w:t>
            </w:r>
          </w:p>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同时，事故查询条件保留，可以结合实际需求进行定制化查询。</w:t>
            </w:r>
          </w:p>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2）参数配置</w:t>
            </w:r>
          </w:p>
          <w:p>
            <w:pPr>
              <w:widowControl/>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在后台提供参数配置功能，可以设置事故黑点展现的默认条件。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682"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855" w:type="pct"/>
            <w:vMerge w:val="continue"/>
            <w:shd w:val="clear" w:color="auto" w:fill="auto"/>
            <w:vAlign w:val="center"/>
          </w:tcPr>
          <w:p>
            <w:pPr>
              <w:widowControl/>
              <w:jc w:val="left"/>
              <w:rPr>
                <w:rFonts w:cs="宋体" w:asciiTheme="minorEastAsia" w:hAnsiTheme="minorEastAsia" w:eastAsiaTheme="minorEastAsia"/>
                <w:color w:val="auto"/>
                <w:kern w:val="0"/>
                <w:sz w:val="20"/>
                <w:szCs w:val="20"/>
              </w:rPr>
            </w:pPr>
          </w:p>
        </w:tc>
        <w:tc>
          <w:tcPr>
            <w:tcW w:w="2953" w:type="pct"/>
            <w:shd w:val="clear" w:color="auto" w:fill="auto"/>
            <w:vAlign w:val="center"/>
          </w:tcPr>
          <w:p>
            <w:pP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事故黑点整改效果：</w:t>
            </w:r>
          </w:p>
          <w:p>
            <w:pPr>
              <w:rPr>
                <w:rFonts w:ascii="宋体" w:hAnsi="宋体" w:cs="宋体"/>
                <w:color w:val="auto"/>
                <w:sz w:val="20"/>
                <w:szCs w:val="20"/>
              </w:rPr>
            </w:pPr>
            <w:r>
              <w:rPr>
                <w:rFonts w:ascii="宋体" w:hAnsi="宋体" w:cs="宋体"/>
                <w:color w:val="auto"/>
                <w:sz w:val="20"/>
                <w:szCs w:val="20"/>
              </w:rPr>
              <w:t>1</w:t>
            </w:r>
            <w:r>
              <w:rPr>
                <w:rFonts w:hint="eastAsia" w:ascii="宋体" w:hAnsi="宋体" w:cs="宋体"/>
                <w:color w:val="auto"/>
                <w:sz w:val="20"/>
                <w:szCs w:val="20"/>
              </w:rPr>
              <w:t>）整治效果录入</w:t>
            </w:r>
          </w:p>
          <w:p>
            <w:pPr>
              <w:rPr>
                <w:rFonts w:ascii="宋体" w:hAnsi="宋体" w:cs="宋体"/>
                <w:color w:val="auto"/>
                <w:sz w:val="20"/>
                <w:szCs w:val="20"/>
              </w:rPr>
            </w:pPr>
            <w:r>
              <w:rPr>
                <w:rFonts w:hint="eastAsia" w:ascii="宋体" w:hAnsi="宋体" w:cs="宋体"/>
                <w:color w:val="auto"/>
                <w:sz w:val="20"/>
                <w:szCs w:val="20"/>
              </w:rPr>
              <w:t>提供整治效果录入功能，可以录入整治前后事故现场照片、视频，以及添加文字补充描述等。</w:t>
            </w:r>
          </w:p>
          <w:p>
            <w:pPr>
              <w:rPr>
                <w:rFonts w:ascii="宋体" w:hAnsi="宋体" w:cs="宋体"/>
                <w:color w:val="auto"/>
                <w:sz w:val="20"/>
                <w:szCs w:val="20"/>
              </w:rPr>
            </w:pPr>
            <w:r>
              <w:rPr>
                <w:rFonts w:ascii="宋体" w:hAnsi="宋体" w:cs="宋体"/>
                <w:color w:val="auto"/>
                <w:sz w:val="20"/>
                <w:szCs w:val="20"/>
              </w:rPr>
              <w:t>2</w:t>
            </w:r>
            <w:r>
              <w:rPr>
                <w:rFonts w:hint="eastAsia" w:ascii="宋体" w:hAnsi="宋体" w:cs="宋体"/>
                <w:color w:val="auto"/>
                <w:sz w:val="20"/>
                <w:szCs w:val="20"/>
              </w:rPr>
              <w:t>）整治效果共享</w:t>
            </w:r>
          </w:p>
          <w:p>
            <w:pPr>
              <w:rPr>
                <w:rFonts w:ascii="宋体" w:hAnsi="宋体" w:cs="宋体"/>
                <w:color w:val="auto"/>
                <w:sz w:val="20"/>
                <w:szCs w:val="20"/>
              </w:rPr>
            </w:pPr>
            <w:r>
              <w:rPr>
                <w:rFonts w:hint="eastAsia" w:ascii="宋体" w:hAnsi="宋体" w:cs="宋体"/>
                <w:color w:val="auto"/>
                <w:sz w:val="20"/>
                <w:szCs w:val="20"/>
              </w:rPr>
              <w:t>交通事故处理完毕后，可以通过设立的专栏将事故处理过程中发现的安全隐患报送秩序部门，达到及时整改目的。</w:t>
            </w:r>
          </w:p>
          <w:p>
            <w:pPr>
              <w:rPr>
                <w:rFonts w:ascii="宋体" w:hAnsi="宋体" w:cs="宋体"/>
                <w:color w:val="auto"/>
                <w:sz w:val="20"/>
                <w:szCs w:val="20"/>
              </w:rPr>
            </w:pPr>
            <w:r>
              <w:rPr>
                <w:rFonts w:ascii="宋体" w:hAnsi="宋体" w:cs="宋体"/>
                <w:color w:val="auto"/>
                <w:sz w:val="20"/>
                <w:szCs w:val="20"/>
              </w:rPr>
              <w:t>3</w:t>
            </w:r>
            <w:r>
              <w:rPr>
                <w:rFonts w:hint="eastAsia" w:ascii="宋体" w:hAnsi="宋体" w:cs="宋体"/>
                <w:color w:val="auto"/>
                <w:sz w:val="20"/>
                <w:szCs w:val="20"/>
              </w:rPr>
              <w:t>）整治效果展示</w:t>
            </w:r>
          </w:p>
          <w:p>
            <w:pPr>
              <w:widowControl/>
              <w:jc w:val="left"/>
              <w:rPr>
                <w:rFonts w:cs="宋体" w:asciiTheme="minorEastAsia" w:hAnsiTheme="minorEastAsia" w:eastAsiaTheme="minorEastAsia"/>
                <w:color w:val="auto"/>
                <w:kern w:val="0"/>
                <w:sz w:val="20"/>
                <w:szCs w:val="20"/>
              </w:rPr>
            </w:pPr>
            <w:r>
              <w:rPr>
                <w:rFonts w:hint="eastAsia" w:ascii="宋体" w:hAnsi="宋体" w:cs="宋体"/>
                <w:color w:val="auto"/>
                <w:sz w:val="20"/>
                <w:szCs w:val="20"/>
              </w:rPr>
              <w:t>可直观展示事故黑点整治情况、整治方案、目前已采取的临时安全措施、整治前后事故数量及效果对比情况等。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shd w:val="clear" w:color="auto" w:fill="auto"/>
            <w:vAlign w:val="center"/>
          </w:tcPr>
          <w:p>
            <w:pPr>
              <w:widowControl/>
              <w:jc w:val="center"/>
              <w:rPr>
                <w:rFonts w:cs="宋体" w:asciiTheme="minorEastAsia" w:hAnsiTheme="minorEastAsia" w:eastAsiaTheme="minorEastAsia"/>
                <w:color w:val="auto"/>
                <w:kern w:val="0"/>
                <w:sz w:val="20"/>
                <w:szCs w:val="20"/>
              </w:rPr>
            </w:pPr>
            <w:r>
              <w:rPr>
                <w:rFonts w:cs="宋体" w:asciiTheme="minorEastAsia" w:hAnsiTheme="minorEastAsia" w:eastAsiaTheme="minorEastAsia"/>
                <w:color w:val="auto"/>
                <w:kern w:val="0"/>
                <w:sz w:val="20"/>
                <w:szCs w:val="20"/>
              </w:rPr>
              <w:t>7</w:t>
            </w:r>
          </w:p>
        </w:tc>
        <w:tc>
          <w:tcPr>
            <w:tcW w:w="1537" w:type="pct"/>
            <w:gridSpan w:val="2"/>
            <w:shd w:val="clear" w:color="auto" w:fill="auto"/>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统一资源</w:t>
            </w:r>
          </w:p>
        </w:tc>
        <w:tc>
          <w:tcPr>
            <w:tcW w:w="2953" w:type="pct"/>
            <w:shd w:val="clear" w:color="auto" w:fill="auto"/>
            <w:vAlign w:val="center"/>
          </w:tcPr>
          <w:p>
            <w:pPr>
              <w:widowControl/>
              <w:jc w:val="left"/>
              <w:rPr>
                <w:rFonts w:cs="宋体" w:asciiTheme="minorEastAsia" w:hAnsiTheme="minorEastAsia" w:eastAsiaTheme="minorEastAsia"/>
                <w:color w:val="auto"/>
                <w:kern w:val="0"/>
                <w:sz w:val="20"/>
                <w:szCs w:val="20"/>
              </w:rPr>
            </w:pPr>
            <w:r>
              <w:rPr>
                <w:rFonts w:hint="eastAsia" w:ascii="宋体" w:hAnsi="宋体"/>
                <w:color w:val="auto"/>
                <w:sz w:val="20"/>
                <w:szCs w:val="20"/>
              </w:rPr>
              <w:t>模块需要复用资源中心提供的关系型数据库及分布式数据库，统一使用资源中心提供的大数据能力。</w:t>
            </w:r>
          </w:p>
        </w:tc>
      </w:tr>
    </w:tbl>
    <w:p>
      <w:pPr>
        <w:pStyle w:val="56"/>
        <w:rPr>
          <w:color w:val="auto"/>
        </w:rPr>
      </w:pPr>
    </w:p>
    <w:p>
      <w:pPr>
        <w:pStyle w:val="6"/>
        <w:rPr>
          <w:color w:val="auto"/>
        </w:rPr>
      </w:pPr>
      <w:r>
        <w:rPr>
          <w:rFonts w:hint="eastAsia"/>
          <w:color w:val="auto"/>
        </w:rPr>
        <w:t>高地一体化模块</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085"/>
        <w:gridCol w:w="2172"/>
        <w:gridCol w:w="4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序号</w:t>
            </w:r>
          </w:p>
        </w:tc>
        <w:tc>
          <w:tcPr>
            <w:tcW w:w="636" w:type="pct"/>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功能模块</w:t>
            </w:r>
          </w:p>
        </w:tc>
        <w:tc>
          <w:tcPr>
            <w:tcW w:w="1273" w:type="pct"/>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子模块</w:t>
            </w:r>
          </w:p>
        </w:tc>
        <w:tc>
          <w:tcPr>
            <w:tcW w:w="2580" w:type="pct"/>
            <w:shd w:val="clear" w:color="auto" w:fill="auto"/>
            <w:noWrap/>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restart"/>
            <w:shd w:val="clear" w:color="auto" w:fill="auto"/>
            <w:noWrap/>
            <w:vAlign w:val="center"/>
          </w:tcPr>
          <w:p>
            <w:pPr>
              <w:jc w:val="center"/>
              <w:rPr>
                <w:rFonts w:ascii="宋体" w:hAnsi="宋体" w:cs="宋体"/>
                <w:color w:val="auto"/>
                <w:kern w:val="0"/>
                <w:sz w:val="20"/>
                <w:szCs w:val="20"/>
              </w:rPr>
            </w:pPr>
            <w:r>
              <w:rPr>
                <w:rFonts w:ascii="宋体" w:hAnsi="宋体" w:cs="宋体"/>
                <w:color w:val="auto"/>
                <w:kern w:val="0"/>
                <w:sz w:val="20"/>
                <w:szCs w:val="20"/>
              </w:rPr>
              <w:t>1</w:t>
            </w:r>
          </w:p>
        </w:tc>
        <w:tc>
          <w:tcPr>
            <w:tcW w:w="636"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图层数据管理与展示</w:t>
            </w:r>
          </w:p>
        </w:tc>
        <w:tc>
          <w:tcPr>
            <w:tcW w:w="1273"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交通状况上图</w:t>
            </w:r>
          </w:p>
        </w:tc>
        <w:tc>
          <w:tcPr>
            <w:tcW w:w="25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接入流量、实时速度等交通指标，生成台州城区、高速实时交通状况，并上图展示。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36" w:type="pct"/>
            <w:vMerge w:val="continue"/>
            <w:vAlign w:val="center"/>
          </w:tcPr>
          <w:p>
            <w:pPr>
              <w:widowControl/>
              <w:jc w:val="left"/>
              <w:rPr>
                <w:rFonts w:ascii="宋体" w:hAnsi="宋体" w:cs="宋体"/>
                <w:color w:val="auto"/>
                <w:kern w:val="0"/>
                <w:sz w:val="20"/>
                <w:szCs w:val="20"/>
              </w:rPr>
            </w:pPr>
          </w:p>
        </w:tc>
        <w:tc>
          <w:tcPr>
            <w:tcW w:w="1273"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交通事件上图</w:t>
            </w:r>
          </w:p>
        </w:tc>
        <w:tc>
          <w:tcPr>
            <w:tcW w:w="25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接入12122警情、设备智能检测事件、恶劣天气等数据，连同模块研判的交通拥堵、重点人车轨迹、人工上报等事件进行实时预警并上图展示。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36" w:type="pct"/>
            <w:vMerge w:val="continue"/>
            <w:vAlign w:val="center"/>
          </w:tcPr>
          <w:p>
            <w:pPr>
              <w:widowControl/>
              <w:jc w:val="left"/>
              <w:rPr>
                <w:rFonts w:ascii="宋体" w:hAnsi="宋体" w:cs="宋体"/>
                <w:color w:val="auto"/>
                <w:kern w:val="0"/>
                <w:sz w:val="20"/>
                <w:szCs w:val="20"/>
              </w:rPr>
            </w:pPr>
          </w:p>
        </w:tc>
        <w:tc>
          <w:tcPr>
            <w:tcW w:w="1273"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交通分析上图</w:t>
            </w:r>
          </w:p>
        </w:tc>
        <w:tc>
          <w:tcPr>
            <w:tcW w:w="25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统计分析台州城区、高速历史拥堵事件、交通事故、交通事件的发生频次，得出每小时常发性拥堵路段、交通事故黑点以及交通事件黑点的分析结果，支持多个连续小时分析结果查询。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36" w:type="pct"/>
            <w:vMerge w:val="continue"/>
            <w:vAlign w:val="center"/>
          </w:tcPr>
          <w:p>
            <w:pPr>
              <w:widowControl/>
              <w:jc w:val="left"/>
              <w:rPr>
                <w:rFonts w:ascii="宋体" w:hAnsi="宋体" w:cs="宋体"/>
                <w:color w:val="auto"/>
                <w:kern w:val="0"/>
                <w:sz w:val="20"/>
                <w:szCs w:val="20"/>
              </w:rPr>
            </w:pPr>
          </w:p>
        </w:tc>
        <w:tc>
          <w:tcPr>
            <w:tcW w:w="1273"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警力设备上图</w:t>
            </w:r>
          </w:p>
        </w:tc>
        <w:tc>
          <w:tcPr>
            <w:tcW w:w="25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接入警员**通、警车4G车载台、联勤车辆、对讲机、执法记录仪等设备的基本信息和实时定位信息，支持民警、警车、联勤车辆、对讲机、执法记录仪等警力设备的上图展示。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36" w:type="pct"/>
            <w:vMerge w:val="continue"/>
            <w:vAlign w:val="center"/>
          </w:tcPr>
          <w:p>
            <w:pPr>
              <w:widowControl/>
              <w:jc w:val="left"/>
              <w:rPr>
                <w:rFonts w:ascii="宋体" w:hAnsi="宋体" w:cs="宋体"/>
                <w:color w:val="auto"/>
                <w:kern w:val="0"/>
                <w:sz w:val="20"/>
                <w:szCs w:val="20"/>
              </w:rPr>
            </w:pPr>
          </w:p>
        </w:tc>
        <w:tc>
          <w:tcPr>
            <w:tcW w:w="1273"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智能设备上图</w:t>
            </w:r>
          </w:p>
        </w:tc>
        <w:tc>
          <w:tcPr>
            <w:tcW w:w="25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接入视频监控、电子警察、智能卡口、信号机、无人机、诱导屏、雷视检测设备等智能设备的点位、状态信息并上图展示，支持视频监控、电子警察、智能卡口、雷视检测设备等在线状态设备实时视频调阅。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restart"/>
            <w:shd w:val="clear" w:color="auto" w:fill="auto"/>
            <w:noWrap/>
            <w:vAlign w:val="center"/>
          </w:tcPr>
          <w:p>
            <w:pPr>
              <w:jc w:val="center"/>
              <w:rPr>
                <w:rFonts w:ascii="宋体" w:hAnsi="宋体" w:cs="宋体"/>
                <w:color w:val="auto"/>
                <w:kern w:val="0"/>
                <w:sz w:val="20"/>
                <w:szCs w:val="20"/>
              </w:rPr>
            </w:pPr>
            <w:r>
              <w:rPr>
                <w:rFonts w:ascii="宋体" w:hAnsi="宋体" w:cs="宋体"/>
                <w:color w:val="auto"/>
                <w:kern w:val="0"/>
                <w:sz w:val="20"/>
                <w:szCs w:val="20"/>
              </w:rPr>
              <w:t>2</w:t>
            </w:r>
          </w:p>
        </w:tc>
        <w:tc>
          <w:tcPr>
            <w:tcW w:w="636"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高速事件预警与处置</w:t>
            </w:r>
          </w:p>
        </w:tc>
        <w:tc>
          <w:tcPr>
            <w:tcW w:w="1273"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信息推送_事件短信推送</w:t>
            </w:r>
          </w:p>
        </w:tc>
        <w:tc>
          <w:tcPr>
            <w:tcW w:w="25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通过短信自动群发的方式向高速业主发布高速实时交通事件信息。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36" w:type="pct"/>
            <w:vMerge w:val="continue"/>
            <w:vAlign w:val="center"/>
          </w:tcPr>
          <w:p>
            <w:pPr>
              <w:widowControl/>
              <w:jc w:val="left"/>
              <w:rPr>
                <w:rFonts w:ascii="宋体" w:hAnsi="宋体" w:cs="宋体"/>
                <w:color w:val="auto"/>
                <w:kern w:val="0"/>
                <w:sz w:val="20"/>
                <w:szCs w:val="20"/>
              </w:rPr>
            </w:pPr>
          </w:p>
        </w:tc>
        <w:tc>
          <w:tcPr>
            <w:tcW w:w="1273"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信息推送_事件接口推送</w:t>
            </w:r>
          </w:p>
        </w:tc>
        <w:tc>
          <w:tcPr>
            <w:tcW w:w="25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通过接口向数据中心推送台州城区、高速实时交通事件信息。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36" w:type="pct"/>
            <w:vMerge w:val="continue"/>
            <w:vAlign w:val="center"/>
          </w:tcPr>
          <w:p>
            <w:pPr>
              <w:widowControl/>
              <w:jc w:val="left"/>
              <w:rPr>
                <w:rFonts w:ascii="宋体" w:hAnsi="宋体" w:cs="宋体"/>
                <w:color w:val="auto"/>
                <w:kern w:val="0"/>
                <w:sz w:val="20"/>
                <w:szCs w:val="20"/>
              </w:rPr>
            </w:pPr>
          </w:p>
        </w:tc>
        <w:tc>
          <w:tcPr>
            <w:tcW w:w="1273"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设备智控_雷球联动控制</w:t>
            </w:r>
          </w:p>
        </w:tc>
        <w:tc>
          <w:tcPr>
            <w:tcW w:w="25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根据雷视设备预警交通事件的类型、点位信息，自动筛选附近球形视频监控并上图展示，支持事发现场视频实时调阅，辅助用户进行事件复核。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36" w:type="pct"/>
            <w:vMerge w:val="continue"/>
            <w:vAlign w:val="center"/>
          </w:tcPr>
          <w:p>
            <w:pPr>
              <w:widowControl/>
              <w:jc w:val="left"/>
              <w:rPr>
                <w:rFonts w:ascii="宋体" w:hAnsi="宋体" w:cs="宋体"/>
                <w:color w:val="auto"/>
                <w:kern w:val="0"/>
                <w:sz w:val="20"/>
                <w:szCs w:val="20"/>
              </w:rPr>
            </w:pPr>
          </w:p>
        </w:tc>
        <w:tc>
          <w:tcPr>
            <w:tcW w:w="1273"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高速预警中心</w:t>
            </w:r>
          </w:p>
        </w:tc>
        <w:tc>
          <w:tcPr>
            <w:tcW w:w="2580" w:type="pct"/>
            <w:shd w:val="clear" w:color="auto" w:fill="auto"/>
            <w:vAlign w:val="center"/>
          </w:tcPr>
          <w:p>
            <w:pPr>
              <w:widowControl/>
              <w:tabs>
                <w:tab w:val="left" w:pos="1560"/>
              </w:tabs>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以一个工作台账的形式，根据各大队管辖范围，向各大队指挥室展示四色车辆经过点位的预警信息、高速雷达事件信息、警情信息、即时违法信息，并且实时调取车辆当前违法情况进行比对，确保数据准确；车辆下台州高速时精准预警，违法事件闭环处置，违法实时转入六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36" w:type="pct"/>
            <w:vMerge w:val="continue"/>
            <w:vAlign w:val="center"/>
          </w:tcPr>
          <w:p>
            <w:pPr>
              <w:widowControl/>
              <w:jc w:val="left"/>
              <w:rPr>
                <w:rFonts w:ascii="宋体" w:hAnsi="宋体" w:cs="宋体"/>
                <w:color w:val="auto"/>
                <w:kern w:val="0"/>
                <w:sz w:val="20"/>
                <w:szCs w:val="20"/>
              </w:rPr>
            </w:pPr>
          </w:p>
        </w:tc>
        <w:tc>
          <w:tcPr>
            <w:tcW w:w="1273"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预警推送移动终端</w:t>
            </w:r>
          </w:p>
        </w:tc>
        <w:tc>
          <w:tcPr>
            <w:tcW w:w="25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结合预警中心预警的信息和路面警力执勤点，将预警信息精准推送至高速移动**上，完成违法车辆当场处罚，违法数据智能判断不上传非现场，直接进入六合一系统。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restart"/>
            <w:shd w:val="clear" w:color="auto" w:fill="auto"/>
            <w:noWrap/>
            <w:vAlign w:val="center"/>
          </w:tcPr>
          <w:p>
            <w:pPr>
              <w:jc w:val="center"/>
              <w:rPr>
                <w:rFonts w:ascii="宋体" w:hAnsi="宋体" w:cs="宋体"/>
                <w:color w:val="auto"/>
                <w:kern w:val="0"/>
                <w:sz w:val="20"/>
                <w:szCs w:val="20"/>
              </w:rPr>
            </w:pPr>
            <w:r>
              <w:rPr>
                <w:rFonts w:ascii="宋体" w:hAnsi="宋体" w:cs="宋体"/>
                <w:color w:val="auto"/>
                <w:kern w:val="0"/>
                <w:sz w:val="20"/>
                <w:szCs w:val="20"/>
              </w:rPr>
              <w:t>3</w:t>
            </w:r>
          </w:p>
        </w:tc>
        <w:tc>
          <w:tcPr>
            <w:tcW w:w="636"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高速车辆标签画像</w:t>
            </w:r>
          </w:p>
        </w:tc>
        <w:tc>
          <w:tcPr>
            <w:tcW w:w="1273"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标签获取</w:t>
            </w:r>
          </w:p>
        </w:tc>
        <w:tc>
          <w:tcPr>
            <w:tcW w:w="25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针对高速车辆基本信息、违法类型、每月通行频次、通行主要时段途径台州辖区类型、目的地、上下高速状态、事故处理情况等特征状态进行标签化描述。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36" w:type="pct"/>
            <w:vMerge w:val="continue"/>
            <w:vAlign w:val="center"/>
          </w:tcPr>
          <w:p>
            <w:pPr>
              <w:widowControl/>
              <w:jc w:val="left"/>
              <w:rPr>
                <w:rFonts w:ascii="宋体" w:hAnsi="宋体" w:cs="宋体"/>
                <w:color w:val="auto"/>
                <w:kern w:val="0"/>
                <w:sz w:val="20"/>
                <w:szCs w:val="20"/>
              </w:rPr>
            </w:pPr>
          </w:p>
        </w:tc>
        <w:tc>
          <w:tcPr>
            <w:tcW w:w="1273"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一车一档</w:t>
            </w:r>
          </w:p>
        </w:tc>
        <w:tc>
          <w:tcPr>
            <w:tcW w:w="25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接入省高速总队卡口过车、事故、违法数据，提供高速车辆基础信息展示、积分分析、标签分析、过车记录查询、违法记录查询、事故记录查询、四色码管理功能。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36" w:type="pct"/>
            <w:vMerge w:val="continue"/>
            <w:vAlign w:val="center"/>
          </w:tcPr>
          <w:p>
            <w:pPr>
              <w:widowControl/>
              <w:jc w:val="left"/>
              <w:rPr>
                <w:rFonts w:ascii="宋体" w:hAnsi="宋体" w:cs="宋体"/>
                <w:color w:val="auto"/>
                <w:kern w:val="0"/>
                <w:sz w:val="20"/>
                <w:szCs w:val="20"/>
              </w:rPr>
            </w:pPr>
          </w:p>
        </w:tc>
        <w:tc>
          <w:tcPr>
            <w:tcW w:w="1273"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配置管理</w:t>
            </w:r>
          </w:p>
        </w:tc>
        <w:tc>
          <w:tcPr>
            <w:tcW w:w="25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提供高速车辆积分和重点车辆库的查询、管理功能。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36" w:type="pct"/>
            <w:vMerge w:val="continue"/>
            <w:vAlign w:val="center"/>
          </w:tcPr>
          <w:p>
            <w:pPr>
              <w:widowControl/>
              <w:jc w:val="left"/>
              <w:rPr>
                <w:rFonts w:ascii="宋体" w:hAnsi="宋体" w:cs="宋体"/>
                <w:color w:val="auto"/>
                <w:kern w:val="0"/>
                <w:sz w:val="20"/>
                <w:szCs w:val="20"/>
              </w:rPr>
            </w:pPr>
          </w:p>
        </w:tc>
        <w:tc>
          <w:tcPr>
            <w:tcW w:w="1273"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积分四色码查询</w:t>
            </w:r>
          </w:p>
        </w:tc>
        <w:tc>
          <w:tcPr>
            <w:tcW w:w="25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搭建浙政钉和浙里办互联网入口，向公众提供车辆积分情况、四色码颜色等信息的查询。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36" w:type="pct"/>
            <w:vMerge w:val="continue"/>
            <w:vAlign w:val="center"/>
          </w:tcPr>
          <w:p>
            <w:pPr>
              <w:widowControl/>
              <w:jc w:val="left"/>
              <w:rPr>
                <w:rFonts w:ascii="宋体" w:hAnsi="宋体" w:cs="宋体"/>
                <w:color w:val="auto"/>
                <w:kern w:val="0"/>
                <w:sz w:val="20"/>
                <w:szCs w:val="20"/>
              </w:rPr>
            </w:pPr>
          </w:p>
        </w:tc>
        <w:tc>
          <w:tcPr>
            <w:tcW w:w="1273"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高频车管理</w:t>
            </w:r>
          </w:p>
        </w:tc>
        <w:tc>
          <w:tcPr>
            <w:tcW w:w="25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接入卡口过车数据，提供一定时间内高频经过同一个卡口的车辆查询，进一步统计分析高频车辆周、月变化趋势等；积分分值变化致使色码改变的车辆，将通过短信等方式向车主推送相关信息。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widowControl/>
              <w:jc w:val="center"/>
              <w:rPr>
                <w:rFonts w:ascii="宋体" w:hAnsi="宋体" w:cs="宋体"/>
                <w:color w:val="auto"/>
                <w:kern w:val="0"/>
                <w:sz w:val="20"/>
                <w:szCs w:val="20"/>
              </w:rPr>
            </w:pPr>
          </w:p>
        </w:tc>
        <w:tc>
          <w:tcPr>
            <w:tcW w:w="636" w:type="pct"/>
            <w:vMerge w:val="continue"/>
            <w:vAlign w:val="center"/>
          </w:tcPr>
          <w:p>
            <w:pPr>
              <w:widowControl/>
              <w:jc w:val="left"/>
              <w:rPr>
                <w:rFonts w:ascii="宋体" w:hAnsi="宋体" w:cs="宋体"/>
                <w:color w:val="auto"/>
                <w:kern w:val="0"/>
                <w:sz w:val="20"/>
                <w:szCs w:val="20"/>
              </w:rPr>
            </w:pPr>
          </w:p>
        </w:tc>
        <w:tc>
          <w:tcPr>
            <w:tcW w:w="1273"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移动服务</w:t>
            </w:r>
          </w:p>
        </w:tc>
        <w:tc>
          <w:tcPr>
            <w:tcW w:w="25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提供高频车管理、加分操作证明材料的上传、指定数据推送、色码查询等功能。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510" w:type="pct"/>
            <w:vMerge w:val="restart"/>
            <w:shd w:val="clear" w:color="auto" w:fill="auto"/>
            <w:noWrap/>
            <w:vAlign w:val="center"/>
          </w:tcPr>
          <w:p>
            <w:pPr>
              <w:jc w:val="center"/>
              <w:rPr>
                <w:rFonts w:ascii="宋体" w:hAnsi="宋体" w:cs="宋体"/>
                <w:color w:val="auto"/>
                <w:kern w:val="0"/>
                <w:sz w:val="20"/>
                <w:szCs w:val="20"/>
              </w:rPr>
            </w:pPr>
            <w:r>
              <w:rPr>
                <w:rFonts w:ascii="宋体" w:hAnsi="宋体" w:cs="宋体"/>
                <w:color w:val="auto"/>
                <w:kern w:val="0"/>
                <w:sz w:val="20"/>
                <w:szCs w:val="20"/>
              </w:rPr>
              <w:t>4</w:t>
            </w:r>
          </w:p>
        </w:tc>
        <w:tc>
          <w:tcPr>
            <w:tcW w:w="636"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多源数据分析与展示</w:t>
            </w:r>
          </w:p>
        </w:tc>
        <w:tc>
          <w:tcPr>
            <w:tcW w:w="1273"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多源数据分析_路口流量计算模型</w:t>
            </w:r>
          </w:p>
        </w:tc>
        <w:tc>
          <w:tcPr>
            <w:tcW w:w="2580"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从数据中心获取台州城区电子警察、微波雷达采集的车道流量，以5分钟为单位汇集为检测路口各进（出）口的流向流量。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36" w:type="pct"/>
            <w:vMerge w:val="continue"/>
            <w:vAlign w:val="center"/>
          </w:tcPr>
          <w:p>
            <w:pPr>
              <w:widowControl/>
              <w:jc w:val="left"/>
              <w:rPr>
                <w:rFonts w:ascii="宋体" w:hAnsi="宋体" w:cs="宋体"/>
                <w:color w:val="auto"/>
                <w:kern w:val="0"/>
                <w:sz w:val="20"/>
                <w:szCs w:val="20"/>
              </w:rPr>
            </w:pPr>
          </w:p>
        </w:tc>
        <w:tc>
          <w:tcPr>
            <w:tcW w:w="1273"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多源数据分析_高速流量计算模型</w:t>
            </w:r>
          </w:p>
        </w:tc>
        <w:tc>
          <w:tcPr>
            <w:tcW w:w="2580"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获取高速路卡口、雷视检测设备采集的车道流量，以1小时为单位汇集成台州高速路段断面流量。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36" w:type="pct"/>
            <w:vMerge w:val="continue"/>
            <w:vAlign w:val="center"/>
          </w:tcPr>
          <w:p>
            <w:pPr>
              <w:widowControl/>
              <w:jc w:val="left"/>
              <w:rPr>
                <w:rFonts w:ascii="宋体" w:hAnsi="宋体" w:cs="宋体"/>
                <w:color w:val="auto"/>
                <w:kern w:val="0"/>
                <w:sz w:val="20"/>
                <w:szCs w:val="20"/>
              </w:rPr>
            </w:pPr>
          </w:p>
        </w:tc>
        <w:tc>
          <w:tcPr>
            <w:tcW w:w="1273"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多源数据分析_出入高速匹配模型</w:t>
            </w:r>
          </w:p>
        </w:tc>
        <w:tc>
          <w:tcPr>
            <w:tcW w:w="2580"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获取所有高速路出入口卡口设备采集的车道流量，以1小时为单位汇集成高速出、入口流量。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36" w:type="pct"/>
            <w:vMerge w:val="continue"/>
            <w:vAlign w:val="center"/>
          </w:tcPr>
          <w:p>
            <w:pPr>
              <w:widowControl/>
              <w:jc w:val="left"/>
              <w:rPr>
                <w:rFonts w:ascii="宋体" w:hAnsi="宋体" w:cs="宋体"/>
                <w:color w:val="auto"/>
                <w:kern w:val="0"/>
                <w:sz w:val="20"/>
                <w:szCs w:val="20"/>
              </w:rPr>
            </w:pPr>
          </w:p>
        </w:tc>
        <w:tc>
          <w:tcPr>
            <w:tcW w:w="1273"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数据查询展示_城市路口流量分析</w:t>
            </w:r>
          </w:p>
        </w:tc>
        <w:tc>
          <w:tcPr>
            <w:tcW w:w="2580"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指定日期、指定时段（至少能以半小时为单位）台州城区路口流量统计查询并以图、表形式展示，支持日期对比和路口对比。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36" w:type="pct"/>
            <w:vMerge w:val="continue"/>
            <w:vAlign w:val="center"/>
          </w:tcPr>
          <w:p>
            <w:pPr>
              <w:widowControl/>
              <w:jc w:val="left"/>
              <w:rPr>
                <w:rFonts w:ascii="宋体" w:hAnsi="宋体" w:cs="宋体"/>
                <w:color w:val="auto"/>
                <w:kern w:val="0"/>
                <w:sz w:val="20"/>
                <w:szCs w:val="20"/>
              </w:rPr>
            </w:pPr>
          </w:p>
        </w:tc>
        <w:tc>
          <w:tcPr>
            <w:tcW w:w="1273"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数据查询展示_高速公路流量分析</w:t>
            </w:r>
          </w:p>
        </w:tc>
        <w:tc>
          <w:tcPr>
            <w:tcW w:w="2580"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指定日期、指定时段（至少能以半小时为单位）台州高速路段断面流量统计查询并以图、表形式展示，支持日期对比和路段对比。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36" w:type="pct"/>
            <w:vMerge w:val="continue"/>
            <w:vAlign w:val="center"/>
          </w:tcPr>
          <w:p>
            <w:pPr>
              <w:widowControl/>
              <w:jc w:val="left"/>
              <w:rPr>
                <w:rFonts w:ascii="宋体" w:hAnsi="宋体" w:cs="宋体"/>
                <w:color w:val="auto"/>
                <w:kern w:val="0"/>
                <w:sz w:val="20"/>
                <w:szCs w:val="20"/>
              </w:rPr>
            </w:pPr>
          </w:p>
        </w:tc>
        <w:tc>
          <w:tcPr>
            <w:tcW w:w="1273"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数据查询展示_高速公路车速分析</w:t>
            </w:r>
          </w:p>
        </w:tc>
        <w:tc>
          <w:tcPr>
            <w:tcW w:w="2580"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指定日期、指定时段台州高速路段断面、区间平均车速统计查询并以图、表形式展示，支持日期对比和路段对比。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widowControl/>
              <w:jc w:val="center"/>
              <w:rPr>
                <w:rFonts w:ascii="宋体" w:hAnsi="宋体" w:cs="宋体"/>
                <w:color w:val="auto"/>
                <w:kern w:val="0"/>
                <w:sz w:val="20"/>
                <w:szCs w:val="20"/>
              </w:rPr>
            </w:pPr>
          </w:p>
        </w:tc>
        <w:tc>
          <w:tcPr>
            <w:tcW w:w="636" w:type="pct"/>
            <w:vMerge w:val="continue"/>
            <w:vAlign w:val="center"/>
          </w:tcPr>
          <w:p>
            <w:pPr>
              <w:widowControl/>
              <w:jc w:val="left"/>
              <w:rPr>
                <w:rFonts w:ascii="宋体" w:hAnsi="宋体" w:cs="宋体"/>
                <w:color w:val="auto"/>
                <w:kern w:val="0"/>
                <w:sz w:val="20"/>
                <w:szCs w:val="20"/>
              </w:rPr>
            </w:pPr>
          </w:p>
        </w:tc>
        <w:tc>
          <w:tcPr>
            <w:tcW w:w="1273"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数据查询展示_高速公路车型结构分析</w:t>
            </w:r>
          </w:p>
        </w:tc>
        <w:tc>
          <w:tcPr>
            <w:tcW w:w="2580"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指定日期、指定时段台州高速路段断面、区间车型结构统计查询并以图、表形式展示，支持日期对比和路段对比。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restart"/>
            <w:shd w:val="clear" w:color="auto" w:fill="auto"/>
            <w:noWrap/>
            <w:vAlign w:val="center"/>
          </w:tcPr>
          <w:p>
            <w:pPr>
              <w:jc w:val="center"/>
              <w:rPr>
                <w:rFonts w:ascii="宋体" w:hAnsi="宋体" w:cs="宋体"/>
                <w:color w:val="auto"/>
                <w:kern w:val="0"/>
                <w:sz w:val="20"/>
                <w:szCs w:val="20"/>
              </w:rPr>
            </w:pPr>
            <w:r>
              <w:rPr>
                <w:rFonts w:ascii="宋体" w:hAnsi="宋体" w:cs="宋体"/>
                <w:color w:val="auto"/>
                <w:kern w:val="0"/>
                <w:sz w:val="20"/>
                <w:szCs w:val="20"/>
              </w:rPr>
              <w:t>5</w:t>
            </w:r>
          </w:p>
        </w:tc>
        <w:tc>
          <w:tcPr>
            <w:tcW w:w="636"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地图数据融合与处理</w:t>
            </w:r>
          </w:p>
        </w:tc>
        <w:tc>
          <w:tcPr>
            <w:tcW w:w="1273"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采购方指定地图数据处理_web端</w:t>
            </w:r>
          </w:p>
        </w:tc>
        <w:tc>
          <w:tcPr>
            <w:tcW w:w="2580"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接入采购方指定地图Web端数据，包括基础地图、高精度地图、卫星地图、路网数据、实时路况数据等。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36" w:type="pct"/>
            <w:vMerge w:val="continue"/>
            <w:vAlign w:val="center"/>
          </w:tcPr>
          <w:p>
            <w:pPr>
              <w:widowControl/>
              <w:jc w:val="left"/>
              <w:rPr>
                <w:rFonts w:ascii="宋体" w:hAnsi="宋体" w:cs="宋体"/>
                <w:color w:val="auto"/>
                <w:kern w:val="0"/>
                <w:sz w:val="20"/>
                <w:szCs w:val="20"/>
              </w:rPr>
            </w:pPr>
          </w:p>
        </w:tc>
        <w:tc>
          <w:tcPr>
            <w:tcW w:w="1273"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采购方指定地图数据处理_移动端</w:t>
            </w:r>
          </w:p>
        </w:tc>
        <w:tc>
          <w:tcPr>
            <w:tcW w:w="25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接入采购方指定地图移动端数据，包括基础地图、路网数据、实时路况数据等。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36" w:type="pct"/>
            <w:vMerge w:val="continue"/>
            <w:vAlign w:val="center"/>
          </w:tcPr>
          <w:p>
            <w:pPr>
              <w:widowControl/>
              <w:jc w:val="left"/>
              <w:rPr>
                <w:rFonts w:ascii="宋体" w:hAnsi="宋体" w:cs="宋体"/>
                <w:color w:val="auto"/>
                <w:kern w:val="0"/>
                <w:sz w:val="20"/>
                <w:szCs w:val="20"/>
              </w:rPr>
            </w:pPr>
          </w:p>
        </w:tc>
        <w:tc>
          <w:tcPr>
            <w:tcW w:w="1273"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采购方指定地图数据高地融合处理</w:t>
            </w:r>
          </w:p>
        </w:tc>
        <w:tc>
          <w:tcPr>
            <w:tcW w:w="25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采取坐标转换、图层拼接、上下层关系设置、配色统一等处理手段，使台州高速与台州城区精细化地图数据在一张图上和谐展示。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36" w:type="pct"/>
            <w:vMerge w:val="continue"/>
            <w:vAlign w:val="center"/>
          </w:tcPr>
          <w:p>
            <w:pPr>
              <w:widowControl/>
              <w:jc w:val="left"/>
              <w:rPr>
                <w:rFonts w:ascii="宋体" w:hAnsi="宋体" w:cs="宋体"/>
                <w:color w:val="auto"/>
                <w:kern w:val="0"/>
                <w:sz w:val="20"/>
                <w:szCs w:val="20"/>
              </w:rPr>
            </w:pPr>
          </w:p>
        </w:tc>
        <w:tc>
          <w:tcPr>
            <w:tcW w:w="1273"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高速出入口交通渠化处理</w:t>
            </w:r>
          </w:p>
        </w:tc>
        <w:tc>
          <w:tcPr>
            <w:tcW w:w="25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台州全市域范围12个高速出入口交通组织精细化地图的配置。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widowControl/>
              <w:jc w:val="center"/>
              <w:rPr>
                <w:rFonts w:ascii="宋体" w:hAnsi="宋体" w:cs="宋体"/>
                <w:color w:val="auto"/>
                <w:kern w:val="0"/>
                <w:sz w:val="20"/>
                <w:szCs w:val="20"/>
              </w:rPr>
            </w:pPr>
          </w:p>
        </w:tc>
        <w:tc>
          <w:tcPr>
            <w:tcW w:w="636" w:type="pct"/>
            <w:vMerge w:val="continue"/>
            <w:vAlign w:val="center"/>
          </w:tcPr>
          <w:p>
            <w:pPr>
              <w:widowControl/>
              <w:jc w:val="left"/>
              <w:rPr>
                <w:rFonts w:ascii="宋体" w:hAnsi="宋体" w:cs="宋体"/>
                <w:color w:val="auto"/>
                <w:kern w:val="0"/>
                <w:sz w:val="20"/>
                <w:szCs w:val="20"/>
              </w:rPr>
            </w:pPr>
          </w:p>
        </w:tc>
        <w:tc>
          <w:tcPr>
            <w:tcW w:w="1273"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高速路三维渲染引擎</w:t>
            </w:r>
          </w:p>
        </w:tc>
        <w:tc>
          <w:tcPr>
            <w:tcW w:w="258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加载各种符合标准的地图图层，支持瓦片图、矢量图，支持3DMax等建模软件生成的obj文件，支持通用的GIS计算。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shd w:val="clear" w:color="auto" w:fill="auto"/>
            <w:noWrap/>
            <w:vAlign w:val="center"/>
          </w:tcPr>
          <w:p>
            <w:pPr>
              <w:widowControl/>
              <w:jc w:val="center"/>
              <w:rPr>
                <w:rFonts w:ascii="宋体" w:hAnsi="宋体" w:cs="宋体"/>
                <w:color w:val="auto"/>
                <w:kern w:val="0"/>
                <w:sz w:val="20"/>
                <w:szCs w:val="20"/>
              </w:rPr>
            </w:pPr>
            <w:r>
              <w:rPr>
                <w:rFonts w:cs="宋体" w:asciiTheme="minorEastAsia" w:hAnsiTheme="minorEastAsia" w:eastAsiaTheme="minorEastAsia"/>
                <w:color w:val="auto"/>
                <w:kern w:val="0"/>
                <w:sz w:val="20"/>
                <w:szCs w:val="20"/>
              </w:rPr>
              <w:t>6</w:t>
            </w:r>
          </w:p>
        </w:tc>
        <w:tc>
          <w:tcPr>
            <w:tcW w:w="1909" w:type="pct"/>
            <w:gridSpan w:val="2"/>
            <w:vAlign w:val="center"/>
          </w:tcPr>
          <w:p>
            <w:pPr>
              <w:widowControl/>
              <w:jc w:val="center"/>
              <w:rPr>
                <w:rFonts w:ascii="宋体" w:hAnsi="宋体" w:cs="宋体"/>
                <w:color w:val="auto"/>
                <w:kern w:val="0"/>
                <w:sz w:val="20"/>
                <w:szCs w:val="20"/>
              </w:rPr>
            </w:pPr>
            <w:r>
              <w:rPr>
                <w:rFonts w:hint="eastAsia" w:cs="宋体" w:asciiTheme="minorEastAsia" w:hAnsiTheme="minorEastAsia" w:eastAsiaTheme="minorEastAsia"/>
                <w:color w:val="auto"/>
                <w:kern w:val="0"/>
                <w:sz w:val="20"/>
                <w:szCs w:val="20"/>
              </w:rPr>
              <w:t>统一资源</w:t>
            </w:r>
          </w:p>
        </w:tc>
        <w:tc>
          <w:tcPr>
            <w:tcW w:w="2580" w:type="pct"/>
            <w:shd w:val="clear" w:color="auto" w:fill="auto"/>
            <w:vAlign w:val="center"/>
          </w:tcPr>
          <w:p>
            <w:pPr>
              <w:widowControl/>
              <w:jc w:val="left"/>
              <w:rPr>
                <w:rFonts w:ascii="宋体" w:hAnsi="宋体" w:cs="宋体"/>
                <w:color w:val="auto"/>
                <w:kern w:val="0"/>
                <w:sz w:val="20"/>
                <w:szCs w:val="20"/>
              </w:rPr>
            </w:pPr>
            <w:r>
              <w:rPr>
                <w:rFonts w:hint="eastAsia" w:ascii="宋体" w:hAnsi="宋体"/>
                <w:color w:val="auto"/>
              </w:rPr>
              <w:t>模块需要复用资源中心提供的关系型数据库及分布式数据库，统一使用资源中心提供的大数据能力。</w:t>
            </w:r>
          </w:p>
        </w:tc>
      </w:tr>
    </w:tbl>
    <w:p>
      <w:pPr>
        <w:pStyle w:val="10"/>
        <w:rPr>
          <w:color w:val="auto"/>
        </w:rPr>
      </w:pPr>
    </w:p>
    <w:p>
      <w:pPr>
        <w:pStyle w:val="6"/>
        <w:rPr>
          <w:color w:val="auto"/>
        </w:rPr>
      </w:pPr>
      <w:r>
        <w:rPr>
          <w:rFonts w:hint="eastAsia"/>
          <w:color w:val="auto"/>
        </w:rPr>
        <w:t>信号控制提升模块</w:t>
      </w:r>
    </w:p>
    <w:tbl>
      <w:tblPr>
        <w:tblStyle w:val="22"/>
        <w:tblW w:w="4991" w:type="pct"/>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925"/>
        <w:gridCol w:w="2078"/>
        <w:gridCol w:w="4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序号</w:t>
            </w:r>
          </w:p>
        </w:tc>
        <w:tc>
          <w:tcPr>
            <w:tcW w:w="543" w:type="pct"/>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功能模块</w:t>
            </w:r>
          </w:p>
        </w:tc>
        <w:tc>
          <w:tcPr>
            <w:tcW w:w="1219" w:type="pct"/>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子模块</w:t>
            </w:r>
          </w:p>
        </w:tc>
        <w:tc>
          <w:tcPr>
            <w:tcW w:w="2738" w:type="pct"/>
            <w:shd w:val="clear" w:color="auto" w:fill="auto"/>
            <w:noWrap/>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vMerge w:val="restart"/>
            <w:shd w:val="clear" w:color="auto" w:fill="auto"/>
            <w:noWrap/>
            <w:vAlign w:val="center"/>
          </w:tcPr>
          <w:p>
            <w:pPr>
              <w:jc w:val="center"/>
              <w:rPr>
                <w:rFonts w:ascii="宋体" w:hAnsi="宋体" w:cs="宋体"/>
                <w:color w:val="auto"/>
                <w:kern w:val="0"/>
                <w:sz w:val="20"/>
                <w:szCs w:val="20"/>
              </w:rPr>
            </w:pPr>
            <w:r>
              <w:rPr>
                <w:rFonts w:ascii="宋体" w:hAnsi="宋体" w:cs="宋体"/>
                <w:color w:val="auto"/>
                <w:kern w:val="0"/>
                <w:sz w:val="20"/>
                <w:szCs w:val="20"/>
              </w:rPr>
              <w:t>1</w:t>
            </w:r>
          </w:p>
        </w:tc>
        <w:tc>
          <w:tcPr>
            <w:tcW w:w="543"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信号控制提质升档</w:t>
            </w:r>
          </w:p>
        </w:tc>
        <w:tc>
          <w:tcPr>
            <w:tcW w:w="1219"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自适应控制提质升档_倒计时策略优化</w:t>
            </w:r>
          </w:p>
        </w:tc>
        <w:tc>
          <w:tcPr>
            <w:tcW w:w="2738"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优化工作日高峰期路口单点自适应倒计时策略，减少高峰期倒计时阶段绿时空放，进一步挖掘路口高峰期间通行能力。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vMerge w:val="continue"/>
            <w:shd w:val="clear" w:color="auto" w:fill="auto"/>
            <w:noWrap/>
            <w:vAlign w:val="center"/>
          </w:tcPr>
          <w:p>
            <w:pPr>
              <w:jc w:val="center"/>
              <w:rPr>
                <w:rFonts w:ascii="宋体" w:hAnsi="宋体" w:cs="宋体"/>
                <w:color w:val="auto"/>
                <w:kern w:val="0"/>
                <w:sz w:val="20"/>
                <w:szCs w:val="20"/>
              </w:rPr>
            </w:pPr>
          </w:p>
        </w:tc>
        <w:tc>
          <w:tcPr>
            <w:tcW w:w="543" w:type="pct"/>
            <w:vMerge w:val="continue"/>
            <w:vAlign w:val="center"/>
          </w:tcPr>
          <w:p>
            <w:pPr>
              <w:widowControl/>
              <w:jc w:val="left"/>
              <w:rPr>
                <w:rFonts w:ascii="宋体" w:hAnsi="宋体" w:cs="宋体"/>
                <w:color w:val="auto"/>
                <w:kern w:val="0"/>
                <w:sz w:val="20"/>
                <w:szCs w:val="20"/>
              </w:rPr>
            </w:pPr>
          </w:p>
        </w:tc>
        <w:tc>
          <w:tcPr>
            <w:tcW w:w="1219"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自适应控制提质升档_路口联动自适应</w:t>
            </w:r>
          </w:p>
        </w:tc>
        <w:tc>
          <w:tcPr>
            <w:tcW w:w="2738"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当路口即将发生排队溢出现象时，联动上游相邻路口同步进行自适应调控，使溢出流向缓进快出，保障路口正常通行秩序。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vMerge w:val="continue"/>
            <w:shd w:val="clear" w:color="auto" w:fill="auto"/>
            <w:noWrap/>
            <w:vAlign w:val="center"/>
          </w:tcPr>
          <w:p>
            <w:pPr>
              <w:jc w:val="center"/>
              <w:rPr>
                <w:rFonts w:ascii="宋体" w:hAnsi="宋体" w:cs="宋体"/>
                <w:color w:val="auto"/>
                <w:kern w:val="0"/>
                <w:sz w:val="20"/>
                <w:szCs w:val="20"/>
              </w:rPr>
            </w:pPr>
          </w:p>
        </w:tc>
        <w:tc>
          <w:tcPr>
            <w:tcW w:w="543" w:type="pct"/>
            <w:vMerge w:val="continue"/>
            <w:vAlign w:val="center"/>
          </w:tcPr>
          <w:p>
            <w:pPr>
              <w:widowControl/>
              <w:jc w:val="left"/>
              <w:rPr>
                <w:rFonts w:ascii="宋体" w:hAnsi="宋体" w:cs="宋体"/>
                <w:color w:val="auto"/>
                <w:kern w:val="0"/>
                <w:sz w:val="20"/>
                <w:szCs w:val="20"/>
              </w:rPr>
            </w:pPr>
          </w:p>
        </w:tc>
        <w:tc>
          <w:tcPr>
            <w:tcW w:w="1219"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自适应控制提质升档_短路段协调联动</w:t>
            </w:r>
          </w:p>
        </w:tc>
        <w:tc>
          <w:tcPr>
            <w:tcW w:w="2738"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短路段相邻路口协调方向配时和相位差联动调控，达到短路段不停车通过、排队短等目的。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vMerge w:val="continue"/>
            <w:shd w:val="clear" w:color="auto" w:fill="auto"/>
            <w:noWrap/>
            <w:vAlign w:val="center"/>
          </w:tcPr>
          <w:p>
            <w:pPr>
              <w:jc w:val="center"/>
              <w:rPr>
                <w:rFonts w:ascii="宋体" w:hAnsi="宋体" w:cs="宋体"/>
                <w:color w:val="auto"/>
                <w:kern w:val="0"/>
                <w:sz w:val="20"/>
                <w:szCs w:val="20"/>
              </w:rPr>
            </w:pPr>
          </w:p>
        </w:tc>
        <w:tc>
          <w:tcPr>
            <w:tcW w:w="543" w:type="pct"/>
            <w:vMerge w:val="continue"/>
            <w:vAlign w:val="center"/>
          </w:tcPr>
          <w:p>
            <w:pPr>
              <w:widowControl/>
              <w:jc w:val="left"/>
              <w:rPr>
                <w:rFonts w:ascii="宋体" w:hAnsi="宋体" w:cs="宋体"/>
                <w:color w:val="auto"/>
                <w:kern w:val="0"/>
                <w:sz w:val="20"/>
                <w:szCs w:val="20"/>
              </w:rPr>
            </w:pPr>
          </w:p>
        </w:tc>
        <w:tc>
          <w:tcPr>
            <w:tcW w:w="1219"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自适应控制提质升档_绿波带宽自适应</w:t>
            </w:r>
          </w:p>
        </w:tc>
        <w:tc>
          <w:tcPr>
            <w:tcW w:w="2738"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绿波实施路口设置满足绿波运行的单点自适应策略，使绿波稳定运行的基础上，适时增加绿波带带宽，提升绿波运行效果。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vMerge w:val="continue"/>
            <w:shd w:val="clear" w:color="auto" w:fill="auto"/>
            <w:noWrap/>
            <w:vAlign w:val="center"/>
          </w:tcPr>
          <w:p>
            <w:pPr>
              <w:jc w:val="center"/>
              <w:rPr>
                <w:rFonts w:ascii="宋体" w:hAnsi="宋体" w:cs="宋体"/>
                <w:color w:val="auto"/>
                <w:kern w:val="0"/>
                <w:sz w:val="20"/>
                <w:szCs w:val="20"/>
              </w:rPr>
            </w:pPr>
          </w:p>
        </w:tc>
        <w:tc>
          <w:tcPr>
            <w:tcW w:w="543" w:type="pct"/>
            <w:vMerge w:val="continue"/>
            <w:vAlign w:val="center"/>
          </w:tcPr>
          <w:p>
            <w:pPr>
              <w:widowControl/>
              <w:jc w:val="left"/>
              <w:rPr>
                <w:rFonts w:ascii="宋体" w:hAnsi="宋体" w:cs="宋体"/>
                <w:color w:val="auto"/>
                <w:kern w:val="0"/>
                <w:sz w:val="20"/>
                <w:szCs w:val="20"/>
              </w:rPr>
            </w:pPr>
          </w:p>
        </w:tc>
        <w:tc>
          <w:tcPr>
            <w:tcW w:w="1219"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新购信号机平台接入服务_信号机协议对接</w:t>
            </w:r>
          </w:p>
        </w:tc>
        <w:tc>
          <w:tcPr>
            <w:tcW w:w="2738"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对接新购信号机品牌厂商协议，调通新品牌信号机的功能运行和数据读写。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vMerge w:val="continue"/>
            <w:shd w:val="clear" w:color="auto" w:fill="auto"/>
            <w:noWrap/>
            <w:vAlign w:val="center"/>
          </w:tcPr>
          <w:p>
            <w:pPr>
              <w:jc w:val="center"/>
              <w:rPr>
                <w:rFonts w:ascii="宋体" w:hAnsi="宋体" w:cs="宋体"/>
                <w:color w:val="auto"/>
                <w:kern w:val="0"/>
                <w:sz w:val="20"/>
                <w:szCs w:val="20"/>
              </w:rPr>
            </w:pPr>
          </w:p>
        </w:tc>
        <w:tc>
          <w:tcPr>
            <w:tcW w:w="543" w:type="pct"/>
            <w:vMerge w:val="continue"/>
            <w:vAlign w:val="center"/>
          </w:tcPr>
          <w:p>
            <w:pPr>
              <w:widowControl/>
              <w:jc w:val="left"/>
              <w:rPr>
                <w:rFonts w:ascii="宋体" w:hAnsi="宋体" w:cs="宋体"/>
                <w:color w:val="auto"/>
                <w:kern w:val="0"/>
                <w:sz w:val="20"/>
                <w:szCs w:val="20"/>
              </w:rPr>
            </w:pPr>
          </w:p>
        </w:tc>
        <w:tc>
          <w:tcPr>
            <w:tcW w:w="1219"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新购信号机平台接入服务_信号机运行测试</w:t>
            </w:r>
          </w:p>
        </w:tc>
        <w:tc>
          <w:tcPr>
            <w:tcW w:w="2738"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平台配置路口渠化、信号灯组等信息；并在平台上对信号机实际运行、参数读写等功能进行评估。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vMerge w:val="continue"/>
            <w:shd w:val="clear" w:color="auto" w:fill="auto"/>
            <w:noWrap/>
            <w:vAlign w:val="center"/>
          </w:tcPr>
          <w:p>
            <w:pPr>
              <w:jc w:val="center"/>
              <w:rPr>
                <w:rFonts w:ascii="宋体" w:hAnsi="宋体" w:cs="宋体"/>
                <w:color w:val="auto"/>
                <w:kern w:val="0"/>
                <w:sz w:val="20"/>
                <w:szCs w:val="20"/>
              </w:rPr>
            </w:pPr>
          </w:p>
        </w:tc>
        <w:tc>
          <w:tcPr>
            <w:tcW w:w="543" w:type="pct"/>
            <w:vMerge w:val="continue"/>
            <w:vAlign w:val="center"/>
          </w:tcPr>
          <w:p>
            <w:pPr>
              <w:widowControl/>
              <w:jc w:val="left"/>
              <w:rPr>
                <w:rFonts w:ascii="宋体" w:hAnsi="宋体" w:cs="宋体"/>
                <w:color w:val="auto"/>
                <w:kern w:val="0"/>
                <w:sz w:val="20"/>
                <w:szCs w:val="20"/>
              </w:rPr>
            </w:pPr>
          </w:p>
        </w:tc>
        <w:tc>
          <w:tcPr>
            <w:tcW w:w="1219"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新购信号机平台接入服务_自适应功能测试</w:t>
            </w:r>
          </w:p>
        </w:tc>
        <w:tc>
          <w:tcPr>
            <w:tcW w:w="2738"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平台配置检测器信息，接入前端检测数据，测试平台自适应信号控制功能与新购信号机的匹配效果。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vMerge w:val="continue"/>
            <w:shd w:val="clear" w:color="auto" w:fill="auto"/>
            <w:noWrap/>
            <w:vAlign w:val="center"/>
          </w:tcPr>
          <w:p>
            <w:pPr>
              <w:widowControl/>
              <w:jc w:val="center"/>
              <w:rPr>
                <w:rFonts w:ascii="宋体" w:hAnsi="宋体" w:cs="宋体"/>
                <w:color w:val="auto"/>
                <w:kern w:val="0"/>
                <w:sz w:val="20"/>
                <w:szCs w:val="20"/>
              </w:rPr>
            </w:pPr>
          </w:p>
        </w:tc>
        <w:tc>
          <w:tcPr>
            <w:tcW w:w="543" w:type="pct"/>
            <w:vMerge w:val="continue"/>
            <w:vAlign w:val="center"/>
          </w:tcPr>
          <w:p>
            <w:pPr>
              <w:widowControl/>
              <w:jc w:val="left"/>
              <w:rPr>
                <w:rFonts w:ascii="宋体" w:hAnsi="宋体" w:cs="宋体"/>
                <w:color w:val="auto"/>
                <w:kern w:val="0"/>
                <w:sz w:val="20"/>
                <w:szCs w:val="20"/>
              </w:rPr>
            </w:pPr>
          </w:p>
        </w:tc>
        <w:tc>
          <w:tcPr>
            <w:tcW w:w="1219"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全市域信控方案对外开放服务</w:t>
            </w:r>
          </w:p>
        </w:tc>
        <w:tc>
          <w:tcPr>
            <w:tcW w:w="2738"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向数据中心定期推送全市域信控路口配时方案、调度计划等信息，支持上述信息在“台州市公共出行数据开放平台”的定期发布。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498" w:type="pct"/>
            <w:vMerge w:val="restart"/>
            <w:shd w:val="clear" w:color="auto" w:fill="auto"/>
            <w:noWrap/>
            <w:vAlign w:val="center"/>
          </w:tcPr>
          <w:p>
            <w:pPr>
              <w:jc w:val="center"/>
              <w:rPr>
                <w:rFonts w:ascii="宋体" w:hAnsi="宋体" w:cs="宋体"/>
                <w:color w:val="auto"/>
                <w:kern w:val="0"/>
                <w:sz w:val="20"/>
                <w:szCs w:val="20"/>
              </w:rPr>
            </w:pPr>
            <w:r>
              <w:rPr>
                <w:rFonts w:ascii="宋体" w:hAnsi="宋体" w:cs="宋体"/>
                <w:color w:val="auto"/>
                <w:kern w:val="0"/>
                <w:sz w:val="20"/>
                <w:szCs w:val="20"/>
              </w:rPr>
              <w:t>2</w:t>
            </w:r>
          </w:p>
        </w:tc>
        <w:tc>
          <w:tcPr>
            <w:tcW w:w="543"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交通信号人工优化服务</w:t>
            </w:r>
          </w:p>
        </w:tc>
        <w:tc>
          <w:tcPr>
            <w:tcW w:w="1219"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路口信号调优</w:t>
            </w:r>
          </w:p>
        </w:tc>
        <w:tc>
          <w:tcPr>
            <w:tcW w:w="2738"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融合多源数据，优化路口时段划分个数、时段范围和配时方案。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vMerge w:val="continue"/>
            <w:shd w:val="clear" w:color="auto" w:fill="auto"/>
            <w:noWrap/>
            <w:vAlign w:val="center"/>
          </w:tcPr>
          <w:p>
            <w:pPr>
              <w:jc w:val="center"/>
              <w:rPr>
                <w:rFonts w:ascii="宋体" w:hAnsi="宋体" w:cs="宋体"/>
                <w:color w:val="auto"/>
                <w:kern w:val="0"/>
                <w:sz w:val="20"/>
                <w:szCs w:val="20"/>
              </w:rPr>
            </w:pPr>
          </w:p>
        </w:tc>
        <w:tc>
          <w:tcPr>
            <w:tcW w:w="543" w:type="pct"/>
            <w:vMerge w:val="continue"/>
            <w:vAlign w:val="center"/>
          </w:tcPr>
          <w:p>
            <w:pPr>
              <w:widowControl/>
              <w:jc w:val="left"/>
              <w:rPr>
                <w:rFonts w:ascii="宋体" w:hAnsi="宋体" w:cs="宋体"/>
                <w:color w:val="auto"/>
                <w:kern w:val="0"/>
                <w:sz w:val="20"/>
                <w:szCs w:val="20"/>
              </w:rPr>
            </w:pPr>
          </w:p>
        </w:tc>
        <w:tc>
          <w:tcPr>
            <w:tcW w:w="1219"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辅助管控服务</w:t>
            </w:r>
          </w:p>
        </w:tc>
        <w:tc>
          <w:tcPr>
            <w:tcW w:w="2738"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早、晚高峰期、节假日高峰期驻场辅助态势监管、信号调控；协助完成警卫路线信号优先保障；上报信号机脱机、车检器数据异常、灯组乱线、路面警情等异常事件；结合路面交通态势调优信控平台事件预警、自适应控制、溢出控制研判参数阈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vMerge w:val="continue"/>
            <w:shd w:val="clear" w:color="auto" w:fill="auto"/>
            <w:noWrap/>
            <w:vAlign w:val="center"/>
          </w:tcPr>
          <w:p>
            <w:pPr>
              <w:jc w:val="center"/>
              <w:rPr>
                <w:rFonts w:ascii="宋体" w:hAnsi="宋体" w:cs="宋体"/>
                <w:color w:val="auto"/>
                <w:kern w:val="0"/>
                <w:sz w:val="20"/>
                <w:szCs w:val="20"/>
              </w:rPr>
            </w:pPr>
          </w:p>
        </w:tc>
        <w:tc>
          <w:tcPr>
            <w:tcW w:w="543" w:type="pct"/>
            <w:vMerge w:val="continue"/>
            <w:vAlign w:val="center"/>
          </w:tcPr>
          <w:p>
            <w:pPr>
              <w:widowControl/>
              <w:jc w:val="left"/>
              <w:rPr>
                <w:rFonts w:ascii="宋体" w:hAnsi="宋体" w:cs="宋体"/>
                <w:color w:val="auto"/>
                <w:kern w:val="0"/>
                <w:sz w:val="20"/>
                <w:szCs w:val="20"/>
              </w:rPr>
            </w:pPr>
          </w:p>
        </w:tc>
        <w:tc>
          <w:tcPr>
            <w:tcW w:w="1219"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交通管控预案咨询服务</w:t>
            </w:r>
          </w:p>
        </w:tc>
        <w:tc>
          <w:tcPr>
            <w:tcW w:w="2738"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根据重大活动或道路管制的地点、时间、日期、规模等信息，预测车辆出行特征，结合现状交通态势分析交通管控范围、交通组织方案、交通管控措施、信号调优方案。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vMerge w:val="continue"/>
            <w:shd w:val="clear" w:color="auto" w:fill="auto"/>
            <w:noWrap/>
            <w:vAlign w:val="center"/>
          </w:tcPr>
          <w:p>
            <w:pPr>
              <w:jc w:val="center"/>
              <w:rPr>
                <w:rFonts w:ascii="宋体" w:hAnsi="宋体" w:cs="宋体"/>
                <w:color w:val="auto"/>
                <w:kern w:val="0"/>
                <w:sz w:val="20"/>
                <w:szCs w:val="20"/>
              </w:rPr>
            </w:pPr>
          </w:p>
        </w:tc>
        <w:tc>
          <w:tcPr>
            <w:tcW w:w="543" w:type="pct"/>
            <w:vMerge w:val="continue"/>
            <w:vAlign w:val="center"/>
          </w:tcPr>
          <w:p>
            <w:pPr>
              <w:widowControl/>
              <w:jc w:val="left"/>
              <w:rPr>
                <w:rFonts w:ascii="宋体" w:hAnsi="宋体" w:cs="宋体"/>
                <w:color w:val="auto"/>
                <w:kern w:val="0"/>
                <w:sz w:val="20"/>
                <w:szCs w:val="20"/>
              </w:rPr>
            </w:pPr>
          </w:p>
        </w:tc>
        <w:tc>
          <w:tcPr>
            <w:tcW w:w="1219" w:type="pct"/>
            <w:shd w:val="clear" w:color="auto" w:fill="auto"/>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管控舆情处理_交通拥堵分析</w:t>
            </w:r>
          </w:p>
        </w:tc>
        <w:tc>
          <w:tcPr>
            <w:tcW w:w="2738"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历史视频、检测器数据、态势指标等多元数据融合，还原拥堵过程，分析路口交通组织问题，提供信号调优、组织优化、管控措施建议；以回执单、报告、电话等方式回复来自12345、110、大队内部等信控相关舆情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vMerge w:val="continue"/>
            <w:shd w:val="clear" w:color="auto" w:fill="auto"/>
            <w:noWrap/>
            <w:vAlign w:val="center"/>
          </w:tcPr>
          <w:p>
            <w:pPr>
              <w:widowControl/>
              <w:jc w:val="center"/>
              <w:rPr>
                <w:rFonts w:ascii="宋体" w:hAnsi="宋体" w:cs="宋体"/>
                <w:color w:val="auto"/>
                <w:kern w:val="0"/>
                <w:sz w:val="20"/>
                <w:szCs w:val="20"/>
              </w:rPr>
            </w:pPr>
          </w:p>
        </w:tc>
        <w:tc>
          <w:tcPr>
            <w:tcW w:w="543" w:type="pct"/>
            <w:vMerge w:val="continue"/>
            <w:vAlign w:val="center"/>
          </w:tcPr>
          <w:p>
            <w:pPr>
              <w:widowControl/>
              <w:jc w:val="left"/>
              <w:rPr>
                <w:rFonts w:ascii="宋体" w:hAnsi="宋体" w:cs="宋体"/>
                <w:color w:val="auto"/>
                <w:kern w:val="0"/>
                <w:sz w:val="20"/>
                <w:szCs w:val="20"/>
              </w:rPr>
            </w:pPr>
          </w:p>
        </w:tc>
        <w:tc>
          <w:tcPr>
            <w:tcW w:w="3958" w:type="pct"/>
            <w:gridSpan w:val="2"/>
            <w:shd w:val="clear" w:color="auto" w:fill="auto"/>
            <w:vAlign w:val="center"/>
          </w:tcPr>
          <w:p>
            <w:pPr>
              <w:widowControl/>
              <w:tabs>
                <w:tab w:val="left" w:pos="727"/>
              </w:tabs>
              <w:jc w:val="left"/>
              <w:rPr>
                <w:rFonts w:hint="default" w:ascii="宋体" w:hAnsi="宋体" w:eastAsia="宋体" w:cs="宋体"/>
                <w:color w:val="auto"/>
                <w:kern w:val="0"/>
                <w:sz w:val="20"/>
                <w:szCs w:val="20"/>
                <w:lang w:val="en-US" w:eastAsia="zh-CN"/>
              </w:rPr>
            </w:pPr>
            <w:r>
              <w:rPr>
                <w:rFonts w:hint="eastAsia" w:ascii="宋体" w:hAnsi="宋体" w:cs="宋体"/>
                <w:color w:val="auto"/>
                <w:sz w:val="24"/>
              </w:rPr>
              <w:t>★</w:t>
            </w:r>
            <w:r>
              <w:rPr>
                <w:rFonts w:hint="eastAsia" w:ascii="宋体" w:hAnsi="宋体" w:cs="宋体"/>
                <w:b/>
                <w:bCs/>
                <w:color w:val="auto"/>
                <w:kern w:val="0"/>
                <w:sz w:val="20"/>
                <w:szCs w:val="20"/>
                <w:lang w:eastAsia="zh-CN"/>
              </w:rPr>
              <w:t>至少提供</w:t>
            </w:r>
            <w:r>
              <w:rPr>
                <w:rFonts w:hint="eastAsia" w:ascii="宋体" w:hAnsi="宋体" w:cs="宋体"/>
                <w:b/>
                <w:bCs/>
                <w:color w:val="auto"/>
                <w:kern w:val="0"/>
                <w:sz w:val="20"/>
                <w:szCs w:val="20"/>
                <w:lang w:val="en-US" w:eastAsia="zh-CN"/>
              </w:rPr>
              <w:t>7个熟悉招标方信号管控系统，并有着丰富实际操作经验的人员驻场服务，驻场时间1年，从本项目合同签订之日算起。驻场期间，参与指挥中心值班，接受指挥中心、秩序、科技等业务部门交代的任务。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vMerge w:val="restart"/>
            <w:shd w:val="clear" w:color="auto" w:fill="auto"/>
            <w:noWrap/>
            <w:vAlign w:val="center"/>
          </w:tcPr>
          <w:p>
            <w:pPr>
              <w:jc w:val="center"/>
              <w:rPr>
                <w:rFonts w:ascii="宋体" w:hAnsi="宋体" w:cs="宋体"/>
                <w:color w:val="auto"/>
                <w:kern w:val="0"/>
                <w:sz w:val="20"/>
                <w:szCs w:val="20"/>
              </w:rPr>
            </w:pPr>
            <w:r>
              <w:rPr>
                <w:rFonts w:ascii="宋体" w:hAnsi="宋体" w:cs="宋体"/>
                <w:color w:val="auto"/>
                <w:kern w:val="0"/>
                <w:sz w:val="20"/>
                <w:szCs w:val="20"/>
              </w:rPr>
              <w:t>3</w:t>
            </w:r>
          </w:p>
        </w:tc>
        <w:tc>
          <w:tcPr>
            <w:tcW w:w="543"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智慧交管协同应用改造</w:t>
            </w:r>
          </w:p>
        </w:tc>
        <w:tc>
          <w:tcPr>
            <w:tcW w:w="1219"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统一认证用户登录</w:t>
            </w:r>
          </w:p>
        </w:tc>
        <w:tc>
          <w:tcPr>
            <w:tcW w:w="2738"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对接上级系统统一认证服务和用户体系，便于上级应用对系统用户的登录进行统一认证管理。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vMerge w:val="continue"/>
            <w:shd w:val="clear" w:color="auto" w:fill="auto"/>
            <w:noWrap/>
            <w:vAlign w:val="center"/>
          </w:tcPr>
          <w:p>
            <w:pPr>
              <w:jc w:val="center"/>
              <w:rPr>
                <w:rFonts w:ascii="宋体" w:hAnsi="宋体" w:cs="宋体"/>
                <w:color w:val="auto"/>
                <w:kern w:val="0"/>
                <w:sz w:val="20"/>
                <w:szCs w:val="20"/>
              </w:rPr>
            </w:pPr>
          </w:p>
        </w:tc>
        <w:tc>
          <w:tcPr>
            <w:tcW w:w="543" w:type="pct"/>
            <w:vMerge w:val="continue"/>
            <w:vAlign w:val="center"/>
          </w:tcPr>
          <w:p>
            <w:pPr>
              <w:widowControl/>
              <w:jc w:val="left"/>
              <w:rPr>
                <w:rFonts w:ascii="宋体" w:hAnsi="宋体" w:cs="宋体"/>
                <w:color w:val="auto"/>
                <w:kern w:val="0"/>
                <w:sz w:val="20"/>
                <w:szCs w:val="20"/>
              </w:rPr>
            </w:pPr>
          </w:p>
        </w:tc>
        <w:tc>
          <w:tcPr>
            <w:tcW w:w="1219"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统一UI风格改造</w:t>
            </w:r>
          </w:p>
        </w:tc>
        <w:tc>
          <w:tcPr>
            <w:tcW w:w="2738"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基于台州交管信息化建设的软件页面风格标准，调整现有模块的配色、按钮位置等页面风格。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vMerge w:val="continue"/>
            <w:shd w:val="clear" w:color="auto" w:fill="auto"/>
            <w:noWrap/>
            <w:vAlign w:val="center"/>
          </w:tcPr>
          <w:p>
            <w:pPr>
              <w:jc w:val="center"/>
              <w:rPr>
                <w:rFonts w:ascii="宋体" w:hAnsi="宋体" w:cs="宋体"/>
                <w:color w:val="auto"/>
                <w:kern w:val="0"/>
                <w:sz w:val="20"/>
                <w:szCs w:val="20"/>
              </w:rPr>
            </w:pPr>
          </w:p>
        </w:tc>
        <w:tc>
          <w:tcPr>
            <w:tcW w:w="543" w:type="pct"/>
            <w:vMerge w:val="continue"/>
            <w:vAlign w:val="center"/>
          </w:tcPr>
          <w:p>
            <w:pPr>
              <w:widowControl/>
              <w:jc w:val="left"/>
              <w:rPr>
                <w:rFonts w:ascii="宋体" w:hAnsi="宋体" w:cs="宋体"/>
                <w:color w:val="auto"/>
                <w:kern w:val="0"/>
                <w:sz w:val="20"/>
                <w:szCs w:val="20"/>
              </w:rPr>
            </w:pPr>
          </w:p>
        </w:tc>
        <w:tc>
          <w:tcPr>
            <w:tcW w:w="1219"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功能嵌入其它平台</w:t>
            </w:r>
          </w:p>
        </w:tc>
        <w:tc>
          <w:tcPr>
            <w:tcW w:w="2738"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平台整体或部分功能作为一个子模块或功能整合至上级平台，支撑上级平台的协同应用。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vMerge w:val="continue"/>
            <w:shd w:val="clear" w:color="auto" w:fill="auto"/>
            <w:noWrap/>
            <w:vAlign w:val="center"/>
          </w:tcPr>
          <w:p>
            <w:pPr>
              <w:widowControl/>
              <w:jc w:val="center"/>
              <w:rPr>
                <w:rFonts w:ascii="宋体" w:hAnsi="宋体" w:cs="宋体"/>
                <w:color w:val="auto"/>
                <w:kern w:val="0"/>
                <w:sz w:val="20"/>
                <w:szCs w:val="20"/>
              </w:rPr>
            </w:pPr>
          </w:p>
        </w:tc>
        <w:tc>
          <w:tcPr>
            <w:tcW w:w="543" w:type="pct"/>
            <w:vMerge w:val="continue"/>
            <w:vAlign w:val="center"/>
          </w:tcPr>
          <w:p>
            <w:pPr>
              <w:widowControl/>
              <w:jc w:val="left"/>
              <w:rPr>
                <w:rFonts w:ascii="宋体" w:hAnsi="宋体" w:cs="宋体"/>
                <w:color w:val="auto"/>
                <w:kern w:val="0"/>
                <w:sz w:val="20"/>
                <w:szCs w:val="20"/>
              </w:rPr>
            </w:pPr>
          </w:p>
        </w:tc>
        <w:tc>
          <w:tcPr>
            <w:tcW w:w="1219"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信创国产化改造</w:t>
            </w:r>
          </w:p>
        </w:tc>
        <w:tc>
          <w:tcPr>
            <w:tcW w:w="2738"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前、后端软件代码、软件配置等改造，适配国产化操作系统、数据库、中间件等基础软件。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shd w:val="clear" w:color="auto" w:fill="auto"/>
            <w:noWrap/>
            <w:vAlign w:val="center"/>
          </w:tcPr>
          <w:p>
            <w:pPr>
              <w:widowControl/>
              <w:jc w:val="center"/>
              <w:rPr>
                <w:rFonts w:ascii="宋体" w:hAnsi="宋体" w:cs="宋体"/>
                <w:color w:val="auto"/>
                <w:kern w:val="0"/>
                <w:sz w:val="20"/>
                <w:szCs w:val="20"/>
              </w:rPr>
            </w:pPr>
            <w:r>
              <w:rPr>
                <w:rFonts w:cs="宋体" w:asciiTheme="minorEastAsia" w:hAnsiTheme="minorEastAsia" w:eastAsiaTheme="minorEastAsia"/>
                <w:color w:val="auto"/>
                <w:kern w:val="0"/>
                <w:sz w:val="20"/>
                <w:szCs w:val="20"/>
              </w:rPr>
              <w:t>4</w:t>
            </w:r>
          </w:p>
        </w:tc>
        <w:tc>
          <w:tcPr>
            <w:tcW w:w="1763" w:type="pct"/>
            <w:gridSpan w:val="2"/>
            <w:vAlign w:val="center"/>
          </w:tcPr>
          <w:p>
            <w:pPr>
              <w:widowControl/>
              <w:jc w:val="center"/>
              <w:rPr>
                <w:rFonts w:ascii="宋体" w:hAnsi="宋体" w:cs="宋体"/>
                <w:color w:val="auto"/>
                <w:kern w:val="0"/>
                <w:sz w:val="20"/>
                <w:szCs w:val="20"/>
              </w:rPr>
            </w:pPr>
            <w:r>
              <w:rPr>
                <w:rFonts w:hint="eastAsia" w:cs="宋体" w:asciiTheme="minorEastAsia" w:hAnsiTheme="minorEastAsia" w:eastAsiaTheme="minorEastAsia"/>
                <w:color w:val="auto"/>
                <w:kern w:val="0"/>
                <w:sz w:val="20"/>
                <w:szCs w:val="20"/>
              </w:rPr>
              <w:t>统一资源</w:t>
            </w:r>
          </w:p>
        </w:tc>
        <w:tc>
          <w:tcPr>
            <w:tcW w:w="2738" w:type="pct"/>
            <w:shd w:val="clear" w:color="auto" w:fill="auto"/>
            <w:vAlign w:val="center"/>
          </w:tcPr>
          <w:p>
            <w:pPr>
              <w:widowControl/>
              <w:jc w:val="left"/>
              <w:rPr>
                <w:rFonts w:ascii="宋体" w:hAnsi="宋体" w:cs="宋体"/>
                <w:color w:val="auto"/>
                <w:kern w:val="0"/>
                <w:sz w:val="20"/>
                <w:szCs w:val="20"/>
              </w:rPr>
            </w:pPr>
            <w:r>
              <w:rPr>
                <w:rFonts w:hint="eastAsia" w:ascii="宋体" w:hAnsi="宋体"/>
                <w:color w:val="auto"/>
              </w:rPr>
              <w:t>模块需要复用资源中心提供的关系型数据库及分布式数据库，统一使用资源中心提供的大数据能力。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shd w:val="clear" w:color="auto" w:fill="auto"/>
            <w:noWrap/>
            <w:vAlign w:val="center"/>
          </w:tcPr>
          <w:p>
            <w:pPr>
              <w:widowControl/>
              <w:jc w:val="center"/>
              <w:rPr>
                <w:rFonts w:hint="eastAsia" w:cs="宋体" w:asciiTheme="minorEastAsia" w:hAnsiTheme="minorEastAsia" w:eastAsiaTheme="minorEastAsia"/>
                <w:color w:val="auto"/>
                <w:kern w:val="0"/>
                <w:sz w:val="20"/>
                <w:szCs w:val="20"/>
                <w:lang w:val="en-US" w:eastAsia="zh-CN"/>
              </w:rPr>
            </w:pPr>
            <w:r>
              <w:rPr>
                <w:rFonts w:hint="eastAsia" w:cs="宋体" w:asciiTheme="minorEastAsia" w:hAnsiTheme="minorEastAsia" w:eastAsiaTheme="minorEastAsia"/>
                <w:color w:val="auto"/>
                <w:kern w:val="0"/>
                <w:sz w:val="20"/>
                <w:szCs w:val="20"/>
                <w:lang w:val="en-US" w:eastAsia="zh-CN"/>
              </w:rPr>
              <w:t>5</w:t>
            </w:r>
          </w:p>
        </w:tc>
        <w:tc>
          <w:tcPr>
            <w:tcW w:w="1763" w:type="pct"/>
            <w:gridSpan w:val="2"/>
            <w:vAlign w:val="center"/>
          </w:tcPr>
          <w:p>
            <w:pPr>
              <w:widowControl/>
              <w:jc w:val="center"/>
              <w:rPr>
                <w:rFonts w:hint="eastAsia" w:cs="宋体" w:asciiTheme="minorEastAsia" w:hAnsiTheme="minorEastAsia" w:eastAsiaTheme="minorEastAsia"/>
                <w:color w:val="auto"/>
                <w:kern w:val="0"/>
                <w:sz w:val="20"/>
                <w:szCs w:val="20"/>
              </w:rPr>
            </w:pPr>
            <w:r>
              <w:rPr>
                <w:rFonts w:hint="eastAsia" w:ascii="宋体" w:hAnsi="宋体" w:cs="宋体"/>
                <w:color w:val="auto"/>
                <w:kern w:val="0"/>
                <w:sz w:val="20"/>
                <w:szCs w:val="20"/>
              </w:rPr>
              <w:t>干线绿波调优</w:t>
            </w:r>
          </w:p>
        </w:tc>
        <w:tc>
          <w:tcPr>
            <w:tcW w:w="2738" w:type="pct"/>
            <w:shd w:val="clear" w:color="auto" w:fill="auto"/>
            <w:vAlign w:val="center"/>
          </w:tcPr>
          <w:p>
            <w:pPr>
              <w:widowControl/>
              <w:jc w:val="left"/>
              <w:rPr>
                <w:rFonts w:hint="eastAsia" w:ascii="宋体" w:hAnsi="宋体"/>
                <w:color w:val="auto"/>
              </w:rPr>
            </w:pPr>
            <w:r>
              <w:rPr>
                <w:rFonts w:hint="eastAsia" w:ascii="宋体" w:hAnsi="宋体" w:cs="宋体"/>
                <w:color w:val="auto"/>
                <w:kern w:val="0"/>
                <w:sz w:val="20"/>
                <w:szCs w:val="20"/>
              </w:rPr>
              <w:t>结合道路条件、路口间距、流向流量、限速、历史数据，节假日，天气等因素优化绿波路线、绿波时段，协调方案并通过实地测试、过车数据统计、视频追踪等方式评估绿波效果。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干线监控</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干线一张图监控</w:t>
            </w:r>
          </w:p>
        </w:tc>
        <w:tc>
          <w:tcPr>
            <w:tcW w:w="2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地图可视化监控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干线详情监控</w:t>
            </w:r>
          </w:p>
        </w:tc>
        <w:tc>
          <w:tcPr>
            <w:tcW w:w="2738" w:type="pct"/>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干线基础信息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2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日计划运行方案展示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2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通行状态时变特征图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2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动态协调日志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干线高峰预警</w:t>
            </w:r>
          </w:p>
        </w:tc>
        <w:tc>
          <w:tcPr>
            <w:tcW w:w="2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干线高峰期预警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干线管理</w:t>
            </w:r>
          </w:p>
        </w:tc>
        <w:tc>
          <w:tcPr>
            <w:tcW w:w="1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干线详情管理</w:t>
            </w:r>
          </w:p>
        </w:tc>
        <w:tc>
          <w:tcPr>
            <w:tcW w:w="2738" w:type="pct"/>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干线基础信息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2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干线调度计划概览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2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协调路口详情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5.10</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干线配置管理</w:t>
            </w:r>
          </w:p>
        </w:tc>
        <w:tc>
          <w:tcPr>
            <w:tcW w:w="2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新建管控干线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5.11</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2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新建简易干线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5.12</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2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管控干线基础信息配置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5.13</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2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简易干线基础信息配置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5.14</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干线方案管理</w:t>
            </w:r>
          </w:p>
        </w:tc>
        <w:tc>
          <w:tcPr>
            <w:tcW w:w="2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方案列表管理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5.15</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2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日计划时段编辑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5.16</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2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日计划时段优化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5.17</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2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干线动态协调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5.18</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2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一般日计划管理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5.19</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2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恶劣天气场景管理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5.20</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2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特殊日计划管理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5.21</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2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协调方案详情展示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5.22</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2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协调方案手动优化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5.23</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2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协调方案自动优化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5.24</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2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方案下发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5.25</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color w:val="auto"/>
              </w:rPr>
              <w:t>★</w:t>
            </w:r>
            <w:r>
              <w:rPr>
                <w:rFonts w:hint="eastAsia" w:ascii="宋体" w:hAnsi="宋体" w:eastAsia="宋体" w:cs="宋体"/>
                <w:i w:val="0"/>
                <w:iCs w:val="0"/>
                <w:color w:val="auto"/>
                <w:kern w:val="0"/>
                <w:sz w:val="20"/>
                <w:szCs w:val="20"/>
                <w:u w:val="none"/>
                <w:lang w:val="en-US" w:eastAsia="zh-CN" w:bidi="ar"/>
              </w:rPr>
              <w:t>效果评价</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路网指数</w:t>
            </w:r>
          </w:p>
        </w:tc>
        <w:tc>
          <w:tcPr>
            <w:tcW w:w="2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全路网指数日历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5.26</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干线通行状态</w:t>
            </w:r>
          </w:p>
        </w:tc>
        <w:tc>
          <w:tcPr>
            <w:tcW w:w="2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路口时变趋势分析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5.27</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2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路口间对比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5.28</w:t>
            </w:r>
          </w:p>
        </w:tc>
        <w:tc>
          <w:tcPr>
            <w:tcW w:w="543"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19"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2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路口正反向对比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5.29</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2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路口优化前后对比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5.30</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干线控制效益</w:t>
            </w:r>
          </w:p>
        </w:tc>
        <w:tc>
          <w:tcPr>
            <w:tcW w:w="2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低平峰对比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5.31</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2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高峰期对比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5.32</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系统配置</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数据源配置</w:t>
            </w:r>
          </w:p>
        </w:tc>
        <w:tc>
          <w:tcPr>
            <w:tcW w:w="2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数据源动态配置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5.33</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计划应用配置</w:t>
            </w:r>
          </w:p>
        </w:tc>
        <w:tc>
          <w:tcPr>
            <w:tcW w:w="2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应用场景动态配置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5.34</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特殊场景配置</w:t>
            </w:r>
          </w:p>
        </w:tc>
        <w:tc>
          <w:tcPr>
            <w:tcW w:w="2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恶劣天气场景动态配置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5.35</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color w:val="auto"/>
              </w:rPr>
              <w:t>★</w:t>
            </w:r>
            <w:r>
              <w:rPr>
                <w:rFonts w:hint="eastAsia" w:ascii="宋体" w:hAnsi="宋体" w:eastAsia="宋体" w:cs="宋体"/>
                <w:i w:val="0"/>
                <w:iCs w:val="0"/>
                <w:color w:val="auto"/>
                <w:kern w:val="0"/>
                <w:sz w:val="20"/>
                <w:szCs w:val="20"/>
                <w:u w:val="none"/>
                <w:lang w:val="en-US" w:eastAsia="zh-CN" w:bidi="ar"/>
              </w:rPr>
              <w:t>算法服务</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指标提取算法</w:t>
            </w:r>
          </w:p>
        </w:tc>
        <w:tc>
          <w:tcPr>
            <w:tcW w:w="2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路段运行指标提取算法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5.36</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方案优化算法</w:t>
            </w:r>
          </w:p>
        </w:tc>
        <w:tc>
          <w:tcPr>
            <w:tcW w:w="2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协调方案自动优化算法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5.37</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动态协调算法</w:t>
            </w:r>
          </w:p>
        </w:tc>
        <w:tc>
          <w:tcPr>
            <w:tcW w:w="2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实时方案动态协调算法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5.38</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方案生成算法</w:t>
            </w:r>
          </w:p>
        </w:tc>
        <w:tc>
          <w:tcPr>
            <w:tcW w:w="2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干线方案自动生成算法</w:t>
            </w:r>
          </w:p>
        </w:tc>
      </w:tr>
    </w:tbl>
    <w:p>
      <w:pPr>
        <w:widowControl/>
        <w:autoSpaceDE w:val="0"/>
        <w:autoSpaceDN w:val="0"/>
        <w:adjustRightInd w:val="0"/>
        <w:spacing w:line="360" w:lineRule="auto"/>
        <w:ind w:firstLine="420" w:firstLineChars="0"/>
        <w:jc w:val="left"/>
        <w:rPr>
          <w:rFonts w:hint="eastAsia"/>
          <w:b/>
          <w:color w:val="auto"/>
          <w:kern w:val="0"/>
          <w:sz w:val="24"/>
          <w:szCs w:val="28"/>
        </w:rPr>
      </w:pPr>
      <w:r>
        <w:rPr>
          <w:rFonts w:hint="eastAsia" w:ascii="宋体" w:hAnsi="宋体"/>
          <w:b/>
          <w:color w:val="auto"/>
          <w:kern w:val="0"/>
          <w:sz w:val="24"/>
          <w:szCs w:val="28"/>
        </w:rPr>
        <w:t>▲本模块需</w:t>
      </w:r>
      <w:r>
        <w:rPr>
          <w:rFonts w:hint="eastAsia"/>
          <w:b/>
          <w:color w:val="auto"/>
          <w:kern w:val="0"/>
          <w:sz w:val="24"/>
          <w:szCs w:val="28"/>
        </w:rPr>
        <w:t>支持对现有地图数据的处理和融合，支持与现网信号控制系统</w:t>
      </w:r>
      <w:r>
        <w:rPr>
          <w:rFonts w:hint="eastAsia"/>
          <w:b/>
          <w:color w:val="auto"/>
          <w:kern w:val="0"/>
          <w:sz w:val="24"/>
          <w:szCs w:val="28"/>
          <w:lang w:val="en-US" w:eastAsia="zh-CN"/>
        </w:rPr>
        <w:t>有效</w:t>
      </w:r>
      <w:r>
        <w:rPr>
          <w:rFonts w:hint="eastAsia"/>
          <w:b/>
          <w:color w:val="auto"/>
          <w:kern w:val="0"/>
          <w:sz w:val="24"/>
          <w:szCs w:val="28"/>
        </w:rPr>
        <w:t>对接，并提供承诺函。</w:t>
      </w:r>
    </w:p>
    <w:p>
      <w:pPr>
        <w:pStyle w:val="56"/>
        <w:rPr>
          <w:color w:val="auto"/>
        </w:rPr>
      </w:pPr>
    </w:p>
    <w:p>
      <w:pPr>
        <w:pStyle w:val="6"/>
        <w:rPr>
          <w:color w:val="auto"/>
        </w:rPr>
      </w:pPr>
      <w:r>
        <w:rPr>
          <w:rFonts w:hint="eastAsia"/>
          <w:color w:val="auto"/>
        </w:rPr>
        <w:t>事故可视化模块</w:t>
      </w:r>
    </w:p>
    <w:tbl>
      <w:tblPr>
        <w:tblStyle w:val="22"/>
        <w:tblW w:w="4991" w:type="pct"/>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1221"/>
        <w:gridCol w:w="1284"/>
        <w:gridCol w:w="5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序号</w:t>
            </w:r>
          </w:p>
        </w:tc>
        <w:tc>
          <w:tcPr>
            <w:tcW w:w="717" w:type="pct"/>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功能模块</w:t>
            </w:r>
          </w:p>
        </w:tc>
        <w:tc>
          <w:tcPr>
            <w:tcW w:w="754" w:type="pct"/>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子模块</w:t>
            </w:r>
          </w:p>
        </w:tc>
        <w:tc>
          <w:tcPr>
            <w:tcW w:w="3030" w:type="pct"/>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w:t>
            </w:r>
          </w:p>
        </w:tc>
        <w:tc>
          <w:tcPr>
            <w:tcW w:w="717"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功能设计开发</w:t>
            </w:r>
          </w:p>
        </w:tc>
        <w:tc>
          <w:tcPr>
            <w:tcW w:w="754"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首页设计</w:t>
            </w:r>
          </w:p>
        </w:tc>
        <w:tc>
          <w:tcPr>
            <w:tcW w:w="303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事故概览：要求展示本月、本周、本年度的事故数据、死亡人数，同比环比等指标，以及月度趋势，并且可以自定义选择事故类型进行展示，自由组合条件进行查询分析。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vMerge w:val="continue"/>
            <w:shd w:val="clear" w:color="auto" w:fill="auto"/>
            <w:vAlign w:val="center"/>
          </w:tcPr>
          <w:p>
            <w:pPr>
              <w:widowControl/>
              <w:jc w:val="left"/>
              <w:rPr>
                <w:rFonts w:ascii="宋体" w:hAnsi="宋体" w:cs="宋体"/>
                <w:color w:val="auto"/>
                <w:kern w:val="0"/>
                <w:sz w:val="20"/>
                <w:szCs w:val="20"/>
              </w:rPr>
            </w:pPr>
          </w:p>
        </w:tc>
        <w:tc>
          <w:tcPr>
            <w:tcW w:w="717" w:type="pct"/>
            <w:vMerge w:val="continue"/>
            <w:shd w:val="clear" w:color="auto" w:fill="auto"/>
            <w:vAlign w:val="center"/>
          </w:tcPr>
          <w:p>
            <w:pPr>
              <w:widowControl/>
              <w:jc w:val="left"/>
              <w:rPr>
                <w:rFonts w:ascii="宋体" w:hAnsi="宋体" w:cs="宋体"/>
                <w:color w:val="auto"/>
                <w:kern w:val="0"/>
                <w:sz w:val="20"/>
                <w:szCs w:val="20"/>
              </w:rPr>
            </w:pPr>
          </w:p>
        </w:tc>
        <w:tc>
          <w:tcPr>
            <w:tcW w:w="754" w:type="pct"/>
            <w:vMerge w:val="continue"/>
            <w:shd w:val="clear" w:color="auto" w:fill="auto"/>
            <w:vAlign w:val="center"/>
          </w:tcPr>
          <w:p>
            <w:pPr>
              <w:widowControl/>
              <w:jc w:val="left"/>
              <w:rPr>
                <w:rFonts w:ascii="宋体" w:hAnsi="宋体" w:cs="宋体"/>
                <w:color w:val="auto"/>
                <w:kern w:val="0"/>
                <w:sz w:val="20"/>
                <w:szCs w:val="20"/>
              </w:rPr>
            </w:pPr>
          </w:p>
        </w:tc>
        <w:tc>
          <w:tcPr>
            <w:tcW w:w="303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事故多发道路：要求按照分类的道路（县道、省道、国道、路口）事故总数进行排名；按照所有的道路的事故数进行排名。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vMerge w:val="continue"/>
            <w:shd w:val="clear" w:color="auto" w:fill="auto"/>
            <w:vAlign w:val="center"/>
          </w:tcPr>
          <w:p>
            <w:pPr>
              <w:widowControl/>
              <w:jc w:val="left"/>
              <w:rPr>
                <w:rFonts w:ascii="宋体" w:hAnsi="宋体" w:cs="宋体"/>
                <w:color w:val="auto"/>
                <w:kern w:val="0"/>
                <w:sz w:val="20"/>
                <w:szCs w:val="20"/>
              </w:rPr>
            </w:pPr>
          </w:p>
        </w:tc>
        <w:tc>
          <w:tcPr>
            <w:tcW w:w="717" w:type="pct"/>
            <w:vMerge w:val="continue"/>
            <w:shd w:val="clear" w:color="auto" w:fill="auto"/>
            <w:vAlign w:val="center"/>
          </w:tcPr>
          <w:p>
            <w:pPr>
              <w:widowControl/>
              <w:jc w:val="left"/>
              <w:rPr>
                <w:rFonts w:ascii="宋体" w:hAnsi="宋体" w:cs="宋体"/>
                <w:color w:val="auto"/>
                <w:kern w:val="0"/>
                <w:sz w:val="20"/>
                <w:szCs w:val="20"/>
              </w:rPr>
            </w:pPr>
          </w:p>
        </w:tc>
        <w:tc>
          <w:tcPr>
            <w:tcW w:w="754" w:type="pct"/>
            <w:vMerge w:val="continue"/>
            <w:shd w:val="clear" w:color="auto" w:fill="auto"/>
            <w:vAlign w:val="center"/>
          </w:tcPr>
          <w:p>
            <w:pPr>
              <w:widowControl/>
              <w:jc w:val="left"/>
              <w:rPr>
                <w:rFonts w:ascii="宋体" w:hAnsi="宋体" w:cs="宋体"/>
                <w:color w:val="auto"/>
                <w:kern w:val="0"/>
                <w:sz w:val="20"/>
                <w:szCs w:val="20"/>
              </w:rPr>
            </w:pPr>
          </w:p>
        </w:tc>
        <w:tc>
          <w:tcPr>
            <w:tcW w:w="303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本月车辆类型分析要求展示小型普通客车、小型货车、大中型货车、两三轮摩托车、大中型客车的事故数、万车死亡率、万车事故率，并且可以选择（所有事故、亡人事故、伤人事故、财损事故）进行展示，并且可以跳转查看详情，自由组合条件进行查询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vMerge w:val="continue"/>
            <w:shd w:val="clear" w:color="auto" w:fill="auto"/>
            <w:vAlign w:val="center"/>
          </w:tcPr>
          <w:p>
            <w:pPr>
              <w:widowControl/>
              <w:jc w:val="left"/>
              <w:rPr>
                <w:rFonts w:ascii="宋体" w:hAnsi="宋体" w:cs="宋体"/>
                <w:color w:val="auto"/>
                <w:kern w:val="0"/>
                <w:sz w:val="20"/>
                <w:szCs w:val="20"/>
              </w:rPr>
            </w:pPr>
          </w:p>
        </w:tc>
        <w:tc>
          <w:tcPr>
            <w:tcW w:w="717" w:type="pct"/>
            <w:vMerge w:val="continue"/>
            <w:shd w:val="clear" w:color="auto" w:fill="auto"/>
            <w:vAlign w:val="center"/>
          </w:tcPr>
          <w:p>
            <w:pPr>
              <w:widowControl/>
              <w:jc w:val="left"/>
              <w:rPr>
                <w:rFonts w:ascii="宋体" w:hAnsi="宋体" w:cs="宋体"/>
                <w:color w:val="auto"/>
                <w:kern w:val="0"/>
                <w:sz w:val="20"/>
                <w:szCs w:val="20"/>
              </w:rPr>
            </w:pPr>
          </w:p>
        </w:tc>
        <w:tc>
          <w:tcPr>
            <w:tcW w:w="754" w:type="pct"/>
            <w:vMerge w:val="continue"/>
            <w:shd w:val="clear" w:color="auto" w:fill="auto"/>
            <w:vAlign w:val="center"/>
          </w:tcPr>
          <w:p>
            <w:pPr>
              <w:widowControl/>
              <w:jc w:val="left"/>
              <w:rPr>
                <w:rFonts w:ascii="宋体" w:hAnsi="宋体" w:cs="宋体"/>
                <w:color w:val="auto"/>
                <w:kern w:val="0"/>
                <w:sz w:val="20"/>
                <w:szCs w:val="20"/>
              </w:rPr>
            </w:pPr>
          </w:p>
        </w:tc>
        <w:tc>
          <w:tcPr>
            <w:tcW w:w="303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本月24小时变化趋势：要求以2小时分段，分别展示本月每天的每2小时段，发生的所有事故、亡人事故、伤人事故、财损事故的情况，并且可以跳转查看详情，自由组合条件进行查询分析。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vMerge w:val="continue"/>
            <w:shd w:val="clear" w:color="auto" w:fill="auto"/>
            <w:vAlign w:val="center"/>
          </w:tcPr>
          <w:p>
            <w:pPr>
              <w:widowControl/>
              <w:jc w:val="left"/>
              <w:rPr>
                <w:rFonts w:ascii="宋体" w:hAnsi="宋体" w:cs="宋体"/>
                <w:color w:val="auto"/>
                <w:kern w:val="0"/>
                <w:sz w:val="20"/>
                <w:szCs w:val="20"/>
              </w:rPr>
            </w:pPr>
          </w:p>
        </w:tc>
        <w:tc>
          <w:tcPr>
            <w:tcW w:w="717" w:type="pct"/>
            <w:vMerge w:val="continue"/>
            <w:shd w:val="clear" w:color="auto" w:fill="auto"/>
            <w:vAlign w:val="center"/>
          </w:tcPr>
          <w:p>
            <w:pPr>
              <w:widowControl/>
              <w:jc w:val="left"/>
              <w:rPr>
                <w:rFonts w:ascii="宋体" w:hAnsi="宋体" w:cs="宋体"/>
                <w:color w:val="auto"/>
                <w:kern w:val="0"/>
                <w:sz w:val="20"/>
                <w:szCs w:val="20"/>
              </w:rPr>
            </w:pPr>
          </w:p>
        </w:tc>
        <w:tc>
          <w:tcPr>
            <w:tcW w:w="754" w:type="pct"/>
            <w:vMerge w:val="continue"/>
            <w:shd w:val="clear" w:color="auto" w:fill="auto"/>
            <w:vAlign w:val="center"/>
          </w:tcPr>
          <w:p>
            <w:pPr>
              <w:widowControl/>
              <w:jc w:val="left"/>
              <w:rPr>
                <w:rFonts w:ascii="宋体" w:hAnsi="宋体" w:cs="宋体"/>
                <w:color w:val="auto"/>
                <w:kern w:val="0"/>
                <w:sz w:val="20"/>
                <w:szCs w:val="20"/>
              </w:rPr>
            </w:pPr>
          </w:p>
        </w:tc>
        <w:tc>
          <w:tcPr>
            <w:tcW w:w="303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地图展示:要求各大队区域事故数量可在地图上展示，用万车事故率或者万车死亡率标记区域颜色，用来区分事故预警等级。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vMerge w:val="continue"/>
            <w:shd w:val="clear" w:color="auto" w:fill="auto"/>
            <w:vAlign w:val="center"/>
          </w:tcPr>
          <w:p>
            <w:pPr>
              <w:widowControl/>
              <w:jc w:val="left"/>
              <w:rPr>
                <w:rFonts w:ascii="宋体" w:hAnsi="宋体" w:cs="宋体"/>
                <w:color w:val="auto"/>
                <w:kern w:val="0"/>
                <w:sz w:val="20"/>
                <w:szCs w:val="20"/>
              </w:rPr>
            </w:pPr>
          </w:p>
        </w:tc>
        <w:tc>
          <w:tcPr>
            <w:tcW w:w="717" w:type="pct"/>
            <w:vMerge w:val="continue"/>
            <w:shd w:val="clear" w:color="auto" w:fill="auto"/>
            <w:vAlign w:val="center"/>
          </w:tcPr>
          <w:p>
            <w:pPr>
              <w:widowControl/>
              <w:jc w:val="left"/>
              <w:rPr>
                <w:rFonts w:ascii="宋体" w:hAnsi="宋体" w:cs="宋体"/>
                <w:color w:val="auto"/>
                <w:kern w:val="0"/>
                <w:sz w:val="20"/>
                <w:szCs w:val="20"/>
              </w:rPr>
            </w:pPr>
          </w:p>
        </w:tc>
        <w:tc>
          <w:tcPr>
            <w:tcW w:w="754" w:type="pct"/>
            <w:vMerge w:val="continue"/>
            <w:shd w:val="clear" w:color="auto" w:fill="auto"/>
            <w:vAlign w:val="center"/>
          </w:tcPr>
          <w:p>
            <w:pPr>
              <w:widowControl/>
              <w:jc w:val="left"/>
              <w:rPr>
                <w:rFonts w:ascii="宋体" w:hAnsi="宋体" w:cs="宋体"/>
                <w:color w:val="auto"/>
                <w:kern w:val="0"/>
                <w:sz w:val="20"/>
                <w:szCs w:val="20"/>
              </w:rPr>
            </w:pPr>
          </w:p>
        </w:tc>
        <w:tc>
          <w:tcPr>
            <w:tcW w:w="303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风险隐患排名:要求以单位维度展示各大队万车事故率、事故数、受伤人数、死亡人数等，并且可以根据某一项进行排序展示，同时展示事故高发的时间段、年龄段、交通方式、违法行为的情况，并且支持跳转查看详情，自由组合条件进行查询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vMerge w:val="continue"/>
            <w:shd w:val="clear" w:color="auto" w:fill="auto"/>
            <w:vAlign w:val="center"/>
          </w:tcPr>
          <w:p>
            <w:pPr>
              <w:widowControl/>
              <w:jc w:val="left"/>
              <w:rPr>
                <w:rFonts w:ascii="宋体" w:hAnsi="宋体" w:cs="宋体"/>
                <w:color w:val="auto"/>
                <w:kern w:val="0"/>
                <w:sz w:val="20"/>
                <w:szCs w:val="20"/>
              </w:rPr>
            </w:pPr>
          </w:p>
        </w:tc>
        <w:tc>
          <w:tcPr>
            <w:tcW w:w="717" w:type="pct"/>
            <w:vMerge w:val="continue"/>
            <w:shd w:val="clear" w:color="auto" w:fill="auto"/>
            <w:vAlign w:val="center"/>
          </w:tcPr>
          <w:p>
            <w:pPr>
              <w:widowControl/>
              <w:jc w:val="left"/>
              <w:rPr>
                <w:rFonts w:ascii="宋体" w:hAnsi="宋体" w:cs="宋体"/>
                <w:color w:val="auto"/>
                <w:kern w:val="0"/>
                <w:sz w:val="20"/>
                <w:szCs w:val="20"/>
              </w:rPr>
            </w:pPr>
          </w:p>
        </w:tc>
        <w:tc>
          <w:tcPr>
            <w:tcW w:w="754" w:type="pct"/>
            <w:vMerge w:val="continue"/>
            <w:shd w:val="clear" w:color="auto" w:fill="auto"/>
            <w:vAlign w:val="center"/>
          </w:tcPr>
          <w:p>
            <w:pPr>
              <w:widowControl/>
              <w:jc w:val="left"/>
              <w:rPr>
                <w:rFonts w:ascii="宋体" w:hAnsi="宋体" w:cs="宋体"/>
                <w:color w:val="auto"/>
                <w:kern w:val="0"/>
                <w:sz w:val="20"/>
                <w:szCs w:val="20"/>
              </w:rPr>
            </w:pPr>
          </w:p>
        </w:tc>
        <w:tc>
          <w:tcPr>
            <w:tcW w:w="303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预警信息:要求首页新增事故黑点、接处警、事故黑段的预警信息，同时可以根据查询时间进行查询，并且后台可以自定义相关阈值。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vMerge w:val="continue"/>
            <w:shd w:val="clear" w:color="auto" w:fill="auto"/>
            <w:vAlign w:val="center"/>
          </w:tcPr>
          <w:p>
            <w:pPr>
              <w:widowControl/>
              <w:jc w:val="left"/>
              <w:rPr>
                <w:rFonts w:ascii="宋体" w:hAnsi="宋体" w:cs="宋体"/>
                <w:color w:val="auto"/>
                <w:kern w:val="0"/>
                <w:sz w:val="20"/>
                <w:szCs w:val="20"/>
              </w:rPr>
            </w:pPr>
          </w:p>
        </w:tc>
        <w:tc>
          <w:tcPr>
            <w:tcW w:w="717" w:type="pct"/>
            <w:vMerge w:val="continue"/>
            <w:shd w:val="clear" w:color="auto" w:fill="auto"/>
            <w:vAlign w:val="center"/>
          </w:tcPr>
          <w:p>
            <w:pPr>
              <w:widowControl/>
              <w:jc w:val="left"/>
              <w:rPr>
                <w:rFonts w:ascii="宋体" w:hAnsi="宋体" w:cs="宋体"/>
                <w:color w:val="auto"/>
                <w:kern w:val="0"/>
                <w:sz w:val="20"/>
                <w:szCs w:val="20"/>
              </w:rPr>
            </w:pPr>
          </w:p>
        </w:tc>
        <w:tc>
          <w:tcPr>
            <w:tcW w:w="754"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事故审核管理</w:t>
            </w:r>
          </w:p>
        </w:tc>
        <w:tc>
          <w:tcPr>
            <w:tcW w:w="303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事故审核管理:要求支持对分析表的录入、修改、提交、审核的全流程管理，并支持对分析表进行数据导出和打印。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vMerge w:val="continue"/>
            <w:shd w:val="clear" w:color="auto" w:fill="auto"/>
            <w:vAlign w:val="center"/>
          </w:tcPr>
          <w:p>
            <w:pPr>
              <w:widowControl/>
              <w:jc w:val="left"/>
              <w:rPr>
                <w:rFonts w:ascii="宋体" w:hAnsi="宋体" w:cs="宋体"/>
                <w:color w:val="auto"/>
                <w:kern w:val="0"/>
                <w:sz w:val="20"/>
                <w:szCs w:val="20"/>
              </w:rPr>
            </w:pPr>
          </w:p>
        </w:tc>
        <w:tc>
          <w:tcPr>
            <w:tcW w:w="717" w:type="pct"/>
            <w:vMerge w:val="continue"/>
            <w:shd w:val="clear" w:color="auto" w:fill="auto"/>
            <w:vAlign w:val="center"/>
          </w:tcPr>
          <w:p>
            <w:pPr>
              <w:widowControl/>
              <w:jc w:val="left"/>
              <w:rPr>
                <w:rFonts w:ascii="宋体" w:hAnsi="宋体" w:cs="宋体"/>
                <w:color w:val="auto"/>
                <w:kern w:val="0"/>
                <w:sz w:val="20"/>
                <w:szCs w:val="20"/>
              </w:rPr>
            </w:pPr>
          </w:p>
        </w:tc>
        <w:tc>
          <w:tcPr>
            <w:tcW w:w="754"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事故地图管理</w:t>
            </w:r>
          </w:p>
        </w:tc>
        <w:tc>
          <w:tcPr>
            <w:tcW w:w="303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地图更换:要求本次更换事故系统原有PGIS地图，完成与新地图的对接。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vMerge w:val="continue"/>
            <w:shd w:val="clear" w:color="auto" w:fill="auto"/>
            <w:vAlign w:val="center"/>
          </w:tcPr>
          <w:p>
            <w:pPr>
              <w:widowControl/>
              <w:jc w:val="left"/>
              <w:rPr>
                <w:rFonts w:ascii="宋体" w:hAnsi="宋体" w:cs="宋体"/>
                <w:color w:val="auto"/>
                <w:kern w:val="0"/>
                <w:sz w:val="20"/>
                <w:szCs w:val="20"/>
              </w:rPr>
            </w:pPr>
          </w:p>
        </w:tc>
        <w:tc>
          <w:tcPr>
            <w:tcW w:w="717" w:type="pct"/>
            <w:vMerge w:val="continue"/>
            <w:shd w:val="clear" w:color="auto" w:fill="auto"/>
            <w:vAlign w:val="center"/>
          </w:tcPr>
          <w:p>
            <w:pPr>
              <w:widowControl/>
              <w:jc w:val="left"/>
              <w:rPr>
                <w:rFonts w:ascii="宋体" w:hAnsi="宋体" w:cs="宋体"/>
                <w:color w:val="auto"/>
                <w:kern w:val="0"/>
                <w:sz w:val="20"/>
                <w:szCs w:val="20"/>
              </w:rPr>
            </w:pPr>
          </w:p>
        </w:tc>
        <w:tc>
          <w:tcPr>
            <w:tcW w:w="754" w:type="pct"/>
            <w:vMerge w:val="continue"/>
            <w:shd w:val="clear" w:color="auto" w:fill="auto"/>
            <w:vAlign w:val="center"/>
          </w:tcPr>
          <w:p>
            <w:pPr>
              <w:widowControl/>
              <w:jc w:val="left"/>
              <w:rPr>
                <w:rFonts w:ascii="宋体" w:hAnsi="宋体" w:cs="宋体"/>
                <w:color w:val="auto"/>
                <w:kern w:val="0"/>
                <w:sz w:val="20"/>
                <w:szCs w:val="20"/>
              </w:rPr>
            </w:pPr>
          </w:p>
        </w:tc>
        <w:tc>
          <w:tcPr>
            <w:tcW w:w="303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坐标转换:要求利用坐标转换工具将地图坐标系进行转换，将两个地图坐标系达成一致。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vMerge w:val="continue"/>
            <w:shd w:val="clear" w:color="auto" w:fill="auto"/>
            <w:vAlign w:val="center"/>
          </w:tcPr>
          <w:p>
            <w:pPr>
              <w:widowControl/>
              <w:jc w:val="left"/>
              <w:rPr>
                <w:rFonts w:ascii="宋体" w:hAnsi="宋体" w:cs="宋体"/>
                <w:color w:val="auto"/>
                <w:kern w:val="0"/>
                <w:sz w:val="20"/>
                <w:szCs w:val="20"/>
              </w:rPr>
            </w:pPr>
          </w:p>
        </w:tc>
        <w:tc>
          <w:tcPr>
            <w:tcW w:w="717" w:type="pct"/>
            <w:vMerge w:val="continue"/>
            <w:shd w:val="clear" w:color="auto" w:fill="auto"/>
            <w:vAlign w:val="center"/>
          </w:tcPr>
          <w:p>
            <w:pPr>
              <w:widowControl/>
              <w:jc w:val="left"/>
              <w:rPr>
                <w:rFonts w:ascii="宋体" w:hAnsi="宋体" w:cs="宋体"/>
                <w:color w:val="auto"/>
                <w:kern w:val="0"/>
                <w:sz w:val="20"/>
                <w:szCs w:val="20"/>
              </w:rPr>
            </w:pPr>
          </w:p>
        </w:tc>
        <w:tc>
          <w:tcPr>
            <w:tcW w:w="754" w:type="pct"/>
            <w:vMerge w:val="continue"/>
            <w:shd w:val="clear" w:color="auto" w:fill="auto"/>
            <w:vAlign w:val="center"/>
          </w:tcPr>
          <w:p>
            <w:pPr>
              <w:widowControl/>
              <w:jc w:val="left"/>
              <w:rPr>
                <w:rFonts w:ascii="宋体" w:hAnsi="宋体" w:cs="宋体"/>
                <w:color w:val="auto"/>
                <w:kern w:val="0"/>
                <w:sz w:val="20"/>
                <w:szCs w:val="20"/>
              </w:rPr>
            </w:pPr>
          </w:p>
        </w:tc>
        <w:tc>
          <w:tcPr>
            <w:tcW w:w="303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点位标注调整:要求将已标注在原有PGIS地图的事故警惕、事故点位、事故黑点、基础设施等重新标注到新版本地图，可以根据选择条件进行展示。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vMerge w:val="continue"/>
            <w:shd w:val="clear" w:color="auto" w:fill="auto"/>
            <w:vAlign w:val="center"/>
          </w:tcPr>
          <w:p>
            <w:pPr>
              <w:widowControl/>
              <w:jc w:val="left"/>
              <w:rPr>
                <w:rFonts w:ascii="宋体" w:hAnsi="宋体" w:cs="宋体"/>
                <w:color w:val="auto"/>
                <w:kern w:val="0"/>
                <w:sz w:val="20"/>
                <w:szCs w:val="20"/>
              </w:rPr>
            </w:pPr>
          </w:p>
        </w:tc>
        <w:tc>
          <w:tcPr>
            <w:tcW w:w="717" w:type="pct"/>
            <w:vMerge w:val="continue"/>
            <w:shd w:val="clear" w:color="auto" w:fill="auto"/>
            <w:vAlign w:val="center"/>
          </w:tcPr>
          <w:p>
            <w:pPr>
              <w:widowControl/>
              <w:jc w:val="left"/>
              <w:rPr>
                <w:rFonts w:ascii="宋体" w:hAnsi="宋体" w:cs="宋体"/>
                <w:color w:val="auto"/>
                <w:kern w:val="0"/>
                <w:sz w:val="20"/>
                <w:szCs w:val="20"/>
              </w:rPr>
            </w:pPr>
          </w:p>
        </w:tc>
        <w:tc>
          <w:tcPr>
            <w:tcW w:w="754" w:type="pct"/>
            <w:vMerge w:val="continue"/>
            <w:shd w:val="clear" w:color="auto" w:fill="auto"/>
            <w:vAlign w:val="center"/>
          </w:tcPr>
          <w:p>
            <w:pPr>
              <w:widowControl/>
              <w:jc w:val="left"/>
              <w:rPr>
                <w:rFonts w:ascii="宋体" w:hAnsi="宋体" w:cs="宋体"/>
                <w:color w:val="auto"/>
                <w:kern w:val="0"/>
                <w:sz w:val="20"/>
                <w:szCs w:val="20"/>
              </w:rPr>
            </w:pPr>
          </w:p>
        </w:tc>
        <w:tc>
          <w:tcPr>
            <w:tcW w:w="303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功能测试:要求对地图功能进行测试，包括地图缩放、地图平移、地图区域选择、地图基础操作、地图鹰眼等功能。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vMerge w:val="continue"/>
            <w:shd w:val="clear" w:color="auto" w:fill="auto"/>
            <w:vAlign w:val="center"/>
          </w:tcPr>
          <w:p>
            <w:pPr>
              <w:widowControl/>
              <w:jc w:val="left"/>
              <w:rPr>
                <w:rFonts w:ascii="宋体" w:hAnsi="宋体" w:cs="宋体"/>
                <w:color w:val="auto"/>
                <w:kern w:val="0"/>
                <w:sz w:val="20"/>
                <w:szCs w:val="20"/>
              </w:rPr>
            </w:pPr>
          </w:p>
        </w:tc>
        <w:tc>
          <w:tcPr>
            <w:tcW w:w="717" w:type="pct"/>
            <w:vMerge w:val="continue"/>
            <w:shd w:val="clear" w:color="auto" w:fill="auto"/>
            <w:vAlign w:val="center"/>
          </w:tcPr>
          <w:p>
            <w:pPr>
              <w:widowControl/>
              <w:jc w:val="left"/>
              <w:rPr>
                <w:rFonts w:ascii="宋体" w:hAnsi="宋体" w:cs="宋体"/>
                <w:color w:val="auto"/>
                <w:kern w:val="0"/>
                <w:sz w:val="20"/>
                <w:szCs w:val="20"/>
              </w:rPr>
            </w:pPr>
          </w:p>
        </w:tc>
        <w:tc>
          <w:tcPr>
            <w:tcW w:w="754" w:type="pct"/>
            <w:vMerge w:val="continue"/>
            <w:shd w:val="clear" w:color="auto" w:fill="auto"/>
            <w:vAlign w:val="center"/>
          </w:tcPr>
          <w:p>
            <w:pPr>
              <w:widowControl/>
              <w:jc w:val="left"/>
              <w:rPr>
                <w:rFonts w:ascii="宋体" w:hAnsi="宋体" w:cs="宋体"/>
                <w:color w:val="auto"/>
                <w:kern w:val="0"/>
                <w:sz w:val="20"/>
                <w:szCs w:val="20"/>
              </w:rPr>
            </w:pPr>
          </w:p>
        </w:tc>
        <w:tc>
          <w:tcPr>
            <w:tcW w:w="303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事故地图管理:要求在事故展示的地图中，能进行死亡事故信息的查看，能对地图图标和列表展示进行信息管理。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vMerge w:val="continue"/>
            <w:shd w:val="clear" w:color="auto" w:fill="auto"/>
            <w:vAlign w:val="center"/>
          </w:tcPr>
          <w:p>
            <w:pPr>
              <w:widowControl/>
              <w:jc w:val="left"/>
              <w:rPr>
                <w:rFonts w:ascii="宋体" w:hAnsi="宋体" w:cs="宋体"/>
                <w:color w:val="auto"/>
                <w:kern w:val="0"/>
                <w:sz w:val="20"/>
                <w:szCs w:val="20"/>
              </w:rPr>
            </w:pPr>
          </w:p>
        </w:tc>
        <w:tc>
          <w:tcPr>
            <w:tcW w:w="717" w:type="pct"/>
            <w:vMerge w:val="continue"/>
            <w:shd w:val="clear" w:color="auto" w:fill="auto"/>
            <w:vAlign w:val="center"/>
          </w:tcPr>
          <w:p>
            <w:pPr>
              <w:widowControl/>
              <w:jc w:val="left"/>
              <w:rPr>
                <w:rFonts w:ascii="宋体" w:hAnsi="宋体" w:cs="宋体"/>
                <w:color w:val="auto"/>
                <w:kern w:val="0"/>
                <w:sz w:val="20"/>
                <w:szCs w:val="20"/>
              </w:rPr>
            </w:pPr>
          </w:p>
        </w:tc>
        <w:tc>
          <w:tcPr>
            <w:tcW w:w="754"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事故基本情况</w:t>
            </w:r>
          </w:p>
        </w:tc>
        <w:tc>
          <w:tcPr>
            <w:tcW w:w="3030"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需包含：事故变化趋势分析、事故经办工作量分析、事故历史数据统计分析。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vMerge w:val="continue"/>
            <w:shd w:val="clear" w:color="auto" w:fill="auto"/>
            <w:vAlign w:val="center"/>
          </w:tcPr>
          <w:p>
            <w:pPr>
              <w:widowControl/>
              <w:jc w:val="left"/>
              <w:rPr>
                <w:rFonts w:ascii="宋体" w:hAnsi="宋体" w:cs="宋体"/>
                <w:color w:val="auto"/>
                <w:kern w:val="0"/>
                <w:sz w:val="20"/>
                <w:szCs w:val="20"/>
              </w:rPr>
            </w:pPr>
          </w:p>
        </w:tc>
        <w:tc>
          <w:tcPr>
            <w:tcW w:w="717" w:type="pct"/>
            <w:vMerge w:val="continue"/>
            <w:shd w:val="clear" w:color="auto" w:fill="auto"/>
            <w:vAlign w:val="center"/>
          </w:tcPr>
          <w:p>
            <w:pPr>
              <w:widowControl/>
              <w:jc w:val="left"/>
              <w:rPr>
                <w:rFonts w:ascii="宋体" w:hAnsi="宋体" w:cs="宋体"/>
                <w:color w:val="auto"/>
                <w:kern w:val="0"/>
                <w:sz w:val="20"/>
                <w:szCs w:val="20"/>
              </w:rPr>
            </w:pPr>
          </w:p>
        </w:tc>
        <w:tc>
          <w:tcPr>
            <w:tcW w:w="754"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事故规律分析挖掘</w:t>
            </w:r>
          </w:p>
        </w:tc>
        <w:tc>
          <w:tcPr>
            <w:tcW w:w="3030"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需包含：事故时间统计分析、交通方式/事故形态分布分析、事故道路环境分析、机动车事故分析、事故地域分析、涉事人员分析、不同事故类型下的事故情况统计分析、不同事故原因下的事故情况统计分析。(支持不同时段同环比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vMerge w:val="continue"/>
            <w:shd w:val="clear" w:color="auto" w:fill="auto"/>
            <w:vAlign w:val="center"/>
          </w:tcPr>
          <w:p>
            <w:pPr>
              <w:widowControl/>
              <w:jc w:val="left"/>
              <w:rPr>
                <w:rFonts w:ascii="宋体" w:hAnsi="宋体" w:cs="宋体"/>
                <w:color w:val="auto"/>
                <w:kern w:val="0"/>
                <w:sz w:val="20"/>
                <w:szCs w:val="20"/>
              </w:rPr>
            </w:pPr>
          </w:p>
        </w:tc>
        <w:tc>
          <w:tcPr>
            <w:tcW w:w="717" w:type="pct"/>
            <w:vMerge w:val="continue"/>
            <w:shd w:val="clear" w:color="auto" w:fill="auto"/>
            <w:vAlign w:val="center"/>
          </w:tcPr>
          <w:p>
            <w:pPr>
              <w:widowControl/>
              <w:jc w:val="left"/>
              <w:rPr>
                <w:rFonts w:ascii="宋体" w:hAnsi="宋体" w:cs="宋体"/>
                <w:color w:val="auto"/>
                <w:kern w:val="0"/>
                <w:sz w:val="20"/>
                <w:szCs w:val="20"/>
              </w:rPr>
            </w:pPr>
          </w:p>
        </w:tc>
        <w:tc>
          <w:tcPr>
            <w:tcW w:w="754"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事故关联</w:t>
            </w:r>
          </w:p>
        </w:tc>
        <w:tc>
          <w:tcPr>
            <w:tcW w:w="3030" w:type="pct"/>
            <w:shd w:val="clear" w:color="auto" w:fill="auto"/>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同一分类中多种特征因素的交叉分析，并且可以跳转查看详情。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vMerge w:val="continue"/>
            <w:shd w:val="clear" w:color="auto" w:fill="auto"/>
            <w:vAlign w:val="center"/>
          </w:tcPr>
          <w:p>
            <w:pPr>
              <w:widowControl/>
              <w:jc w:val="left"/>
              <w:rPr>
                <w:rFonts w:ascii="宋体" w:hAnsi="宋体" w:cs="宋体"/>
                <w:color w:val="auto"/>
                <w:kern w:val="0"/>
                <w:sz w:val="20"/>
                <w:szCs w:val="20"/>
              </w:rPr>
            </w:pPr>
          </w:p>
        </w:tc>
        <w:tc>
          <w:tcPr>
            <w:tcW w:w="717" w:type="pct"/>
            <w:vMerge w:val="continue"/>
            <w:shd w:val="clear" w:color="auto" w:fill="auto"/>
            <w:vAlign w:val="center"/>
          </w:tcPr>
          <w:p>
            <w:pPr>
              <w:widowControl/>
              <w:jc w:val="left"/>
              <w:rPr>
                <w:rFonts w:ascii="宋体" w:hAnsi="宋体" w:cs="宋体"/>
                <w:color w:val="auto"/>
                <w:kern w:val="0"/>
                <w:sz w:val="20"/>
                <w:szCs w:val="20"/>
              </w:rPr>
            </w:pPr>
          </w:p>
        </w:tc>
        <w:tc>
          <w:tcPr>
            <w:tcW w:w="754" w:type="pct"/>
            <w:vMerge w:val="continue"/>
            <w:shd w:val="clear" w:color="auto" w:fill="auto"/>
            <w:vAlign w:val="center"/>
          </w:tcPr>
          <w:p>
            <w:pPr>
              <w:widowControl/>
              <w:jc w:val="left"/>
              <w:rPr>
                <w:rFonts w:ascii="宋体" w:hAnsi="宋体" w:cs="宋体"/>
                <w:color w:val="auto"/>
                <w:kern w:val="0"/>
                <w:sz w:val="20"/>
                <w:szCs w:val="20"/>
              </w:rPr>
            </w:pPr>
          </w:p>
        </w:tc>
        <w:tc>
          <w:tcPr>
            <w:tcW w:w="3030" w:type="pct"/>
            <w:shd w:val="clear" w:color="auto" w:fill="auto"/>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不同分类之间的特征因素交叉分析，并且可以跳转查看详情。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vMerge w:val="continue"/>
            <w:shd w:val="clear" w:color="auto" w:fill="auto"/>
            <w:vAlign w:val="center"/>
          </w:tcPr>
          <w:p>
            <w:pPr>
              <w:widowControl/>
              <w:jc w:val="left"/>
              <w:rPr>
                <w:rFonts w:ascii="宋体" w:hAnsi="宋体" w:cs="宋体"/>
                <w:color w:val="auto"/>
                <w:kern w:val="0"/>
                <w:sz w:val="20"/>
                <w:szCs w:val="20"/>
              </w:rPr>
            </w:pPr>
          </w:p>
        </w:tc>
        <w:tc>
          <w:tcPr>
            <w:tcW w:w="717" w:type="pct"/>
            <w:vMerge w:val="continue"/>
            <w:shd w:val="clear" w:color="auto" w:fill="auto"/>
            <w:vAlign w:val="center"/>
          </w:tcPr>
          <w:p>
            <w:pPr>
              <w:widowControl/>
              <w:jc w:val="left"/>
              <w:rPr>
                <w:rFonts w:ascii="宋体" w:hAnsi="宋体" w:cs="宋体"/>
                <w:color w:val="auto"/>
                <w:kern w:val="0"/>
                <w:sz w:val="20"/>
                <w:szCs w:val="20"/>
              </w:rPr>
            </w:pPr>
          </w:p>
        </w:tc>
        <w:tc>
          <w:tcPr>
            <w:tcW w:w="754"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特定主题事故</w:t>
            </w:r>
          </w:p>
        </w:tc>
        <w:tc>
          <w:tcPr>
            <w:tcW w:w="3030"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需包含：摩托车事故专题分析、工程车事故专题分析、夜间事故专题分析、涉及重伤及死亡事故专题分析、酒驾事故专题分析、无证驾驶专题分析、重点车事故分析、重点企业排名、两客一危车辆重点排名、重点村庄排名、城市道路死亡人数及同比增幅最多的路段、一级二级三级公路死亡人数及同比增幅最多的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vMerge w:val="continue"/>
            <w:shd w:val="clear" w:color="auto" w:fill="auto"/>
            <w:vAlign w:val="center"/>
          </w:tcPr>
          <w:p>
            <w:pPr>
              <w:widowControl/>
              <w:jc w:val="left"/>
              <w:rPr>
                <w:rFonts w:ascii="宋体" w:hAnsi="宋体" w:cs="宋体"/>
                <w:color w:val="auto"/>
                <w:kern w:val="0"/>
                <w:sz w:val="20"/>
                <w:szCs w:val="20"/>
              </w:rPr>
            </w:pPr>
          </w:p>
        </w:tc>
        <w:tc>
          <w:tcPr>
            <w:tcW w:w="717" w:type="pct"/>
            <w:vMerge w:val="continue"/>
            <w:shd w:val="clear" w:color="auto" w:fill="auto"/>
            <w:vAlign w:val="center"/>
          </w:tcPr>
          <w:p>
            <w:pPr>
              <w:widowControl/>
              <w:jc w:val="left"/>
              <w:rPr>
                <w:rFonts w:ascii="宋体" w:hAnsi="宋体" w:cs="宋体"/>
                <w:color w:val="auto"/>
                <w:kern w:val="0"/>
                <w:sz w:val="20"/>
                <w:szCs w:val="20"/>
              </w:rPr>
            </w:pPr>
          </w:p>
        </w:tc>
        <w:tc>
          <w:tcPr>
            <w:tcW w:w="754"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事故研判报告</w:t>
            </w:r>
          </w:p>
        </w:tc>
        <w:tc>
          <w:tcPr>
            <w:tcW w:w="3030"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全市支队、大队、中队事故月报、季报、年报。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vMerge w:val="continue"/>
            <w:shd w:val="clear" w:color="auto" w:fill="auto"/>
            <w:vAlign w:val="center"/>
          </w:tcPr>
          <w:p>
            <w:pPr>
              <w:widowControl/>
              <w:jc w:val="left"/>
              <w:rPr>
                <w:rFonts w:ascii="宋体" w:hAnsi="宋体" w:cs="宋体"/>
                <w:color w:val="auto"/>
                <w:kern w:val="0"/>
                <w:sz w:val="20"/>
                <w:szCs w:val="20"/>
              </w:rPr>
            </w:pPr>
          </w:p>
        </w:tc>
        <w:tc>
          <w:tcPr>
            <w:tcW w:w="717" w:type="pct"/>
            <w:vMerge w:val="continue"/>
            <w:shd w:val="clear" w:color="auto" w:fill="auto"/>
            <w:vAlign w:val="center"/>
          </w:tcPr>
          <w:p>
            <w:pPr>
              <w:widowControl/>
              <w:jc w:val="left"/>
              <w:rPr>
                <w:rFonts w:ascii="宋体" w:hAnsi="宋体" w:cs="宋体"/>
                <w:color w:val="auto"/>
                <w:kern w:val="0"/>
                <w:sz w:val="20"/>
                <w:szCs w:val="20"/>
              </w:rPr>
            </w:pPr>
          </w:p>
        </w:tc>
        <w:tc>
          <w:tcPr>
            <w:tcW w:w="754" w:type="pct"/>
            <w:vMerge w:val="continue"/>
            <w:shd w:val="clear" w:color="auto" w:fill="auto"/>
            <w:vAlign w:val="center"/>
          </w:tcPr>
          <w:p>
            <w:pPr>
              <w:widowControl/>
              <w:jc w:val="left"/>
              <w:rPr>
                <w:rFonts w:ascii="宋体" w:hAnsi="宋体" w:cs="宋体"/>
                <w:color w:val="auto"/>
                <w:kern w:val="0"/>
                <w:sz w:val="20"/>
                <w:szCs w:val="20"/>
              </w:rPr>
            </w:pPr>
          </w:p>
        </w:tc>
        <w:tc>
          <w:tcPr>
            <w:tcW w:w="3030"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模板自动生成。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vMerge w:val="continue"/>
            <w:shd w:val="clear" w:color="auto" w:fill="auto"/>
            <w:vAlign w:val="center"/>
          </w:tcPr>
          <w:p>
            <w:pPr>
              <w:widowControl/>
              <w:jc w:val="left"/>
              <w:rPr>
                <w:rFonts w:ascii="宋体" w:hAnsi="宋体" w:cs="宋体"/>
                <w:color w:val="auto"/>
                <w:kern w:val="0"/>
                <w:sz w:val="20"/>
                <w:szCs w:val="20"/>
              </w:rPr>
            </w:pPr>
          </w:p>
        </w:tc>
        <w:tc>
          <w:tcPr>
            <w:tcW w:w="717" w:type="pct"/>
            <w:vMerge w:val="continue"/>
            <w:shd w:val="clear" w:color="auto" w:fill="auto"/>
            <w:vAlign w:val="center"/>
          </w:tcPr>
          <w:p>
            <w:pPr>
              <w:widowControl/>
              <w:jc w:val="left"/>
              <w:rPr>
                <w:rFonts w:ascii="宋体" w:hAnsi="宋体" w:cs="宋体"/>
                <w:color w:val="auto"/>
                <w:kern w:val="0"/>
                <w:sz w:val="20"/>
                <w:szCs w:val="20"/>
              </w:rPr>
            </w:pPr>
          </w:p>
        </w:tc>
        <w:tc>
          <w:tcPr>
            <w:tcW w:w="754"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事故预警</w:t>
            </w:r>
          </w:p>
        </w:tc>
        <w:tc>
          <w:tcPr>
            <w:tcW w:w="3030"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需包含：预警条件设置、事故预警、预警信息推送。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vMerge w:val="continue"/>
            <w:shd w:val="clear" w:color="auto" w:fill="auto"/>
            <w:vAlign w:val="center"/>
          </w:tcPr>
          <w:p>
            <w:pPr>
              <w:widowControl/>
              <w:jc w:val="left"/>
              <w:rPr>
                <w:rFonts w:ascii="宋体" w:hAnsi="宋体" w:cs="宋体"/>
                <w:color w:val="auto"/>
                <w:kern w:val="0"/>
                <w:sz w:val="20"/>
                <w:szCs w:val="20"/>
              </w:rPr>
            </w:pPr>
          </w:p>
        </w:tc>
        <w:tc>
          <w:tcPr>
            <w:tcW w:w="717" w:type="pct"/>
            <w:vMerge w:val="continue"/>
            <w:shd w:val="clear" w:color="auto" w:fill="auto"/>
            <w:vAlign w:val="center"/>
          </w:tcPr>
          <w:p>
            <w:pPr>
              <w:widowControl/>
              <w:jc w:val="left"/>
              <w:rPr>
                <w:rFonts w:ascii="宋体" w:hAnsi="宋体" w:cs="宋体"/>
                <w:color w:val="auto"/>
                <w:kern w:val="0"/>
                <w:sz w:val="20"/>
                <w:szCs w:val="20"/>
              </w:rPr>
            </w:pPr>
          </w:p>
        </w:tc>
        <w:tc>
          <w:tcPr>
            <w:tcW w:w="754"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隐患排查</w:t>
            </w:r>
          </w:p>
        </w:tc>
        <w:tc>
          <w:tcPr>
            <w:tcW w:w="3030" w:type="pct"/>
            <w:shd w:val="clear" w:color="auto" w:fill="auto"/>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隐患点位排查，可以对单位长度内的具体道路事故量自动排名，并支持在地图上标注点段。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vMerge w:val="continue"/>
            <w:shd w:val="clear" w:color="auto" w:fill="auto"/>
            <w:vAlign w:val="center"/>
          </w:tcPr>
          <w:p>
            <w:pPr>
              <w:widowControl/>
              <w:jc w:val="left"/>
              <w:rPr>
                <w:rFonts w:ascii="宋体" w:hAnsi="宋体" w:cs="宋体"/>
                <w:color w:val="auto"/>
                <w:kern w:val="0"/>
                <w:sz w:val="20"/>
                <w:szCs w:val="20"/>
              </w:rPr>
            </w:pPr>
          </w:p>
        </w:tc>
        <w:tc>
          <w:tcPr>
            <w:tcW w:w="717" w:type="pct"/>
            <w:vMerge w:val="continue"/>
            <w:shd w:val="clear" w:color="auto" w:fill="auto"/>
            <w:vAlign w:val="center"/>
          </w:tcPr>
          <w:p>
            <w:pPr>
              <w:widowControl/>
              <w:jc w:val="left"/>
              <w:rPr>
                <w:rFonts w:ascii="宋体" w:hAnsi="宋体" w:cs="宋体"/>
                <w:color w:val="auto"/>
                <w:kern w:val="0"/>
                <w:sz w:val="20"/>
                <w:szCs w:val="20"/>
              </w:rPr>
            </w:pPr>
          </w:p>
        </w:tc>
        <w:tc>
          <w:tcPr>
            <w:tcW w:w="754" w:type="pct"/>
            <w:vMerge w:val="continue"/>
            <w:shd w:val="clear" w:color="auto" w:fill="auto"/>
            <w:vAlign w:val="center"/>
          </w:tcPr>
          <w:p>
            <w:pPr>
              <w:widowControl/>
              <w:jc w:val="center"/>
              <w:rPr>
                <w:rFonts w:ascii="宋体" w:hAnsi="宋体" w:cs="宋体"/>
                <w:color w:val="auto"/>
                <w:kern w:val="0"/>
                <w:sz w:val="20"/>
                <w:szCs w:val="20"/>
              </w:rPr>
            </w:pPr>
          </w:p>
        </w:tc>
        <w:tc>
          <w:tcPr>
            <w:tcW w:w="3030" w:type="pct"/>
            <w:shd w:val="clear" w:color="auto" w:fill="auto"/>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隐患点位录入:可以对隐患点位的内容包括时间、原因、类型、上传图片等进行新增，修改操作，并支持在地图上标注点位。自动导入死亡事故点位及案件信息，并开展分析整改。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vMerge w:val="continue"/>
            <w:shd w:val="clear" w:color="auto" w:fill="auto"/>
            <w:vAlign w:val="center"/>
          </w:tcPr>
          <w:p>
            <w:pPr>
              <w:widowControl/>
              <w:jc w:val="left"/>
              <w:rPr>
                <w:rFonts w:ascii="宋体" w:hAnsi="宋体" w:cs="宋体"/>
                <w:color w:val="auto"/>
                <w:kern w:val="0"/>
                <w:sz w:val="20"/>
                <w:szCs w:val="20"/>
              </w:rPr>
            </w:pPr>
          </w:p>
        </w:tc>
        <w:tc>
          <w:tcPr>
            <w:tcW w:w="717" w:type="pct"/>
            <w:vMerge w:val="continue"/>
            <w:shd w:val="clear" w:color="auto" w:fill="auto"/>
            <w:vAlign w:val="center"/>
          </w:tcPr>
          <w:p>
            <w:pPr>
              <w:widowControl/>
              <w:jc w:val="left"/>
              <w:rPr>
                <w:rFonts w:ascii="宋体" w:hAnsi="宋体" w:cs="宋体"/>
                <w:color w:val="auto"/>
                <w:kern w:val="0"/>
                <w:sz w:val="20"/>
                <w:szCs w:val="20"/>
              </w:rPr>
            </w:pPr>
          </w:p>
        </w:tc>
        <w:tc>
          <w:tcPr>
            <w:tcW w:w="754" w:type="pct"/>
            <w:vMerge w:val="continue"/>
            <w:shd w:val="clear" w:color="auto" w:fill="auto"/>
            <w:vAlign w:val="center"/>
          </w:tcPr>
          <w:p>
            <w:pPr>
              <w:widowControl/>
              <w:jc w:val="left"/>
              <w:rPr>
                <w:rFonts w:ascii="宋体" w:hAnsi="宋体" w:cs="宋体"/>
                <w:color w:val="auto"/>
                <w:kern w:val="0"/>
                <w:sz w:val="20"/>
                <w:szCs w:val="20"/>
              </w:rPr>
            </w:pPr>
          </w:p>
        </w:tc>
        <w:tc>
          <w:tcPr>
            <w:tcW w:w="3030" w:type="pct"/>
            <w:shd w:val="clear" w:color="auto" w:fill="auto"/>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隐患点位审核:对有审批权限角色的用户，可以对录入的隐患点位信息需要进行审核确认。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vMerge w:val="continue"/>
            <w:shd w:val="clear" w:color="auto" w:fill="auto"/>
            <w:vAlign w:val="center"/>
          </w:tcPr>
          <w:p>
            <w:pPr>
              <w:widowControl/>
              <w:jc w:val="left"/>
              <w:rPr>
                <w:rFonts w:ascii="宋体" w:hAnsi="宋体" w:cs="宋体"/>
                <w:color w:val="auto"/>
                <w:kern w:val="0"/>
                <w:sz w:val="20"/>
                <w:szCs w:val="20"/>
              </w:rPr>
            </w:pPr>
          </w:p>
        </w:tc>
        <w:tc>
          <w:tcPr>
            <w:tcW w:w="717" w:type="pct"/>
            <w:vMerge w:val="continue"/>
            <w:shd w:val="clear" w:color="auto" w:fill="auto"/>
            <w:vAlign w:val="center"/>
          </w:tcPr>
          <w:p>
            <w:pPr>
              <w:widowControl/>
              <w:jc w:val="left"/>
              <w:rPr>
                <w:rFonts w:ascii="宋体" w:hAnsi="宋体" w:cs="宋体"/>
                <w:color w:val="auto"/>
                <w:kern w:val="0"/>
                <w:sz w:val="20"/>
                <w:szCs w:val="20"/>
              </w:rPr>
            </w:pPr>
          </w:p>
        </w:tc>
        <w:tc>
          <w:tcPr>
            <w:tcW w:w="754" w:type="pct"/>
            <w:vMerge w:val="continue"/>
            <w:shd w:val="clear" w:color="auto" w:fill="auto"/>
            <w:vAlign w:val="center"/>
          </w:tcPr>
          <w:p>
            <w:pPr>
              <w:widowControl/>
              <w:jc w:val="left"/>
              <w:rPr>
                <w:rFonts w:ascii="宋体" w:hAnsi="宋体" w:cs="宋体"/>
                <w:color w:val="auto"/>
                <w:kern w:val="0"/>
                <w:sz w:val="20"/>
                <w:szCs w:val="20"/>
              </w:rPr>
            </w:pPr>
          </w:p>
        </w:tc>
        <w:tc>
          <w:tcPr>
            <w:tcW w:w="3030" w:type="pct"/>
            <w:shd w:val="clear" w:color="auto" w:fill="auto"/>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隐患整改:可以对隐患点位信息进行整改，包括填写相关内容，上传整改前后照片，最后完成整改，对整改月结后事故案发进行对比评估。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vMerge w:val="continue"/>
            <w:shd w:val="clear" w:color="auto" w:fill="auto"/>
            <w:vAlign w:val="center"/>
          </w:tcPr>
          <w:p>
            <w:pPr>
              <w:widowControl/>
              <w:jc w:val="left"/>
              <w:rPr>
                <w:rFonts w:ascii="宋体" w:hAnsi="宋体" w:cs="宋体"/>
                <w:color w:val="auto"/>
                <w:kern w:val="0"/>
                <w:sz w:val="20"/>
                <w:szCs w:val="20"/>
              </w:rPr>
            </w:pPr>
          </w:p>
        </w:tc>
        <w:tc>
          <w:tcPr>
            <w:tcW w:w="717" w:type="pct"/>
            <w:vMerge w:val="continue"/>
            <w:shd w:val="clear" w:color="auto" w:fill="auto"/>
            <w:vAlign w:val="center"/>
          </w:tcPr>
          <w:p>
            <w:pPr>
              <w:widowControl/>
              <w:jc w:val="left"/>
              <w:rPr>
                <w:rFonts w:ascii="宋体" w:hAnsi="宋体" w:cs="宋体"/>
                <w:color w:val="auto"/>
                <w:kern w:val="0"/>
                <w:sz w:val="20"/>
                <w:szCs w:val="20"/>
              </w:rPr>
            </w:pPr>
          </w:p>
        </w:tc>
        <w:tc>
          <w:tcPr>
            <w:tcW w:w="754"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路长维护</w:t>
            </w:r>
          </w:p>
        </w:tc>
        <w:tc>
          <w:tcPr>
            <w:tcW w:w="3030"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通过将道路路段与民警进行关联，支持道路管理责任划分机制。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717"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数据对接整合</w:t>
            </w:r>
          </w:p>
        </w:tc>
        <w:tc>
          <w:tcPr>
            <w:tcW w:w="3784" w:type="pct"/>
            <w:gridSpan w:val="2"/>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1）对接数据中心，获取六合一一般事故、简易事故数据。</w:t>
            </w:r>
          </w:p>
          <w:p>
            <w:pPr>
              <w:widowControl/>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2）对接数据中心，获取网上办案系统历史数据，六合一一般事故与简易事故与网上办案系统一般事故、简易事故数据进行整合。</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3）对接数据中心，获取接处警信息。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7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数据可视化引擎</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数据源：支持JDBC、ODBC、JNDI等数据连接方式；支持ORACLE 、SYBASE、DB2、MYSQL、SQLSERVER等主流关系型数据库；支持NOSQL，如MongoDB等非结构化数据库；支持从excel、TXT、xml等文件中取数进行报表分析；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报表展现：多种展现方式；支持主子报表；支持报表分栏；支持表头冻结，支持行列同时冻结；支持通过条件属性动态控制单元格的字体、背景、前景、缩进、形态、控件、超链、新值、宽高等，满足各种使用场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可视化图表：提供基于最新HTML5技术研发的动态图表，支持数据图表，图形和表格共用一个分类轴；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7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大屏</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事故概览大屏，可以自定义选择时间对事故各类情况概览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事故人员大屏，可以自定义选择时间对事故发生人员情况的概览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事故车辆大屏，可以自定义选择时间对事故各类车辆情况概览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事故道路环境大屏，可以自定义选择时间对事故各类道路环境情况概览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事故辖区大屏，可以自定义选择时间对各个辖区下事故情况概览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7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警情分析</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地图分析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多维分析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事故黑点</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新增亡人事故统计模块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7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隐患排查升级</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地图展示隐患点位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隐患情况查询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对接**通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7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专题分析</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数据质量统计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同一人多次事故分析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事故分析资源管理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7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事故数据维护</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警情与事故关联、标注与修改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事故新增当事人村居（社区）字段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12123 来源的事故数据完善补充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通过警情数据同步乡镇街道，关联事故新增街道字段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7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信息查询</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违法查询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违法查处数据上图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非机动车查询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老年人查询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工程车事故查询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工程车违法查询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黑名单查询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w:t>
            </w:r>
          </w:p>
        </w:tc>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警情查询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多条件查询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w:t>
            </w:r>
          </w:p>
        </w:tc>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标签查询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w:t>
            </w:r>
          </w:p>
        </w:tc>
        <w:tc>
          <w:tcPr>
            <w:tcW w:w="7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隐患排查多端适配</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流程跟踪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适配微信小程序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适配浙政钉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w:t>
            </w:r>
          </w:p>
        </w:tc>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隐患可区分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待办提醒</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超时审核、待办提醒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系统管理</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登录情况统计</w:t>
            </w:r>
          </w:p>
        </w:tc>
      </w:tr>
    </w:tbl>
    <w:p>
      <w:pPr>
        <w:pStyle w:val="10"/>
        <w:rPr>
          <w:color w:val="auto"/>
        </w:rPr>
      </w:pPr>
    </w:p>
    <w:p>
      <w:pPr>
        <w:pStyle w:val="6"/>
        <w:rPr>
          <w:color w:val="auto"/>
        </w:rPr>
      </w:pPr>
      <w:r>
        <w:rPr>
          <w:rFonts w:hint="eastAsia"/>
          <w:color w:val="auto"/>
        </w:rPr>
        <w:t>交通态势分析模块</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096"/>
        <w:gridCol w:w="1416"/>
        <w:gridCol w:w="5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序号</w:t>
            </w:r>
          </w:p>
        </w:tc>
        <w:tc>
          <w:tcPr>
            <w:tcW w:w="683" w:type="pct"/>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功能模块</w:t>
            </w:r>
          </w:p>
        </w:tc>
        <w:tc>
          <w:tcPr>
            <w:tcW w:w="708" w:type="pct"/>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子模块</w:t>
            </w:r>
          </w:p>
        </w:tc>
        <w:tc>
          <w:tcPr>
            <w:tcW w:w="3185" w:type="pct"/>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vMerge w:val="restart"/>
            <w:shd w:val="clear" w:color="auto" w:fill="auto"/>
            <w:noWrap/>
            <w:vAlign w:val="center"/>
          </w:tcPr>
          <w:p>
            <w:pPr>
              <w:jc w:val="center"/>
              <w:rPr>
                <w:rFonts w:cs="Courier New" w:asciiTheme="minorEastAsia" w:hAnsiTheme="minorEastAsia" w:eastAsiaTheme="minorEastAsia"/>
                <w:color w:val="auto"/>
                <w:kern w:val="0"/>
                <w:sz w:val="20"/>
                <w:szCs w:val="20"/>
              </w:rPr>
            </w:pPr>
            <w:r>
              <w:rPr>
                <w:rFonts w:cs="Courier New" w:asciiTheme="minorEastAsia" w:hAnsiTheme="minorEastAsia" w:eastAsiaTheme="minorEastAsia"/>
                <w:color w:val="auto"/>
                <w:kern w:val="0"/>
                <w:sz w:val="20"/>
                <w:szCs w:val="20"/>
              </w:rPr>
              <w:t>1</w:t>
            </w:r>
          </w:p>
        </w:tc>
        <w:tc>
          <w:tcPr>
            <w:tcW w:w="683"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交通运行监测与评估</w:t>
            </w:r>
          </w:p>
        </w:tc>
        <w:tc>
          <w:tcPr>
            <w:tcW w:w="708"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实时监测</w:t>
            </w:r>
          </w:p>
        </w:tc>
        <w:tc>
          <w:tcPr>
            <w:tcW w:w="3185"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模块展示区域（中队、大队）、路段（按照采购方指定地图）、路口（方向）及报警情况 ；可以列表的形式展示路段的平均车速，支持自定义选择路段；可根据区域、路段、路口名称搜索相关信息；选择路口可展示路口的饱和度、延误指数、服务水平。在界面的中心展示道路拥堵情况，按照畅通、基本畅通、轻度拥堵、中度拥堵、重度拥堵的不同颜色展示。（5分钟计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vMerge w:val="continue"/>
            <w:shd w:val="clear" w:color="auto" w:fill="auto"/>
            <w:noWrap/>
            <w:vAlign w:val="center"/>
          </w:tcPr>
          <w:p>
            <w:pPr>
              <w:jc w:val="center"/>
              <w:rPr>
                <w:rFonts w:cs="Courier New" w:asciiTheme="minorEastAsia" w:hAnsiTheme="minorEastAsia" w:eastAsiaTheme="minorEastAsia"/>
                <w:color w:val="auto"/>
                <w:kern w:val="0"/>
                <w:sz w:val="20"/>
                <w:szCs w:val="20"/>
              </w:rPr>
            </w:pPr>
          </w:p>
        </w:tc>
        <w:tc>
          <w:tcPr>
            <w:tcW w:w="683" w:type="pct"/>
            <w:vMerge w:val="continue"/>
            <w:shd w:val="clear" w:color="auto" w:fill="auto"/>
            <w:vAlign w:val="center"/>
          </w:tcPr>
          <w:p>
            <w:pPr>
              <w:widowControl/>
              <w:jc w:val="left"/>
              <w:rPr>
                <w:rFonts w:ascii="宋体" w:hAnsi="宋体" w:cs="宋体"/>
                <w:color w:val="auto"/>
                <w:kern w:val="0"/>
                <w:sz w:val="20"/>
                <w:szCs w:val="20"/>
              </w:rPr>
            </w:pPr>
          </w:p>
        </w:tc>
        <w:tc>
          <w:tcPr>
            <w:tcW w:w="708"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城市/区域交通运行监测与评估</w:t>
            </w:r>
          </w:p>
        </w:tc>
        <w:tc>
          <w:tcPr>
            <w:tcW w:w="3185"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系统以城市/区域的交通运行进行实时监测与评估，包括拥堵指数、拥堵里程、平均车速三项指标</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展示区域各拥堵指标、拥堵情况排名、实时拥堵里程占比以及今日和七天前该区域的拥堵指数的趋势对比图。（5分钟计算一次）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vMerge w:val="continue"/>
            <w:shd w:val="clear" w:color="auto" w:fill="auto"/>
            <w:noWrap/>
            <w:vAlign w:val="center"/>
          </w:tcPr>
          <w:p>
            <w:pPr>
              <w:jc w:val="center"/>
              <w:rPr>
                <w:rFonts w:cs="Courier New" w:asciiTheme="minorEastAsia" w:hAnsiTheme="minorEastAsia" w:eastAsiaTheme="minorEastAsia"/>
                <w:color w:val="auto"/>
                <w:kern w:val="0"/>
                <w:sz w:val="20"/>
                <w:szCs w:val="20"/>
              </w:rPr>
            </w:pPr>
          </w:p>
        </w:tc>
        <w:tc>
          <w:tcPr>
            <w:tcW w:w="683" w:type="pct"/>
            <w:vMerge w:val="continue"/>
            <w:shd w:val="clear" w:color="auto" w:fill="auto"/>
            <w:vAlign w:val="center"/>
          </w:tcPr>
          <w:p>
            <w:pPr>
              <w:widowControl/>
              <w:jc w:val="left"/>
              <w:rPr>
                <w:rFonts w:ascii="宋体" w:hAnsi="宋体" w:cs="宋体"/>
                <w:color w:val="auto"/>
                <w:kern w:val="0"/>
                <w:sz w:val="20"/>
                <w:szCs w:val="20"/>
              </w:rPr>
            </w:pPr>
          </w:p>
        </w:tc>
        <w:tc>
          <w:tcPr>
            <w:tcW w:w="708"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路段交通运行监测与评估</w:t>
            </w:r>
          </w:p>
        </w:tc>
        <w:tc>
          <w:tcPr>
            <w:tcW w:w="3185"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系统可对路段交通运行状态实时监测，评价的指标包括流量、行程时间、饱和度、平均速度、拥堵延时指数。</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展示路段各拥堵指标、拥堵情况排名、关联路口指标以及今日和七天前该路段的平均车速的趋势对比图。（5分钟计算一次）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vMerge w:val="continue"/>
            <w:shd w:val="clear" w:color="auto" w:fill="auto"/>
            <w:noWrap/>
            <w:vAlign w:val="center"/>
          </w:tcPr>
          <w:p>
            <w:pPr>
              <w:widowControl/>
              <w:jc w:val="center"/>
              <w:rPr>
                <w:rFonts w:cs="Courier New" w:asciiTheme="minorEastAsia" w:hAnsiTheme="minorEastAsia" w:eastAsiaTheme="minorEastAsia"/>
                <w:color w:val="auto"/>
                <w:kern w:val="0"/>
                <w:sz w:val="20"/>
                <w:szCs w:val="20"/>
              </w:rPr>
            </w:pPr>
          </w:p>
        </w:tc>
        <w:tc>
          <w:tcPr>
            <w:tcW w:w="683" w:type="pct"/>
            <w:vMerge w:val="continue"/>
            <w:shd w:val="clear" w:color="auto" w:fill="auto"/>
            <w:vAlign w:val="center"/>
          </w:tcPr>
          <w:p>
            <w:pPr>
              <w:widowControl/>
              <w:jc w:val="left"/>
              <w:rPr>
                <w:rFonts w:ascii="宋体" w:hAnsi="宋体" w:cs="宋体"/>
                <w:color w:val="auto"/>
                <w:kern w:val="0"/>
                <w:sz w:val="20"/>
                <w:szCs w:val="20"/>
              </w:rPr>
            </w:pPr>
          </w:p>
        </w:tc>
        <w:tc>
          <w:tcPr>
            <w:tcW w:w="708"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路口交通运行监测与评估</w:t>
            </w:r>
          </w:p>
        </w:tc>
        <w:tc>
          <w:tcPr>
            <w:tcW w:w="3185"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系统可对路口交通运行进行实时监测与评估，包括饱和度、延误、服务水平等指标。</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展示路口各拥堵指标、拥堵情况排名、关联路段指标、进口转向指标以及今日和七天前该路口的平均延误的趋势对比图。（5分钟计算一次）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vMerge w:val="restart"/>
            <w:shd w:val="clear" w:color="auto" w:fill="auto"/>
            <w:noWrap/>
            <w:vAlign w:val="center"/>
          </w:tcPr>
          <w:p>
            <w:pPr>
              <w:jc w:val="center"/>
              <w:rPr>
                <w:rFonts w:cs="Courier New" w:asciiTheme="minorEastAsia" w:hAnsiTheme="minorEastAsia" w:eastAsiaTheme="minorEastAsia"/>
                <w:color w:val="auto"/>
                <w:kern w:val="0"/>
                <w:sz w:val="20"/>
                <w:szCs w:val="20"/>
              </w:rPr>
            </w:pPr>
            <w:r>
              <w:rPr>
                <w:rFonts w:cs="Courier New" w:asciiTheme="minorEastAsia" w:hAnsiTheme="minorEastAsia" w:eastAsiaTheme="minorEastAsia"/>
                <w:color w:val="auto"/>
                <w:kern w:val="0"/>
                <w:sz w:val="20"/>
                <w:szCs w:val="20"/>
              </w:rPr>
              <w:t>2</w:t>
            </w:r>
          </w:p>
        </w:tc>
        <w:tc>
          <w:tcPr>
            <w:tcW w:w="683"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智能报警与研判</w:t>
            </w:r>
          </w:p>
        </w:tc>
        <w:tc>
          <w:tcPr>
            <w:tcW w:w="708"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路口报警</w:t>
            </w:r>
          </w:p>
        </w:tc>
        <w:tc>
          <w:tcPr>
            <w:tcW w:w="3185"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路口报警类型分为失衡、溢流、空放、饱和，报警信息的展示流程如下：</w:t>
            </w:r>
          </w:p>
          <w:p>
            <w:pPr>
              <w:widowControl/>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①当日首次报警在左侧顶端报警信息窗内显示路口名称、报警类型、报警次数以及持续时间；</w:t>
            </w:r>
          </w:p>
          <w:p>
            <w:pPr>
              <w:widowControl/>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②报警信息在左侧报警列表中实时更新，显示最新一次报警的持续时间，支持按持续时间以及今日报警次数排序。</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点击路口可展示路口渠化图和路口指标信息，路口在地图上的具体位置。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vMerge w:val="continue"/>
            <w:shd w:val="clear" w:color="auto" w:fill="auto"/>
            <w:noWrap/>
            <w:vAlign w:val="center"/>
          </w:tcPr>
          <w:p>
            <w:pPr>
              <w:jc w:val="center"/>
              <w:rPr>
                <w:rFonts w:cs="Courier New" w:asciiTheme="minorEastAsia" w:hAnsiTheme="minorEastAsia" w:eastAsiaTheme="minorEastAsia"/>
                <w:color w:val="auto"/>
                <w:kern w:val="0"/>
                <w:sz w:val="20"/>
                <w:szCs w:val="20"/>
              </w:rPr>
            </w:pPr>
          </w:p>
        </w:tc>
        <w:tc>
          <w:tcPr>
            <w:tcW w:w="683" w:type="pct"/>
            <w:vMerge w:val="continue"/>
            <w:shd w:val="clear" w:color="auto" w:fill="auto"/>
            <w:vAlign w:val="center"/>
          </w:tcPr>
          <w:p>
            <w:pPr>
              <w:widowControl/>
              <w:jc w:val="left"/>
              <w:rPr>
                <w:rFonts w:ascii="宋体" w:hAnsi="宋体" w:cs="宋体"/>
                <w:color w:val="auto"/>
                <w:kern w:val="0"/>
                <w:sz w:val="20"/>
                <w:szCs w:val="20"/>
              </w:rPr>
            </w:pPr>
          </w:p>
        </w:tc>
        <w:tc>
          <w:tcPr>
            <w:tcW w:w="708"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路段报警</w:t>
            </w:r>
          </w:p>
        </w:tc>
        <w:tc>
          <w:tcPr>
            <w:tcW w:w="3185"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路段报警为拥堵持续性报警，报警信息的展示流程如下所示：</w:t>
            </w:r>
          </w:p>
          <w:p>
            <w:pPr>
              <w:widowControl/>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①当日首次报警在左侧顶端报警信息窗内显示路段名称，拥堵持续时间。</w:t>
            </w:r>
          </w:p>
          <w:p>
            <w:pPr>
              <w:widowControl/>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②报警信息在左侧报警列表中实时更新，显示最新一些报警的持续时间，支持按持续时间以及今日报警次数排序。</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点击路段可展示路口渠化图和路段指标信息，路段在地图上的具体位置。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vMerge w:val="continue"/>
            <w:shd w:val="clear" w:color="auto" w:fill="auto"/>
            <w:noWrap/>
            <w:vAlign w:val="center"/>
          </w:tcPr>
          <w:p>
            <w:pPr>
              <w:widowControl/>
              <w:jc w:val="center"/>
              <w:rPr>
                <w:rFonts w:cs="Courier New" w:asciiTheme="minorEastAsia" w:hAnsiTheme="minorEastAsia" w:eastAsiaTheme="minorEastAsia"/>
                <w:color w:val="auto"/>
                <w:kern w:val="0"/>
                <w:sz w:val="20"/>
                <w:szCs w:val="20"/>
              </w:rPr>
            </w:pPr>
          </w:p>
        </w:tc>
        <w:tc>
          <w:tcPr>
            <w:tcW w:w="683" w:type="pct"/>
            <w:vMerge w:val="continue"/>
            <w:shd w:val="clear" w:color="auto" w:fill="auto"/>
            <w:vAlign w:val="center"/>
          </w:tcPr>
          <w:p>
            <w:pPr>
              <w:widowControl/>
              <w:jc w:val="left"/>
              <w:rPr>
                <w:rFonts w:ascii="宋体" w:hAnsi="宋体" w:cs="宋体"/>
                <w:color w:val="auto"/>
                <w:kern w:val="0"/>
                <w:sz w:val="20"/>
                <w:szCs w:val="20"/>
              </w:rPr>
            </w:pPr>
          </w:p>
        </w:tc>
        <w:tc>
          <w:tcPr>
            <w:tcW w:w="708"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报警研判分析</w:t>
            </w:r>
          </w:p>
        </w:tc>
        <w:tc>
          <w:tcPr>
            <w:tcW w:w="3185" w:type="pct"/>
            <w:shd w:val="clear" w:color="auto" w:fill="auto"/>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针对常发性问题路段进行定义，系统可展示周、月、年问题路段拥堵均值，可通过时间或路段检索历史路段拥堵的报警详情；针对常发性问题路口进行定义，系统可展示周、月、年问题路口拥堵均值，近一周/月/年的失衡、溢流、空放路口按问题出现天数的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shd w:val="clear" w:color="auto" w:fill="auto"/>
            <w:noWrap/>
            <w:vAlign w:val="center"/>
          </w:tcPr>
          <w:p>
            <w:pPr>
              <w:widowControl/>
              <w:jc w:val="center"/>
              <w:rPr>
                <w:rFonts w:cs="Courier New" w:asciiTheme="minorEastAsia" w:hAnsiTheme="minorEastAsia" w:eastAsiaTheme="minorEastAsia"/>
                <w:color w:val="auto"/>
                <w:kern w:val="0"/>
                <w:sz w:val="20"/>
                <w:szCs w:val="20"/>
              </w:rPr>
            </w:pPr>
            <w:r>
              <w:rPr>
                <w:rFonts w:cs="Courier New" w:asciiTheme="minorEastAsia" w:hAnsiTheme="minorEastAsia" w:eastAsiaTheme="minorEastAsia"/>
                <w:color w:val="auto"/>
                <w:kern w:val="0"/>
                <w:sz w:val="20"/>
                <w:szCs w:val="20"/>
              </w:rPr>
              <w:t>3</w:t>
            </w:r>
          </w:p>
        </w:tc>
        <w:tc>
          <w:tcPr>
            <w:tcW w:w="683"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交通信息发布应用</w:t>
            </w:r>
          </w:p>
        </w:tc>
        <w:tc>
          <w:tcPr>
            <w:tcW w:w="708"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交通信息发布</w:t>
            </w:r>
          </w:p>
        </w:tc>
        <w:tc>
          <w:tcPr>
            <w:tcW w:w="3185" w:type="pct"/>
            <w:shd w:val="clear" w:color="auto" w:fill="auto"/>
            <w:vAlign w:val="center"/>
          </w:tcPr>
          <w:p>
            <w:pPr>
              <w:widowControl/>
              <w:rPr>
                <w:rFonts w:hint="eastAsia" w:ascii="宋体" w:hAnsi="宋体" w:cs="宋体"/>
                <w:color w:val="auto"/>
                <w:kern w:val="0"/>
                <w:sz w:val="20"/>
                <w:szCs w:val="20"/>
              </w:rPr>
            </w:pPr>
            <w:r>
              <w:rPr>
                <w:rFonts w:hint="eastAsia" w:ascii="宋体" w:hAnsi="宋体" w:cs="宋体"/>
                <w:color w:val="auto"/>
                <w:kern w:val="0"/>
                <w:sz w:val="20"/>
                <w:szCs w:val="20"/>
              </w:rPr>
              <w:t>具备各个路口或路段的数据接口信息，可提供道路拥堵数据接口，在交通情报板系统可通过接口获取数据上展示提醒。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vMerge w:val="restart"/>
            <w:shd w:val="clear" w:color="auto" w:fill="auto"/>
            <w:noWrap/>
            <w:vAlign w:val="center"/>
          </w:tcPr>
          <w:p>
            <w:pPr>
              <w:jc w:val="center"/>
              <w:rPr>
                <w:rFonts w:cs="Courier New" w:asciiTheme="minorEastAsia" w:hAnsiTheme="minorEastAsia" w:eastAsiaTheme="minorEastAsia"/>
                <w:color w:val="auto"/>
                <w:kern w:val="0"/>
                <w:sz w:val="20"/>
                <w:szCs w:val="20"/>
              </w:rPr>
            </w:pPr>
            <w:r>
              <w:rPr>
                <w:rFonts w:cs="Courier New" w:asciiTheme="minorEastAsia" w:hAnsiTheme="minorEastAsia" w:eastAsiaTheme="minorEastAsia"/>
                <w:color w:val="auto"/>
                <w:kern w:val="0"/>
                <w:sz w:val="20"/>
                <w:szCs w:val="20"/>
              </w:rPr>
              <w:t>4</w:t>
            </w:r>
          </w:p>
        </w:tc>
        <w:tc>
          <w:tcPr>
            <w:tcW w:w="683"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历史评价</w:t>
            </w:r>
          </w:p>
        </w:tc>
        <w:tc>
          <w:tcPr>
            <w:tcW w:w="708"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热力图回溯</w:t>
            </w:r>
          </w:p>
        </w:tc>
        <w:tc>
          <w:tcPr>
            <w:tcW w:w="3185" w:type="pct"/>
            <w:shd w:val="clear" w:color="auto" w:fill="auto"/>
            <w:vAlign w:val="center"/>
          </w:tcPr>
          <w:p>
            <w:pPr>
              <w:widowControl/>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通过交通路况图显示区域交通情况，时间维度可选择，播放周期为24小时，播放天数可自定义，每帧支持15/30/45/60分钟；</w:t>
            </w:r>
          </w:p>
          <w:p>
            <w:pPr>
              <w:widowControl/>
              <w:rPr>
                <w:rFonts w:hint="eastAsia" w:ascii="宋体" w:hAnsi="宋体" w:cs="宋体"/>
                <w:color w:val="auto"/>
                <w:kern w:val="0"/>
                <w:sz w:val="20"/>
                <w:szCs w:val="20"/>
              </w:rPr>
            </w:pPr>
            <w:r>
              <w:rPr>
                <w:rFonts w:hint="eastAsia" w:ascii="宋体" w:hAnsi="宋体" w:cs="宋体"/>
                <w:color w:val="auto"/>
                <w:kern w:val="0"/>
                <w:sz w:val="20"/>
                <w:szCs w:val="20"/>
              </w:rPr>
              <w:t>支持端午、国庆、春节等节假如日期查询历时的交通路况图。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vMerge w:val="continue"/>
            <w:shd w:val="clear" w:color="auto" w:fill="auto"/>
            <w:noWrap/>
            <w:vAlign w:val="center"/>
          </w:tcPr>
          <w:p>
            <w:pPr>
              <w:widowControl/>
              <w:jc w:val="center"/>
              <w:rPr>
                <w:rFonts w:cs="Courier New" w:asciiTheme="minorEastAsia" w:hAnsiTheme="minorEastAsia" w:eastAsiaTheme="minorEastAsia"/>
                <w:color w:val="auto"/>
                <w:kern w:val="0"/>
                <w:sz w:val="20"/>
                <w:szCs w:val="20"/>
              </w:rPr>
            </w:pPr>
          </w:p>
        </w:tc>
        <w:tc>
          <w:tcPr>
            <w:tcW w:w="683" w:type="pct"/>
            <w:vMerge w:val="continue"/>
            <w:shd w:val="clear" w:color="auto" w:fill="auto"/>
            <w:vAlign w:val="center"/>
          </w:tcPr>
          <w:p>
            <w:pPr>
              <w:widowControl/>
              <w:jc w:val="left"/>
              <w:rPr>
                <w:rFonts w:ascii="宋体" w:hAnsi="宋体" w:cs="宋体"/>
                <w:color w:val="auto"/>
                <w:kern w:val="0"/>
                <w:sz w:val="20"/>
                <w:szCs w:val="20"/>
              </w:rPr>
            </w:pPr>
          </w:p>
        </w:tc>
        <w:tc>
          <w:tcPr>
            <w:tcW w:w="708"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历史指标查询</w:t>
            </w:r>
          </w:p>
        </w:tc>
        <w:tc>
          <w:tcPr>
            <w:tcW w:w="3185" w:type="pct"/>
            <w:shd w:val="clear" w:color="auto" w:fill="auto"/>
            <w:vAlign w:val="center"/>
          </w:tcPr>
          <w:p>
            <w:pPr>
              <w:widowControl/>
              <w:rPr>
                <w:rFonts w:hint="eastAsia" w:ascii="宋体" w:hAnsi="宋体" w:cs="宋体"/>
                <w:color w:val="auto"/>
                <w:kern w:val="0"/>
                <w:sz w:val="20"/>
                <w:szCs w:val="20"/>
              </w:rPr>
            </w:pPr>
            <w:r>
              <w:rPr>
                <w:rFonts w:hint="eastAsia" w:ascii="宋体" w:hAnsi="宋体" w:cs="宋体"/>
                <w:color w:val="auto"/>
                <w:kern w:val="0"/>
                <w:sz w:val="20"/>
                <w:szCs w:val="20"/>
              </w:rPr>
              <w:t>按区域查询时可基于拥堵指数、拥堵里程、平均车速指标的历史查询。</w:t>
            </w:r>
          </w:p>
          <w:p>
            <w:pPr>
              <w:widowControl/>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按路段查询时，可基于流量、行程时间、饱和度、平均车速、延误指标的历史查询。</w:t>
            </w:r>
          </w:p>
          <w:p>
            <w:pPr>
              <w:widowControl/>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按路口查询时可基于饱和度、延误、服务水平指标的历史查询。</w:t>
            </w:r>
          </w:p>
          <w:p>
            <w:pPr>
              <w:widowControl/>
              <w:rPr>
                <w:rFonts w:hint="eastAsia" w:ascii="宋体" w:hAnsi="宋体" w:cs="宋体"/>
                <w:color w:val="auto"/>
                <w:kern w:val="0"/>
                <w:sz w:val="20"/>
                <w:szCs w:val="20"/>
              </w:rPr>
            </w:pPr>
            <w:r>
              <w:rPr>
                <w:rFonts w:hint="eastAsia" w:ascii="宋体" w:hAnsi="宋体" w:cs="宋体"/>
                <w:color w:val="auto"/>
                <w:kern w:val="0"/>
                <w:sz w:val="20"/>
                <w:szCs w:val="20"/>
              </w:rPr>
              <w:t>时间可选择任意历史时间，展示时间维度可选小时、天。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4" w:type="pct"/>
            <w:shd w:val="clear" w:color="auto" w:fill="auto"/>
            <w:noWrap/>
            <w:vAlign w:val="center"/>
          </w:tcPr>
          <w:p>
            <w:pPr>
              <w:widowControl/>
              <w:jc w:val="center"/>
              <w:rPr>
                <w:rFonts w:cs="Courier New" w:asciiTheme="minorEastAsia" w:hAnsiTheme="minorEastAsia" w:eastAsiaTheme="minorEastAsia"/>
                <w:color w:val="auto"/>
                <w:kern w:val="0"/>
                <w:sz w:val="20"/>
                <w:szCs w:val="20"/>
              </w:rPr>
            </w:pPr>
            <w:r>
              <w:rPr>
                <w:rFonts w:cs="宋体" w:asciiTheme="minorEastAsia" w:hAnsiTheme="minorEastAsia" w:eastAsiaTheme="minorEastAsia"/>
                <w:color w:val="auto"/>
                <w:kern w:val="0"/>
                <w:sz w:val="20"/>
                <w:szCs w:val="20"/>
              </w:rPr>
              <w:t>5</w:t>
            </w:r>
          </w:p>
        </w:tc>
        <w:tc>
          <w:tcPr>
            <w:tcW w:w="1391" w:type="pct"/>
            <w:gridSpan w:val="2"/>
            <w:shd w:val="clear" w:color="auto" w:fill="auto"/>
            <w:vAlign w:val="center"/>
          </w:tcPr>
          <w:p>
            <w:pPr>
              <w:widowControl/>
              <w:jc w:val="center"/>
              <w:rPr>
                <w:rFonts w:ascii="宋体" w:hAnsi="宋体" w:cs="宋体"/>
                <w:color w:val="auto"/>
                <w:kern w:val="0"/>
                <w:sz w:val="20"/>
                <w:szCs w:val="20"/>
              </w:rPr>
            </w:pPr>
            <w:r>
              <w:rPr>
                <w:rFonts w:hint="eastAsia" w:cs="宋体" w:asciiTheme="minorEastAsia" w:hAnsiTheme="minorEastAsia" w:eastAsiaTheme="minorEastAsia"/>
                <w:color w:val="auto"/>
                <w:kern w:val="0"/>
                <w:sz w:val="20"/>
                <w:szCs w:val="20"/>
              </w:rPr>
              <w:t>统一资源</w:t>
            </w:r>
          </w:p>
        </w:tc>
        <w:tc>
          <w:tcPr>
            <w:tcW w:w="3185" w:type="pct"/>
            <w:shd w:val="clear" w:color="auto" w:fill="auto"/>
            <w:vAlign w:val="center"/>
          </w:tcPr>
          <w:p>
            <w:pPr>
              <w:widowControl/>
              <w:jc w:val="left"/>
              <w:rPr>
                <w:rFonts w:ascii="宋体" w:hAnsi="宋体" w:cs="宋体"/>
                <w:color w:val="auto"/>
                <w:kern w:val="0"/>
                <w:sz w:val="20"/>
                <w:szCs w:val="20"/>
              </w:rPr>
            </w:pPr>
            <w:r>
              <w:rPr>
                <w:rFonts w:hint="eastAsia" w:ascii="宋体" w:hAnsi="宋体"/>
                <w:color w:val="auto"/>
                <w:sz w:val="20"/>
                <w:szCs w:val="20"/>
              </w:rPr>
              <w:t>模块需要复用资源中心提供的关系型数据库及分布式数据库，统一使用资源中心提供的大数据能力。</w:t>
            </w:r>
          </w:p>
        </w:tc>
      </w:tr>
    </w:tbl>
    <w:p>
      <w:pPr>
        <w:pStyle w:val="56"/>
        <w:rPr>
          <w:color w:val="auto"/>
        </w:rPr>
      </w:pPr>
    </w:p>
    <w:p>
      <w:pPr>
        <w:pStyle w:val="6"/>
        <w:rPr>
          <w:color w:val="auto"/>
        </w:rPr>
      </w:pPr>
      <w:r>
        <w:rPr>
          <w:rFonts w:hint="eastAsia"/>
          <w:color w:val="auto"/>
        </w:rPr>
        <w:t>驾驶人学习防范模块</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225"/>
        <w:gridCol w:w="1962"/>
        <w:gridCol w:w="2"/>
        <w:gridCol w:w="4614"/>
        <w:gridCol w:w="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3" w:type="pct"/>
            <w:shd w:val="clear" w:color="auto" w:fill="auto"/>
            <w:vAlign w:val="center"/>
          </w:tcPr>
          <w:p>
            <w:pPr>
              <w:widowControl/>
              <w:jc w:val="center"/>
              <w:rPr>
                <w:rFonts w:ascii="宋体" w:hAnsi="宋体" w:cs="宋体"/>
                <w:b/>
                <w:bCs/>
                <w:color w:val="auto"/>
                <w:kern w:val="0"/>
                <w:sz w:val="20"/>
                <w:szCs w:val="20"/>
              </w:rPr>
            </w:pPr>
            <w:bookmarkStart w:id="47" w:name="_Hlk83828672"/>
            <w:r>
              <w:rPr>
                <w:rFonts w:hint="eastAsia" w:ascii="宋体" w:hAnsi="宋体" w:cs="宋体"/>
                <w:b/>
                <w:bCs/>
                <w:color w:val="auto"/>
                <w:kern w:val="0"/>
                <w:sz w:val="20"/>
                <w:szCs w:val="20"/>
              </w:rPr>
              <w:t>序号</w:t>
            </w:r>
          </w:p>
        </w:tc>
        <w:tc>
          <w:tcPr>
            <w:tcW w:w="718" w:type="pct"/>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功能模块</w:t>
            </w:r>
          </w:p>
        </w:tc>
        <w:tc>
          <w:tcPr>
            <w:tcW w:w="1151" w:type="pct"/>
            <w:gridSpan w:val="2"/>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子模块</w:t>
            </w:r>
          </w:p>
        </w:tc>
        <w:tc>
          <w:tcPr>
            <w:tcW w:w="2706" w:type="pct"/>
            <w:gridSpan w:val="2"/>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3"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w:t>
            </w:r>
          </w:p>
        </w:tc>
        <w:tc>
          <w:tcPr>
            <w:tcW w:w="1869" w:type="pct"/>
            <w:gridSpan w:val="3"/>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color w:val="auto"/>
                <w:kern w:val="0"/>
                <w:szCs w:val="21"/>
              </w:rPr>
              <w:t>用户体系对接</w:t>
            </w:r>
          </w:p>
        </w:tc>
        <w:tc>
          <w:tcPr>
            <w:tcW w:w="2706" w:type="pct"/>
            <w:gridSpan w:val="2"/>
            <w:shd w:val="clear" w:color="auto" w:fill="auto"/>
            <w:vAlign w:val="center"/>
          </w:tcPr>
          <w:p>
            <w:pPr>
              <w:widowControl/>
              <w:rPr>
                <w:rFonts w:ascii="宋体" w:hAnsi="宋体" w:cs="宋体"/>
                <w:b/>
                <w:bCs/>
                <w:color w:val="auto"/>
                <w:kern w:val="0"/>
                <w:sz w:val="20"/>
                <w:szCs w:val="20"/>
              </w:rPr>
            </w:pPr>
            <w:r>
              <w:rPr>
                <w:rFonts w:hint="eastAsia" w:ascii="宋体" w:hAnsi="宋体" w:cs="宋体"/>
                <w:color w:val="auto"/>
                <w:kern w:val="0"/>
                <w:szCs w:val="21"/>
              </w:rPr>
              <w:t>各模块需要对接微信或浙里办用户体系，调用人脸识别服务，进行实名认证。</w:t>
            </w:r>
          </w:p>
        </w:tc>
      </w:tr>
      <w:bookmark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3" w:type="pct"/>
            <w:vMerge w:val="restart"/>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val="en-US" w:eastAsia="zh-CN"/>
              </w:rPr>
              <w:t>2</w:t>
            </w:r>
          </w:p>
        </w:tc>
        <w:tc>
          <w:tcPr>
            <w:tcW w:w="718" w:type="pct"/>
            <w:vMerge w:val="restart"/>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公益活动（站岗）（台州交警微信端）</w:t>
            </w:r>
          </w:p>
          <w:p>
            <w:pPr>
              <w:widowControl/>
              <w:jc w:val="center"/>
              <w:rPr>
                <w:rFonts w:ascii="宋体" w:hAnsi="宋体" w:cs="宋体"/>
                <w:color w:val="auto"/>
                <w:kern w:val="0"/>
                <w:sz w:val="20"/>
                <w:szCs w:val="20"/>
              </w:rPr>
            </w:pPr>
            <w:r>
              <w:rPr>
                <w:rFonts w:hint="eastAsia" w:ascii="宋体" w:hAnsi="宋体" w:cs="宋体"/>
                <w:color w:val="auto"/>
                <w:kern w:val="0"/>
                <w:sz w:val="20"/>
                <w:szCs w:val="20"/>
              </w:rPr>
              <w:t>交安设施故障上报（台州交警微信端）</w:t>
            </w:r>
          </w:p>
          <w:p>
            <w:pPr>
              <w:widowControl/>
              <w:jc w:val="center"/>
              <w:rPr>
                <w:rFonts w:ascii="宋体" w:hAnsi="宋体" w:cs="宋体"/>
                <w:color w:val="auto"/>
                <w:kern w:val="0"/>
                <w:szCs w:val="21"/>
              </w:rPr>
            </w:pPr>
            <w:r>
              <w:rPr>
                <w:rFonts w:hint="eastAsia" w:ascii="宋体" w:hAnsi="宋体" w:cs="宋体"/>
                <w:color w:val="auto"/>
                <w:kern w:val="0"/>
                <w:sz w:val="20"/>
                <w:szCs w:val="20"/>
              </w:rPr>
              <w:t>全民违法举报升级改造（台州交警微信端）</w:t>
            </w:r>
          </w:p>
        </w:tc>
        <w:tc>
          <w:tcPr>
            <w:tcW w:w="1151" w:type="pct"/>
            <w:gridSpan w:val="2"/>
            <w:vAlign w:val="center"/>
          </w:tcPr>
          <w:p>
            <w:pPr>
              <w:widowControl/>
              <w:jc w:val="center"/>
              <w:rPr>
                <w:rFonts w:ascii="宋体" w:hAnsi="宋体" w:cs="宋体"/>
                <w:color w:val="auto"/>
                <w:kern w:val="0"/>
                <w:szCs w:val="21"/>
              </w:rPr>
            </w:pPr>
            <w:r>
              <w:rPr>
                <w:rFonts w:hint="eastAsia" w:ascii="宋体" w:hAnsi="宋体" w:cs="宋体"/>
                <w:color w:val="auto"/>
                <w:kern w:val="0"/>
                <w:szCs w:val="21"/>
              </w:rPr>
              <w:t>动态违法举报</w:t>
            </w:r>
          </w:p>
        </w:tc>
        <w:tc>
          <w:tcPr>
            <w:tcW w:w="2706" w:type="pct"/>
            <w:gridSpan w:val="2"/>
            <w:vAlign w:val="center"/>
          </w:tcPr>
          <w:p>
            <w:pPr>
              <w:rPr>
                <w:rFonts w:ascii="宋体" w:hAnsi="宋体" w:cs="宋体"/>
                <w:color w:val="auto"/>
                <w:kern w:val="0"/>
                <w:szCs w:val="21"/>
              </w:rPr>
            </w:pPr>
            <w:r>
              <w:rPr>
                <w:rFonts w:hint="eastAsia" w:ascii="宋体" w:hAnsi="宋体" w:cs="宋体"/>
                <w:color w:val="auto"/>
                <w:kern w:val="0"/>
                <w:sz w:val="20"/>
                <w:szCs w:val="20"/>
              </w:rPr>
              <w:t>对现有违法举报系统进行升级改造，需要实现动态违法举报功能。系统能够自动定位，手动输入或调整定位信息，并上传违法视频进行动态违法举报。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3" w:type="pct"/>
            <w:vMerge w:val="continue"/>
            <w:vAlign w:val="center"/>
          </w:tcPr>
          <w:p>
            <w:pPr>
              <w:widowControl/>
              <w:jc w:val="center"/>
              <w:rPr>
                <w:rFonts w:ascii="宋体" w:hAnsi="宋体" w:cs="宋体"/>
                <w:color w:val="auto"/>
                <w:kern w:val="0"/>
                <w:sz w:val="20"/>
                <w:szCs w:val="20"/>
              </w:rPr>
            </w:pPr>
          </w:p>
        </w:tc>
        <w:tc>
          <w:tcPr>
            <w:tcW w:w="718" w:type="pct"/>
            <w:vMerge w:val="continue"/>
            <w:vAlign w:val="center"/>
          </w:tcPr>
          <w:p>
            <w:pPr>
              <w:widowControl/>
              <w:jc w:val="center"/>
              <w:rPr>
                <w:rFonts w:ascii="宋体" w:hAnsi="宋体" w:cs="宋体"/>
                <w:color w:val="auto"/>
                <w:kern w:val="0"/>
                <w:szCs w:val="21"/>
              </w:rPr>
            </w:pPr>
          </w:p>
        </w:tc>
        <w:tc>
          <w:tcPr>
            <w:tcW w:w="1151" w:type="pct"/>
            <w:gridSpan w:val="2"/>
            <w:vAlign w:val="center"/>
          </w:tcPr>
          <w:p>
            <w:pPr>
              <w:widowControl/>
              <w:jc w:val="center"/>
              <w:rPr>
                <w:rFonts w:ascii="宋体" w:hAnsi="宋体" w:cs="宋体"/>
                <w:color w:val="auto"/>
                <w:kern w:val="0"/>
                <w:szCs w:val="21"/>
              </w:rPr>
            </w:pPr>
            <w:r>
              <w:rPr>
                <w:rFonts w:hint="eastAsia" w:ascii="宋体" w:hAnsi="宋体" w:cs="宋体"/>
                <w:color w:val="auto"/>
                <w:kern w:val="0"/>
                <w:szCs w:val="21"/>
              </w:rPr>
              <w:t>受理情况查询</w:t>
            </w:r>
          </w:p>
        </w:tc>
        <w:tc>
          <w:tcPr>
            <w:tcW w:w="2706" w:type="pct"/>
            <w:gridSpan w:val="2"/>
            <w:vAlign w:val="center"/>
          </w:tcPr>
          <w:p>
            <w:pPr>
              <w:rPr>
                <w:color w:val="auto"/>
                <w:szCs w:val="21"/>
              </w:rPr>
            </w:pPr>
            <w:r>
              <w:rPr>
                <w:rFonts w:hint="eastAsia" w:ascii="宋体" w:hAnsi="宋体" w:cs="宋体"/>
                <w:color w:val="auto"/>
                <w:kern w:val="0"/>
                <w:sz w:val="20"/>
                <w:szCs w:val="20"/>
              </w:rPr>
              <w:t>提供举报次数以及交警受理情况的展示。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3" w:type="pct"/>
            <w:vMerge w:val="continue"/>
            <w:vAlign w:val="center"/>
          </w:tcPr>
          <w:p>
            <w:pPr>
              <w:widowControl/>
              <w:jc w:val="center"/>
              <w:rPr>
                <w:rFonts w:ascii="宋体" w:hAnsi="宋体" w:cs="宋体"/>
                <w:color w:val="auto"/>
                <w:kern w:val="0"/>
                <w:sz w:val="20"/>
                <w:szCs w:val="20"/>
              </w:rPr>
            </w:pPr>
          </w:p>
        </w:tc>
        <w:tc>
          <w:tcPr>
            <w:tcW w:w="718" w:type="pct"/>
            <w:vMerge w:val="continue"/>
            <w:vAlign w:val="center"/>
          </w:tcPr>
          <w:p>
            <w:pPr>
              <w:widowControl/>
              <w:jc w:val="center"/>
              <w:rPr>
                <w:rFonts w:ascii="宋体" w:hAnsi="宋体" w:cs="宋体"/>
                <w:color w:val="auto"/>
                <w:kern w:val="0"/>
                <w:szCs w:val="21"/>
              </w:rPr>
            </w:pPr>
          </w:p>
        </w:tc>
        <w:tc>
          <w:tcPr>
            <w:tcW w:w="1151" w:type="pct"/>
            <w:gridSpan w:val="2"/>
            <w:vAlign w:val="center"/>
          </w:tcPr>
          <w:p>
            <w:pPr>
              <w:widowControl/>
              <w:jc w:val="center"/>
              <w:rPr>
                <w:rFonts w:ascii="宋体" w:hAnsi="宋体" w:cs="宋体"/>
                <w:color w:val="auto"/>
                <w:kern w:val="0"/>
                <w:szCs w:val="21"/>
              </w:rPr>
            </w:pPr>
            <w:r>
              <w:rPr>
                <w:rFonts w:hint="eastAsia" w:ascii="宋体" w:hAnsi="宋体" w:cs="宋体"/>
                <w:color w:val="auto"/>
                <w:kern w:val="0"/>
                <w:szCs w:val="21"/>
              </w:rPr>
              <w:t>动态违法审核</w:t>
            </w:r>
          </w:p>
        </w:tc>
        <w:tc>
          <w:tcPr>
            <w:tcW w:w="2706" w:type="pct"/>
            <w:gridSpan w:val="2"/>
            <w:vAlign w:val="center"/>
          </w:tcPr>
          <w:p>
            <w:pPr>
              <w:rPr>
                <w:rFonts w:ascii="宋体" w:hAnsi="宋体" w:cs="宋体"/>
                <w:color w:val="auto"/>
                <w:kern w:val="0"/>
                <w:sz w:val="20"/>
                <w:szCs w:val="20"/>
              </w:rPr>
            </w:pPr>
            <w:r>
              <w:rPr>
                <w:rFonts w:hint="eastAsia" w:ascii="宋体" w:hAnsi="宋体" w:cs="宋体"/>
                <w:color w:val="auto"/>
                <w:kern w:val="0"/>
                <w:sz w:val="20"/>
                <w:szCs w:val="20"/>
              </w:rPr>
              <w:t>对采集上传的动态违法举报数据进行校对，分发到指定的中队，由中队对动态违法举报信息进行处理，并将处理结果进行上传。</w:t>
            </w:r>
          </w:p>
          <w:p>
            <w:pPr>
              <w:rPr>
                <w:color w:val="auto"/>
                <w:szCs w:val="21"/>
              </w:rPr>
            </w:pPr>
            <w:r>
              <w:rPr>
                <w:rFonts w:hint="eastAsia" w:ascii="宋体" w:hAnsi="宋体" w:cs="宋体"/>
                <w:color w:val="auto"/>
                <w:kern w:val="0"/>
                <w:sz w:val="20"/>
                <w:szCs w:val="20"/>
              </w:rPr>
              <w:t>可通过留言的方式与举报人员进行交流。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3" w:type="pct"/>
            <w:vMerge w:val="continue"/>
            <w:vAlign w:val="center"/>
          </w:tcPr>
          <w:p>
            <w:pPr>
              <w:widowControl/>
              <w:jc w:val="center"/>
              <w:rPr>
                <w:rFonts w:ascii="宋体" w:hAnsi="宋体" w:cs="宋体"/>
                <w:color w:val="auto"/>
                <w:kern w:val="0"/>
                <w:sz w:val="20"/>
                <w:szCs w:val="20"/>
              </w:rPr>
            </w:pPr>
          </w:p>
        </w:tc>
        <w:tc>
          <w:tcPr>
            <w:tcW w:w="718" w:type="pct"/>
            <w:vMerge w:val="continue"/>
            <w:vAlign w:val="center"/>
          </w:tcPr>
          <w:p>
            <w:pPr>
              <w:widowControl/>
              <w:jc w:val="center"/>
              <w:rPr>
                <w:rFonts w:ascii="宋体" w:hAnsi="宋体" w:cs="宋体"/>
                <w:color w:val="auto"/>
                <w:kern w:val="0"/>
                <w:szCs w:val="21"/>
              </w:rPr>
            </w:pPr>
          </w:p>
        </w:tc>
        <w:tc>
          <w:tcPr>
            <w:tcW w:w="1151" w:type="pct"/>
            <w:gridSpan w:val="2"/>
            <w:vAlign w:val="center"/>
          </w:tcPr>
          <w:p>
            <w:pPr>
              <w:widowControl/>
              <w:jc w:val="center"/>
              <w:rPr>
                <w:rFonts w:ascii="宋体" w:hAnsi="宋体" w:cs="宋体"/>
                <w:color w:val="auto"/>
                <w:kern w:val="0"/>
                <w:szCs w:val="21"/>
              </w:rPr>
            </w:pPr>
            <w:r>
              <w:rPr>
                <w:rFonts w:hint="eastAsia" w:ascii="宋体" w:hAnsi="宋体" w:cs="宋体"/>
                <w:color w:val="auto"/>
                <w:kern w:val="0"/>
                <w:szCs w:val="21"/>
              </w:rPr>
              <w:t>动态违法数据管理</w:t>
            </w:r>
          </w:p>
        </w:tc>
        <w:tc>
          <w:tcPr>
            <w:tcW w:w="2706" w:type="pct"/>
            <w:gridSpan w:val="2"/>
            <w:vAlign w:val="center"/>
          </w:tcPr>
          <w:p>
            <w:pPr>
              <w:rPr>
                <w:color w:val="auto"/>
                <w:szCs w:val="21"/>
              </w:rPr>
            </w:pPr>
            <w:r>
              <w:rPr>
                <w:rFonts w:hint="eastAsia" w:ascii="宋体" w:hAnsi="宋体" w:cs="宋体"/>
                <w:color w:val="auto"/>
                <w:kern w:val="0"/>
                <w:sz w:val="20"/>
                <w:szCs w:val="20"/>
              </w:rPr>
              <w:t>提供违法举报上传数据以及审核结果的统计，包括车辆类型、号牌号码、违法时间等统计条件。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3" w:type="pct"/>
            <w:vMerge w:val="continue"/>
            <w:vAlign w:val="center"/>
          </w:tcPr>
          <w:p>
            <w:pPr>
              <w:widowControl/>
              <w:jc w:val="center"/>
              <w:rPr>
                <w:rFonts w:ascii="宋体" w:hAnsi="宋体" w:cs="宋体"/>
                <w:color w:val="auto"/>
                <w:kern w:val="0"/>
                <w:sz w:val="20"/>
                <w:szCs w:val="20"/>
              </w:rPr>
            </w:pPr>
          </w:p>
        </w:tc>
        <w:tc>
          <w:tcPr>
            <w:tcW w:w="718" w:type="pct"/>
            <w:vMerge w:val="continue"/>
            <w:vAlign w:val="center"/>
          </w:tcPr>
          <w:p>
            <w:pPr>
              <w:widowControl/>
              <w:jc w:val="center"/>
              <w:rPr>
                <w:rFonts w:ascii="宋体" w:hAnsi="宋体" w:cs="宋体"/>
                <w:color w:val="auto"/>
                <w:kern w:val="0"/>
                <w:szCs w:val="21"/>
              </w:rPr>
            </w:pPr>
          </w:p>
        </w:tc>
        <w:tc>
          <w:tcPr>
            <w:tcW w:w="1151" w:type="pct"/>
            <w:gridSpan w:val="2"/>
            <w:vAlign w:val="center"/>
          </w:tcPr>
          <w:p>
            <w:pPr>
              <w:widowControl/>
              <w:jc w:val="center"/>
              <w:rPr>
                <w:rFonts w:ascii="宋体" w:hAnsi="宋体" w:cs="宋体"/>
                <w:color w:val="auto"/>
                <w:kern w:val="0"/>
                <w:szCs w:val="21"/>
              </w:rPr>
            </w:pPr>
            <w:r>
              <w:rPr>
                <w:rFonts w:hint="eastAsia" w:ascii="宋体" w:hAnsi="宋体" w:cs="宋体"/>
                <w:color w:val="auto"/>
                <w:kern w:val="0"/>
                <w:sz w:val="20"/>
                <w:szCs w:val="20"/>
              </w:rPr>
              <w:t>基础数据管理</w:t>
            </w:r>
          </w:p>
        </w:tc>
        <w:tc>
          <w:tcPr>
            <w:tcW w:w="2706" w:type="pct"/>
            <w:gridSpan w:val="2"/>
            <w:vAlign w:val="center"/>
          </w:tcPr>
          <w:p>
            <w:pPr>
              <w:rPr>
                <w:color w:val="auto"/>
                <w:szCs w:val="21"/>
              </w:rPr>
            </w:pPr>
            <w:r>
              <w:rPr>
                <w:rFonts w:hint="eastAsia" w:ascii="宋体" w:hAnsi="宋体" w:cs="宋体"/>
                <w:color w:val="auto"/>
                <w:kern w:val="0"/>
                <w:sz w:val="20"/>
                <w:szCs w:val="20"/>
              </w:rPr>
              <w:t>支持在后台配置号牌类型、车身颜色、违法类型、行驶方向等数据参数。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3" w:type="pct"/>
            <w:vMerge w:val="continue"/>
            <w:vAlign w:val="center"/>
          </w:tcPr>
          <w:p>
            <w:pPr>
              <w:widowControl/>
              <w:jc w:val="center"/>
              <w:rPr>
                <w:rFonts w:ascii="宋体" w:hAnsi="宋体" w:cs="宋体"/>
                <w:color w:val="auto"/>
                <w:kern w:val="0"/>
                <w:sz w:val="20"/>
                <w:szCs w:val="20"/>
              </w:rPr>
            </w:pPr>
          </w:p>
        </w:tc>
        <w:tc>
          <w:tcPr>
            <w:tcW w:w="718" w:type="pct"/>
            <w:vMerge w:val="continue"/>
            <w:vAlign w:val="center"/>
          </w:tcPr>
          <w:p>
            <w:pPr>
              <w:widowControl/>
              <w:jc w:val="center"/>
              <w:rPr>
                <w:rFonts w:ascii="宋体" w:hAnsi="宋体" w:cs="宋体"/>
                <w:color w:val="auto"/>
                <w:kern w:val="0"/>
                <w:szCs w:val="21"/>
              </w:rPr>
            </w:pPr>
          </w:p>
        </w:tc>
        <w:tc>
          <w:tcPr>
            <w:tcW w:w="1151" w:type="pct"/>
            <w:gridSpan w:val="2"/>
            <w:vAlign w:val="center"/>
          </w:tcPr>
          <w:p>
            <w:pPr>
              <w:widowControl/>
              <w:jc w:val="center"/>
              <w:rPr>
                <w:rFonts w:ascii="宋体" w:hAnsi="宋体" w:cs="宋体"/>
                <w:color w:val="auto"/>
                <w:kern w:val="0"/>
                <w:szCs w:val="21"/>
              </w:rPr>
            </w:pPr>
            <w:r>
              <w:rPr>
                <w:rFonts w:hint="eastAsia" w:ascii="宋体" w:hAnsi="宋体" w:cs="宋体"/>
                <w:color w:val="auto"/>
                <w:kern w:val="0"/>
                <w:sz w:val="20"/>
                <w:szCs w:val="20"/>
              </w:rPr>
              <w:t>故障上报</w:t>
            </w:r>
          </w:p>
        </w:tc>
        <w:tc>
          <w:tcPr>
            <w:tcW w:w="2706" w:type="pct"/>
            <w:gridSpan w:val="2"/>
            <w:vAlign w:val="center"/>
          </w:tcPr>
          <w:p>
            <w:pPr>
              <w:rPr>
                <w:color w:val="auto"/>
                <w:szCs w:val="21"/>
              </w:rPr>
            </w:pPr>
            <w:r>
              <w:rPr>
                <w:rFonts w:hint="eastAsia" w:ascii="宋体" w:hAnsi="宋体" w:cs="宋体"/>
                <w:color w:val="auto"/>
                <w:kern w:val="0"/>
                <w:sz w:val="20"/>
                <w:szCs w:val="20"/>
              </w:rPr>
              <w:t>提供故障上报功能，通过故障情况说明的选择，系统自动定位以及故障照片的上传实现故障上报。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3" w:type="pct"/>
            <w:vMerge w:val="continue"/>
            <w:vAlign w:val="center"/>
          </w:tcPr>
          <w:p>
            <w:pPr>
              <w:widowControl/>
              <w:jc w:val="center"/>
              <w:rPr>
                <w:rFonts w:ascii="宋体" w:hAnsi="宋体" w:cs="宋体"/>
                <w:color w:val="auto"/>
                <w:kern w:val="0"/>
                <w:sz w:val="20"/>
                <w:szCs w:val="20"/>
              </w:rPr>
            </w:pPr>
          </w:p>
        </w:tc>
        <w:tc>
          <w:tcPr>
            <w:tcW w:w="718" w:type="pct"/>
            <w:vMerge w:val="continue"/>
            <w:vAlign w:val="center"/>
          </w:tcPr>
          <w:p>
            <w:pPr>
              <w:widowControl/>
              <w:jc w:val="center"/>
              <w:rPr>
                <w:rFonts w:ascii="宋体" w:hAnsi="宋体" w:cs="宋体"/>
                <w:color w:val="auto"/>
                <w:kern w:val="0"/>
                <w:szCs w:val="21"/>
              </w:rPr>
            </w:pPr>
          </w:p>
        </w:tc>
        <w:tc>
          <w:tcPr>
            <w:tcW w:w="1151" w:type="pct"/>
            <w:gridSpan w:val="2"/>
            <w:vAlign w:val="center"/>
          </w:tcPr>
          <w:p>
            <w:pPr>
              <w:widowControl/>
              <w:jc w:val="center"/>
              <w:rPr>
                <w:rFonts w:ascii="宋体" w:hAnsi="宋体" w:cs="宋体"/>
                <w:color w:val="auto"/>
                <w:kern w:val="0"/>
                <w:szCs w:val="21"/>
              </w:rPr>
            </w:pPr>
            <w:r>
              <w:rPr>
                <w:rFonts w:hint="eastAsia" w:ascii="宋体" w:hAnsi="宋体" w:cs="宋体"/>
                <w:color w:val="auto"/>
                <w:kern w:val="0"/>
                <w:sz w:val="20"/>
                <w:szCs w:val="20"/>
              </w:rPr>
              <w:t>上报信息查询</w:t>
            </w:r>
          </w:p>
        </w:tc>
        <w:tc>
          <w:tcPr>
            <w:tcW w:w="2706" w:type="pct"/>
            <w:gridSpan w:val="2"/>
            <w:vAlign w:val="center"/>
          </w:tcPr>
          <w:p>
            <w:pPr>
              <w:rPr>
                <w:color w:val="auto"/>
                <w:szCs w:val="21"/>
              </w:rPr>
            </w:pPr>
            <w:r>
              <w:rPr>
                <w:rFonts w:hint="eastAsia" w:ascii="宋体" w:hAnsi="宋体" w:cs="宋体"/>
                <w:color w:val="auto"/>
                <w:kern w:val="0"/>
                <w:sz w:val="20"/>
                <w:szCs w:val="20"/>
              </w:rPr>
              <w:t>用户可以查看自己提交的交通设施故障上报信息。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3" w:type="pct"/>
            <w:vMerge w:val="continue"/>
            <w:vAlign w:val="center"/>
          </w:tcPr>
          <w:p>
            <w:pPr>
              <w:widowControl/>
              <w:jc w:val="center"/>
              <w:rPr>
                <w:rFonts w:ascii="宋体" w:hAnsi="宋体" w:cs="宋体"/>
                <w:color w:val="auto"/>
                <w:kern w:val="0"/>
                <w:sz w:val="20"/>
                <w:szCs w:val="20"/>
              </w:rPr>
            </w:pPr>
          </w:p>
        </w:tc>
        <w:tc>
          <w:tcPr>
            <w:tcW w:w="718" w:type="pct"/>
            <w:vMerge w:val="continue"/>
            <w:vAlign w:val="center"/>
          </w:tcPr>
          <w:p>
            <w:pPr>
              <w:widowControl/>
              <w:jc w:val="center"/>
              <w:rPr>
                <w:rFonts w:ascii="宋体" w:hAnsi="宋体" w:cs="宋体"/>
                <w:color w:val="auto"/>
                <w:kern w:val="0"/>
                <w:szCs w:val="21"/>
              </w:rPr>
            </w:pPr>
          </w:p>
        </w:tc>
        <w:tc>
          <w:tcPr>
            <w:tcW w:w="1151" w:type="pct"/>
            <w:gridSpan w:val="2"/>
            <w:vAlign w:val="center"/>
          </w:tcPr>
          <w:p>
            <w:pPr>
              <w:widowControl/>
              <w:jc w:val="center"/>
              <w:rPr>
                <w:rFonts w:ascii="宋体" w:hAnsi="宋体" w:cs="宋体"/>
                <w:color w:val="auto"/>
                <w:kern w:val="0"/>
                <w:szCs w:val="21"/>
              </w:rPr>
            </w:pPr>
            <w:r>
              <w:rPr>
                <w:rFonts w:hint="eastAsia" w:ascii="宋体" w:hAnsi="宋体" w:cs="宋体"/>
                <w:color w:val="auto"/>
                <w:kern w:val="0"/>
                <w:sz w:val="20"/>
                <w:szCs w:val="20"/>
              </w:rPr>
              <w:t>整改情况上传</w:t>
            </w:r>
          </w:p>
        </w:tc>
        <w:tc>
          <w:tcPr>
            <w:tcW w:w="2706" w:type="pct"/>
            <w:gridSpan w:val="2"/>
            <w:vAlign w:val="center"/>
          </w:tcPr>
          <w:p>
            <w:pPr>
              <w:rPr>
                <w:color w:val="auto"/>
                <w:szCs w:val="21"/>
              </w:rPr>
            </w:pPr>
            <w:r>
              <w:rPr>
                <w:rFonts w:hint="eastAsia" w:ascii="宋体" w:hAnsi="宋体" w:cs="宋体"/>
                <w:color w:val="auto"/>
                <w:kern w:val="0"/>
                <w:sz w:val="20"/>
                <w:szCs w:val="20"/>
              </w:rPr>
              <w:t>系统支持中队可将整改后的交安设施情况进行上传。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3" w:type="pct"/>
            <w:vMerge w:val="continue"/>
            <w:vAlign w:val="center"/>
          </w:tcPr>
          <w:p>
            <w:pPr>
              <w:widowControl/>
              <w:jc w:val="center"/>
              <w:rPr>
                <w:rFonts w:ascii="宋体" w:hAnsi="宋体" w:cs="宋体"/>
                <w:color w:val="auto"/>
                <w:kern w:val="0"/>
                <w:sz w:val="20"/>
                <w:szCs w:val="20"/>
              </w:rPr>
            </w:pPr>
          </w:p>
        </w:tc>
        <w:tc>
          <w:tcPr>
            <w:tcW w:w="718" w:type="pct"/>
            <w:vMerge w:val="continue"/>
            <w:vAlign w:val="center"/>
          </w:tcPr>
          <w:p>
            <w:pPr>
              <w:jc w:val="center"/>
              <w:rPr>
                <w:rFonts w:ascii="宋体" w:hAnsi="宋体" w:cs="宋体"/>
                <w:color w:val="auto"/>
                <w:kern w:val="0"/>
                <w:szCs w:val="21"/>
              </w:rPr>
            </w:pPr>
          </w:p>
        </w:tc>
        <w:tc>
          <w:tcPr>
            <w:tcW w:w="1151" w:type="pct"/>
            <w:gridSpan w:val="2"/>
            <w:vAlign w:val="center"/>
          </w:tcPr>
          <w:p>
            <w:pPr>
              <w:widowControl/>
              <w:jc w:val="center"/>
              <w:rPr>
                <w:rFonts w:ascii="宋体" w:hAnsi="宋体" w:cs="宋体"/>
                <w:color w:val="auto"/>
                <w:kern w:val="0"/>
                <w:szCs w:val="21"/>
              </w:rPr>
            </w:pPr>
            <w:r>
              <w:rPr>
                <w:rFonts w:hint="eastAsia" w:ascii="宋体" w:hAnsi="宋体" w:cs="宋体"/>
                <w:color w:val="auto"/>
                <w:kern w:val="0"/>
                <w:sz w:val="20"/>
                <w:szCs w:val="20"/>
              </w:rPr>
              <w:t>用户认证</w:t>
            </w:r>
          </w:p>
        </w:tc>
        <w:tc>
          <w:tcPr>
            <w:tcW w:w="2706" w:type="pct"/>
            <w:gridSpan w:val="2"/>
            <w:vAlign w:val="center"/>
          </w:tcPr>
          <w:p>
            <w:pPr>
              <w:rPr>
                <w:color w:val="auto"/>
                <w:szCs w:val="21"/>
              </w:rPr>
            </w:pPr>
            <w:r>
              <w:rPr>
                <w:rFonts w:hint="eastAsia" w:ascii="宋体" w:hAnsi="宋体" w:cs="宋体"/>
                <w:color w:val="auto"/>
                <w:kern w:val="0"/>
                <w:sz w:val="20"/>
                <w:szCs w:val="20"/>
              </w:rPr>
              <w:t>对群众的学员身份进行核查认证，若不是学员可以作为志愿者身份参加公益活动。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3" w:type="pct"/>
            <w:vMerge w:val="continue"/>
            <w:vAlign w:val="center"/>
          </w:tcPr>
          <w:p>
            <w:pPr>
              <w:widowControl/>
              <w:jc w:val="center"/>
              <w:rPr>
                <w:rFonts w:ascii="宋体" w:hAnsi="宋体" w:cs="宋体"/>
                <w:color w:val="auto"/>
                <w:kern w:val="0"/>
                <w:sz w:val="20"/>
                <w:szCs w:val="20"/>
              </w:rPr>
            </w:pPr>
          </w:p>
        </w:tc>
        <w:tc>
          <w:tcPr>
            <w:tcW w:w="718" w:type="pct"/>
            <w:vMerge w:val="continue"/>
            <w:vAlign w:val="center"/>
          </w:tcPr>
          <w:p>
            <w:pPr>
              <w:widowControl/>
              <w:jc w:val="center"/>
              <w:rPr>
                <w:rFonts w:ascii="宋体" w:hAnsi="宋体" w:cs="宋体"/>
                <w:color w:val="auto"/>
                <w:kern w:val="0"/>
                <w:szCs w:val="21"/>
              </w:rPr>
            </w:pPr>
          </w:p>
        </w:tc>
        <w:tc>
          <w:tcPr>
            <w:tcW w:w="1151" w:type="pct"/>
            <w:gridSpan w:val="2"/>
            <w:vAlign w:val="center"/>
          </w:tcPr>
          <w:p>
            <w:pPr>
              <w:widowControl/>
              <w:jc w:val="center"/>
              <w:rPr>
                <w:rFonts w:ascii="宋体" w:hAnsi="宋体" w:cs="宋体"/>
                <w:color w:val="auto"/>
                <w:kern w:val="0"/>
                <w:szCs w:val="21"/>
              </w:rPr>
            </w:pPr>
            <w:r>
              <w:rPr>
                <w:rFonts w:hint="eastAsia" w:ascii="宋体" w:hAnsi="宋体" w:cs="宋体"/>
                <w:color w:val="auto"/>
                <w:kern w:val="0"/>
                <w:sz w:val="20"/>
                <w:szCs w:val="20"/>
              </w:rPr>
              <w:t>站岗预约</w:t>
            </w:r>
          </w:p>
        </w:tc>
        <w:tc>
          <w:tcPr>
            <w:tcW w:w="2706" w:type="pct"/>
            <w:gridSpan w:val="2"/>
            <w:vAlign w:val="center"/>
          </w:tcPr>
          <w:p>
            <w:pPr>
              <w:rPr>
                <w:color w:val="auto"/>
                <w:szCs w:val="21"/>
              </w:rPr>
            </w:pPr>
            <w:r>
              <w:rPr>
                <w:rFonts w:hint="eastAsia" w:ascii="宋体" w:hAnsi="宋体" w:cs="宋体"/>
                <w:color w:val="auto"/>
                <w:kern w:val="0"/>
                <w:sz w:val="20"/>
                <w:szCs w:val="20"/>
              </w:rPr>
              <w:t>管理员可对预约时间，位置等进行配置；群众提交预约信息后可进行站岗预约。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3" w:type="pct"/>
            <w:vMerge w:val="continue"/>
            <w:vAlign w:val="center"/>
          </w:tcPr>
          <w:p>
            <w:pPr>
              <w:widowControl/>
              <w:jc w:val="center"/>
              <w:rPr>
                <w:rFonts w:ascii="宋体" w:hAnsi="宋体" w:cs="宋体"/>
                <w:color w:val="auto"/>
                <w:kern w:val="0"/>
                <w:sz w:val="20"/>
                <w:szCs w:val="20"/>
              </w:rPr>
            </w:pPr>
          </w:p>
        </w:tc>
        <w:tc>
          <w:tcPr>
            <w:tcW w:w="718" w:type="pct"/>
            <w:vMerge w:val="continue"/>
            <w:vAlign w:val="center"/>
          </w:tcPr>
          <w:p>
            <w:pPr>
              <w:widowControl/>
              <w:jc w:val="center"/>
              <w:rPr>
                <w:rFonts w:ascii="宋体" w:hAnsi="宋体" w:cs="宋体"/>
                <w:color w:val="auto"/>
                <w:kern w:val="0"/>
                <w:szCs w:val="21"/>
              </w:rPr>
            </w:pPr>
          </w:p>
        </w:tc>
        <w:tc>
          <w:tcPr>
            <w:tcW w:w="1151" w:type="pct"/>
            <w:gridSpan w:val="2"/>
            <w:vAlign w:val="center"/>
          </w:tcPr>
          <w:p>
            <w:pPr>
              <w:widowControl/>
              <w:jc w:val="center"/>
              <w:rPr>
                <w:rFonts w:ascii="宋体" w:hAnsi="宋体" w:cs="宋体"/>
                <w:color w:val="auto"/>
                <w:kern w:val="0"/>
                <w:szCs w:val="21"/>
              </w:rPr>
            </w:pPr>
            <w:r>
              <w:rPr>
                <w:rFonts w:hint="eastAsia" w:ascii="宋体" w:hAnsi="宋体" w:cs="宋体"/>
                <w:color w:val="auto"/>
                <w:kern w:val="0"/>
                <w:sz w:val="20"/>
                <w:szCs w:val="20"/>
              </w:rPr>
              <w:t>站岗签到/签退</w:t>
            </w:r>
          </w:p>
        </w:tc>
        <w:tc>
          <w:tcPr>
            <w:tcW w:w="2706" w:type="pct"/>
            <w:gridSpan w:val="2"/>
            <w:vAlign w:val="center"/>
          </w:tcPr>
          <w:p>
            <w:pPr>
              <w:rPr>
                <w:rFonts w:ascii="宋体" w:hAnsi="宋体" w:cs="宋体"/>
                <w:color w:val="auto"/>
                <w:kern w:val="0"/>
                <w:sz w:val="20"/>
                <w:szCs w:val="20"/>
              </w:rPr>
            </w:pPr>
            <w:r>
              <w:rPr>
                <w:rFonts w:hint="eastAsia" w:ascii="宋体" w:hAnsi="宋体" w:cs="宋体"/>
                <w:color w:val="auto"/>
                <w:kern w:val="0"/>
                <w:sz w:val="20"/>
                <w:szCs w:val="20"/>
              </w:rPr>
              <w:t>提供限定时间内的站岗签到/签退功能。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3" w:type="pct"/>
            <w:vMerge w:val="continue"/>
            <w:vAlign w:val="center"/>
          </w:tcPr>
          <w:p>
            <w:pPr>
              <w:widowControl/>
              <w:jc w:val="center"/>
              <w:rPr>
                <w:rFonts w:ascii="宋体" w:hAnsi="宋体" w:cs="宋体"/>
                <w:color w:val="auto"/>
                <w:kern w:val="0"/>
                <w:sz w:val="20"/>
                <w:szCs w:val="20"/>
              </w:rPr>
            </w:pPr>
          </w:p>
        </w:tc>
        <w:tc>
          <w:tcPr>
            <w:tcW w:w="718" w:type="pct"/>
            <w:vMerge w:val="continue"/>
            <w:vAlign w:val="center"/>
          </w:tcPr>
          <w:p>
            <w:pPr>
              <w:widowControl/>
              <w:jc w:val="center"/>
              <w:rPr>
                <w:rFonts w:ascii="宋体" w:hAnsi="宋体" w:cs="宋体"/>
                <w:color w:val="auto"/>
                <w:kern w:val="0"/>
                <w:sz w:val="20"/>
                <w:szCs w:val="20"/>
              </w:rPr>
            </w:pPr>
          </w:p>
        </w:tc>
        <w:tc>
          <w:tcPr>
            <w:tcW w:w="1151" w:type="pct"/>
            <w:gridSpan w:val="2"/>
            <w:vAlign w:val="center"/>
          </w:tcPr>
          <w:p>
            <w:pPr>
              <w:widowControl/>
              <w:jc w:val="center"/>
              <w:rPr>
                <w:rFonts w:ascii="宋体" w:hAnsi="宋体" w:cs="宋体"/>
                <w:color w:val="auto"/>
                <w:kern w:val="0"/>
                <w:szCs w:val="21"/>
              </w:rPr>
            </w:pPr>
            <w:r>
              <w:rPr>
                <w:rFonts w:hint="eastAsia" w:ascii="宋体" w:hAnsi="宋体" w:cs="宋体"/>
                <w:color w:val="auto"/>
                <w:kern w:val="0"/>
                <w:sz w:val="20"/>
                <w:szCs w:val="20"/>
              </w:rPr>
              <w:t>站岗比对</w:t>
            </w:r>
          </w:p>
        </w:tc>
        <w:tc>
          <w:tcPr>
            <w:tcW w:w="2706" w:type="pct"/>
            <w:gridSpan w:val="2"/>
            <w:vAlign w:val="center"/>
          </w:tcPr>
          <w:p>
            <w:pPr>
              <w:rPr>
                <w:rFonts w:ascii="宋体" w:hAnsi="宋体" w:cs="宋体"/>
                <w:color w:val="auto"/>
                <w:kern w:val="0"/>
                <w:sz w:val="20"/>
                <w:szCs w:val="20"/>
              </w:rPr>
            </w:pPr>
            <w:r>
              <w:rPr>
                <w:rFonts w:hint="eastAsia" w:ascii="宋体" w:hAnsi="宋体" w:cs="宋体"/>
                <w:color w:val="auto"/>
                <w:kern w:val="0"/>
                <w:sz w:val="20"/>
                <w:szCs w:val="20"/>
              </w:rPr>
              <w:t>调用扫脸实名验证接口，确保该用户为本人操作。并记录当前位置及当前时间；提供站岗过程照片上传功能，通过签到、过程图片上传、签退进行三次定位位置与岗亭位置比对。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3" w:type="pct"/>
            <w:vMerge w:val="continue"/>
            <w:vAlign w:val="center"/>
          </w:tcPr>
          <w:p>
            <w:pPr>
              <w:widowControl/>
              <w:jc w:val="center"/>
              <w:rPr>
                <w:rFonts w:ascii="宋体" w:hAnsi="宋体" w:cs="宋体"/>
                <w:color w:val="auto"/>
                <w:kern w:val="0"/>
                <w:sz w:val="20"/>
                <w:szCs w:val="20"/>
              </w:rPr>
            </w:pPr>
          </w:p>
        </w:tc>
        <w:tc>
          <w:tcPr>
            <w:tcW w:w="718" w:type="pct"/>
            <w:vMerge w:val="continue"/>
            <w:vAlign w:val="center"/>
          </w:tcPr>
          <w:p>
            <w:pPr>
              <w:widowControl/>
              <w:jc w:val="center"/>
              <w:rPr>
                <w:rFonts w:ascii="宋体" w:hAnsi="宋体" w:cs="宋体"/>
                <w:color w:val="auto"/>
                <w:kern w:val="0"/>
                <w:sz w:val="20"/>
                <w:szCs w:val="20"/>
              </w:rPr>
            </w:pPr>
          </w:p>
        </w:tc>
        <w:tc>
          <w:tcPr>
            <w:tcW w:w="1151" w:type="pct"/>
            <w:gridSpan w:val="2"/>
            <w:vAlign w:val="center"/>
          </w:tcPr>
          <w:p>
            <w:pPr>
              <w:widowControl/>
              <w:jc w:val="center"/>
              <w:rPr>
                <w:rFonts w:ascii="宋体" w:hAnsi="宋体" w:cs="宋体"/>
                <w:color w:val="auto"/>
                <w:kern w:val="0"/>
                <w:szCs w:val="21"/>
              </w:rPr>
            </w:pPr>
            <w:r>
              <w:rPr>
                <w:rFonts w:hint="eastAsia" w:ascii="宋体" w:hAnsi="宋体" w:cs="宋体"/>
                <w:color w:val="auto"/>
                <w:kern w:val="0"/>
                <w:sz w:val="20"/>
                <w:szCs w:val="20"/>
              </w:rPr>
              <w:t>工作人员核查</w:t>
            </w:r>
          </w:p>
        </w:tc>
        <w:tc>
          <w:tcPr>
            <w:tcW w:w="2706" w:type="pct"/>
            <w:gridSpan w:val="2"/>
            <w:vAlign w:val="center"/>
          </w:tcPr>
          <w:p>
            <w:pPr>
              <w:rPr>
                <w:color w:val="auto"/>
              </w:rPr>
            </w:pPr>
            <w:r>
              <w:rPr>
                <w:rFonts w:hint="eastAsia" w:ascii="宋体" w:hAnsi="宋体" w:cs="宋体"/>
                <w:color w:val="auto"/>
                <w:kern w:val="0"/>
                <w:sz w:val="20"/>
                <w:szCs w:val="20"/>
              </w:rPr>
              <w:t>支持民警将站岗记录进行无效认证。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3" w:type="pct"/>
            <w:vMerge w:val="continue"/>
            <w:vAlign w:val="center"/>
          </w:tcPr>
          <w:p>
            <w:pPr>
              <w:widowControl/>
              <w:jc w:val="center"/>
              <w:rPr>
                <w:rFonts w:ascii="宋体" w:hAnsi="宋体" w:cs="宋体"/>
                <w:color w:val="auto"/>
                <w:kern w:val="0"/>
                <w:sz w:val="20"/>
                <w:szCs w:val="20"/>
              </w:rPr>
            </w:pPr>
          </w:p>
        </w:tc>
        <w:tc>
          <w:tcPr>
            <w:tcW w:w="718" w:type="pct"/>
            <w:vMerge w:val="continue"/>
            <w:vAlign w:val="center"/>
          </w:tcPr>
          <w:p>
            <w:pPr>
              <w:widowControl/>
              <w:jc w:val="center"/>
              <w:rPr>
                <w:rFonts w:ascii="宋体" w:hAnsi="宋体" w:cs="宋体"/>
                <w:color w:val="auto"/>
                <w:kern w:val="0"/>
                <w:sz w:val="20"/>
                <w:szCs w:val="20"/>
              </w:rPr>
            </w:pPr>
          </w:p>
        </w:tc>
        <w:tc>
          <w:tcPr>
            <w:tcW w:w="1151" w:type="pct"/>
            <w:gridSpan w:val="2"/>
            <w:vAlign w:val="center"/>
          </w:tcPr>
          <w:p>
            <w:pPr>
              <w:widowControl/>
              <w:jc w:val="center"/>
              <w:rPr>
                <w:rFonts w:ascii="宋体" w:hAnsi="宋体" w:cs="宋体"/>
                <w:color w:val="auto"/>
                <w:kern w:val="0"/>
                <w:szCs w:val="21"/>
              </w:rPr>
            </w:pPr>
            <w:r>
              <w:rPr>
                <w:rFonts w:hint="eastAsia" w:ascii="宋体" w:hAnsi="宋体" w:cs="宋体"/>
                <w:color w:val="auto"/>
                <w:kern w:val="0"/>
                <w:sz w:val="20"/>
                <w:szCs w:val="20"/>
              </w:rPr>
              <w:t>站岗计划管理</w:t>
            </w:r>
          </w:p>
        </w:tc>
        <w:tc>
          <w:tcPr>
            <w:tcW w:w="2706" w:type="pct"/>
            <w:gridSpan w:val="2"/>
            <w:vAlign w:val="center"/>
          </w:tcPr>
          <w:p>
            <w:pPr>
              <w:rPr>
                <w:rFonts w:ascii="宋体" w:hAnsi="宋体" w:cs="宋体"/>
                <w:color w:val="auto"/>
                <w:kern w:val="0"/>
                <w:sz w:val="20"/>
                <w:szCs w:val="20"/>
              </w:rPr>
            </w:pPr>
            <w:r>
              <w:rPr>
                <w:rFonts w:hint="eastAsia" w:ascii="宋体" w:hAnsi="宋体" w:cs="宋体"/>
                <w:color w:val="auto"/>
                <w:kern w:val="0"/>
                <w:sz w:val="20"/>
                <w:szCs w:val="20"/>
              </w:rPr>
              <w:t>将站岗计划信息，提供给民警进行维护。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3" w:type="pct"/>
            <w:vMerge w:val="continue"/>
            <w:vAlign w:val="center"/>
          </w:tcPr>
          <w:p>
            <w:pPr>
              <w:widowControl/>
              <w:jc w:val="center"/>
              <w:rPr>
                <w:rFonts w:ascii="宋体" w:hAnsi="宋体" w:cs="宋体"/>
                <w:color w:val="auto"/>
                <w:kern w:val="0"/>
                <w:sz w:val="20"/>
                <w:szCs w:val="20"/>
              </w:rPr>
            </w:pPr>
          </w:p>
        </w:tc>
        <w:tc>
          <w:tcPr>
            <w:tcW w:w="718" w:type="pct"/>
            <w:vMerge w:val="continue"/>
            <w:vAlign w:val="center"/>
          </w:tcPr>
          <w:p>
            <w:pPr>
              <w:widowControl/>
              <w:jc w:val="center"/>
              <w:rPr>
                <w:rFonts w:ascii="宋体" w:hAnsi="宋体" w:cs="宋体"/>
                <w:color w:val="auto"/>
                <w:kern w:val="0"/>
                <w:sz w:val="20"/>
                <w:szCs w:val="20"/>
              </w:rPr>
            </w:pPr>
          </w:p>
        </w:tc>
        <w:tc>
          <w:tcPr>
            <w:tcW w:w="1151" w:type="pct"/>
            <w:gridSpan w:val="2"/>
            <w:vAlign w:val="center"/>
          </w:tcPr>
          <w:p>
            <w:pPr>
              <w:widowControl/>
              <w:jc w:val="center"/>
              <w:rPr>
                <w:rFonts w:ascii="宋体" w:hAnsi="宋体" w:cs="宋体"/>
                <w:b/>
                <w:bCs/>
                <w:color w:val="auto"/>
                <w:kern w:val="0"/>
                <w:szCs w:val="21"/>
              </w:rPr>
            </w:pPr>
            <w:r>
              <w:rPr>
                <w:rFonts w:hint="eastAsia" w:ascii="宋体" w:hAnsi="宋体" w:cs="宋体"/>
                <w:color w:val="auto"/>
                <w:kern w:val="0"/>
                <w:sz w:val="20"/>
                <w:szCs w:val="20"/>
              </w:rPr>
              <w:t>系统管理</w:t>
            </w:r>
          </w:p>
        </w:tc>
        <w:tc>
          <w:tcPr>
            <w:tcW w:w="2706" w:type="pct"/>
            <w:gridSpan w:val="2"/>
            <w:vAlign w:val="center"/>
          </w:tcPr>
          <w:p>
            <w:pPr>
              <w:rPr>
                <w:rFonts w:ascii="宋体" w:hAnsi="宋体"/>
                <w:color w:val="auto"/>
                <w:szCs w:val="20"/>
              </w:rPr>
            </w:pPr>
            <w:r>
              <w:rPr>
                <w:rFonts w:hint="eastAsia" w:ascii="宋体" w:hAnsi="宋体" w:cs="宋体"/>
                <w:color w:val="auto"/>
                <w:kern w:val="0"/>
                <w:sz w:val="20"/>
                <w:szCs w:val="20"/>
              </w:rPr>
              <w:t>提供后台用户，权限，部门等信息维护管理。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3" w:type="pct"/>
            <w:vMerge w:val="restart"/>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3</w:t>
            </w:r>
          </w:p>
        </w:tc>
        <w:tc>
          <w:tcPr>
            <w:tcW w:w="718" w:type="pct"/>
            <w:vMerge w:val="restart"/>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重点驾驶人学习中心（台州交警微信端）</w:t>
            </w:r>
          </w:p>
        </w:tc>
        <w:tc>
          <w:tcPr>
            <w:tcW w:w="1151" w:type="pct"/>
            <w:gridSpan w:val="2"/>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非机动车管控重点教育任务完成情况查询</w:t>
            </w:r>
          </w:p>
        </w:tc>
        <w:tc>
          <w:tcPr>
            <w:tcW w:w="2706" w:type="pct"/>
            <w:gridSpan w:val="2"/>
            <w:vAlign w:val="center"/>
          </w:tcPr>
          <w:p>
            <w:pPr>
              <w:spacing w:after="120"/>
              <w:rPr>
                <w:rFonts w:ascii="宋体" w:hAnsi="宋体" w:cs="宋体"/>
                <w:color w:val="auto"/>
                <w:kern w:val="0"/>
                <w:sz w:val="20"/>
                <w:szCs w:val="20"/>
              </w:rPr>
            </w:pPr>
            <w:r>
              <w:rPr>
                <w:rFonts w:hint="eastAsia" w:ascii="宋体" w:hAnsi="宋体" w:cs="宋体"/>
                <w:color w:val="auto"/>
                <w:kern w:val="0"/>
                <w:sz w:val="20"/>
                <w:szCs w:val="20"/>
              </w:rPr>
              <w:t>提供对非机动车管控重点教育任务完成情况进行查询。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3" w:type="pct"/>
            <w:vMerge w:val="continue"/>
            <w:vAlign w:val="center"/>
          </w:tcPr>
          <w:p>
            <w:pPr>
              <w:widowControl/>
              <w:autoSpaceDE w:val="0"/>
              <w:autoSpaceDN w:val="0"/>
              <w:adjustRightInd w:val="0"/>
              <w:spacing w:line="360" w:lineRule="auto"/>
              <w:jc w:val="center"/>
              <w:rPr>
                <w:color w:val="auto"/>
                <w:kern w:val="0"/>
                <w:sz w:val="24"/>
                <w:szCs w:val="28"/>
              </w:rPr>
            </w:pPr>
          </w:p>
        </w:tc>
        <w:tc>
          <w:tcPr>
            <w:tcW w:w="718" w:type="pct"/>
            <w:vMerge w:val="continue"/>
            <w:vAlign w:val="center"/>
          </w:tcPr>
          <w:p>
            <w:pPr>
              <w:widowControl/>
              <w:jc w:val="center"/>
              <w:rPr>
                <w:rFonts w:ascii="宋体" w:hAnsi="宋体" w:cs="宋体"/>
                <w:color w:val="auto"/>
                <w:kern w:val="0"/>
                <w:sz w:val="20"/>
                <w:szCs w:val="20"/>
              </w:rPr>
            </w:pPr>
          </w:p>
        </w:tc>
        <w:tc>
          <w:tcPr>
            <w:tcW w:w="1151" w:type="pct"/>
            <w:gridSpan w:val="2"/>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数据对接</w:t>
            </w:r>
          </w:p>
        </w:tc>
        <w:tc>
          <w:tcPr>
            <w:tcW w:w="2706" w:type="pct"/>
            <w:gridSpan w:val="2"/>
            <w:vAlign w:val="center"/>
          </w:tcPr>
          <w:p>
            <w:pPr>
              <w:rPr>
                <w:rFonts w:ascii="宋体" w:hAnsi="宋体" w:cs="宋体"/>
                <w:color w:val="auto"/>
                <w:kern w:val="0"/>
                <w:sz w:val="20"/>
                <w:szCs w:val="20"/>
              </w:rPr>
            </w:pPr>
            <w:r>
              <w:rPr>
                <w:rFonts w:hint="eastAsia" w:ascii="宋体" w:hAnsi="宋体" w:cs="宋体"/>
                <w:color w:val="auto"/>
                <w:kern w:val="0"/>
                <w:sz w:val="20"/>
                <w:szCs w:val="20"/>
              </w:rPr>
              <w:t>与数据中心对接，获取非机动车管控系统数据，如未带安全头盔的老年人村落信息、人像图片等数据。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3" w:type="pct"/>
            <w:vMerge w:val="continue"/>
            <w:vAlign w:val="center"/>
          </w:tcPr>
          <w:p>
            <w:pPr>
              <w:widowControl/>
              <w:autoSpaceDE w:val="0"/>
              <w:autoSpaceDN w:val="0"/>
              <w:adjustRightInd w:val="0"/>
              <w:spacing w:line="360" w:lineRule="auto"/>
              <w:jc w:val="center"/>
              <w:rPr>
                <w:color w:val="auto"/>
                <w:kern w:val="0"/>
                <w:sz w:val="24"/>
                <w:szCs w:val="28"/>
              </w:rPr>
            </w:pPr>
          </w:p>
        </w:tc>
        <w:tc>
          <w:tcPr>
            <w:tcW w:w="718" w:type="pct"/>
            <w:vMerge w:val="continue"/>
            <w:vAlign w:val="center"/>
          </w:tcPr>
          <w:p>
            <w:pPr>
              <w:widowControl/>
              <w:jc w:val="center"/>
              <w:rPr>
                <w:rFonts w:ascii="宋体" w:hAnsi="宋体" w:cs="宋体"/>
                <w:color w:val="auto"/>
                <w:kern w:val="0"/>
                <w:sz w:val="20"/>
                <w:szCs w:val="20"/>
              </w:rPr>
            </w:pPr>
          </w:p>
        </w:tc>
        <w:tc>
          <w:tcPr>
            <w:tcW w:w="1151" w:type="pct"/>
            <w:gridSpan w:val="2"/>
            <w:vAlign w:val="center"/>
          </w:tcPr>
          <w:p>
            <w:pPr>
              <w:jc w:val="center"/>
              <w:rPr>
                <w:rFonts w:ascii="宋体" w:hAnsi="宋体" w:cs="宋体"/>
                <w:color w:val="auto"/>
                <w:kern w:val="0"/>
                <w:sz w:val="20"/>
                <w:szCs w:val="20"/>
              </w:rPr>
            </w:pPr>
            <w:r>
              <w:rPr>
                <w:rFonts w:hint="eastAsia" w:ascii="宋体" w:hAnsi="宋体" w:cs="宋体"/>
                <w:color w:val="auto"/>
                <w:kern w:val="0"/>
                <w:sz w:val="20"/>
                <w:szCs w:val="20"/>
              </w:rPr>
              <w:t>学习模块用户管理</w:t>
            </w:r>
          </w:p>
        </w:tc>
        <w:tc>
          <w:tcPr>
            <w:tcW w:w="2706" w:type="pct"/>
            <w:gridSpan w:val="2"/>
            <w:vAlign w:val="center"/>
          </w:tcPr>
          <w:p>
            <w:pPr>
              <w:rPr>
                <w:rFonts w:ascii="宋体" w:hAnsi="宋体" w:cs="宋体"/>
                <w:color w:val="auto"/>
                <w:kern w:val="0"/>
                <w:sz w:val="20"/>
                <w:szCs w:val="20"/>
              </w:rPr>
            </w:pPr>
            <w:r>
              <w:rPr>
                <w:rFonts w:hint="eastAsia" w:ascii="宋体" w:hAnsi="宋体" w:cs="宋体"/>
                <w:color w:val="auto"/>
                <w:kern w:val="0"/>
                <w:sz w:val="20"/>
                <w:szCs w:val="20"/>
              </w:rPr>
              <w:t>民警可以通过新增或名单导入的方式维护学习模块中特定人员名单，对特定人员的学习成果进行监管。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3" w:type="pct"/>
            <w:vMerge w:val="continue"/>
            <w:vAlign w:val="center"/>
          </w:tcPr>
          <w:p>
            <w:pPr>
              <w:widowControl/>
              <w:autoSpaceDE w:val="0"/>
              <w:autoSpaceDN w:val="0"/>
              <w:adjustRightInd w:val="0"/>
              <w:spacing w:line="360" w:lineRule="auto"/>
              <w:jc w:val="center"/>
              <w:rPr>
                <w:color w:val="auto"/>
                <w:kern w:val="0"/>
                <w:sz w:val="24"/>
                <w:szCs w:val="28"/>
              </w:rPr>
            </w:pPr>
          </w:p>
        </w:tc>
        <w:tc>
          <w:tcPr>
            <w:tcW w:w="718" w:type="pct"/>
            <w:vMerge w:val="continue"/>
            <w:vAlign w:val="center"/>
          </w:tcPr>
          <w:p>
            <w:pPr>
              <w:widowControl/>
              <w:jc w:val="center"/>
              <w:rPr>
                <w:rFonts w:ascii="宋体" w:hAnsi="宋体" w:cs="宋体"/>
                <w:color w:val="auto"/>
                <w:kern w:val="0"/>
                <w:sz w:val="20"/>
                <w:szCs w:val="20"/>
              </w:rPr>
            </w:pPr>
          </w:p>
        </w:tc>
        <w:tc>
          <w:tcPr>
            <w:tcW w:w="1151" w:type="pct"/>
            <w:gridSpan w:val="2"/>
            <w:vAlign w:val="center"/>
          </w:tcPr>
          <w:p>
            <w:pPr>
              <w:jc w:val="center"/>
              <w:rPr>
                <w:rFonts w:ascii="宋体" w:hAnsi="宋体" w:cs="宋体"/>
                <w:color w:val="auto"/>
                <w:kern w:val="0"/>
                <w:sz w:val="20"/>
                <w:szCs w:val="20"/>
              </w:rPr>
            </w:pPr>
            <w:r>
              <w:rPr>
                <w:rFonts w:hint="eastAsia" w:ascii="宋体" w:hAnsi="宋体" w:cs="宋体"/>
                <w:color w:val="auto"/>
                <w:kern w:val="0"/>
                <w:sz w:val="20"/>
                <w:szCs w:val="20"/>
              </w:rPr>
              <w:t>用户认证</w:t>
            </w:r>
          </w:p>
        </w:tc>
        <w:tc>
          <w:tcPr>
            <w:tcW w:w="2706" w:type="pct"/>
            <w:gridSpan w:val="2"/>
            <w:vAlign w:val="center"/>
          </w:tcPr>
          <w:p>
            <w:pPr>
              <w:rPr>
                <w:rFonts w:ascii="宋体" w:hAnsi="宋体" w:cs="宋体"/>
                <w:color w:val="auto"/>
                <w:kern w:val="0"/>
                <w:sz w:val="20"/>
                <w:szCs w:val="20"/>
              </w:rPr>
            </w:pPr>
            <w:r>
              <w:rPr>
                <w:rFonts w:hint="eastAsia" w:ascii="宋体" w:hAnsi="宋体" w:cs="宋体"/>
                <w:color w:val="auto"/>
                <w:kern w:val="0"/>
                <w:sz w:val="20"/>
                <w:szCs w:val="20"/>
              </w:rPr>
              <w:t>对学习人员的身份进行核查认证，若不是特定人员可以作为游客的身份参加学习。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3" w:type="pct"/>
            <w:vMerge w:val="continue"/>
            <w:vAlign w:val="center"/>
          </w:tcPr>
          <w:p>
            <w:pPr>
              <w:widowControl/>
              <w:autoSpaceDE w:val="0"/>
              <w:autoSpaceDN w:val="0"/>
              <w:adjustRightInd w:val="0"/>
              <w:spacing w:line="360" w:lineRule="auto"/>
              <w:jc w:val="center"/>
              <w:rPr>
                <w:color w:val="auto"/>
                <w:kern w:val="0"/>
                <w:sz w:val="24"/>
                <w:szCs w:val="28"/>
              </w:rPr>
            </w:pPr>
          </w:p>
        </w:tc>
        <w:tc>
          <w:tcPr>
            <w:tcW w:w="718" w:type="pct"/>
            <w:vMerge w:val="continue"/>
            <w:vAlign w:val="center"/>
          </w:tcPr>
          <w:p>
            <w:pPr>
              <w:widowControl/>
              <w:jc w:val="center"/>
              <w:rPr>
                <w:rFonts w:ascii="宋体" w:hAnsi="宋体" w:cs="宋体"/>
                <w:color w:val="auto"/>
                <w:kern w:val="0"/>
                <w:sz w:val="20"/>
                <w:szCs w:val="20"/>
              </w:rPr>
            </w:pPr>
          </w:p>
        </w:tc>
        <w:tc>
          <w:tcPr>
            <w:tcW w:w="1151" w:type="pct"/>
            <w:gridSpan w:val="2"/>
            <w:vAlign w:val="center"/>
          </w:tcPr>
          <w:p>
            <w:pPr>
              <w:jc w:val="center"/>
              <w:rPr>
                <w:rFonts w:ascii="宋体" w:hAnsi="宋体" w:cs="宋体"/>
                <w:color w:val="auto"/>
                <w:kern w:val="0"/>
                <w:sz w:val="20"/>
                <w:szCs w:val="20"/>
              </w:rPr>
            </w:pPr>
            <w:r>
              <w:rPr>
                <w:rFonts w:hint="eastAsia" w:ascii="宋体" w:hAnsi="宋体" w:cs="宋体"/>
                <w:color w:val="auto"/>
                <w:kern w:val="0"/>
                <w:sz w:val="20"/>
                <w:szCs w:val="20"/>
              </w:rPr>
              <w:t>学习资源分类</w:t>
            </w:r>
          </w:p>
        </w:tc>
        <w:tc>
          <w:tcPr>
            <w:tcW w:w="2706" w:type="pct"/>
            <w:gridSpan w:val="2"/>
            <w:vAlign w:val="center"/>
          </w:tcPr>
          <w:p>
            <w:pPr>
              <w:rPr>
                <w:rFonts w:ascii="宋体" w:hAnsi="宋体" w:cs="宋体"/>
                <w:color w:val="auto"/>
                <w:kern w:val="0"/>
                <w:sz w:val="20"/>
                <w:szCs w:val="20"/>
              </w:rPr>
            </w:pPr>
            <w:r>
              <w:rPr>
                <w:rFonts w:hint="eastAsia" w:ascii="宋体" w:hAnsi="宋体" w:cs="宋体"/>
                <w:color w:val="auto"/>
                <w:kern w:val="0"/>
                <w:sz w:val="20"/>
                <w:szCs w:val="20"/>
              </w:rPr>
              <w:t>提供道路安全教育、违法学习教育、交通法律法规学习、实时新闻资讯等几大学习类别。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3" w:type="pct"/>
            <w:vMerge w:val="continue"/>
            <w:vAlign w:val="center"/>
          </w:tcPr>
          <w:p>
            <w:pPr>
              <w:widowControl/>
              <w:autoSpaceDE w:val="0"/>
              <w:autoSpaceDN w:val="0"/>
              <w:adjustRightInd w:val="0"/>
              <w:spacing w:line="360" w:lineRule="auto"/>
              <w:jc w:val="center"/>
              <w:rPr>
                <w:color w:val="auto"/>
                <w:kern w:val="0"/>
                <w:sz w:val="24"/>
                <w:szCs w:val="28"/>
              </w:rPr>
            </w:pPr>
          </w:p>
        </w:tc>
        <w:tc>
          <w:tcPr>
            <w:tcW w:w="718" w:type="pct"/>
            <w:vMerge w:val="continue"/>
            <w:vAlign w:val="center"/>
          </w:tcPr>
          <w:p>
            <w:pPr>
              <w:widowControl/>
              <w:jc w:val="center"/>
              <w:rPr>
                <w:rFonts w:ascii="宋体" w:hAnsi="宋体" w:cs="宋体"/>
                <w:color w:val="auto"/>
                <w:kern w:val="0"/>
                <w:sz w:val="20"/>
                <w:szCs w:val="20"/>
              </w:rPr>
            </w:pPr>
          </w:p>
        </w:tc>
        <w:tc>
          <w:tcPr>
            <w:tcW w:w="1151" w:type="pct"/>
            <w:gridSpan w:val="2"/>
            <w:vAlign w:val="center"/>
          </w:tcPr>
          <w:p>
            <w:pPr>
              <w:jc w:val="center"/>
              <w:rPr>
                <w:rFonts w:ascii="宋体" w:hAnsi="宋体" w:cs="宋体"/>
                <w:color w:val="auto"/>
                <w:kern w:val="0"/>
                <w:sz w:val="20"/>
                <w:szCs w:val="20"/>
              </w:rPr>
            </w:pPr>
            <w:r>
              <w:rPr>
                <w:rFonts w:hint="eastAsia" w:ascii="宋体" w:hAnsi="宋体" w:cs="宋体"/>
                <w:color w:val="auto"/>
                <w:kern w:val="0"/>
                <w:sz w:val="20"/>
                <w:szCs w:val="20"/>
              </w:rPr>
              <w:t>安全教育学习</w:t>
            </w:r>
          </w:p>
        </w:tc>
        <w:tc>
          <w:tcPr>
            <w:tcW w:w="2706" w:type="pct"/>
            <w:gridSpan w:val="2"/>
            <w:vAlign w:val="center"/>
          </w:tcPr>
          <w:p>
            <w:pPr>
              <w:rPr>
                <w:rFonts w:ascii="宋体" w:hAnsi="宋体" w:cs="宋体"/>
                <w:color w:val="auto"/>
                <w:kern w:val="0"/>
                <w:sz w:val="20"/>
                <w:szCs w:val="20"/>
              </w:rPr>
            </w:pPr>
            <w:r>
              <w:rPr>
                <w:rFonts w:hint="eastAsia" w:ascii="宋体" w:hAnsi="宋体" w:cs="宋体"/>
                <w:color w:val="auto"/>
                <w:kern w:val="0"/>
                <w:sz w:val="20"/>
                <w:szCs w:val="20"/>
              </w:rPr>
              <w:t>支持视频学习、学习验证、学习进度保存、视频定位播放等功能；</w:t>
            </w:r>
          </w:p>
          <w:p>
            <w:pPr>
              <w:spacing w:after="120"/>
              <w:rPr>
                <w:rFonts w:ascii="宋体" w:hAnsi="宋体" w:cs="宋体"/>
                <w:color w:val="auto"/>
                <w:kern w:val="0"/>
                <w:sz w:val="20"/>
                <w:szCs w:val="20"/>
              </w:rPr>
            </w:pPr>
            <w:r>
              <w:rPr>
                <w:rFonts w:hint="eastAsia" w:ascii="宋体" w:hAnsi="宋体" w:cs="宋体"/>
                <w:color w:val="auto"/>
                <w:kern w:val="0"/>
                <w:sz w:val="20"/>
                <w:szCs w:val="20"/>
              </w:rPr>
              <w:t>支持图文学习、图文材料点赞、图文材料评论等功能；</w:t>
            </w:r>
          </w:p>
          <w:p>
            <w:pPr>
              <w:spacing w:after="120"/>
              <w:rPr>
                <w:rFonts w:ascii="宋体" w:hAnsi="宋体" w:cs="宋体"/>
                <w:color w:val="auto"/>
                <w:kern w:val="0"/>
                <w:sz w:val="20"/>
                <w:szCs w:val="20"/>
              </w:rPr>
            </w:pPr>
            <w:r>
              <w:rPr>
                <w:rFonts w:hint="eastAsia" w:ascii="宋体" w:hAnsi="宋体" w:cs="宋体"/>
                <w:color w:val="auto"/>
                <w:kern w:val="0"/>
                <w:sz w:val="20"/>
                <w:szCs w:val="20"/>
              </w:rPr>
              <w:t>支持文章评论、统计以及收藏。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3" w:type="pct"/>
            <w:vMerge w:val="continue"/>
            <w:vAlign w:val="center"/>
          </w:tcPr>
          <w:p>
            <w:pPr>
              <w:widowControl/>
              <w:autoSpaceDE w:val="0"/>
              <w:autoSpaceDN w:val="0"/>
              <w:adjustRightInd w:val="0"/>
              <w:spacing w:line="360" w:lineRule="auto"/>
              <w:jc w:val="center"/>
              <w:rPr>
                <w:color w:val="auto"/>
                <w:kern w:val="0"/>
                <w:sz w:val="24"/>
                <w:szCs w:val="28"/>
              </w:rPr>
            </w:pPr>
          </w:p>
        </w:tc>
        <w:tc>
          <w:tcPr>
            <w:tcW w:w="718" w:type="pct"/>
            <w:vMerge w:val="continue"/>
            <w:vAlign w:val="center"/>
          </w:tcPr>
          <w:p>
            <w:pPr>
              <w:widowControl/>
              <w:jc w:val="center"/>
              <w:rPr>
                <w:rFonts w:ascii="宋体" w:hAnsi="宋体" w:cs="宋体"/>
                <w:color w:val="auto"/>
                <w:kern w:val="0"/>
                <w:sz w:val="20"/>
                <w:szCs w:val="20"/>
              </w:rPr>
            </w:pPr>
          </w:p>
        </w:tc>
        <w:tc>
          <w:tcPr>
            <w:tcW w:w="1151" w:type="pct"/>
            <w:gridSpan w:val="2"/>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答题训练</w:t>
            </w:r>
          </w:p>
        </w:tc>
        <w:tc>
          <w:tcPr>
            <w:tcW w:w="2706" w:type="pct"/>
            <w:gridSpan w:val="2"/>
            <w:vAlign w:val="center"/>
          </w:tcPr>
          <w:p>
            <w:pPr>
              <w:rPr>
                <w:rFonts w:ascii="宋体" w:hAnsi="宋体" w:cs="宋体"/>
                <w:color w:val="auto"/>
                <w:kern w:val="0"/>
                <w:sz w:val="20"/>
                <w:szCs w:val="20"/>
              </w:rPr>
            </w:pPr>
            <w:r>
              <w:rPr>
                <w:rFonts w:hint="eastAsia" w:ascii="宋体" w:hAnsi="宋体" w:cs="宋体"/>
                <w:color w:val="auto"/>
                <w:kern w:val="0"/>
                <w:sz w:val="20"/>
                <w:szCs w:val="20"/>
              </w:rPr>
              <w:t>每日答题训练：需支持出题以及答题功能。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3" w:type="pct"/>
            <w:vMerge w:val="continue"/>
            <w:vAlign w:val="center"/>
          </w:tcPr>
          <w:p>
            <w:pPr>
              <w:widowControl/>
              <w:autoSpaceDE w:val="0"/>
              <w:autoSpaceDN w:val="0"/>
              <w:adjustRightInd w:val="0"/>
              <w:spacing w:line="360" w:lineRule="auto"/>
              <w:jc w:val="center"/>
              <w:rPr>
                <w:color w:val="auto"/>
                <w:kern w:val="0"/>
                <w:sz w:val="24"/>
                <w:szCs w:val="28"/>
              </w:rPr>
            </w:pPr>
          </w:p>
        </w:tc>
        <w:tc>
          <w:tcPr>
            <w:tcW w:w="718" w:type="pct"/>
            <w:vMerge w:val="continue"/>
            <w:vAlign w:val="center"/>
          </w:tcPr>
          <w:p>
            <w:pPr>
              <w:widowControl/>
              <w:jc w:val="center"/>
              <w:rPr>
                <w:rFonts w:ascii="宋体" w:hAnsi="宋体" w:cs="宋体"/>
                <w:color w:val="auto"/>
                <w:kern w:val="0"/>
                <w:sz w:val="20"/>
                <w:szCs w:val="20"/>
              </w:rPr>
            </w:pPr>
          </w:p>
        </w:tc>
        <w:tc>
          <w:tcPr>
            <w:tcW w:w="1151" w:type="pct"/>
            <w:gridSpan w:val="2"/>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挑战答题</w:t>
            </w:r>
          </w:p>
        </w:tc>
        <w:tc>
          <w:tcPr>
            <w:tcW w:w="2706" w:type="pct"/>
            <w:gridSpan w:val="2"/>
            <w:vAlign w:val="center"/>
          </w:tcPr>
          <w:p>
            <w:pPr>
              <w:rPr>
                <w:rFonts w:ascii="宋体" w:hAnsi="宋体" w:cs="宋体"/>
                <w:color w:val="auto"/>
                <w:kern w:val="0"/>
                <w:sz w:val="20"/>
                <w:szCs w:val="20"/>
              </w:rPr>
            </w:pPr>
            <w:r>
              <w:rPr>
                <w:rFonts w:hint="eastAsia" w:ascii="宋体" w:hAnsi="宋体" w:cs="宋体"/>
                <w:color w:val="auto"/>
                <w:kern w:val="0"/>
                <w:sz w:val="20"/>
                <w:szCs w:val="20"/>
              </w:rPr>
              <w:t>挑战答题：需要支持出题、答题、评分、错误题目点评等功能。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3" w:type="pct"/>
            <w:vMerge w:val="continue"/>
            <w:vAlign w:val="center"/>
          </w:tcPr>
          <w:p>
            <w:pPr>
              <w:widowControl/>
              <w:autoSpaceDE w:val="0"/>
              <w:autoSpaceDN w:val="0"/>
              <w:adjustRightInd w:val="0"/>
              <w:spacing w:line="360" w:lineRule="auto"/>
              <w:jc w:val="center"/>
              <w:rPr>
                <w:color w:val="auto"/>
                <w:kern w:val="0"/>
                <w:sz w:val="24"/>
                <w:szCs w:val="28"/>
              </w:rPr>
            </w:pPr>
          </w:p>
        </w:tc>
        <w:tc>
          <w:tcPr>
            <w:tcW w:w="718" w:type="pct"/>
            <w:vMerge w:val="continue"/>
            <w:vAlign w:val="center"/>
          </w:tcPr>
          <w:p>
            <w:pPr>
              <w:widowControl/>
              <w:jc w:val="center"/>
              <w:rPr>
                <w:rFonts w:ascii="宋体" w:hAnsi="宋体" w:cs="宋体"/>
                <w:color w:val="auto"/>
                <w:kern w:val="0"/>
                <w:sz w:val="20"/>
                <w:szCs w:val="20"/>
              </w:rPr>
            </w:pPr>
          </w:p>
        </w:tc>
        <w:tc>
          <w:tcPr>
            <w:tcW w:w="1151" w:type="pct"/>
            <w:gridSpan w:val="2"/>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重点驾驶人考试</w:t>
            </w:r>
          </w:p>
        </w:tc>
        <w:tc>
          <w:tcPr>
            <w:tcW w:w="2706" w:type="pct"/>
            <w:gridSpan w:val="2"/>
            <w:vAlign w:val="center"/>
          </w:tcPr>
          <w:p>
            <w:pPr>
              <w:rPr>
                <w:rFonts w:ascii="宋体" w:hAnsi="宋体" w:cs="宋体"/>
                <w:color w:val="auto"/>
                <w:kern w:val="0"/>
                <w:sz w:val="20"/>
                <w:szCs w:val="20"/>
              </w:rPr>
            </w:pPr>
            <w:r>
              <w:rPr>
                <w:rFonts w:hint="eastAsia" w:ascii="宋体" w:hAnsi="宋体" w:cs="宋体"/>
                <w:color w:val="auto"/>
                <w:kern w:val="0"/>
                <w:sz w:val="20"/>
                <w:szCs w:val="20"/>
              </w:rPr>
              <w:t>系统对重点驾驶人进行筛选，为重点驾驶人设置考试任务。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3" w:type="pct"/>
            <w:vMerge w:val="continue"/>
            <w:vAlign w:val="center"/>
          </w:tcPr>
          <w:p>
            <w:pPr>
              <w:widowControl/>
              <w:autoSpaceDE w:val="0"/>
              <w:autoSpaceDN w:val="0"/>
              <w:adjustRightInd w:val="0"/>
              <w:spacing w:line="360" w:lineRule="auto"/>
              <w:jc w:val="center"/>
              <w:rPr>
                <w:color w:val="auto"/>
                <w:kern w:val="0"/>
                <w:sz w:val="24"/>
                <w:szCs w:val="28"/>
              </w:rPr>
            </w:pPr>
          </w:p>
        </w:tc>
        <w:tc>
          <w:tcPr>
            <w:tcW w:w="718" w:type="pct"/>
            <w:vMerge w:val="continue"/>
            <w:vAlign w:val="center"/>
          </w:tcPr>
          <w:p>
            <w:pPr>
              <w:widowControl/>
              <w:jc w:val="center"/>
              <w:rPr>
                <w:rFonts w:ascii="宋体" w:hAnsi="宋体" w:cs="宋体"/>
                <w:color w:val="auto"/>
                <w:kern w:val="0"/>
                <w:sz w:val="20"/>
                <w:szCs w:val="20"/>
              </w:rPr>
            </w:pPr>
          </w:p>
        </w:tc>
        <w:tc>
          <w:tcPr>
            <w:tcW w:w="1151" w:type="pct"/>
            <w:gridSpan w:val="2"/>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学习记录</w:t>
            </w:r>
          </w:p>
        </w:tc>
        <w:tc>
          <w:tcPr>
            <w:tcW w:w="2706" w:type="pct"/>
            <w:gridSpan w:val="2"/>
            <w:vAlign w:val="center"/>
          </w:tcPr>
          <w:p>
            <w:pPr>
              <w:rPr>
                <w:rFonts w:ascii="宋体" w:hAnsi="宋体" w:cs="宋体"/>
                <w:color w:val="auto"/>
                <w:kern w:val="0"/>
                <w:sz w:val="20"/>
                <w:szCs w:val="20"/>
              </w:rPr>
            </w:pPr>
            <w:r>
              <w:rPr>
                <w:rFonts w:hint="eastAsia" w:ascii="宋体" w:hAnsi="宋体" w:cs="宋体"/>
                <w:color w:val="auto"/>
                <w:kern w:val="0"/>
                <w:sz w:val="20"/>
                <w:szCs w:val="20"/>
              </w:rPr>
              <w:t>对当日以及近一周的学习情况进行统计。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3" w:type="pct"/>
            <w:vMerge w:val="continue"/>
            <w:vAlign w:val="center"/>
          </w:tcPr>
          <w:p>
            <w:pPr>
              <w:widowControl/>
              <w:autoSpaceDE w:val="0"/>
              <w:autoSpaceDN w:val="0"/>
              <w:adjustRightInd w:val="0"/>
              <w:spacing w:line="360" w:lineRule="auto"/>
              <w:jc w:val="center"/>
              <w:rPr>
                <w:color w:val="auto"/>
                <w:kern w:val="0"/>
                <w:sz w:val="24"/>
                <w:szCs w:val="28"/>
              </w:rPr>
            </w:pPr>
          </w:p>
        </w:tc>
        <w:tc>
          <w:tcPr>
            <w:tcW w:w="718" w:type="pct"/>
            <w:vMerge w:val="continue"/>
            <w:vAlign w:val="center"/>
          </w:tcPr>
          <w:p>
            <w:pPr>
              <w:widowControl/>
              <w:jc w:val="center"/>
              <w:rPr>
                <w:rFonts w:ascii="宋体" w:hAnsi="宋体" w:cs="宋体"/>
                <w:color w:val="auto"/>
                <w:kern w:val="0"/>
                <w:sz w:val="20"/>
                <w:szCs w:val="20"/>
              </w:rPr>
            </w:pPr>
          </w:p>
        </w:tc>
        <w:tc>
          <w:tcPr>
            <w:tcW w:w="1151" w:type="pct"/>
            <w:gridSpan w:val="2"/>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个人中心</w:t>
            </w:r>
          </w:p>
        </w:tc>
        <w:tc>
          <w:tcPr>
            <w:tcW w:w="2706" w:type="pct"/>
            <w:gridSpan w:val="2"/>
            <w:vAlign w:val="center"/>
          </w:tcPr>
          <w:p>
            <w:pPr>
              <w:rPr>
                <w:color w:val="auto"/>
              </w:rPr>
            </w:pPr>
            <w:r>
              <w:rPr>
                <w:rFonts w:hint="eastAsia" w:ascii="宋体" w:hAnsi="宋体" w:cs="宋体"/>
                <w:color w:val="auto"/>
                <w:kern w:val="0"/>
                <w:sz w:val="20"/>
                <w:szCs w:val="20"/>
              </w:rPr>
              <w:t>驾驶人可以在用户个人信息配置模块中更换头像，更换手机号码等。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3" w:type="pct"/>
            <w:vMerge w:val="continue"/>
            <w:vAlign w:val="center"/>
          </w:tcPr>
          <w:p>
            <w:pPr>
              <w:widowControl/>
              <w:autoSpaceDE w:val="0"/>
              <w:autoSpaceDN w:val="0"/>
              <w:adjustRightInd w:val="0"/>
              <w:spacing w:line="360" w:lineRule="auto"/>
              <w:jc w:val="center"/>
              <w:rPr>
                <w:color w:val="auto"/>
                <w:kern w:val="0"/>
                <w:sz w:val="24"/>
                <w:szCs w:val="28"/>
              </w:rPr>
            </w:pPr>
          </w:p>
        </w:tc>
        <w:tc>
          <w:tcPr>
            <w:tcW w:w="718" w:type="pct"/>
            <w:vMerge w:val="continue"/>
            <w:vAlign w:val="center"/>
          </w:tcPr>
          <w:p>
            <w:pPr>
              <w:widowControl/>
              <w:jc w:val="center"/>
              <w:rPr>
                <w:rFonts w:ascii="宋体" w:hAnsi="宋体" w:cs="宋体"/>
                <w:color w:val="auto"/>
                <w:kern w:val="0"/>
                <w:sz w:val="20"/>
                <w:szCs w:val="20"/>
              </w:rPr>
            </w:pPr>
          </w:p>
        </w:tc>
        <w:tc>
          <w:tcPr>
            <w:tcW w:w="1151" w:type="pct"/>
            <w:gridSpan w:val="2"/>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学习主题配置</w:t>
            </w:r>
          </w:p>
        </w:tc>
        <w:tc>
          <w:tcPr>
            <w:tcW w:w="2706" w:type="pct"/>
            <w:gridSpan w:val="2"/>
            <w:vAlign w:val="center"/>
          </w:tcPr>
          <w:p>
            <w:pPr>
              <w:rPr>
                <w:rFonts w:ascii="宋体" w:hAnsi="宋体" w:cs="宋体"/>
                <w:color w:val="auto"/>
                <w:kern w:val="0"/>
                <w:sz w:val="20"/>
                <w:szCs w:val="20"/>
              </w:rPr>
            </w:pPr>
            <w:r>
              <w:rPr>
                <w:rFonts w:hint="eastAsia" w:ascii="宋体" w:hAnsi="宋体" w:cs="宋体"/>
                <w:color w:val="auto"/>
                <w:kern w:val="0"/>
                <w:sz w:val="20"/>
                <w:szCs w:val="20"/>
              </w:rPr>
              <w:t>系统需提供道路交通安全主题、违法学习教育主题、交通法律法规主题、新闻资讯类等学习主题配置。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3" w:type="pct"/>
            <w:vMerge w:val="continue"/>
            <w:vAlign w:val="center"/>
          </w:tcPr>
          <w:p>
            <w:pPr>
              <w:widowControl/>
              <w:autoSpaceDE w:val="0"/>
              <w:autoSpaceDN w:val="0"/>
              <w:adjustRightInd w:val="0"/>
              <w:spacing w:line="360" w:lineRule="auto"/>
              <w:jc w:val="center"/>
              <w:rPr>
                <w:color w:val="auto"/>
                <w:kern w:val="0"/>
                <w:sz w:val="24"/>
                <w:szCs w:val="28"/>
              </w:rPr>
            </w:pPr>
          </w:p>
        </w:tc>
        <w:tc>
          <w:tcPr>
            <w:tcW w:w="718" w:type="pct"/>
            <w:vMerge w:val="continue"/>
            <w:vAlign w:val="center"/>
          </w:tcPr>
          <w:p>
            <w:pPr>
              <w:widowControl/>
              <w:jc w:val="center"/>
              <w:rPr>
                <w:rFonts w:ascii="宋体" w:hAnsi="宋体" w:cs="宋体"/>
                <w:color w:val="auto"/>
                <w:kern w:val="0"/>
                <w:sz w:val="20"/>
                <w:szCs w:val="20"/>
              </w:rPr>
            </w:pPr>
          </w:p>
        </w:tc>
        <w:tc>
          <w:tcPr>
            <w:tcW w:w="1151" w:type="pct"/>
            <w:gridSpan w:val="2"/>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学习主题管理</w:t>
            </w:r>
          </w:p>
        </w:tc>
        <w:tc>
          <w:tcPr>
            <w:tcW w:w="2706" w:type="pct"/>
            <w:gridSpan w:val="2"/>
            <w:vAlign w:val="center"/>
          </w:tcPr>
          <w:p>
            <w:pPr>
              <w:rPr>
                <w:rFonts w:ascii="宋体" w:hAnsi="宋体" w:cs="宋体"/>
                <w:color w:val="auto"/>
                <w:kern w:val="0"/>
                <w:sz w:val="20"/>
                <w:szCs w:val="20"/>
              </w:rPr>
            </w:pPr>
            <w:r>
              <w:rPr>
                <w:rFonts w:hint="eastAsia" w:ascii="宋体" w:hAnsi="宋体" w:cs="宋体"/>
                <w:color w:val="auto"/>
                <w:kern w:val="0"/>
                <w:sz w:val="20"/>
                <w:szCs w:val="20"/>
              </w:rPr>
              <w:t>管理可以通过主题的分类对主题管理。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3" w:type="pct"/>
            <w:vMerge w:val="continue"/>
            <w:vAlign w:val="center"/>
          </w:tcPr>
          <w:p>
            <w:pPr>
              <w:widowControl/>
              <w:autoSpaceDE w:val="0"/>
              <w:autoSpaceDN w:val="0"/>
              <w:adjustRightInd w:val="0"/>
              <w:spacing w:line="360" w:lineRule="auto"/>
              <w:jc w:val="center"/>
              <w:rPr>
                <w:color w:val="auto"/>
                <w:kern w:val="0"/>
                <w:sz w:val="24"/>
                <w:szCs w:val="28"/>
              </w:rPr>
            </w:pPr>
          </w:p>
        </w:tc>
        <w:tc>
          <w:tcPr>
            <w:tcW w:w="718" w:type="pct"/>
            <w:vMerge w:val="continue"/>
            <w:vAlign w:val="center"/>
          </w:tcPr>
          <w:p>
            <w:pPr>
              <w:widowControl/>
              <w:jc w:val="center"/>
              <w:rPr>
                <w:rFonts w:ascii="宋体" w:hAnsi="宋体" w:cs="宋体"/>
                <w:color w:val="auto"/>
                <w:kern w:val="0"/>
                <w:sz w:val="20"/>
                <w:szCs w:val="20"/>
              </w:rPr>
            </w:pPr>
          </w:p>
        </w:tc>
        <w:tc>
          <w:tcPr>
            <w:tcW w:w="1151" w:type="pct"/>
            <w:gridSpan w:val="2"/>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题库管理</w:t>
            </w:r>
          </w:p>
        </w:tc>
        <w:tc>
          <w:tcPr>
            <w:tcW w:w="2706" w:type="pct"/>
            <w:gridSpan w:val="2"/>
            <w:vAlign w:val="center"/>
          </w:tcPr>
          <w:p>
            <w:pPr>
              <w:rPr>
                <w:rFonts w:ascii="宋体" w:hAnsi="宋体" w:cs="宋体"/>
                <w:color w:val="auto"/>
                <w:kern w:val="0"/>
                <w:sz w:val="20"/>
                <w:szCs w:val="20"/>
              </w:rPr>
            </w:pPr>
            <w:r>
              <w:rPr>
                <w:rFonts w:hint="eastAsia" w:ascii="宋体" w:hAnsi="宋体" w:cs="宋体"/>
                <w:color w:val="auto"/>
                <w:kern w:val="0"/>
                <w:sz w:val="20"/>
                <w:szCs w:val="20"/>
              </w:rPr>
              <w:t>题库配置：需要支持题库导入以及题库列表管理功能。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3" w:type="pct"/>
            <w:vMerge w:val="continue"/>
            <w:vAlign w:val="center"/>
          </w:tcPr>
          <w:p>
            <w:pPr>
              <w:widowControl/>
              <w:autoSpaceDE w:val="0"/>
              <w:autoSpaceDN w:val="0"/>
              <w:adjustRightInd w:val="0"/>
              <w:spacing w:line="360" w:lineRule="auto"/>
              <w:jc w:val="center"/>
              <w:rPr>
                <w:color w:val="auto"/>
                <w:kern w:val="0"/>
                <w:sz w:val="24"/>
                <w:szCs w:val="28"/>
              </w:rPr>
            </w:pPr>
          </w:p>
        </w:tc>
        <w:tc>
          <w:tcPr>
            <w:tcW w:w="718" w:type="pct"/>
            <w:vMerge w:val="continue"/>
            <w:vAlign w:val="center"/>
          </w:tcPr>
          <w:p>
            <w:pPr>
              <w:widowControl/>
              <w:jc w:val="center"/>
              <w:rPr>
                <w:rFonts w:ascii="宋体" w:hAnsi="宋体" w:cs="宋体"/>
                <w:color w:val="auto"/>
                <w:kern w:val="0"/>
                <w:sz w:val="20"/>
                <w:szCs w:val="20"/>
              </w:rPr>
            </w:pPr>
          </w:p>
        </w:tc>
        <w:tc>
          <w:tcPr>
            <w:tcW w:w="1151" w:type="pct"/>
            <w:gridSpan w:val="2"/>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学习资源管理</w:t>
            </w:r>
          </w:p>
        </w:tc>
        <w:tc>
          <w:tcPr>
            <w:tcW w:w="2706" w:type="pct"/>
            <w:gridSpan w:val="2"/>
            <w:vAlign w:val="center"/>
          </w:tcPr>
          <w:p>
            <w:pPr>
              <w:rPr>
                <w:rFonts w:ascii="宋体" w:hAnsi="宋体" w:cs="宋体"/>
                <w:color w:val="auto"/>
                <w:kern w:val="0"/>
                <w:sz w:val="20"/>
                <w:szCs w:val="20"/>
              </w:rPr>
            </w:pPr>
            <w:r>
              <w:rPr>
                <w:rFonts w:hint="eastAsia" w:ascii="宋体" w:hAnsi="宋体" w:cs="宋体"/>
                <w:color w:val="auto"/>
                <w:kern w:val="0"/>
                <w:sz w:val="20"/>
                <w:szCs w:val="20"/>
              </w:rPr>
              <w:t>学习视频管理：支持学习视频导入、视频列表管理、视频评论管理等功能。</w:t>
            </w:r>
          </w:p>
          <w:p>
            <w:pPr>
              <w:spacing w:after="120"/>
              <w:rPr>
                <w:rFonts w:ascii="宋体" w:hAnsi="宋体" w:cs="宋体"/>
                <w:color w:val="auto"/>
                <w:kern w:val="0"/>
                <w:sz w:val="20"/>
                <w:szCs w:val="20"/>
              </w:rPr>
            </w:pPr>
            <w:r>
              <w:rPr>
                <w:rFonts w:hint="eastAsia" w:ascii="宋体" w:hAnsi="宋体" w:cs="宋体"/>
                <w:color w:val="auto"/>
                <w:kern w:val="0"/>
                <w:sz w:val="20"/>
                <w:szCs w:val="20"/>
              </w:rPr>
              <w:t>学习图文管理：支持文章内容输入、图文列表管理、文章评论管理等功能。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3" w:type="pct"/>
            <w:vMerge w:val="continue"/>
            <w:vAlign w:val="center"/>
          </w:tcPr>
          <w:p>
            <w:pPr>
              <w:widowControl/>
              <w:autoSpaceDE w:val="0"/>
              <w:autoSpaceDN w:val="0"/>
              <w:adjustRightInd w:val="0"/>
              <w:spacing w:line="360" w:lineRule="auto"/>
              <w:jc w:val="center"/>
              <w:rPr>
                <w:color w:val="auto"/>
                <w:kern w:val="0"/>
                <w:sz w:val="24"/>
                <w:szCs w:val="28"/>
              </w:rPr>
            </w:pPr>
          </w:p>
        </w:tc>
        <w:tc>
          <w:tcPr>
            <w:tcW w:w="718" w:type="pct"/>
            <w:vMerge w:val="continue"/>
            <w:vAlign w:val="center"/>
          </w:tcPr>
          <w:p>
            <w:pPr>
              <w:widowControl/>
              <w:jc w:val="center"/>
              <w:rPr>
                <w:rFonts w:ascii="宋体" w:hAnsi="宋体" w:cs="宋体"/>
                <w:color w:val="auto"/>
                <w:kern w:val="0"/>
                <w:sz w:val="20"/>
                <w:szCs w:val="20"/>
              </w:rPr>
            </w:pPr>
          </w:p>
        </w:tc>
        <w:tc>
          <w:tcPr>
            <w:tcW w:w="1151" w:type="pct"/>
            <w:gridSpan w:val="2"/>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统计分析</w:t>
            </w:r>
          </w:p>
        </w:tc>
        <w:tc>
          <w:tcPr>
            <w:tcW w:w="2706" w:type="pct"/>
            <w:gridSpan w:val="2"/>
            <w:vAlign w:val="center"/>
          </w:tcPr>
          <w:p>
            <w:pPr>
              <w:rPr>
                <w:rFonts w:ascii="宋体" w:hAnsi="宋体" w:cs="宋体"/>
                <w:color w:val="auto"/>
                <w:kern w:val="0"/>
                <w:sz w:val="20"/>
                <w:szCs w:val="20"/>
              </w:rPr>
            </w:pPr>
            <w:r>
              <w:rPr>
                <w:rFonts w:hint="eastAsia" w:ascii="宋体" w:hAnsi="宋体" w:cs="宋体"/>
                <w:color w:val="auto"/>
                <w:kern w:val="0"/>
                <w:sz w:val="20"/>
                <w:szCs w:val="20"/>
              </w:rPr>
              <w:t>后台自动实时统计当日平台学习人数。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3" w:type="pct"/>
            <w:vMerge w:val="continue"/>
            <w:vAlign w:val="center"/>
          </w:tcPr>
          <w:p>
            <w:pPr>
              <w:widowControl/>
              <w:autoSpaceDE w:val="0"/>
              <w:autoSpaceDN w:val="0"/>
              <w:adjustRightInd w:val="0"/>
              <w:spacing w:line="360" w:lineRule="auto"/>
              <w:jc w:val="center"/>
              <w:rPr>
                <w:color w:val="auto"/>
                <w:kern w:val="0"/>
                <w:sz w:val="24"/>
                <w:szCs w:val="28"/>
              </w:rPr>
            </w:pPr>
          </w:p>
        </w:tc>
        <w:tc>
          <w:tcPr>
            <w:tcW w:w="718" w:type="pct"/>
            <w:vMerge w:val="continue"/>
            <w:vAlign w:val="center"/>
          </w:tcPr>
          <w:p>
            <w:pPr>
              <w:widowControl/>
              <w:jc w:val="center"/>
              <w:rPr>
                <w:rFonts w:ascii="宋体" w:hAnsi="宋体" w:cs="宋体"/>
                <w:color w:val="auto"/>
                <w:kern w:val="0"/>
                <w:sz w:val="20"/>
                <w:szCs w:val="20"/>
              </w:rPr>
            </w:pPr>
          </w:p>
        </w:tc>
        <w:tc>
          <w:tcPr>
            <w:tcW w:w="1151" w:type="pct"/>
            <w:gridSpan w:val="2"/>
            <w:vMerge w:val="restart"/>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系统管理用户注册信息管理</w:t>
            </w:r>
          </w:p>
        </w:tc>
        <w:tc>
          <w:tcPr>
            <w:tcW w:w="2706" w:type="pct"/>
            <w:gridSpan w:val="2"/>
            <w:vAlign w:val="center"/>
          </w:tcPr>
          <w:p>
            <w:pPr>
              <w:rPr>
                <w:rFonts w:ascii="宋体" w:hAnsi="宋体" w:cs="宋体"/>
                <w:color w:val="auto"/>
                <w:kern w:val="0"/>
                <w:sz w:val="20"/>
                <w:szCs w:val="20"/>
              </w:rPr>
            </w:pPr>
            <w:r>
              <w:rPr>
                <w:rFonts w:hint="eastAsia" w:ascii="宋体" w:hAnsi="宋体" w:cs="宋体"/>
                <w:color w:val="auto"/>
                <w:kern w:val="0"/>
                <w:sz w:val="20"/>
                <w:szCs w:val="20"/>
              </w:rPr>
              <w:t>管理员可以对登陆注册平台的用户进行统一的管理，可以通过身份证、姓名等查询条件查询指定的用户注册信息。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3" w:type="pct"/>
            <w:vMerge w:val="continue"/>
            <w:vAlign w:val="center"/>
          </w:tcPr>
          <w:p>
            <w:pPr>
              <w:widowControl/>
              <w:autoSpaceDE w:val="0"/>
              <w:autoSpaceDN w:val="0"/>
              <w:adjustRightInd w:val="0"/>
              <w:spacing w:line="360" w:lineRule="auto"/>
              <w:jc w:val="center"/>
              <w:rPr>
                <w:color w:val="auto"/>
                <w:kern w:val="0"/>
                <w:sz w:val="24"/>
                <w:szCs w:val="28"/>
              </w:rPr>
            </w:pPr>
          </w:p>
        </w:tc>
        <w:tc>
          <w:tcPr>
            <w:tcW w:w="718" w:type="pct"/>
            <w:vMerge w:val="continue"/>
            <w:vAlign w:val="center"/>
          </w:tcPr>
          <w:p>
            <w:pPr>
              <w:widowControl/>
              <w:jc w:val="center"/>
              <w:rPr>
                <w:rFonts w:ascii="宋体" w:hAnsi="宋体" w:cs="宋体"/>
                <w:color w:val="auto"/>
                <w:kern w:val="0"/>
                <w:sz w:val="20"/>
                <w:szCs w:val="20"/>
              </w:rPr>
            </w:pPr>
          </w:p>
        </w:tc>
        <w:tc>
          <w:tcPr>
            <w:tcW w:w="1151" w:type="pct"/>
            <w:gridSpan w:val="2"/>
            <w:vMerge w:val="continue"/>
            <w:vAlign w:val="center"/>
          </w:tcPr>
          <w:p>
            <w:pPr>
              <w:widowControl/>
              <w:jc w:val="center"/>
              <w:rPr>
                <w:rFonts w:ascii="宋体" w:hAnsi="宋体" w:cs="宋体"/>
                <w:color w:val="auto"/>
                <w:kern w:val="0"/>
                <w:sz w:val="20"/>
                <w:szCs w:val="20"/>
              </w:rPr>
            </w:pPr>
          </w:p>
        </w:tc>
        <w:tc>
          <w:tcPr>
            <w:tcW w:w="2706" w:type="pct"/>
            <w:gridSpan w:val="2"/>
            <w:vAlign w:val="center"/>
          </w:tcPr>
          <w:p>
            <w:pPr>
              <w:rPr>
                <w:rFonts w:ascii="宋体" w:hAnsi="宋体" w:cs="宋体"/>
                <w:color w:val="auto"/>
                <w:kern w:val="0"/>
                <w:sz w:val="20"/>
                <w:szCs w:val="20"/>
              </w:rPr>
            </w:pPr>
            <w:r>
              <w:rPr>
                <w:rFonts w:hint="eastAsia" w:ascii="宋体" w:hAnsi="宋体" w:cs="宋体"/>
                <w:color w:val="auto"/>
                <w:kern w:val="0"/>
                <w:sz w:val="20"/>
                <w:szCs w:val="20"/>
              </w:rPr>
              <w:t>需要支持部门管理、用户管理、权限管理、系统参数管理以及系统日志管理等功能。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3" w:type="pct"/>
            <w:vMerge w:val="continue"/>
            <w:vAlign w:val="center"/>
          </w:tcPr>
          <w:p>
            <w:pPr>
              <w:widowControl/>
              <w:autoSpaceDE w:val="0"/>
              <w:autoSpaceDN w:val="0"/>
              <w:adjustRightInd w:val="0"/>
              <w:spacing w:line="360" w:lineRule="auto"/>
              <w:jc w:val="center"/>
              <w:rPr>
                <w:color w:val="auto"/>
                <w:kern w:val="0"/>
                <w:sz w:val="24"/>
                <w:szCs w:val="28"/>
              </w:rPr>
            </w:pPr>
          </w:p>
        </w:tc>
        <w:tc>
          <w:tcPr>
            <w:tcW w:w="718" w:type="pct"/>
            <w:vMerge w:val="continue"/>
            <w:vAlign w:val="center"/>
          </w:tcPr>
          <w:p>
            <w:pPr>
              <w:widowControl/>
              <w:jc w:val="center"/>
              <w:rPr>
                <w:rFonts w:ascii="宋体" w:hAnsi="宋体" w:cs="宋体"/>
                <w:color w:val="auto"/>
                <w:kern w:val="0"/>
                <w:sz w:val="20"/>
                <w:szCs w:val="20"/>
              </w:rPr>
            </w:pPr>
          </w:p>
        </w:tc>
        <w:tc>
          <w:tcPr>
            <w:tcW w:w="1151" w:type="pct"/>
            <w:gridSpan w:val="2"/>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系统对接要求</w:t>
            </w:r>
          </w:p>
        </w:tc>
        <w:tc>
          <w:tcPr>
            <w:tcW w:w="2706" w:type="pct"/>
            <w:gridSpan w:val="2"/>
            <w:vAlign w:val="center"/>
          </w:tcPr>
          <w:p>
            <w:pPr>
              <w:rPr>
                <w:rFonts w:ascii="宋体" w:hAnsi="宋体" w:cs="宋体"/>
                <w:color w:val="auto"/>
                <w:kern w:val="0"/>
                <w:sz w:val="20"/>
                <w:szCs w:val="20"/>
              </w:rPr>
            </w:pPr>
            <w:r>
              <w:rPr>
                <w:rFonts w:hint="eastAsia" w:ascii="宋体" w:hAnsi="宋体" w:cs="宋体"/>
                <w:color w:val="auto"/>
                <w:kern w:val="0"/>
                <w:sz w:val="20"/>
                <w:szCs w:val="20"/>
              </w:rPr>
              <w:t>系统需要与重点对象管控系统对接获取重点驾驶人信息数据。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3" w:type="pct"/>
            <w:vMerge w:val="continue"/>
            <w:vAlign w:val="center"/>
          </w:tcPr>
          <w:p>
            <w:pPr>
              <w:widowControl/>
              <w:autoSpaceDE w:val="0"/>
              <w:autoSpaceDN w:val="0"/>
              <w:adjustRightInd w:val="0"/>
              <w:spacing w:line="360" w:lineRule="auto"/>
              <w:jc w:val="center"/>
              <w:rPr>
                <w:color w:val="auto"/>
                <w:kern w:val="0"/>
                <w:sz w:val="24"/>
                <w:szCs w:val="28"/>
              </w:rPr>
            </w:pPr>
          </w:p>
        </w:tc>
        <w:tc>
          <w:tcPr>
            <w:tcW w:w="718" w:type="pct"/>
            <w:vMerge w:val="continue"/>
            <w:vAlign w:val="center"/>
          </w:tcPr>
          <w:p>
            <w:pPr>
              <w:widowControl/>
              <w:jc w:val="center"/>
              <w:rPr>
                <w:rFonts w:ascii="宋体" w:hAnsi="宋体" w:cs="宋体"/>
                <w:color w:val="auto"/>
                <w:kern w:val="0"/>
                <w:sz w:val="20"/>
                <w:szCs w:val="20"/>
              </w:rPr>
            </w:pPr>
          </w:p>
        </w:tc>
        <w:tc>
          <w:tcPr>
            <w:tcW w:w="1151" w:type="pct"/>
            <w:gridSpan w:val="2"/>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统一资源</w:t>
            </w:r>
          </w:p>
        </w:tc>
        <w:tc>
          <w:tcPr>
            <w:tcW w:w="2706" w:type="pct"/>
            <w:gridSpan w:val="2"/>
            <w:vAlign w:val="center"/>
          </w:tcPr>
          <w:p>
            <w:pPr>
              <w:rPr>
                <w:rFonts w:ascii="宋体" w:hAnsi="宋体" w:cs="宋体"/>
                <w:color w:val="auto"/>
                <w:kern w:val="0"/>
                <w:sz w:val="20"/>
                <w:szCs w:val="20"/>
              </w:rPr>
            </w:pPr>
            <w:r>
              <w:rPr>
                <w:rFonts w:hint="eastAsia" w:ascii="宋体" w:hAnsi="宋体" w:cs="宋体"/>
                <w:color w:val="auto"/>
                <w:kern w:val="0"/>
                <w:sz w:val="20"/>
                <w:szCs w:val="20"/>
              </w:rPr>
              <w:t>模块需要复用资源中心提供的关系型数据库及分布式数据库，统一使用资源中心提供的大数据能力。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0" w:hRule="atLeast"/>
        </w:trPr>
        <w:tc>
          <w:tcPr>
            <w:tcW w:w="423" w:type="pct"/>
            <w:vMerge w:val="restart"/>
            <w:vAlign w:val="center"/>
          </w:tcPr>
          <w:p>
            <w:pPr>
              <w:widowControl/>
              <w:jc w:val="center"/>
              <w:rPr>
                <w:rFonts w:ascii="宋体" w:hAnsi="宋体" w:cs="宋体" w:eastAsiaTheme="minorEastAsia"/>
                <w:color w:val="auto"/>
                <w:kern w:val="0"/>
                <w:sz w:val="20"/>
                <w:szCs w:val="20"/>
                <w:lang w:val="en-US" w:eastAsia="zh-CN" w:bidi="ar-SA"/>
              </w:rPr>
            </w:pPr>
            <w:r>
              <w:rPr>
                <w:rFonts w:hint="eastAsia" w:ascii="宋体" w:hAnsi="宋体" w:cs="宋体"/>
                <w:color w:val="auto"/>
                <w:kern w:val="0"/>
                <w:sz w:val="20"/>
                <w:szCs w:val="20"/>
              </w:rPr>
              <w:t>4</w:t>
            </w:r>
          </w:p>
          <w:p>
            <w:pPr>
              <w:widowControl/>
              <w:autoSpaceDE w:val="0"/>
              <w:autoSpaceDN w:val="0"/>
              <w:adjustRightInd w:val="0"/>
              <w:spacing w:line="360" w:lineRule="auto"/>
              <w:jc w:val="center"/>
              <w:rPr>
                <w:color w:val="auto"/>
                <w:kern w:val="0"/>
                <w:sz w:val="24"/>
                <w:szCs w:val="28"/>
              </w:rPr>
            </w:pPr>
          </w:p>
        </w:tc>
        <w:tc>
          <w:tcPr>
            <w:tcW w:w="718" w:type="pct"/>
            <w:vMerge w:val="restart"/>
            <w:vAlign w:val="center"/>
          </w:tcPr>
          <w:p>
            <w:pPr>
              <w:widowControl/>
              <w:jc w:val="center"/>
              <w:rPr>
                <w:rFonts w:ascii="宋体" w:hAnsi="宋体" w:cs="宋体" w:eastAsiaTheme="minorEastAsia"/>
                <w:color w:val="auto"/>
                <w:kern w:val="0"/>
                <w:sz w:val="20"/>
                <w:szCs w:val="20"/>
                <w:lang w:val="en-US" w:eastAsia="zh-CN" w:bidi="ar-SA"/>
              </w:rPr>
            </w:pPr>
            <w:r>
              <w:rPr>
                <w:rFonts w:hint="eastAsia" w:ascii="宋体" w:hAnsi="宋体" w:cs="宋体"/>
                <w:color w:val="auto"/>
                <w:kern w:val="0"/>
                <w:sz w:val="20"/>
                <w:szCs w:val="20"/>
              </w:rPr>
              <w:t>老年人帮扶系统升级（台州交警微信端）</w:t>
            </w:r>
          </w:p>
          <w:p>
            <w:pPr>
              <w:widowControl/>
              <w:jc w:val="center"/>
              <w:rPr>
                <w:rFonts w:ascii="宋体" w:hAnsi="宋体" w:cs="宋体"/>
                <w:color w:val="auto"/>
                <w:kern w:val="0"/>
                <w:sz w:val="20"/>
                <w:szCs w:val="20"/>
              </w:rPr>
            </w:pPr>
          </w:p>
        </w:tc>
        <w:tc>
          <w:tcPr>
            <w:tcW w:w="1150" w:type="pct"/>
            <w:vAlign w:val="center"/>
          </w:tcPr>
          <w:p>
            <w:pPr>
              <w:widowControl/>
              <w:jc w:val="center"/>
              <w:rPr>
                <w:rFonts w:hint="eastAsia" w:ascii="宋体" w:hAnsi="宋体" w:cs="宋体" w:eastAsiaTheme="minorEastAsia"/>
                <w:color w:val="auto"/>
                <w:kern w:val="0"/>
                <w:sz w:val="20"/>
                <w:szCs w:val="20"/>
                <w:lang w:val="en-US" w:eastAsia="zh-CN" w:bidi="ar-SA"/>
              </w:rPr>
            </w:pPr>
            <w:r>
              <w:rPr>
                <w:rFonts w:hint="eastAsia" w:ascii="宋体" w:hAnsi="宋体" w:cs="宋体"/>
                <w:color w:val="auto"/>
                <w:kern w:val="0"/>
                <w:sz w:val="20"/>
                <w:szCs w:val="20"/>
              </w:rPr>
              <w:t>任务自动/手动分配</w:t>
            </w:r>
          </w:p>
        </w:tc>
        <w:tc>
          <w:tcPr>
            <w:tcW w:w="2705" w:type="pct"/>
            <w:gridSpan w:val="2"/>
            <w:vAlign w:val="center"/>
          </w:tcPr>
          <w:p>
            <w:pPr>
              <w:rPr>
                <w:rFonts w:hint="eastAsia" w:ascii="宋体" w:hAnsi="宋体" w:cs="宋体" w:eastAsiaTheme="minorEastAsia"/>
                <w:color w:val="auto"/>
                <w:kern w:val="0"/>
                <w:sz w:val="20"/>
                <w:szCs w:val="20"/>
                <w:lang w:val="en-US" w:eastAsia="zh-CN" w:bidi="ar-SA"/>
              </w:rPr>
            </w:pPr>
            <w:r>
              <w:rPr>
                <w:rFonts w:hint="eastAsia" w:ascii="宋体" w:hAnsi="宋体" w:cs="宋体"/>
                <w:color w:val="auto"/>
                <w:kern w:val="0"/>
                <w:sz w:val="20"/>
                <w:szCs w:val="20"/>
              </w:rPr>
              <w:t>系统实时获取非机动车管控系统数据；将需要帮扶的人员自动分配至负责该居住点的村居管理员，同时也可以进行手动修改。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0" w:hRule="atLeast"/>
        </w:trPr>
        <w:tc>
          <w:tcPr>
            <w:tcW w:w="423" w:type="pct"/>
            <w:vMerge w:val="continue"/>
            <w:vAlign w:val="center"/>
          </w:tcPr>
          <w:p>
            <w:pPr>
              <w:widowControl/>
              <w:autoSpaceDE w:val="0"/>
              <w:autoSpaceDN w:val="0"/>
              <w:adjustRightInd w:val="0"/>
              <w:spacing w:line="360" w:lineRule="auto"/>
              <w:jc w:val="center"/>
              <w:rPr>
                <w:color w:val="auto"/>
                <w:kern w:val="0"/>
                <w:sz w:val="24"/>
                <w:szCs w:val="28"/>
              </w:rPr>
            </w:pPr>
          </w:p>
        </w:tc>
        <w:tc>
          <w:tcPr>
            <w:tcW w:w="718" w:type="pct"/>
            <w:vMerge w:val="continue"/>
            <w:vAlign w:val="center"/>
          </w:tcPr>
          <w:p>
            <w:pPr>
              <w:widowControl/>
              <w:jc w:val="center"/>
              <w:rPr>
                <w:rFonts w:ascii="宋体" w:hAnsi="宋体" w:cs="宋体"/>
                <w:color w:val="auto"/>
                <w:kern w:val="0"/>
                <w:sz w:val="20"/>
                <w:szCs w:val="20"/>
              </w:rPr>
            </w:pPr>
          </w:p>
        </w:tc>
        <w:tc>
          <w:tcPr>
            <w:tcW w:w="1150" w:type="pct"/>
            <w:vAlign w:val="center"/>
          </w:tcPr>
          <w:p>
            <w:pPr>
              <w:widowControl/>
              <w:jc w:val="center"/>
              <w:rPr>
                <w:rFonts w:hint="eastAsia" w:ascii="宋体" w:hAnsi="宋体" w:cs="宋体" w:eastAsiaTheme="minorEastAsia"/>
                <w:color w:val="auto"/>
                <w:kern w:val="0"/>
                <w:sz w:val="20"/>
                <w:szCs w:val="20"/>
                <w:lang w:val="en-US" w:eastAsia="zh-CN" w:bidi="ar-SA"/>
              </w:rPr>
            </w:pPr>
            <w:r>
              <w:rPr>
                <w:rFonts w:hint="eastAsia" w:ascii="宋体" w:hAnsi="宋体" w:cs="宋体"/>
                <w:color w:val="auto"/>
                <w:kern w:val="0"/>
                <w:sz w:val="20"/>
                <w:szCs w:val="20"/>
              </w:rPr>
              <w:t>教育任务文件导入</w:t>
            </w:r>
          </w:p>
        </w:tc>
        <w:tc>
          <w:tcPr>
            <w:tcW w:w="2705" w:type="pct"/>
            <w:gridSpan w:val="2"/>
            <w:vAlign w:val="center"/>
          </w:tcPr>
          <w:p>
            <w:pPr>
              <w:rPr>
                <w:rFonts w:hint="eastAsia" w:asciiTheme="minorHAnsi" w:hAnsiTheme="minorHAnsi" w:eastAsiaTheme="minorEastAsia" w:cstheme="minorBidi"/>
                <w:color w:val="auto"/>
                <w:kern w:val="2"/>
                <w:sz w:val="21"/>
                <w:szCs w:val="24"/>
                <w:lang w:val="en-US" w:eastAsia="zh-CN" w:bidi="ar-SA"/>
              </w:rPr>
            </w:pPr>
            <w:r>
              <w:rPr>
                <w:rFonts w:hint="eastAsia" w:ascii="宋体" w:hAnsi="宋体" w:cs="宋体"/>
                <w:color w:val="auto"/>
                <w:kern w:val="0"/>
                <w:sz w:val="20"/>
                <w:szCs w:val="20"/>
              </w:rPr>
              <w:t>支持通过上传</w:t>
            </w:r>
            <w:r>
              <w:rPr>
                <w:rFonts w:ascii="宋体" w:hAnsi="宋体" w:cs="宋体"/>
                <w:color w:val="auto"/>
                <w:kern w:val="0"/>
                <w:sz w:val="20"/>
                <w:szCs w:val="20"/>
              </w:rPr>
              <w:t>EXCEL</w:t>
            </w:r>
            <w:r>
              <w:rPr>
                <w:rFonts w:hint="eastAsia" w:ascii="宋体" w:hAnsi="宋体" w:cs="宋体"/>
                <w:color w:val="auto"/>
                <w:kern w:val="0"/>
                <w:sz w:val="20"/>
                <w:szCs w:val="20"/>
              </w:rPr>
              <w:t>表的方式导入教育任务，系统根据文件内容分配任务至相关负责人。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0" w:hRule="atLeast"/>
        </w:trPr>
        <w:tc>
          <w:tcPr>
            <w:tcW w:w="423" w:type="pct"/>
            <w:vMerge w:val="continue"/>
            <w:vAlign w:val="center"/>
          </w:tcPr>
          <w:p>
            <w:pPr>
              <w:widowControl/>
              <w:autoSpaceDE w:val="0"/>
              <w:autoSpaceDN w:val="0"/>
              <w:adjustRightInd w:val="0"/>
              <w:spacing w:line="360" w:lineRule="auto"/>
              <w:jc w:val="center"/>
              <w:rPr>
                <w:color w:val="auto"/>
                <w:kern w:val="0"/>
                <w:sz w:val="24"/>
                <w:szCs w:val="28"/>
              </w:rPr>
            </w:pPr>
          </w:p>
        </w:tc>
        <w:tc>
          <w:tcPr>
            <w:tcW w:w="718" w:type="pct"/>
            <w:vMerge w:val="continue"/>
            <w:vAlign w:val="center"/>
          </w:tcPr>
          <w:p>
            <w:pPr>
              <w:widowControl/>
              <w:jc w:val="center"/>
              <w:rPr>
                <w:rFonts w:ascii="宋体" w:hAnsi="宋体" w:cs="宋体"/>
                <w:color w:val="auto"/>
                <w:kern w:val="0"/>
                <w:sz w:val="20"/>
                <w:szCs w:val="20"/>
              </w:rPr>
            </w:pPr>
          </w:p>
        </w:tc>
        <w:tc>
          <w:tcPr>
            <w:tcW w:w="1150" w:type="pct"/>
            <w:vAlign w:val="center"/>
          </w:tcPr>
          <w:p>
            <w:pPr>
              <w:widowControl/>
              <w:jc w:val="center"/>
              <w:rPr>
                <w:rFonts w:hint="eastAsia" w:ascii="宋体" w:hAnsi="宋体" w:cs="宋体" w:eastAsiaTheme="minorEastAsia"/>
                <w:color w:val="auto"/>
                <w:kern w:val="0"/>
                <w:sz w:val="20"/>
                <w:szCs w:val="20"/>
                <w:lang w:val="en-US" w:eastAsia="zh-CN" w:bidi="ar-SA"/>
              </w:rPr>
            </w:pPr>
            <w:r>
              <w:rPr>
                <w:rFonts w:hint="eastAsia" w:ascii="宋体" w:hAnsi="宋体" w:cs="宋体"/>
                <w:color w:val="auto"/>
                <w:kern w:val="0"/>
                <w:sz w:val="20"/>
                <w:szCs w:val="20"/>
              </w:rPr>
              <w:t>非机动车管控重点教育结果上传</w:t>
            </w:r>
          </w:p>
        </w:tc>
        <w:tc>
          <w:tcPr>
            <w:tcW w:w="2705" w:type="pct"/>
            <w:gridSpan w:val="2"/>
            <w:vAlign w:val="center"/>
          </w:tcPr>
          <w:p>
            <w:pPr>
              <w:rPr>
                <w:rFonts w:hint="eastAsia" w:ascii="宋体" w:hAnsi="宋体" w:cs="宋体" w:eastAsiaTheme="minorEastAsia"/>
                <w:color w:val="auto"/>
                <w:kern w:val="0"/>
                <w:sz w:val="20"/>
                <w:szCs w:val="20"/>
                <w:lang w:val="en-US" w:eastAsia="zh-CN" w:bidi="ar-SA"/>
              </w:rPr>
            </w:pPr>
            <w:r>
              <w:rPr>
                <w:rFonts w:hint="eastAsia" w:ascii="宋体" w:hAnsi="宋体" w:cs="宋体"/>
                <w:color w:val="auto"/>
                <w:kern w:val="0"/>
                <w:sz w:val="20"/>
                <w:szCs w:val="20"/>
              </w:rPr>
              <w:t>对非机动车管控重点教育任务提供教育结果上传。</w:t>
            </w:r>
          </w:p>
        </w:tc>
      </w:tr>
    </w:tbl>
    <w:p>
      <w:pPr>
        <w:pStyle w:val="56"/>
        <w:rPr>
          <w:color w:val="auto"/>
        </w:rPr>
      </w:pPr>
    </w:p>
    <w:p>
      <w:pPr>
        <w:pStyle w:val="6"/>
        <w:rPr>
          <w:color w:val="auto"/>
        </w:rPr>
      </w:pPr>
      <w:r>
        <w:rPr>
          <w:rFonts w:hint="eastAsia"/>
          <w:color w:val="auto"/>
        </w:rPr>
        <w:t>运维管理模块</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616"/>
        <w:gridCol w:w="2016"/>
        <w:gridCol w:w="4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shd w:val="clear" w:color="auto" w:fill="auto"/>
            <w:vAlign w:val="center"/>
          </w:tcPr>
          <w:p>
            <w:pPr>
              <w:widowControl/>
              <w:jc w:val="center"/>
              <w:rPr>
                <w:rFonts w:ascii="宋体" w:hAnsi="宋体" w:cs="宋体"/>
                <w:b/>
                <w:bCs/>
                <w:color w:val="auto"/>
                <w:kern w:val="0"/>
                <w:sz w:val="20"/>
                <w:szCs w:val="20"/>
              </w:rPr>
            </w:pPr>
            <w:bookmarkStart w:id="48" w:name="_Hlk103848244"/>
            <w:r>
              <w:rPr>
                <w:rFonts w:hint="eastAsia" w:ascii="宋体" w:hAnsi="宋体" w:cs="宋体"/>
                <w:b/>
                <w:bCs/>
                <w:color w:val="auto"/>
                <w:kern w:val="0"/>
                <w:sz w:val="20"/>
                <w:szCs w:val="20"/>
              </w:rPr>
              <w:t>序号</w:t>
            </w:r>
          </w:p>
        </w:tc>
        <w:tc>
          <w:tcPr>
            <w:tcW w:w="761" w:type="pct"/>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功能模块</w:t>
            </w:r>
          </w:p>
        </w:tc>
        <w:tc>
          <w:tcPr>
            <w:tcW w:w="1214" w:type="pct"/>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子模块</w:t>
            </w:r>
          </w:p>
        </w:tc>
        <w:tc>
          <w:tcPr>
            <w:tcW w:w="2515" w:type="pct"/>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w:t>
            </w:r>
          </w:p>
        </w:tc>
        <w:tc>
          <w:tcPr>
            <w:tcW w:w="761" w:type="pct"/>
            <w:vMerge w:val="restar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工作台</w:t>
            </w:r>
          </w:p>
        </w:tc>
        <w:tc>
          <w:tcPr>
            <w:tcW w:w="1214"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工作动态</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工作台支持实时展示当前用户的值班情况、与当前用户相关的工单分派和解决情况，支持创建工单以及查看草稿箱，帮助用户直观地掌握工作进度，快速处理工作内容。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模块配置</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管理员可在选择展示模块，设置模块标题、字段、图表、数据源。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761" w:type="pct"/>
            <w:vMerge w:val="restar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资产管理子系统</w:t>
            </w: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资产管理</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资产的入库、出库、归还、报废、维修等全生命周期的信息均保存在资产管理数据中，展示资产的基本信息，如：资产编号、资产类型、归属组织、序列号、编号、所属项目、所属仓库、关联设备等。支持通过资产序号、编号等关键词进行模糊搜索或关联品牌、资产状态、类型、项目、归属组织等筛选项精准筛选列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入库管理</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支持资产批量入库，以入库单为单位统计采购、调拨等到货并入库的资产，支持各组织入库流程记录。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资产上线</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支持资产关联设备，设置安装位置、IP等信息，支持通过扫描二维码或RFID出库登记。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资产回收</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支持通过扫描二维码或RFID归还登记，领用人归还资产，归还后变为库存中状态。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资产调拨</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可对资产进行调拨操作，记录原单位、调入单位、调拨时间、调拨原因等。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资产报废</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维护资产报废信息，报废单包含报废单附件、报废日期、经办人等信息，支持以报废单为单位统计已报废的资产。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资产报表</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支持统计资产所属机构、项目、状态、类别、品牌型号、资产价值等维度。分析资产质量，如：使用年限、故障次数、故障现象等。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资产生命周期报表</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支持时间轴方式直观展现资产入库、上线、下线、维修/更换、报废等关键节点的操作时间等信息。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w:t>
            </w:r>
          </w:p>
        </w:tc>
        <w:tc>
          <w:tcPr>
            <w:tcW w:w="761" w:type="pct"/>
            <w:vMerge w:val="restar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项目管理子系统</w:t>
            </w:r>
          </w:p>
        </w:tc>
        <w:tc>
          <w:tcPr>
            <w:tcW w:w="1214" w:type="pct"/>
            <w:vMerge w:val="restar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项目管理</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项目立项管理：对项目立项过程时间、文档资料进行管理，包括通过评审时上传会议纪要、立项申请书等相关文档（需接入浙政钉数据）；展示项目基本信息，包括项目编号、项目名称、项目预算、所属组织、负责人等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vMerge w:val="continue"/>
            <w:shd w:val="clear" w:color="auto" w:fill="auto"/>
            <w:vAlign w:val="center"/>
          </w:tcPr>
          <w:p>
            <w:pPr>
              <w:widowControl/>
              <w:jc w:val="left"/>
              <w:rPr>
                <w:rFonts w:ascii="宋体" w:hAnsi="宋体" w:cs="宋体"/>
                <w:color w:val="auto"/>
                <w:kern w:val="0"/>
                <w:sz w:val="20"/>
                <w:szCs w:val="20"/>
              </w:rPr>
            </w:pP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采购方案管理：通过立项审核的项目，对采购目标及计划评审进行记录，上传采购相关资料及文档信息进行审核。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vMerge w:val="continue"/>
            <w:shd w:val="clear" w:color="auto" w:fill="auto"/>
            <w:vAlign w:val="center"/>
          </w:tcPr>
          <w:p>
            <w:pPr>
              <w:widowControl/>
              <w:jc w:val="left"/>
              <w:rPr>
                <w:rFonts w:ascii="宋体" w:hAnsi="宋体" w:cs="宋体"/>
                <w:color w:val="auto"/>
                <w:kern w:val="0"/>
                <w:sz w:val="20"/>
                <w:szCs w:val="20"/>
              </w:rPr>
            </w:pP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项目招标：录入采购信息、中标通知书等相关文件以及中标单位和监理单位信息，投标文件归档。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vMerge w:val="continue"/>
            <w:shd w:val="clear" w:color="auto" w:fill="auto"/>
            <w:vAlign w:val="center"/>
          </w:tcPr>
          <w:p>
            <w:pPr>
              <w:widowControl/>
              <w:jc w:val="left"/>
              <w:rPr>
                <w:rFonts w:ascii="宋体" w:hAnsi="宋体" w:cs="宋体"/>
                <w:color w:val="auto"/>
                <w:kern w:val="0"/>
                <w:sz w:val="20"/>
                <w:szCs w:val="20"/>
              </w:rPr>
            </w:pP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合同签订：支持合同信息管理，建立合同台帐，包括合同编号、合同名称、合同价格、合同签订日期、运维公司、履行进度、联系信息、合同所关联的资产、合同相关的电子文档、合同关联项目等。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vMerge w:val="continue"/>
            <w:shd w:val="clear" w:color="auto" w:fill="auto"/>
            <w:vAlign w:val="center"/>
          </w:tcPr>
          <w:p>
            <w:pPr>
              <w:widowControl/>
              <w:jc w:val="left"/>
              <w:rPr>
                <w:rFonts w:ascii="宋体" w:hAnsi="宋体" w:cs="宋体"/>
                <w:color w:val="auto"/>
                <w:kern w:val="0"/>
                <w:sz w:val="20"/>
                <w:szCs w:val="20"/>
              </w:rPr>
            </w:pP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项目建设：可维护项目建设过程中的节点、有效时间和每个节点必须上传的文档。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vMerge w:val="continue"/>
            <w:shd w:val="clear" w:color="auto" w:fill="auto"/>
            <w:vAlign w:val="center"/>
          </w:tcPr>
          <w:p>
            <w:pPr>
              <w:widowControl/>
              <w:jc w:val="left"/>
              <w:rPr>
                <w:rFonts w:ascii="宋体" w:hAnsi="宋体" w:cs="宋体"/>
                <w:color w:val="auto"/>
                <w:kern w:val="0"/>
                <w:sz w:val="20"/>
                <w:szCs w:val="20"/>
              </w:rPr>
            </w:pP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项目实施：维护项目实施过程节点，并可上传相关文件资料。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vMerge w:val="continue"/>
            <w:shd w:val="clear" w:color="auto" w:fill="auto"/>
            <w:vAlign w:val="center"/>
          </w:tcPr>
          <w:p>
            <w:pPr>
              <w:widowControl/>
              <w:jc w:val="left"/>
              <w:rPr>
                <w:rFonts w:ascii="宋体" w:hAnsi="宋体" w:cs="宋体"/>
                <w:color w:val="auto"/>
                <w:kern w:val="0"/>
                <w:sz w:val="20"/>
                <w:szCs w:val="20"/>
              </w:rPr>
            </w:pP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项目验收：维护项目验收节点，并可上传相关文件资料。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vMerge w:val="continue"/>
            <w:shd w:val="clear" w:color="auto" w:fill="auto"/>
            <w:vAlign w:val="center"/>
          </w:tcPr>
          <w:p>
            <w:pPr>
              <w:widowControl/>
              <w:jc w:val="left"/>
              <w:rPr>
                <w:rFonts w:ascii="宋体" w:hAnsi="宋体" w:cs="宋体"/>
                <w:color w:val="auto"/>
                <w:kern w:val="0"/>
                <w:sz w:val="20"/>
                <w:szCs w:val="20"/>
              </w:rPr>
            </w:pP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项目收尾：维护项目收尾节点，并可上传相关文件资料。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vMerge w:val="restar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预算管理</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年度预算：支持对支出经费的增删改查，设定各年度经费预算以及执行进度考核，并且针对预算使用量进行预警，各业务部门可以提出申请，增加采购预算。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vMerge w:val="continue"/>
            <w:shd w:val="clear" w:color="auto" w:fill="auto"/>
            <w:vAlign w:val="center"/>
          </w:tcPr>
          <w:p>
            <w:pPr>
              <w:widowControl/>
              <w:jc w:val="left"/>
              <w:rPr>
                <w:rFonts w:ascii="宋体" w:hAnsi="宋体" w:cs="宋体"/>
                <w:color w:val="auto"/>
                <w:kern w:val="0"/>
                <w:sz w:val="20"/>
                <w:szCs w:val="20"/>
              </w:rPr>
            </w:pP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确认书管理：支持新增确认书，确认书为经费使用划拨时需关联确认书，确认书台账需清楚记录相关经费的使用情况，如每笔金额的使用项目或标段、相关支付台账等。对已经使用的确认书不再做修改删除操作。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vMerge w:val="continue"/>
            <w:shd w:val="clear" w:color="auto" w:fill="auto"/>
            <w:vAlign w:val="center"/>
          </w:tcPr>
          <w:p>
            <w:pPr>
              <w:widowControl/>
              <w:jc w:val="left"/>
              <w:rPr>
                <w:rFonts w:ascii="宋体" w:hAnsi="宋体" w:cs="宋体"/>
                <w:color w:val="auto"/>
                <w:kern w:val="0"/>
                <w:sz w:val="20"/>
                <w:szCs w:val="20"/>
              </w:rPr>
            </w:pP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费用支付：支付申请，支付申请内容包括：选择关联相关合同的支付配置，关联确认书的经费出处、支付账户、收款账户、费用用途、支付时间等。系统对支付关联的合同和确认书验证，对不符合支付要求的情况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w:t>
            </w:r>
          </w:p>
        </w:tc>
        <w:tc>
          <w:tcPr>
            <w:tcW w:w="761" w:type="pct"/>
            <w:vMerge w:val="restar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监测中心子系统</w:t>
            </w:r>
          </w:p>
        </w:tc>
        <w:tc>
          <w:tcPr>
            <w:tcW w:w="1214"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监测动态</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可查看权限内的监测数据、最新监测告警信息。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设备列表</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展示设备的基本信息，如：设备类型、设备属性、IP地址、所属项目、设备品牌、设备型号、设备序列。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设备详情</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支持信息点内可查看所在信息点内的所有设备详情，查看该设备的照片、设备类型、设备属性、IP地址、所属项目、设备品牌、设备型号、设备序列号、运营商、承建商、运行状态、设备账号、设备密码、MAC地址、型号、端口、安装方式、车道数等基础信息，同时可查看该设备的维护记录与维修记录，涵盖维护/维修责任人、时间及内容。并且同步展示当前设备监测信息的历史数据及流程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监控设备监测</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支持在线状态、有无图像、图像质量（包含亮度、暗度、波动、抖动、雪花、视频剧变、遮挡、冻结、清晰度、色片、干扰、对比度、噪声等）、录像完整率、录像保存时长数据监测。被监测设备数量≧5000路。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服务器监测</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支持在线状态、磁盘容量、内存使用率等数据监测。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网络设备监测</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在线状态数据等。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交通数据监测</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号牌识别率、号牌识别正确率、过车抓拍率、移动设备数据上传率等数据监测，并且支持人工复检。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卡口数据监测</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对卡口数据变动幅度进行分析、按点位按时段持续统计致少近7日数据，并取平均值，同点位当天数据量与历史同时段平均值对比，对变动幅度超过阀值的点位产生告警。对识别率低于阀值的点位产生告警。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主机设备</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检查应急报警主机、周界报警、巡视主机、交互终端、各类控制器等具有以太网连网的设备的网络连通性等。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检测项管理</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支持为各类型设备配置检测项，并且支持针对下级子项单独配置独立检测项，应用于不同场景。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8"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★巡检管理</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支持按天、按周、按月等自定义定时巡检计划，支持对被管设备、操作系统、数据库、中间件等的自动化巡检，生成巡检报告，亦可以手动执行计划。</w:t>
            </w:r>
            <w:r>
              <w:rPr>
                <w:rFonts w:hint="eastAsia" w:ascii="宋体" w:hAnsi="宋体" w:cs="宋体"/>
                <w:b/>
                <w:bCs/>
                <w:color w:val="auto"/>
                <w:kern w:val="0"/>
                <w:sz w:val="20"/>
                <w:szCs w:val="20"/>
              </w:rPr>
              <w:t>提供相关截图证明</w:t>
            </w:r>
            <w:r>
              <w:rPr>
                <w:rFonts w:hint="eastAsia" w:ascii="宋体" w:hAnsi="宋体" w:cs="宋体"/>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策略配置</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支持新增处置规则，规则包含触发条件、执行动作、升级策略等。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w:t>
            </w:r>
          </w:p>
        </w:tc>
        <w:tc>
          <w:tcPr>
            <w:tcW w:w="761" w:type="pct"/>
            <w:vMerge w:val="restar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运维管理子系统</w:t>
            </w:r>
          </w:p>
        </w:tc>
        <w:tc>
          <w:tcPr>
            <w:tcW w:w="1214" w:type="pct"/>
            <w:vMerge w:val="restar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工单管理</w:t>
            </w:r>
          </w:p>
        </w:tc>
        <w:tc>
          <w:tcPr>
            <w:tcW w:w="2515"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支持通过告警转化、人工上报、策略触发等方式创建工单，支持工单流程节点自定义控制，根据用户角色权限切换不同模式的流程引擎，支持SLA定级、紧急度、重要度设置，支持关联设备或脱离设备直接发起工单信息，支持地图定位，支持中途支持直接处理及关闭（有处理权的情况下，服务台人员如果能处理，可直接处理并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vMerge w:val="continue"/>
            <w:shd w:val="clear" w:color="auto" w:fill="auto"/>
            <w:vAlign w:val="center"/>
          </w:tcPr>
          <w:p>
            <w:pPr>
              <w:widowControl/>
              <w:jc w:val="left"/>
              <w:rPr>
                <w:rFonts w:ascii="宋体" w:hAnsi="宋体" w:cs="宋体"/>
                <w:color w:val="auto"/>
                <w:kern w:val="0"/>
                <w:sz w:val="20"/>
                <w:szCs w:val="20"/>
              </w:rPr>
            </w:pPr>
          </w:p>
        </w:tc>
        <w:tc>
          <w:tcPr>
            <w:tcW w:w="2515"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支持设备类工单直接引导执行报废报修等流程，并且执行相关流程。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维修清单</w:t>
            </w:r>
          </w:p>
        </w:tc>
        <w:tc>
          <w:tcPr>
            <w:tcW w:w="2515"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支持维修清单功能（包括数量、种类、单价等）。具备统计、查询、对账功能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工单详情</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支持拥有权限的用户查阅当前工单所有节点的处理状态以及操作人员，并且可进行工单流程补录动作。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计划任务</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1、支持按日常维护计划进行维护流水记录，支持根据日常常规维护（如巡检）、特定工作任务要求发起维护管理任务 2、支持按计划名称、任务编号、时间等查询条件进行维护计划、维护任务的查询和统计。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事件统计</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可按工程师、组织机构、故障分类分别进行事件任务考核统计。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任务分析</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分析内容包括：任务处理次数、主修辅修任务数、重复维修情况、超时次数、任务达标率、满意度、服务量分值等。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6</w:t>
            </w:r>
          </w:p>
        </w:tc>
        <w:tc>
          <w:tcPr>
            <w:tcW w:w="761" w:type="pct"/>
            <w:vMerge w:val="restar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消息中心子系统</w:t>
            </w: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查看公告</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支持公告消息的提醒、展示与查看。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公告管理</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支持公告的录入、修改、删除、发布等管理功能。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系统消息</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支持按照不同的消息分类查看工单消息提醒；支持工单消息设置，用于工单消息类型和通知方式的定义。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7</w:t>
            </w:r>
          </w:p>
        </w:tc>
        <w:tc>
          <w:tcPr>
            <w:tcW w:w="761" w:type="pct"/>
            <w:vMerge w:val="restar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告警中心子系统</w:t>
            </w: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告警概览</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支持针对告警源、告警级别、告警对象等信息筛选、查询告警记录信息，支持选定开始日期和结束日期进行筛选。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vMerge w:val="restar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告警信息</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1、支持按告警源类型统计、筛选和查询告警。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vMerge w:val="continue"/>
            <w:shd w:val="clear" w:color="auto" w:fill="auto"/>
            <w:vAlign w:val="center"/>
          </w:tcPr>
          <w:p>
            <w:pPr>
              <w:widowControl/>
              <w:jc w:val="left"/>
              <w:rPr>
                <w:rFonts w:ascii="宋体" w:hAnsi="宋体" w:cs="宋体"/>
                <w:color w:val="auto"/>
                <w:kern w:val="0"/>
                <w:sz w:val="20"/>
                <w:szCs w:val="20"/>
              </w:rPr>
            </w:pP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2、支持与资产管理信息联动，进行告警事件丰富。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vMerge w:val="continue"/>
            <w:shd w:val="clear" w:color="auto" w:fill="auto"/>
            <w:vAlign w:val="center"/>
          </w:tcPr>
          <w:p>
            <w:pPr>
              <w:widowControl/>
              <w:jc w:val="left"/>
              <w:rPr>
                <w:rFonts w:ascii="宋体" w:hAnsi="宋体" w:cs="宋体"/>
                <w:color w:val="auto"/>
                <w:kern w:val="0"/>
                <w:sz w:val="20"/>
                <w:szCs w:val="20"/>
              </w:rPr>
            </w:pP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3、支持从告警记录中发起事件工单，发起后可在该记录中查询追踪后期事件情况，系统会根据事件工单的结果来处理。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vMerge w:val="continue"/>
            <w:shd w:val="clear" w:color="auto" w:fill="auto"/>
            <w:vAlign w:val="center"/>
          </w:tcPr>
          <w:p>
            <w:pPr>
              <w:widowControl/>
              <w:jc w:val="left"/>
              <w:rPr>
                <w:rFonts w:ascii="宋体" w:hAnsi="宋体" w:cs="宋体"/>
                <w:color w:val="auto"/>
                <w:kern w:val="0"/>
                <w:sz w:val="20"/>
                <w:szCs w:val="20"/>
              </w:rPr>
            </w:pP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4、支持展示告警事件下的警报列表、事件处理记录、事件关联的指标以及事件的时间线。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维护告警</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可制定不同设备的维护时间频率，当设备距离最后一次维护时间超过制定的维护频率时，对该设备进行告警包含时间、信息点、维护频率、最后一次维护时间、设备、序列号。（告警先后分为一级、二级信息点排列，一级信息点排列在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告警抑制</w:t>
            </w:r>
          </w:p>
        </w:tc>
        <w:tc>
          <w:tcPr>
            <w:tcW w:w="2515"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1、支持通过规则方式进行告警的压缩合并；</w:t>
            </w:r>
          </w:p>
          <w:p>
            <w:pPr>
              <w:widowControl/>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★2、支持通过智能算法方式进行告警的压缩合并。</w:t>
            </w:r>
            <w:r>
              <w:rPr>
                <w:rFonts w:hint="eastAsia" w:ascii="宋体" w:hAnsi="宋体" w:cs="宋体"/>
                <w:b/>
                <w:bCs/>
                <w:color w:val="auto"/>
                <w:kern w:val="0"/>
                <w:sz w:val="20"/>
                <w:szCs w:val="20"/>
              </w:rPr>
              <w:t>提供相关截图证明</w:t>
            </w:r>
            <w:r>
              <w:rPr>
                <w:rFonts w:hint="eastAsia" w:ascii="宋体" w:hAnsi="宋体" w:cs="宋体"/>
                <w:b/>
                <w:bCs/>
                <w:color w:val="auto"/>
                <w:kern w:val="0"/>
                <w:sz w:val="20"/>
                <w:szCs w:val="20"/>
                <w:lang w:eastAsia="zh-CN"/>
              </w:rPr>
              <w:t>。</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3、支持按需配置跨告警源的高级合并规则。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消息订阅</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个人用户、特定角色或机构可以跟据自身的需要，选择性订阅不同来源、不同消息级别的消息，订阅方式支持短信、邮件、APP、系统消息。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8</w:t>
            </w:r>
          </w:p>
        </w:tc>
        <w:tc>
          <w:tcPr>
            <w:tcW w:w="761" w:type="pct"/>
            <w:vMerge w:val="restar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考核分析子系统</w:t>
            </w: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响应时间合格率</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从运维系统获取事件各时间节点，从用户申报事件到维护方派单的时间的时间。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到达现场时间合格率</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从运维系统获取事件各时间节点，从用户申报事件到工程师到达现场的时间。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修复完成时间合格率</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从运维系统获取事件各时间节点，从用户申报事件到工程师修复完成的时间。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考核任务统计表</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支持对考核任务进行统计展示。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考核结果统计表</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展示考核任务中各对象，对象的SLA得分、重复维修得分、维修完成得分。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号牌识别率</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支持从交通数据系统获取设备的过车记录和号牌识别记录并分析出号牌识别率。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号牌识别正确率</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从交通数据系统获取设备的过车记录，提供人工复查辅助界面，由人工确认号牌识别是否正确，系统统计得出号牌识别正确率。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过车抓拍率</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从交通数据系统获取设备某时段的录像和过车记录，提供人工复查辅助界面，由人工确认是否正常抓拍，系统统计得出过车抓拍率。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移动设备数据上传率</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从交通数据系统获取设备上传的数据，记录每日上传量。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vMerge w:val="restar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监控设备考核</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在线状态：从运维系统获取设备每次监测的在离线状态。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vMerge w:val="continue"/>
            <w:shd w:val="clear" w:color="auto" w:fill="auto"/>
            <w:vAlign w:val="center"/>
          </w:tcPr>
          <w:p>
            <w:pPr>
              <w:widowControl/>
              <w:jc w:val="left"/>
              <w:rPr>
                <w:rFonts w:ascii="宋体" w:hAnsi="宋体" w:cs="宋体"/>
                <w:color w:val="auto"/>
                <w:kern w:val="0"/>
                <w:sz w:val="20"/>
                <w:szCs w:val="20"/>
              </w:rPr>
            </w:pP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有无图像：从运维系统获取设备每次监测的视频有无图像。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vMerge w:val="continue"/>
            <w:shd w:val="clear" w:color="auto" w:fill="auto"/>
            <w:vAlign w:val="center"/>
          </w:tcPr>
          <w:p>
            <w:pPr>
              <w:widowControl/>
              <w:jc w:val="left"/>
              <w:rPr>
                <w:rFonts w:ascii="宋体" w:hAnsi="宋体" w:cs="宋体"/>
                <w:color w:val="auto"/>
                <w:kern w:val="0"/>
                <w:sz w:val="20"/>
                <w:szCs w:val="20"/>
              </w:rPr>
            </w:pP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图像质量：从运维系统获取设备每次监测的视频质量评分（含各质量指标的分数，如：清晰度、对比度、亮度等）。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vMerge w:val="continue"/>
            <w:shd w:val="clear" w:color="auto" w:fill="auto"/>
            <w:vAlign w:val="center"/>
          </w:tcPr>
          <w:p>
            <w:pPr>
              <w:widowControl/>
              <w:jc w:val="left"/>
              <w:rPr>
                <w:rFonts w:ascii="宋体" w:hAnsi="宋体" w:cs="宋体"/>
                <w:color w:val="auto"/>
                <w:kern w:val="0"/>
                <w:sz w:val="20"/>
                <w:szCs w:val="20"/>
              </w:rPr>
            </w:pP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录像完整率：从运维系统获取设备每日录像的时长占全天的比例。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vMerge w:val="continue"/>
            <w:shd w:val="clear" w:color="auto" w:fill="auto"/>
            <w:vAlign w:val="center"/>
          </w:tcPr>
          <w:p>
            <w:pPr>
              <w:widowControl/>
              <w:jc w:val="left"/>
              <w:rPr>
                <w:rFonts w:ascii="宋体" w:hAnsi="宋体" w:cs="宋体"/>
                <w:color w:val="auto"/>
                <w:kern w:val="0"/>
                <w:sz w:val="20"/>
                <w:szCs w:val="20"/>
              </w:rPr>
            </w:pP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录像保存时长：从运维系统获取设备的录像在保存要求的天数内是否存在。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vMerge w:val="restar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服务器考核</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在线状态：从运维系统获取设备每次监测的在离线状态。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vMerge w:val="continue"/>
            <w:shd w:val="clear" w:color="auto" w:fill="auto"/>
            <w:vAlign w:val="center"/>
          </w:tcPr>
          <w:p>
            <w:pPr>
              <w:widowControl/>
              <w:jc w:val="left"/>
              <w:rPr>
                <w:rFonts w:ascii="宋体" w:hAnsi="宋体" w:cs="宋体"/>
                <w:color w:val="auto"/>
                <w:kern w:val="0"/>
                <w:sz w:val="20"/>
                <w:szCs w:val="20"/>
              </w:rPr>
            </w:pP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磁盘容量：从运维系统获取设备每次监测的磁盘容量总量和剩余容量。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考核任务设定</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可自由选择考核对象（如机构、项目、分组），指定考核办法，在考核有效期内按照日、周、月、整体等周期进行考核，可按选择的多个考核对象及其子对象生成报表生成考核报表。既可支持日常考核，也可以支持特殊考核（如春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9</w:t>
            </w:r>
          </w:p>
        </w:tc>
        <w:tc>
          <w:tcPr>
            <w:tcW w:w="761" w:type="pct"/>
            <w:vMerge w:val="restar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系统基本设置</w:t>
            </w: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组织编辑</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可对组织架构、运维单位等相关使用方，支持多层级组织设置。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vMerge w:val="restar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用户管理</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1、支持对平台用户进行增删改查。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vMerge w:val="continue"/>
            <w:shd w:val="clear" w:color="auto" w:fill="auto"/>
            <w:vAlign w:val="center"/>
          </w:tcPr>
          <w:p>
            <w:pPr>
              <w:widowControl/>
              <w:jc w:val="left"/>
              <w:rPr>
                <w:rFonts w:ascii="宋体" w:hAnsi="宋体" w:cs="宋体"/>
                <w:color w:val="auto"/>
                <w:kern w:val="0"/>
                <w:sz w:val="20"/>
                <w:szCs w:val="20"/>
              </w:rPr>
            </w:pP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2、新增用户信息应包括用户账号、密码、姓名、联系电话、所属组织、用户角色、账号状态等信息。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vMerge w:val="continue"/>
            <w:shd w:val="clear" w:color="auto" w:fill="auto"/>
            <w:vAlign w:val="center"/>
          </w:tcPr>
          <w:p>
            <w:pPr>
              <w:widowControl/>
              <w:jc w:val="left"/>
              <w:rPr>
                <w:rFonts w:ascii="宋体" w:hAnsi="宋体" w:cs="宋体"/>
                <w:color w:val="auto"/>
                <w:kern w:val="0"/>
                <w:sz w:val="20"/>
                <w:szCs w:val="20"/>
              </w:rPr>
            </w:pP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3、支持将平台用户信息和公司内外其他系统同步，可用于支持单点登录等场景。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角色编辑</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支持对角色新增、修改、删除、查询，角色信息包括角色名称、角色描述、角色状态等。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权限分配</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支持角色权限的菜单权限分配。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新增群组</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支持跨组织建立用户组，设置用户组名称、描述、用户组状态。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添加成员</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支持将平台的所有组织下的任何用户加入到同一用户组，支持跨组织的工作小组。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用户日志</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记录所有用户在本系统的登录、登出、模块进入及详细操作日志，可跟据IP地址、时间、用户账号、操作类型进行查询。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数据字典</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支持对系统中涉及到的一些内置备选字段属性进行自定义设置。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w:t>
            </w:r>
          </w:p>
        </w:tc>
        <w:tc>
          <w:tcPr>
            <w:tcW w:w="761" w:type="pct"/>
            <w:vMerge w:val="restar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运维展示</w:t>
            </w: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实况地图</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可根据当前机构管辖的区域进行划分，绘制链路航线图，宏观展现区域整体运维情况和最新异常设备。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数据统计</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支持统计所有的设备大类及数量等信息，支持显示当日异常设备数量。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分时数据</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支持系统监测的周报、月报、季报、年报自动生成，并支持导出报表。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异常信息</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支持展示各类型设备当日异常数量及总数，通过切换类别展示不同的异常信息。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最新记录</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展示异常设备列表，可支持跳转至监控信息页面查看详情信息。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11</w:t>
            </w:r>
          </w:p>
        </w:tc>
        <w:tc>
          <w:tcPr>
            <w:tcW w:w="761" w:type="pct"/>
            <w:vMerge w:val="restar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移动运维应用</w:t>
            </w: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应用嵌入</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支持移动应用嵌入到即时通信工具中。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vMerge w:val="restar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事件申报</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新的事件申报，运维小程序主要提供给一线工程师进行事件申报。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vMerge w:val="continue"/>
            <w:shd w:val="clear" w:color="auto" w:fill="auto"/>
            <w:vAlign w:val="center"/>
          </w:tcPr>
          <w:p>
            <w:pPr>
              <w:widowControl/>
              <w:jc w:val="left"/>
              <w:rPr>
                <w:rFonts w:ascii="宋体" w:hAnsi="宋体" w:cs="宋体"/>
                <w:color w:val="auto"/>
                <w:kern w:val="0"/>
                <w:sz w:val="20"/>
                <w:szCs w:val="20"/>
              </w:rPr>
            </w:pP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支持SLA定级、紧急度、重要度设置。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vMerge w:val="continue"/>
            <w:shd w:val="clear" w:color="auto" w:fill="auto"/>
            <w:vAlign w:val="center"/>
          </w:tcPr>
          <w:p>
            <w:pPr>
              <w:widowControl/>
              <w:jc w:val="left"/>
              <w:rPr>
                <w:rFonts w:ascii="宋体" w:hAnsi="宋体" w:cs="宋体"/>
                <w:color w:val="auto"/>
                <w:kern w:val="0"/>
                <w:sz w:val="20"/>
                <w:szCs w:val="20"/>
              </w:rPr>
            </w:pP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支持事件现象分类（技术或业务咨询、设备故障、系统故障等），支持多级分类选择。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vMerge w:val="continue"/>
            <w:shd w:val="clear" w:color="auto" w:fill="auto"/>
            <w:vAlign w:val="center"/>
          </w:tcPr>
          <w:p>
            <w:pPr>
              <w:widowControl/>
              <w:jc w:val="left"/>
              <w:rPr>
                <w:rFonts w:ascii="宋体" w:hAnsi="宋体" w:cs="宋体"/>
                <w:color w:val="auto"/>
                <w:kern w:val="0"/>
                <w:sz w:val="20"/>
                <w:szCs w:val="20"/>
              </w:rPr>
            </w:pP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支持直接指派处理人员（有指派权的情况下）。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vMerge w:val="restar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我的待办任务</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显示所有需要当前用户处理的任务（事件）。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vMerge w:val="continue"/>
            <w:shd w:val="clear" w:color="auto" w:fill="auto"/>
            <w:vAlign w:val="center"/>
          </w:tcPr>
          <w:p>
            <w:pPr>
              <w:widowControl/>
              <w:jc w:val="left"/>
              <w:rPr>
                <w:rFonts w:ascii="宋体" w:hAnsi="宋体" w:cs="宋体"/>
                <w:color w:val="auto"/>
                <w:kern w:val="0"/>
                <w:sz w:val="20"/>
                <w:szCs w:val="20"/>
              </w:rPr>
            </w:pP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点击待任务显示详情，填写处理结果、上传处理过程图片。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vMerge w:val="continue"/>
            <w:shd w:val="clear" w:color="auto" w:fill="auto"/>
            <w:vAlign w:val="center"/>
          </w:tcPr>
          <w:p>
            <w:pPr>
              <w:widowControl/>
              <w:jc w:val="left"/>
              <w:rPr>
                <w:rFonts w:ascii="宋体" w:hAnsi="宋体" w:cs="宋体"/>
                <w:color w:val="auto"/>
                <w:kern w:val="0"/>
                <w:sz w:val="20"/>
                <w:szCs w:val="20"/>
              </w:rPr>
            </w:pP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审核人员可以审核已处理的事件，退回重新处理或重新指派给其他人员。审核通过后直接关闭。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我的挂起任务</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显示所有当前用户挂起的任务。可发起恢复重新处理（恢复后该指派的指派、该处理的处理）。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我管理的任务</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个人处理或经手的任务查询。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任务分析</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支持展示“待我处理”、“待我领取”、“逾期”、“即将逾期”的工单统计，支持在可选时间范围内的知识库贡献数量进行统计和展示，支持统计结果的导出。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通知</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一般情况有事件处理通知、管理员发布的通知通告。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个人信息</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显示个人姓名基本信息。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12</w:t>
            </w:r>
          </w:p>
        </w:tc>
        <w:tc>
          <w:tcPr>
            <w:tcW w:w="761"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应用监测及性能管理</w:t>
            </w:r>
          </w:p>
        </w:tc>
        <w:tc>
          <w:tcPr>
            <w:tcW w:w="1214"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应用程序检测接入及监测</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将系统检测的应用程序运行过程中的网络连通状态，CPU占用率，内存占用率等进行接入和展示。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业务及应用系统拓扑</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自动发现台州应用所有技术栈（如JAVA和PHP）及其关联关系，支持自定义业务，自动生成业务全局拓扑，可了解整体业务及应用调用链路情况以及健康度，业务拓扑可以钻取分析事物，数据库，主机的性能分析。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★代码执行深入追踪诊断</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支持PHP、Java、.NET、Python等语言的代码执行情况追踪，支持对运行时代码、SQL执行、API调用过程的性能数据采集与分析，深入到代码层面定位性能瓶颈，分析应用性能下降的因素。深度代码诊断从大量的业务请求中抓取及分析真实用户操作背后的代码执行逻辑关系与状态，如执行时间最长的方法、慢查询等。</w:t>
            </w:r>
            <w:r>
              <w:rPr>
                <w:rFonts w:hint="eastAsia" w:ascii="宋体" w:hAnsi="宋体" w:cs="宋体"/>
                <w:b/>
                <w:bCs/>
                <w:strike w:val="0"/>
                <w:dstrike w:val="0"/>
                <w:color w:val="auto"/>
                <w:kern w:val="0"/>
                <w:sz w:val="20"/>
                <w:szCs w:val="20"/>
              </w:rPr>
              <w:t>提供相关截图证明</w:t>
            </w:r>
            <w:r>
              <w:rPr>
                <w:rFonts w:hint="eastAsia" w:ascii="宋体" w:hAnsi="宋体" w:cs="宋体"/>
                <w:strike w:val="0"/>
                <w:dstrike w:val="0"/>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应用请求事务追踪</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应用请求中可查看应用当前响应时间和请求数的变化趋势，可查看响应时间正常、缓慢和非常慢三类请求的变化及所有请求的平均响应时间变化事务的运行状态、每分钟执行次数、响应时间、错误率、错误次数及总执行次数，详细分析每次请求的相关服务、服务器、代码堆栈、SQL语句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网络性能监控</w:t>
            </w:r>
          </w:p>
        </w:tc>
        <w:tc>
          <w:tcPr>
            <w:tcW w:w="1214"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功能组成</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网络性能监控由3部分组成：数据采集、数据处理和数据服务。数据服务由6大功能模块组成，分别是仪表台、视图、告警、报表、发现、管理。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监控指标</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★可以实时查看和统计监控流量中重复数据包、重传数据包、乱序数据包的数量；可以实时查看和统计监控流量中的重复率、重传率、乱序率</w:t>
            </w:r>
            <w:r>
              <w:rPr>
                <w:rFonts w:hint="eastAsia" w:ascii="宋体" w:hAnsi="宋体" w:cs="宋体"/>
                <w:strike w:val="0"/>
                <w:dstrike w:val="0"/>
                <w:color w:val="auto"/>
                <w:kern w:val="0"/>
                <w:sz w:val="20"/>
                <w:szCs w:val="20"/>
              </w:rPr>
              <w:t>。</w:t>
            </w:r>
            <w:r>
              <w:rPr>
                <w:rFonts w:hint="eastAsia" w:ascii="宋体" w:hAnsi="宋体" w:cs="宋体"/>
                <w:b/>
                <w:bCs/>
                <w:strike w:val="0"/>
                <w:dstrike w:val="0"/>
                <w:color w:val="auto"/>
                <w:kern w:val="0"/>
                <w:sz w:val="20"/>
                <w:szCs w:val="20"/>
              </w:rPr>
              <w:t>提供相关截图证明</w:t>
            </w:r>
            <w:r>
              <w:rPr>
                <w:rFonts w:hint="eastAsia" w:ascii="宋体" w:hAnsi="宋体" w:cs="宋体"/>
                <w:strike w:val="0"/>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13</w:t>
            </w:r>
          </w:p>
        </w:tc>
        <w:tc>
          <w:tcPr>
            <w:tcW w:w="761"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网页可用性监控</w:t>
            </w:r>
          </w:p>
        </w:tc>
        <w:tc>
          <w:tcPr>
            <w:tcW w:w="1214"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Http/Https监控</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网页可用性监控能够帮助用户了解网站的可用率，当页面不可访问能够及时告警，即便从内部服务器或应用服务显示都正常，分布式监测的环境依然可以发现局部网络不可用的情况。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vMerge w:val="continue"/>
            <w:shd w:val="clear" w:color="auto" w:fill="auto"/>
            <w:vAlign w:val="center"/>
          </w:tcPr>
          <w:p>
            <w:pPr>
              <w:widowControl/>
              <w:jc w:val="left"/>
              <w:rPr>
                <w:rFonts w:ascii="宋体" w:hAnsi="宋体" w:cs="宋体"/>
                <w:color w:val="auto"/>
                <w:kern w:val="0"/>
                <w:sz w:val="20"/>
                <w:szCs w:val="20"/>
              </w:rPr>
            </w:pP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通过可用性监控，可整体掌握网站性能的可用状态，通过不同时间点的可用性分析，定位具体的故障原因。包括DNS解析故障、连接超时、4XX错误和5XX错误情况等，根据监测时间以及监控状态，进行整体排查和性能故障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平均响应时间监控</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从平均响应时间详细统计中分析，可以看到网站的DNS解析时间、建立连接时间、首包时间、内容下载时间，针对每一段响应速度耗时，可做针对性性能优化，提升响应时间。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历史快照</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★通过历史快照功能，可以具体回溯响应较慢现象，查看具体响应时间过长的阶段和响应头等信息，包括响应服务器IP、下载字节数、下载速度等指标，方便技术人员进行优化。</w:t>
            </w:r>
            <w:r>
              <w:rPr>
                <w:rFonts w:hint="eastAsia" w:ascii="宋体" w:hAnsi="宋体" w:cs="宋体"/>
                <w:b/>
                <w:bCs/>
                <w:color w:val="auto"/>
                <w:kern w:val="0"/>
                <w:sz w:val="20"/>
                <w:szCs w:val="20"/>
              </w:rPr>
              <w:t>提供相关截图证明</w:t>
            </w:r>
            <w:r>
              <w:rPr>
                <w:rFonts w:hint="eastAsia" w:ascii="宋体" w:hAnsi="宋体" w:cs="宋体"/>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14</w:t>
            </w:r>
          </w:p>
        </w:tc>
        <w:tc>
          <w:tcPr>
            <w:tcW w:w="761"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视频诊断子系统</w:t>
            </w:r>
          </w:p>
        </w:tc>
        <w:tc>
          <w:tcPr>
            <w:tcW w:w="1214"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摄像头运行质量分析</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★对接现有视频平台，能对视频平台所有摄像头进行清晰度异常、雪花干扰、视频亮度异常、视频噪声干扰、画面冻结、视频信号缺失、视频遮挡等异常运行监测，以及支持事件告警，查询等功能。</w:t>
            </w:r>
            <w:r>
              <w:rPr>
                <w:rFonts w:hint="eastAsia" w:ascii="宋体" w:hAnsi="宋体" w:cs="宋体"/>
                <w:b/>
                <w:bCs/>
                <w:color w:val="auto"/>
                <w:kern w:val="0"/>
                <w:sz w:val="20"/>
                <w:szCs w:val="20"/>
              </w:rPr>
              <w:t>提供相关截图证明</w:t>
            </w:r>
            <w:r>
              <w:rPr>
                <w:rFonts w:hint="eastAsia" w:ascii="宋体" w:hAnsi="宋体" w:cs="宋体"/>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15</w:t>
            </w:r>
          </w:p>
        </w:tc>
        <w:tc>
          <w:tcPr>
            <w:tcW w:w="761" w:type="pct"/>
            <w:vMerge w:val="restar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第三方对接开发</w:t>
            </w:r>
          </w:p>
        </w:tc>
        <w:tc>
          <w:tcPr>
            <w:tcW w:w="1214"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数据标准</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制定交警局数据类平台（资产、设备）对接标准方案并且定期执行平台数据信息同步。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资产云</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对接资产云相关资产数据，包括资产登记、报废等。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vMerge w:val="restar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数据中心</w:t>
            </w:r>
          </w:p>
        </w:tc>
        <w:tc>
          <w:tcPr>
            <w:tcW w:w="2515" w:type="pct"/>
            <w:vMerge w:val="restar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对接台州交警局数据中心，获取视频监控设备台账信息、服务器设备台账信息、网络设备台账信息。</w:t>
            </w:r>
          </w:p>
          <w:p>
            <w:pPr>
              <w:widowControl/>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1.对接视频监控系统，获取在离线、视频信号、图像质量分析。</w:t>
            </w:r>
          </w:p>
          <w:p>
            <w:pPr>
              <w:widowControl/>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2.对接设备管理系统（如有）或者直接对接设备，获取服务器在离线、盘符容量/使用量、CPU使用、内存使用、进程数量。</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3.对接设备管理系统（如有）或者直接对接设备，获取网络设备在离线、CPU使用、内存使用、收发消息数、端口速率。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vMerge w:val="continue"/>
            <w:shd w:val="clear" w:color="auto" w:fill="auto"/>
            <w:vAlign w:val="center"/>
          </w:tcPr>
          <w:p>
            <w:pPr>
              <w:widowControl/>
              <w:jc w:val="left"/>
              <w:rPr>
                <w:rFonts w:ascii="宋体" w:hAnsi="宋体" w:cs="宋体"/>
                <w:color w:val="auto"/>
                <w:kern w:val="0"/>
                <w:sz w:val="20"/>
                <w:szCs w:val="20"/>
              </w:rPr>
            </w:pPr>
          </w:p>
        </w:tc>
        <w:tc>
          <w:tcPr>
            <w:tcW w:w="2515" w:type="pct"/>
            <w:vMerge w:val="continue"/>
            <w:shd w:val="clear" w:color="auto" w:fill="auto"/>
            <w:vAlign w:val="center"/>
          </w:tcPr>
          <w:p>
            <w:pPr>
              <w:widowControl/>
              <w:jc w:val="left"/>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vMerge w:val="continue"/>
            <w:shd w:val="clear" w:color="auto" w:fill="auto"/>
            <w:vAlign w:val="center"/>
          </w:tcPr>
          <w:p>
            <w:pPr>
              <w:widowControl/>
              <w:jc w:val="left"/>
              <w:rPr>
                <w:rFonts w:ascii="宋体" w:hAnsi="宋体" w:cs="宋体"/>
                <w:color w:val="auto"/>
                <w:kern w:val="0"/>
                <w:sz w:val="20"/>
                <w:szCs w:val="20"/>
              </w:rPr>
            </w:pPr>
          </w:p>
        </w:tc>
        <w:tc>
          <w:tcPr>
            <w:tcW w:w="2515" w:type="pct"/>
            <w:vMerge w:val="continue"/>
            <w:shd w:val="clear" w:color="auto" w:fill="auto"/>
            <w:vAlign w:val="center"/>
          </w:tcPr>
          <w:p>
            <w:pPr>
              <w:widowControl/>
              <w:jc w:val="left"/>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地理信息系统</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对接电子地图基础功能，并给予电子地图相关应用开发。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第三方APP集成</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支持被集成到交警局app（如政务网App）应用系统，运维移动端采用内嵌式h5（webview）设计。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统一门户</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与台州交警局统一门户系统对接，作为统一门户系统下的一个子系统。由第三方系统提供接口，定制性功能。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短信平台</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与交警局短信平台对接，实现告警短信、消息通知短信、语音通知的发送。（由交警局提供相关接口）。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vAlign w:val="center"/>
          </w:tcPr>
          <w:p>
            <w:pPr>
              <w:widowControl/>
              <w:jc w:val="left"/>
              <w:rPr>
                <w:rFonts w:ascii="宋体" w:hAnsi="宋体" w:cs="宋体"/>
                <w:color w:val="auto"/>
                <w:kern w:val="0"/>
                <w:sz w:val="20"/>
                <w:szCs w:val="20"/>
              </w:rPr>
            </w:pPr>
          </w:p>
        </w:tc>
        <w:tc>
          <w:tcPr>
            <w:tcW w:w="761" w:type="pct"/>
            <w:vMerge w:val="continue"/>
            <w:shd w:val="clear" w:color="auto" w:fill="auto"/>
            <w:vAlign w:val="center"/>
          </w:tcPr>
          <w:p>
            <w:pPr>
              <w:widowControl/>
              <w:jc w:val="left"/>
              <w:rPr>
                <w:rFonts w:ascii="宋体" w:hAnsi="宋体" w:cs="宋体"/>
                <w:color w:val="auto"/>
                <w:kern w:val="0"/>
                <w:sz w:val="20"/>
                <w:szCs w:val="20"/>
              </w:rPr>
            </w:pPr>
          </w:p>
        </w:tc>
        <w:tc>
          <w:tcPr>
            <w:tcW w:w="1214"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浙政钉审批信息</w:t>
            </w:r>
          </w:p>
        </w:tc>
        <w:tc>
          <w:tcPr>
            <w:tcW w:w="2515"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浙政钉对接获取审批信息：</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1.项目审批报告；2.设备相关报告：领用、维修、报废等。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16</w:t>
            </w:r>
          </w:p>
        </w:tc>
        <w:tc>
          <w:tcPr>
            <w:tcW w:w="1975" w:type="pct"/>
            <w:gridSpan w:val="2"/>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统一资源</w:t>
            </w:r>
          </w:p>
        </w:tc>
        <w:tc>
          <w:tcPr>
            <w:tcW w:w="2515"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模块需要复用资源中心提供的关系型数据库及分布式数据库，统一使用资源中心提供的大数据能力。</w:t>
            </w:r>
          </w:p>
        </w:tc>
      </w:tr>
    </w:tbl>
    <w:p>
      <w:pPr>
        <w:pStyle w:val="56"/>
        <w:rPr>
          <w:color w:val="auto"/>
        </w:rPr>
      </w:pPr>
    </w:p>
    <w:bookmarkEnd w:id="48"/>
    <w:p>
      <w:pPr>
        <w:pStyle w:val="6"/>
        <w:rPr>
          <w:color w:val="auto"/>
        </w:rPr>
      </w:pPr>
      <w:r>
        <w:rPr>
          <w:rFonts w:hint="eastAsia"/>
          <w:color w:val="auto"/>
        </w:rPr>
        <w:t>移动应用模块</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163"/>
        <w:gridCol w:w="1168"/>
        <w:gridCol w:w="5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序号</w:t>
            </w:r>
          </w:p>
        </w:tc>
        <w:tc>
          <w:tcPr>
            <w:tcW w:w="682" w:type="pct"/>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功能模块</w:t>
            </w:r>
          </w:p>
        </w:tc>
        <w:tc>
          <w:tcPr>
            <w:tcW w:w="685" w:type="pct"/>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子模块</w:t>
            </w:r>
          </w:p>
        </w:tc>
        <w:tc>
          <w:tcPr>
            <w:tcW w:w="3123" w:type="pct"/>
            <w:shd w:val="clear" w:color="auto" w:fill="auto"/>
            <w:noWrap/>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shd w:val="clear" w:color="auto" w:fill="auto"/>
            <w:noWrap/>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（一）</w:t>
            </w:r>
          </w:p>
        </w:tc>
        <w:tc>
          <w:tcPr>
            <w:tcW w:w="4490" w:type="pct"/>
            <w:gridSpan w:val="3"/>
            <w:shd w:val="clear" w:color="auto" w:fill="auto"/>
            <w:vAlign w:val="center"/>
          </w:tcPr>
          <w:p>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浙政钉应用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restart"/>
            <w:shd w:val="clear" w:color="auto" w:fill="auto"/>
            <w:noWrap/>
            <w:vAlign w:val="center"/>
          </w:tcPr>
          <w:p>
            <w:pPr>
              <w:jc w:val="center"/>
              <w:rPr>
                <w:rFonts w:ascii="宋体" w:hAnsi="宋体" w:cs="宋体"/>
                <w:color w:val="auto"/>
                <w:kern w:val="0"/>
                <w:sz w:val="20"/>
                <w:szCs w:val="20"/>
              </w:rPr>
            </w:pPr>
            <w:r>
              <w:rPr>
                <w:rFonts w:ascii="宋体" w:hAnsi="宋体" w:cs="宋体"/>
                <w:color w:val="auto"/>
                <w:kern w:val="0"/>
                <w:sz w:val="20"/>
                <w:szCs w:val="20"/>
              </w:rPr>
              <w:t>1</w:t>
            </w:r>
          </w:p>
        </w:tc>
        <w:tc>
          <w:tcPr>
            <w:tcW w:w="682"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通知</w:t>
            </w:r>
          </w:p>
        </w:tc>
        <w:tc>
          <w:tcPr>
            <w:tcW w:w="685"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浙政钉“DING”通知</w:t>
            </w: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对接浙政钉“DING”通知，包含电话通知、短信通知。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工作通知</w:t>
            </w: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对接浙政钉工作通知。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widowControl/>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通知内容</w:t>
            </w: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订阅报告通知。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restart"/>
            <w:shd w:val="clear" w:color="auto" w:fill="auto"/>
            <w:noWrap/>
            <w:vAlign w:val="center"/>
          </w:tcPr>
          <w:p>
            <w:pPr>
              <w:jc w:val="center"/>
              <w:rPr>
                <w:rFonts w:ascii="宋体" w:hAnsi="宋体" w:cs="宋体"/>
                <w:color w:val="auto"/>
                <w:kern w:val="0"/>
                <w:sz w:val="20"/>
                <w:szCs w:val="20"/>
              </w:rPr>
            </w:pPr>
            <w:r>
              <w:rPr>
                <w:rFonts w:ascii="宋体" w:hAnsi="宋体" w:cs="宋体"/>
                <w:color w:val="auto"/>
                <w:kern w:val="0"/>
                <w:sz w:val="20"/>
                <w:szCs w:val="20"/>
              </w:rPr>
              <w:t>2</w:t>
            </w:r>
          </w:p>
        </w:tc>
        <w:tc>
          <w:tcPr>
            <w:tcW w:w="682"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数据看板</w:t>
            </w:r>
          </w:p>
        </w:tc>
        <w:tc>
          <w:tcPr>
            <w:tcW w:w="685" w:type="pct"/>
            <w:vMerge w:val="restar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基础数据</w:t>
            </w:r>
          </w:p>
        </w:tc>
        <w:tc>
          <w:tcPr>
            <w:tcW w:w="3123"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呈现秩序科相关的数据分析，呈现数据包含：管辖区域、辖区警员数量、民警辅警的比例、设施报修统计、事故基础数据展示。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hint="eastAsia" w:ascii="宋体" w:hAnsi="宋体" w:cs="宋体"/>
                <w:color w:val="auto"/>
                <w:kern w:val="0"/>
                <w:sz w:val="20"/>
                <w:szCs w:val="20"/>
              </w:rPr>
            </w:pPr>
          </w:p>
        </w:tc>
        <w:tc>
          <w:tcPr>
            <w:tcW w:w="3123"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支持事故发生的情况分析出经常出现事故的点位、经常被撞的点位、事故数、伤亡人数等数据统计。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hint="eastAsia" w:ascii="宋体" w:hAnsi="宋体" w:cs="宋体"/>
                <w:color w:val="auto"/>
                <w:kern w:val="0"/>
                <w:sz w:val="20"/>
                <w:szCs w:val="20"/>
              </w:rPr>
            </w:pPr>
          </w:p>
        </w:tc>
        <w:tc>
          <w:tcPr>
            <w:tcW w:w="3123"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支持部门筛选，通过筛选部门查看各部门辖区内的基础数据。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领导看板</w:t>
            </w:r>
          </w:p>
        </w:tc>
        <w:tc>
          <w:tcPr>
            <w:tcW w:w="3123"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支持支队、大队、中队领导看板，简洁显示辖区重点关注数据、重要考核数据。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restar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勤务看板</w:t>
            </w:r>
          </w:p>
        </w:tc>
        <w:tc>
          <w:tcPr>
            <w:tcW w:w="3123" w:type="pct"/>
            <w:shd w:val="clear" w:color="auto" w:fill="auto"/>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勤务看板支持筛选各大队、中队，实时查看每个部门的实时执勤数据。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统计今日执勤情况主要展示当前民警的执勤数、上岗数、请假数、接警数、处警数、执勤任务数等。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民警辅警情况分析，展示今日执勤的民警辅警数量以及占比分析。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今日异常考勤情况，对未在岗、越界、迟到、早退等数据进行实时统计与分析。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事故分析看板</w:t>
            </w: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数据概览-总体数据展示：默认展示本月内实时统计数据，包含：接警数、事故总数、受伤人数、死亡人数等。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数据概览-简易事故、一般事故变化趋势：按照当月实时统计数据，通过折线图展示本月内实时简易事故与一般事故的变化趋势。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数据概览-简易事故、一般事故类型排行：按照当月实时统计数据，通过对事故类型排名展示当月发生事故最多的事故类型。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数据概览-风险隐患排名：按照当月实时统计数据，通过万车事故率进行各中队风险隐患排名，展示各中队风险隐患排行，包含中队、事故数、受伤人数、死亡人数、万车事故率等。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事故道路分析：按照当月实时统计数据，有效分析各类型道路的事故发生情况以及各道路类型发生事故占总事故的占比，道路类型包含：县道、国道、省道、路口等。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事故车辆分析：按照当月实时统计数据，分析各车辆类型发生事故的数据以及占比，通过万车事故率对事故车辆类型进行排行。车辆类型包含：半挂车、全挂车、货车、客车等。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辖区内事故多发路段分析：按照当月实时统计数据，分析各道路发生的事故数，事故多发点位。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百公里事故数据分析：按照当月实时统计数据，展示百公里事故数、百公里死亡人数、百公里受伤人数。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道路接警数分析：按照当月实时统计数据，对各道路的接警数进行排名。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事故分析-重点关注车辆分析：按照当月实时数据统计，对发生事故的电动车、工程车、危化品运输车等重点关注车辆进行分析，分析各车辆发生事故的数据以及环比。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事故类型分析：按照当月实时统计数据，各事故类型通过饼图的形式进行数据分析，分析各事故类型发生的数量以及在总事故的占比，事故类型包含所有事故、亡人事故、伤人事故、财损事故。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支持根据部门层级筛选与时间筛选查看事故分析数据。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重点对象看板</w:t>
            </w: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数据概览：实时统计当前重点车辆数、重点企业数、重点驾驶员数。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重点车辆分析：实时统计当前重点车辆检验情况与车辆报废情况。重点车辆检验情况包含当前重点未检验车辆总数、当月车辆检验数、当前逾期未检验数、以及当前车辆检验的检验率。重点车辆报废情况包含当前报废车辆总数、当前应报废车辆数、逾期未报废车辆数、未报废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重点驾驶员年龄分析：实时统计当前各年龄段的重点驾驶员数量，进行占比分析。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重点驾驶员：实时统计当前驾驶证准驾车型的未换证量、换证率、未审验量、审验率等。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widowControl/>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支持通过部门筛选，展示各支队、各中队辖区的相关数据。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restart"/>
            <w:shd w:val="clear" w:color="auto" w:fill="auto"/>
            <w:noWrap/>
            <w:vAlign w:val="center"/>
          </w:tcPr>
          <w:p>
            <w:pPr>
              <w:jc w:val="center"/>
              <w:rPr>
                <w:rFonts w:ascii="宋体" w:hAnsi="宋体" w:cs="宋体"/>
                <w:color w:val="auto"/>
                <w:kern w:val="0"/>
                <w:sz w:val="20"/>
                <w:szCs w:val="20"/>
              </w:rPr>
            </w:pPr>
            <w:r>
              <w:rPr>
                <w:rFonts w:ascii="宋体" w:hAnsi="宋体" w:cs="宋体"/>
                <w:color w:val="auto"/>
                <w:kern w:val="0"/>
                <w:sz w:val="20"/>
                <w:szCs w:val="20"/>
              </w:rPr>
              <w:t>3</w:t>
            </w:r>
          </w:p>
        </w:tc>
        <w:tc>
          <w:tcPr>
            <w:tcW w:w="682"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订阅推送报告</w:t>
            </w:r>
          </w:p>
        </w:tc>
        <w:tc>
          <w:tcPr>
            <w:tcW w:w="685"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事故分析月报</w:t>
            </w: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支持所在部门，精确通知所在部门相关数据分析。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支持对过往不同周期内的数据进行统计推送，不同周期分为上月、上周或者去年。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事故概览：对过往周期内数据进行统计，以双折线图的形式分析简易事故、一般事故的变化趋势，对事故类型进行排名，通过针对周期内的风险隐患通过万车事故率进行排名，排名字段包含：部门、周期内事故数、周期内事故受伤人数、死亡人数、万车事故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事故分析-事故类型分析：通过对过往周期内的数据统计，各事故类型通过饼图的形式进行数据分析，有效分析各事故类型发生的数量以及在总事故的占比、环比。</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事故类型包含酒驾事故、逆向行驶、超速形式、疲劳驾驶、违章超车等。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事故分析-事故道路分析：通过对过往周期内的数据统计，针对周期内事故发生所在的道路进行分析，有效分析各类型道路的事故发生情况以及各道路类型发生事故占总事故的占比、以及环比</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道路类型包含：县道、国道、省道、路口等。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事故分析-事故车辆分析：通过对过往周期内的数据统计，对发生事故的车辆类型进行分析，分析各车辆类型发生事故的数据以及占比、环比。</w:t>
            </w:r>
          </w:p>
          <w:p>
            <w:pPr>
              <w:widowControl/>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通过万车事故率对事故车辆类型进行排行。</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车辆类型包含：半挂车、全挂车、货车、客车等。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事故分析-重点关注车辆分析：通过对过往周期内的数据统计，对发生事故的电动车、工程车、危化品运输车等重点关注车辆进行分析，分析各类车辆发生事故的数据以及环比。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事故分析-辖区内事故多发路段分析：通过对过往周期内的数据统计，分析各道路发生的事故数，事故多发点位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事故分析-百公里事故数据分析：通过对过往周期内的数据统计，展示百公里事故数、百公里死亡人数、百公里受伤人数。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事故分析-道路接警数分析：通过对过往周期内的数据统计，对各道路的接警数进行排名。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事故分析-对电动车事故进行详细分析：通过对过往周期内的数据统计，分析电动车行车规范分析，如事故中不带头盔的占比跟环比。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事故分析-通过对过往周期内的数据统计事故发生的情况分析受害人的年龄结构以及户籍信息分析，年龄结构分析重点分析60周岁以上事故伤亡的具体占比、环比情况，户籍分析通过本地人与外地人电动车事故发生量与占比分析外地人本地人电动车事故发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事故分析-事故信息分析：通过对过往周期内的数据统计，事故发生最多的条件，如发生事故最多的道路、车辆类型、条件等。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事故分析-违法行为分析：通过对过往周期内的数据统计，针对违法行为进行分析，通过违法类型分析，各类型违法数、占比、环比等。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专题事故分析-事故起因分析：通过对过往周期内的数据统计，对不同起因发生的事故数进行排名和环比、占比分析。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专题事故分析-事故条件分析：通过对过往周期内的数据统计，对不同的条件，如照明条件、事故天气、现场形态分别进行事故数展示和分析占比情况。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专题事故分析-事故道路分析：通过对过往周期内的数据统计，对事故发生的点位按照事故数进行排名，并分析占比，环比情况。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专题事故分析-事故道路条件分析：通过对过往周期内的数据统计，对不同的道路条件，进行单独分析，如道路性质等级、道路线形、物理隔离。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专题事故分析-事故发生车辆分析：通过对过往周期内的数据统计，按照不同事故车辆类型发生的事故数进行排名，并进行占比、环比分析。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专题事故分析-车辆使用性质分析：通过对过往周期内的数据统计，按照不同事故车辆使用性质发生的事故数进行排名，并进行占比、环比分析。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路面查处月报</w:t>
            </w: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根据各大队、中队筛选，周期内专项行动情况统计分析。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专项行动：例如获取行动名称为线路警卫、缉查布控等，同步专项行动的任务数、完成数、查处违法数、环比，实时更新行动进展，对人员查处数进行统计。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固定任务：例如获取行动名称为超速、斑马线礼让、一般违法等，同步专项行动的任务数、完成数、环比，实时更新行动进展，对人员查处数进行统计。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重点对象分析月报</w:t>
            </w: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重点车辆分析报告：从现场违法、非现场违法、违法数、违法未处理量、未处理率等对重点车辆交通违法情况统计分析；从交通事故数进行统计及环比分析。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重点车辆分析：按以往周期统计当前重点车辆检验情况与车辆报废情况。重点车辆检验情况包含当前重点未检验车辆总数、当月车辆检验数、当前逾期未检验数、以及当前车辆检验的检验率。重点车辆报废情况包含当前报废车辆总数、当前应报废车辆数、逾期未报废车辆数、未报废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重点驾驶员分析：按以往周期统计驾驶员驾驶证准驾车型审验数据进行分析，包含当月未审验量、审验率、未换证量、换证率，以及相应的环比分析。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重点车企业推送反馈情况：按以往周期统计对重点车企业推送数据以及反馈数据进行统计分析，包含：推送信息数、签收信息数、签收率、反馈信息数、反馈率等，以及相应的环比分析。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业务规范监管</w:t>
            </w: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支持对具体不规范业务进行部门/人员进行排行。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执法业务监管-从简易程序处罚、强制措施处罚、案件办理等三类执法业务出发，对各业务类型的具体业务进行分析，分析周期内各具体业务的预警总数、已处置数、未处置数、处置率、环比等。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简易程序处罚业务监管：通过简易程序处罚各具体业务的预警总数、已处置数、未处置数、处置率、环比等分析，通过整体业务类型的预警业务进行排行，可通过处理人员预警情况排行，也可根据部门进行预警情况进行排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强制措施处罚业务监管：通过强制措施处罚下各具体业务的预警总数、已处置数、未处置数、处置率、环比等分析，通过也整体业务类型的预警业务进行排行，可通过处理人员预警情况排行，也可根据部门进行预警情况进行排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案件办理业务监管：通过案件办理下各具体业务的预警总数、已处置数、未处置数、处置率、环比等分析，通过也整体业务类型的预警业务进行排行，可通过处理人员预警情况排行，也可根据部门进行预警情况进行排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窗口业务监管：从窗口违法处理、违法信息修改等两类窗口业务出发，对各业务类型的具体业务进行分析，分析周期内各具体业务的预警总数、已处置数、未处置数、处置率、环比等。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窗口违法处理业务监管：通过窗口违法处理各具体业务的预警总数、已处置数、未处置数、处置率、环比等分析，通过也整体业务类型的预警业务进行排行，可通过处理人员预警情况排行，也可根据部门进行预警情况进行排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违法信息修改业务监管：通过违法信息修改下各具体业务的预警总数、已处置数、未处置数、处置率、环比等分析，通过也整体业务类型的预警业务进行排行，可通过处理人员预警情况排行，也可根据部门进行预警情况进行排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涉案财务监管：从涉案车辆管理、涉案证件管理、涉案血样管理等三类涉案财物业务出发，对各业务类型的具体业务进行分析，分析周期内各具体业务的预警总数、已处置数、未处置数、处置率、环比等。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涉案车辆业务监管：通过涉案车辆下各具体业务的预警总数、已处置数、未处置数、处置率、环比等分析，通过也整体业务类型的预警业务进行排行，可通过处理人员预警情况排行，也可根据部门进行预警情况进行排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涉案证件业务监管：通过涉案证件下各具体业务的预警总数、已处置数、未处置数、处置率、环比等分析，通过也整体业务类型的预警业务进行排行，可通过处理人员预警情况排行，也可根据部门进行预警情况进行排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涉案血样管理监管：通过涉案血样管理下各具体业务的预警总数、已处置数、未处置数、处置率、环比等分析，通过也整体业务类型的预警业务进行排行，可通过处理人员预警情况排行，也可根据部门进行预警情况进行排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事故处理业务监督:从简易程序事故、一般程序事故等两类事故处理业务出发，对各业务类型的具体业务进行分析，分析周期内各具体业务的预警总数、已处置数、未处置数、处置率、环比等。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简易程序事故业务监管：通过简易程序事故下各具体业务的预警总数、已处置数、未处置数、处置率、环比等分析，通过也整体业务类型的预警业务进行排行，可通过处理人员预警情况排行，也可根据部门进行预警情况进行排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一般程序事故业务监管：通过一般程序事故下各具体业务的预警总数、已处置数、未处置数、处置率、环比等分析，通过也整体业务类型的预警业务进行排行，可通过处理人员预警情况排行，也可根据部门进行预警情况进行排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异常数据分析业务监管：通过异常数据分析下各具体业务的预警总数、已处置数、未处置数、处置率、环比等分析，通过也整体业务类型的预警业务进行排行，可通过处理人员预警情况排行，也可根据部门进行预警情况进行排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车驾管业务监管</w:t>
            </w: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机动车业务监管：对机动车业务进行预警分析，统计周期内预警总数、已处置量、未处置量、处置率、环比等，支持通过各个预警项、预警值、已处置量、未处置量、处置率、环比等进行排名分析。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驾驶证业务监管：对驾驶证业务进行预警分析，统计周期内预警总数、已处置量、未处置量、处置率、环比等，支持通过各个预警项、预警值、已处置量、未处置量、处置率、环比等进行排名分析。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考试业务监管：对考试业务进行预警分析，统计周期内预警总数、已处置量、未处置量、处置率、环比等，支持通过各个预警项、预警值、已处置量、未处置量、处置率、环比等进行排名分析。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检验业务监管：对检验业务进行预警分析，统计周期内预警总数、已处置量、未处置量、处置率、环比等，支持通过各个预警项、预警值、已处置量、未处置量、处置率、环比等进行排名分析。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绩效考核</w:t>
            </w: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民警/辅警业务考核：对民警和辅警通过执法任务、主动**、战力分析、政务执行等方面进行业务量化考核。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个人业务考核：对执勤民警在见警率、管事率、执法率、接处警平均时长等方面的得分情况进行排名。可按支队、中队、大队分别排名。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部门业务考核：以考核项、考核结果以及考核分值对各部门进行考核，生成部门总得分进行整体排名；针对以上数据进行环比分析。可查看各中队、大队。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见警率、管事率、执法率、接处警平均时长等：在见警率、管事率、执法率、接处警平均时长等维度对部门（各中队、大队）和个人进行排名并环比分析。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优秀/批评通报：形成优秀人员名单以及批评通报名单。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AI语音</w:t>
            </w: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统计AI服务的问题命中量、咨询总量、咨询人数、服务次数、热点咨询问题前十、类型数据排行、未解决问题等。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交通宣传月报</w:t>
            </w: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驾驶证业务办理情况：统计驾驶证业务申请量、驾驶证业务审核量、驾驶证业务待办量。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机动车业务办理情况：统计机动车业务申请量、机动车业务审核量、机动车业务待办量。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驾驶人学习：统计学习总人数、视频学习情况、文章学习情况、a/b驾照学习人数以及学习情况、答题人数以及积分排行；对邀请情况进行分析，按邀请人数进行驾驶人排名。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黑名单人数统计。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对警员站岗情况进行统计分析：站岗的警员数、有效站岗次数、无效站岗次次数，针对警员的站岗次数进行排名分析。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widowControl/>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违法举报结果数据分析：统计违法上报数、审核数。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restart"/>
            <w:shd w:val="clear" w:color="auto" w:fill="auto"/>
            <w:noWrap/>
            <w:vAlign w:val="center"/>
          </w:tcPr>
          <w:p>
            <w:pPr>
              <w:jc w:val="center"/>
              <w:rPr>
                <w:rFonts w:ascii="宋体" w:hAnsi="宋体" w:cs="宋体"/>
                <w:color w:val="auto"/>
                <w:kern w:val="0"/>
                <w:sz w:val="20"/>
                <w:szCs w:val="20"/>
              </w:rPr>
            </w:pPr>
            <w:r>
              <w:rPr>
                <w:rFonts w:ascii="宋体" w:hAnsi="宋体" w:cs="宋体"/>
                <w:color w:val="auto"/>
                <w:kern w:val="0"/>
                <w:sz w:val="20"/>
                <w:szCs w:val="20"/>
              </w:rPr>
              <w:t>4</w:t>
            </w:r>
          </w:p>
        </w:tc>
        <w:tc>
          <w:tcPr>
            <w:tcW w:w="682"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订阅设置</w:t>
            </w:r>
          </w:p>
        </w:tc>
        <w:tc>
          <w:tcPr>
            <w:tcW w:w="685"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周期订阅</w:t>
            </w: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支持选择报告的周期，定期报告推送。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报告订阅</w:t>
            </w: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支持自定义订阅报告。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推送维度</w:t>
            </w: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推送维度设置，各部门大队、中队可自定义选择部门数据进行推送。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widowControl/>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推送时间点</w:t>
            </w: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自定义设置推送时间点。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shd w:val="clear" w:color="auto" w:fill="auto"/>
            <w:noWrap/>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5</w:t>
            </w:r>
          </w:p>
        </w:tc>
        <w:tc>
          <w:tcPr>
            <w:tcW w:w="1367" w:type="pct"/>
            <w:gridSpan w:val="2"/>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报告权限设置</w:t>
            </w: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每类报告的推送权限，具体到人员，如设置事故报告只推送给事故大队，则其他部门无法再订阅中心里面看到这类报告，无法完成报告订阅。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shd w:val="clear" w:color="auto" w:fill="auto"/>
            <w:noWrap/>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6</w:t>
            </w:r>
          </w:p>
        </w:tc>
        <w:tc>
          <w:tcPr>
            <w:tcW w:w="1367" w:type="pct"/>
            <w:gridSpan w:val="2"/>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历史推送查看</w:t>
            </w: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支持查看各类报告推送的历史数据。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restart"/>
            <w:shd w:val="clear" w:color="auto" w:fill="auto"/>
            <w:noWrap/>
            <w:vAlign w:val="center"/>
          </w:tcPr>
          <w:p>
            <w:pPr>
              <w:jc w:val="center"/>
              <w:rPr>
                <w:rFonts w:ascii="宋体" w:hAnsi="宋体" w:cs="宋体"/>
                <w:color w:val="auto"/>
                <w:kern w:val="0"/>
                <w:sz w:val="20"/>
                <w:szCs w:val="20"/>
              </w:rPr>
            </w:pPr>
            <w:r>
              <w:rPr>
                <w:rFonts w:ascii="宋体" w:hAnsi="宋体" w:cs="宋体"/>
                <w:color w:val="auto"/>
                <w:kern w:val="0"/>
                <w:sz w:val="20"/>
                <w:szCs w:val="20"/>
              </w:rPr>
              <w:t>7</w:t>
            </w:r>
          </w:p>
        </w:tc>
        <w:tc>
          <w:tcPr>
            <w:tcW w:w="682"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勤务打卡</w:t>
            </w:r>
          </w:p>
        </w:tc>
        <w:tc>
          <w:tcPr>
            <w:tcW w:w="685"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考勤打卡</w:t>
            </w: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开发浙政钉打卡模块，警员通过浙政钉打卡，同时获取打卡定位。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通过人脸识别核验是否本人打卡，并且获取打卡人员的实时定位。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打卡成功以后推送到数智实战模块。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定位轨迹：获取打卡人员的定位信息，通过规律的数据上报给数智实战模块，生成**人员的行动轨迹。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接处警打卡</w:t>
            </w: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指挥中心通过接警之后获取警员的实时位置进行派警，通过浙政钉通知方式通知到警员。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警员接警后到达现场后打卡签到。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签到数据回传给数智实战模块。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定位轨迹方案</w:t>
            </w: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1、浙政钉数据轨迹上传（优先方案）。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2、外部APP、定位数据推送到后台系统。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打卡判断</w:t>
            </w: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需与数智实战模块对接，打卡时判断排班，业务辖区等，如不在排班时间内，是否属加班，如不在辖区范内打卡是否预警。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打卡日历明细</w:t>
            </w: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针对警员个人打卡记录生成打卡明细。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widowControl/>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展示个人的打卡情况，出勤情况、缺卡、漏打卡情况。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restart"/>
            <w:shd w:val="clear" w:color="auto" w:fill="auto"/>
            <w:noWrap/>
            <w:vAlign w:val="center"/>
          </w:tcPr>
          <w:p>
            <w:pPr>
              <w:jc w:val="center"/>
              <w:rPr>
                <w:rFonts w:ascii="宋体" w:hAnsi="宋体" w:cs="宋体"/>
                <w:color w:val="auto"/>
                <w:kern w:val="0"/>
                <w:sz w:val="20"/>
                <w:szCs w:val="20"/>
              </w:rPr>
            </w:pPr>
            <w:r>
              <w:rPr>
                <w:rFonts w:ascii="宋体" w:hAnsi="宋体" w:cs="宋体"/>
                <w:color w:val="auto"/>
                <w:kern w:val="0"/>
                <w:sz w:val="20"/>
                <w:szCs w:val="20"/>
              </w:rPr>
              <w:t>8</w:t>
            </w:r>
          </w:p>
        </w:tc>
        <w:tc>
          <w:tcPr>
            <w:tcW w:w="682"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隐患排查</w:t>
            </w:r>
          </w:p>
        </w:tc>
        <w:tc>
          <w:tcPr>
            <w:tcW w:w="685"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隐患排查上报</w:t>
            </w: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对接数据中心，系统获取隐患地址，支持手动录入数据上报给数智实战模块。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隐患排查记录</w:t>
            </w:r>
          </w:p>
        </w:tc>
        <w:tc>
          <w:tcPr>
            <w:tcW w:w="3123" w:type="pct"/>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每一次上报隐患信息定位名称、描述、时间列表，实时获取该隐患处理的状态。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widowControl/>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隐患处理核查</w:t>
            </w:r>
          </w:p>
        </w:tc>
        <w:tc>
          <w:tcPr>
            <w:tcW w:w="3123" w:type="pct"/>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处理完成之后对接浙政钉工作通知给相应警员到隐患地点核查，并手动录入数据上报给数智实战模块。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shd w:val="clear" w:color="auto" w:fill="auto"/>
            <w:noWrap/>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（二）</w:t>
            </w:r>
          </w:p>
        </w:tc>
        <w:tc>
          <w:tcPr>
            <w:tcW w:w="4490" w:type="pct"/>
            <w:gridSpan w:val="3"/>
            <w:shd w:val="clear" w:color="auto" w:fill="auto"/>
            <w:vAlign w:val="center"/>
          </w:tcPr>
          <w:p>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h5事故上报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restart"/>
            <w:shd w:val="clear" w:color="auto" w:fill="auto"/>
            <w:noWrap/>
            <w:vAlign w:val="center"/>
          </w:tcPr>
          <w:p>
            <w:pPr>
              <w:jc w:val="center"/>
              <w:rPr>
                <w:rFonts w:ascii="宋体" w:hAnsi="宋体" w:cs="宋体"/>
                <w:color w:val="auto"/>
                <w:kern w:val="0"/>
                <w:sz w:val="20"/>
                <w:szCs w:val="20"/>
              </w:rPr>
            </w:pPr>
            <w:r>
              <w:rPr>
                <w:rFonts w:ascii="宋体" w:hAnsi="宋体" w:cs="宋体"/>
                <w:color w:val="auto"/>
                <w:kern w:val="0"/>
                <w:sz w:val="20"/>
                <w:szCs w:val="20"/>
              </w:rPr>
              <w:t>1</w:t>
            </w:r>
          </w:p>
        </w:tc>
        <w:tc>
          <w:tcPr>
            <w:tcW w:w="1367" w:type="pct"/>
            <w:gridSpan w:val="2"/>
            <w:vMerge w:val="restar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事故信息上报</w:t>
            </w:r>
          </w:p>
        </w:tc>
        <w:tc>
          <w:tcPr>
            <w:tcW w:w="3123" w:type="pct"/>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事故信息录入上报，包含:本人和对方的驾驶证、行驶证，获取定位地址。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widowControl/>
              <w:jc w:val="center"/>
              <w:rPr>
                <w:rFonts w:ascii="宋体" w:hAnsi="宋体" w:cs="宋体"/>
                <w:color w:val="auto"/>
                <w:kern w:val="0"/>
                <w:sz w:val="20"/>
                <w:szCs w:val="20"/>
              </w:rPr>
            </w:pPr>
          </w:p>
        </w:tc>
        <w:tc>
          <w:tcPr>
            <w:tcW w:w="1367" w:type="pct"/>
            <w:gridSpan w:val="2"/>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生成固定连接。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shd w:val="clear" w:color="auto" w:fill="auto"/>
            <w:noWrap/>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2</w:t>
            </w:r>
          </w:p>
        </w:tc>
        <w:tc>
          <w:tcPr>
            <w:tcW w:w="1367" w:type="pct"/>
            <w:gridSpan w:val="2"/>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车牌识别</w:t>
            </w:r>
          </w:p>
        </w:tc>
        <w:tc>
          <w:tcPr>
            <w:tcW w:w="3123" w:type="pct"/>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通过手动输入车牌号，上传系统。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restart"/>
            <w:shd w:val="clear" w:color="auto" w:fill="auto"/>
            <w:noWrap/>
            <w:vAlign w:val="center"/>
          </w:tcPr>
          <w:p>
            <w:pPr>
              <w:jc w:val="center"/>
              <w:rPr>
                <w:rFonts w:ascii="宋体" w:hAnsi="宋体" w:cs="宋体"/>
                <w:color w:val="auto"/>
                <w:kern w:val="0"/>
                <w:sz w:val="20"/>
                <w:szCs w:val="20"/>
              </w:rPr>
            </w:pPr>
            <w:r>
              <w:rPr>
                <w:rFonts w:ascii="宋体" w:hAnsi="宋体" w:cs="宋体"/>
                <w:color w:val="auto"/>
                <w:kern w:val="0"/>
                <w:sz w:val="20"/>
                <w:szCs w:val="20"/>
              </w:rPr>
              <w:t>3</w:t>
            </w:r>
          </w:p>
        </w:tc>
        <w:tc>
          <w:tcPr>
            <w:tcW w:w="1367" w:type="pct"/>
            <w:gridSpan w:val="2"/>
            <w:vMerge w:val="restar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事故认定书</w:t>
            </w:r>
          </w:p>
        </w:tc>
        <w:tc>
          <w:tcPr>
            <w:tcW w:w="3123" w:type="pct"/>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事故认定书签署上传。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widowControl/>
              <w:jc w:val="center"/>
              <w:rPr>
                <w:rFonts w:ascii="宋体" w:hAnsi="宋体" w:cs="宋体"/>
                <w:color w:val="auto"/>
                <w:kern w:val="0"/>
                <w:sz w:val="20"/>
                <w:szCs w:val="20"/>
              </w:rPr>
            </w:pPr>
          </w:p>
        </w:tc>
        <w:tc>
          <w:tcPr>
            <w:tcW w:w="1367" w:type="pct"/>
            <w:gridSpan w:val="2"/>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使用手写签名功能。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restart"/>
            <w:shd w:val="clear" w:color="auto" w:fill="auto"/>
            <w:noWrap/>
            <w:vAlign w:val="center"/>
          </w:tcPr>
          <w:p>
            <w:pPr>
              <w:jc w:val="center"/>
              <w:rPr>
                <w:rFonts w:ascii="宋体" w:hAnsi="宋体" w:cs="宋体"/>
                <w:color w:val="auto"/>
                <w:kern w:val="0"/>
                <w:sz w:val="20"/>
                <w:szCs w:val="20"/>
              </w:rPr>
            </w:pPr>
            <w:r>
              <w:rPr>
                <w:rFonts w:ascii="宋体" w:hAnsi="宋体" w:cs="宋体"/>
                <w:color w:val="auto"/>
                <w:kern w:val="0"/>
                <w:sz w:val="20"/>
                <w:szCs w:val="20"/>
              </w:rPr>
              <w:t>4</w:t>
            </w:r>
          </w:p>
        </w:tc>
        <w:tc>
          <w:tcPr>
            <w:tcW w:w="1367" w:type="pct"/>
            <w:gridSpan w:val="2"/>
            <w:vMerge w:val="restar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事故信息管理</w:t>
            </w:r>
          </w:p>
        </w:tc>
        <w:tc>
          <w:tcPr>
            <w:tcW w:w="3123" w:type="pct"/>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状态:待处理、已处理、已完成。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1367" w:type="pct"/>
            <w:gridSpan w:val="2"/>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事故信息上报以后生成列表。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1367" w:type="pct"/>
            <w:gridSpan w:val="2"/>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标记处理并生成事故认定书链接，发送到事故责任各方。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jc w:val="center"/>
              <w:rPr>
                <w:rFonts w:ascii="宋体" w:hAnsi="宋体" w:cs="宋体"/>
                <w:color w:val="auto"/>
                <w:kern w:val="0"/>
                <w:sz w:val="20"/>
                <w:szCs w:val="20"/>
              </w:rPr>
            </w:pPr>
          </w:p>
        </w:tc>
        <w:tc>
          <w:tcPr>
            <w:tcW w:w="1367" w:type="pct"/>
            <w:gridSpan w:val="2"/>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事故认定书签署后数据回传。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widowControl/>
              <w:jc w:val="center"/>
              <w:rPr>
                <w:rFonts w:ascii="宋体" w:hAnsi="宋体" w:cs="宋体"/>
                <w:color w:val="auto"/>
                <w:kern w:val="0"/>
                <w:sz w:val="20"/>
                <w:szCs w:val="20"/>
              </w:rPr>
            </w:pPr>
          </w:p>
        </w:tc>
        <w:tc>
          <w:tcPr>
            <w:tcW w:w="1367" w:type="pct"/>
            <w:gridSpan w:val="2"/>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支持下载事故认定书。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shd w:val="clear" w:color="auto" w:fill="auto"/>
            <w:noWrap/>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5</w:t>
            </w:r>
          </w:p>
        </w:tc>
        <w:tc>
          <w:tcPr>
            <w:tcW w:w="1367" w:type="pct"/>
            <w:gridSpan w:val="2"/>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图片批量下载</w:t>
            </w:r>
          </w:p>
        </w:tc>
        <w:tc>
          <w:tcPr>
            <w:tcW w:w="3123" w:type="pct"/>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事故现场照片批量下载。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restart"/>
            <w:shd w:val="clear" w:color="auto" w:fill="auto"/>
            <w:noWrap/>
            <w:vAlign w:val="center"/>
          </w:tcPr>
          <w:p>
            <w:pPr>
              <w:jc w:val="center"/>
              <w:rPr>
                <w:rFonts w:ascii="宋体" w:hAnsi="宋体" w:cs="宋体"/>
                <w:color w:val="auto"/>
                <w:kern w:val="0"/>
                <w:sz w:val="20"/>
                <w:szCs w:val="20"/>
              </w:rPr>
            </w:pPr>
            <w:r>
              <w:rPr>
                <w:rFonts w:ascii="宋体" w:hAnsi="宋体" w:cs="宋体"/>
                <w:color w:val="auto"/>
                <w:kern w:val="0"/>
                <w:sz w:val="20"/>
                <w:szCs w:val="20"/>
              </w:rPr>
              <w:t>6</w:t>
            </w:r>
          </w:p>
        </w:tc>
        <w:tc>
          <w:tcPr>
            <w:tcW w:w="1367" w:type="pct"/>
            <w:gridSpan w:val="2"/>
            <w:vMerge w:val="restar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短信</w:t>
            </w:r>
          </w:p>
        </w:tc>
        <w:tc>
          <w:tcPr>
            <w:tcW w:w="3123" w:type="pct"/>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系统内发送短信内容，短信发送。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widowControl/>
              <w:jc w:val="center"/>
              <w:rPr>
                <w:rFonts w:ascii="宋体" w:hAnsi="宋体" w:cs="宋体"/>
                <w:color w:val="auto"/>
                <w:kern w:val="0"/>
                <w:sz w:val="20"/>
                <w:szCs w:val="20"/>
              </w:rPr>
            </w:pPr>
          </w:p>
        </w:tc>
        <w:tc>
          <w:tcPr>
            <w:tcW w:w="1367" w:type="pct"/>
            <w:gridSpan w:val="2"/>
            <w:vMerge w:val="continue"/>
            <w:shd w:val="clear" w:color="auto" w:fill="auto"/>
            <w:vAlign w:val="center"/>
          </w:tcPr>
          <w:p>
            <w:pPr>
              <w:widowControl/>
              <w:jc w:val="left"/>
              <w:rPr>
                <w:rFonts w:ascii="宋体" w:hAnsi="宋体" w:cs="宋体"/>
                <w:color w:val="auto"/>
                <w:kern w:val="0"/>
                <w:sz w:val="20"/>
                <w:szCs w:val="20"/>
              </w:rPr>
            </w:pPr>
          </w:p>
        </w:tc>
        <w:tc>
          <w:tcPr>
            <w:tcW w:w="3123" w:type="pct"/>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对接短信接口。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shd w:val="clear" w:color="auto" w:fill="auto"/>
            <w:noWrap/>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（三）</w:t>
            </w:r>
          </w:p>
        </w:tc>
        <w:tc>
          <w:tcPr>
            <w:tcW w:w="4490" w:type="pct"/>
            <w:gridSpan w:val="3"/>
            <w:shd w:val="clear" w:color="auto" w:fill="auto"/>
            <w:vAlign w:val="center"/>
          </w:tcPr>
          <w:p>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w:t>
            </w:r>
          </w:p>
        </w:tc>
        <w:tc>
          <w:tcPr>
            <w:tcW w:w="682"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订阅报表类数据对接</w:t>
            </w:r>
          </w:p>
        </w:tc>
        <w:tc>
          <w:tcPr>
            <w:tcW w:w="685"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上报数据</w:t>
            </w: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按照数据中心接口规范，与数据中心对接，上报报表数据至数据中心。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restart"/>
            <w:shd w:val="clear" w:color="auto" w:fill="auto"/>
            <w:noWrap/>
            <w:vAlign w:val="center"/>
          </w:tcPr>
          <w:p>
            <w:pPr>
              <w:jc w:val="center"/>
              <w:rPr>
                <w:rFonts w:ascii="宋体" w:hAnsi="宋体" w:cs="宋体"/>
                <w:color w:val="auto"/>
                <w:kern w:val="0"/>
                <w:sz w:val="20"/>
                <w:szCs w:val="20"/>
              </w:rPr>
            </w:pPr>
            <w:r>
              <w:rPr>
                <w:rFonts w:ascii="宋体" w:hAnsi="宋体" w:cs="宋体"/>
                <w:color w:val="auto"/>
                <w:kern w:val="0"/>
                <w:sz w:val="20"/>
                <w:szCs w:val="20"/>
              </w:rPr>
              <w:t>2</w:t>
            </w:r>
          </w:p>
        </w:tc>
        <w:tc>
          <w:tcPr>
            <w:tcW w:w="682"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定位打卡对接</w:t>
            </w:r>
          </w:p>
        </w:tc>
        <w:tc>
          <w:tcPr>
            <w:tcW w:w="685"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打卡定位数据接口</w:t>
            </w: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按照数据中心接口规范，与数据中心对接，提供打卡定位数据接口，实时传输定位数据。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widowControl/>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判断条件</w:t>
            </w: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与数据中心对接，获取移动**系统排班辖区数据。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shd w:val="clear" w:color="auto" w:fill="auto"/>
            <w:noWrap/>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3</w:t>
            </w:r>
          </w:p>
        </w:tc>
        <w:tc>
          <w:tcPr>
            <w:tcW w:w="682"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接处警打卡数据对接</w:t>
            </w:r>
          </w:p>
        </w:tc>
        <w:tc>
          <w:tcPr>
            <w:tcW w:w="685"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接处警数据接口</w:t>
            </w: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对接数据中心，获取公安接处警系统对接派警相关数据，提供打卡拍照的经纬度数据接口。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restart"/>
            <w:shd w:val="clear" w:color="auto" w:fill="auto"/>
            <w:noWrap/>
            <w:vAlign w:val="center"/>
          </w:tcPr>
          <w:p>
            <w:pPr>
              <w:jc w:val="center"/>
              <w:rPr>
                <w:rFonts w:ascii="宋体" w:hAnsi="宋体" w:cs="宋体"/>
                <w:color w:val="auto"/>
                <w:kern w:val="0"/>
                <w:sz w:val="20"/>
                <w:szCs w:val="20"/>
              </w:rPr>
            </w:pPr>
            <w:r>
              <w:rPr>
                <w:rFonts w:ascii="宋体" w:hAnsi="宋体" w:cs="宋体"/>
                <w:color w:val="auto"/>
                <w:kern w:val="0"/>
                <w:sz w:val="20"/>
                <w:szCs w:val="20"/>
              </w:rPr>
              <w:t>4</w:t>
            </w:r>
          </w:p>
        </w:tc>
        <w:tc>
          <w:tcPr>
            <w:tcW w:w="682" w:type="pct"/>
            <w:vMerge w:val="restar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隐患排查上报数据对接</w:t>
            </w:r>
          </w:p>
        </w:tc>
        <w:tc>
          <w:tcPr>
            <w:tcW w:w="685"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隐患排查数据接口</w:t>
            </w: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对接浙政钉工作通知指派相应警员，并提供现场隐患信息上报的接口。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vMerge w:val="continue"/>
            <w:shd w:val="clear" w:color="auto" w:fill="auto"/>
            <w:noWrap/>
            <w:vAlign w:val="center"/>
          </w:tcPr>
          <w:p>
            <w:pPr>
              <w:widowControl/>
              <w:jc w:val="center"/>
              <w:rPr>
                <w:rFonts w:ascii="宋体" w:hAnsi="宋体" w:cs="宋体"/>
                <w:color w:val="auto"/>
                <w:kern w:val="0"/>
                <w:sz w:val="20"/>
                <w:szCs w:val="20"/>
              </w:rPr>
            </w:pPr>
          </w:p>
        </w:tc>
        <w:tc>
          <w:tcPr>
            <w:tcW w:w="682" w:type="pct"/>
            <w:vMerge w:val="continue"/>
            <w:shd w:val="clear" w:color="auto" w:fill="auto"/>
            <w:vAlign w:val="center"/>
          </w:tcPr>
          <w:p>
            <w:pPr>
              <w:widowControl/>
              <w:jc w:val="left"/>
              <w:rPr>
                <w:rFonts w:ascii="宋体" w:hAnsi="宋体" w:cs="宋体"/>
                <w:color w:val="auto"/>
                <w:kern w:val="0"/>
                <w:sz w:val="20"/>
                <w:szCs w:val="20"/>
              </w:rPr>
            </w:pPr>
          </w:p>
        </w:tc>
        <w:tc>
          <w:tcPr>
            <w:tcW w:w="685" w:type="pct"/>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隐患排查状态</w:t>
            </w: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实时同步业务系统的隐患排查处理的状态。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shd w:val="clear" w:color="auto" w:fill="auto"/>
            <w:noWrap/>
            <w:vAlign w:val="center"/>
          </w:tcPr>
          <w:p>
            <w:pPr>
              <w:widowControl/>
              <w:jc w:val="center"/>
              <w:rPr>
                <w:rFonts w:ascii="宋体" w:hAnsi="宋体" w:cs="宋体"/>
                <w:b/>
                <w:color w:val="auto"/>
                <w:kern w:val="0"/>
                <w:sz w:val="20"/>
                <w:szCs w:val="20"/>
              </w:rPr>
            </w:pPr>
            <w:r>
              <w:rPr>
                <w:rFonts w:hint="eastAsia" w:ascii="宋体" w:hAnsi="宋体" w:cs="宋体"/>
                <w:b/>
                <w:color w:val="auto"/>
                <w:kern w:val="0"/>
                <w:sz w:val="20"/>
                <w:szCs w:val="20"/>
              </w:rPr>
              <w:t>（四）</w:t>
            </w:r>
          </w:p>
        </w:tc>
        <w:tc>
          <w:tcPr>
            <w:tcW w:w="682" w:type="pct"/>
            <w:shd w:val="clear" w:color="auto" w:fill="auto"/>
            <w:vAlign w:val="center"/>
          </w:tcPr>
          <w:p>
            <w:pPr>
              <w:widowControl/>
              <w:jc w:val="left"/>
              <w:rPr>
                <w:rFonts w:ascii="宋体" w:hAnsi="宋体" w:cs="宋体"/>
                <w:b/>
                <w:color w:val="auto"/>
                <w:kern w:val="0"/>
                <w:sz w:val="20"/>
                <w:szCs w:val="20"/>
              </w:rPr>
            </w:pPr>
            <w:r>
              <w:rPr>
                <w:rFonts w:hint="eastAsia" w:ascii="宋体" w:hAnsi="宋体" w:cs="宋体"/>
                <w:b/>
                <w:color w:val="auto"/>
                <w:kern w:val="0"/>
                <w:sz w:val="20"/>
                <w:szCs w:val="20"/>
              </w:rPr>
              <w:t>统一资源</w:t>
            </w:r>
          </w:p>
        </w:tc>
        <w:tc>
          <w:tcPr>
            <w:tcW w:w="685" w:type="pct"/>
            <w:shd w:val="clear" w:color="auto" w:fill="auto"/>
            <w:vAlign w:val="center"/>
          </w:tcPr>
          <w:p>
            <w:pPr>
              <w:widowControl/>
              <w:jc w:val="center"/>
              <w:rPr>
                <w:rFonts w:ascii="宋体" w:hAnsi="宋体" w:cs="宋体"/>
                <w:color w:val="auto"/>
                <w:kern w:val="0"/>
                <w:sz w:val="20"/>
                <w:szCs w:val="20"/>
              </w:rPr>
            </w:pPr>
          </w:p>
        </w:tc>
        <w:tc>
          <w:tcPr>
            <w:tcW w:w="3123" w:type="pct"/>
            <w:shd w:val="clear" w:color="auto" w:fill="auto"/>
            <w:vAlign w:val="center"/>
          </w:tcPr>
          <w:p>
            <w:pPr>
              <w:widowControl/>
              <w:jc w:val="left"/>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shd w:val="clear" w:color="auto" w:fill="auto"/>
            <w:noWrap/>
            <w:vAlign w:val="center"/>
          </w:tcPr>
          <w:p>
            <w:pPr>
              <w:widowControl/>
              <w:jc w:val="center"/>
              <w:rPr>
                <w:rFonts w:ascii="宋体" w:hAnsi="宋体" w:cs="宋体"/>
                <w:color w:val="auto"/>
                <w:kern w:val="0"/>
                <w:sz w:val="20"/>
                <w:szCs w:val="20"/>
              </w:rPr>
            </w:pPr>
            <w:r>
              <w:rPr>
                <w:rFonts w:cs="宋体" w:asciiTheme="minorEastAsia" w:hAnsiTheme="minorEastAsia" w:eastAsiaTheme="minorEastAsia"/>
                <w:color w:val="auto"/>
                <w:kern w:val="0"/>
                <w:sz w:val="20"/>
                <w:szCs w:val="20"/>
              </w:rPr>
              <w:t>1</w:t>
            </w:r>
          </w:p>
        </w:tc>
        <w:tc>
          <w:tcPr>
            <w:tcW w:w="1367" w:type="pct"/>
            <w:gridSpan w:val="2"/>
            <w:shd w:val="clear" w:color="auto" w:fill="auto"/>
            <w:vAlign w:val="center"/>
          </w:tcPr>
          <w:p>
            <w:pPr>
              <w:widowControl/>
              <w:jc w:val="center"/>
              <w:rPr>
                <w:rFonts w:ascii="宋体" w:hAnsi="宋体" w:cs="宋体"/>
                <w:color w:val="auto"/>
                <w:kern w:val="0"/>
                <w:sz w:val="20"/>
                <w:szCs w:val="20"/>
              </w:rPr>
            </w:pPr>
            <w:r>
              <w:rPr>
                <w:rFonts w:hint="eastAsia" w:cs="宋体" w:asciiTheme="minorEastAsia" w:hAnsiTheme="minorEastAsia" w:eastAsiaTheme="minorEastAsia"/>
                <w:color w:val="auto"/>
                <w:kern w:val="0"/>
                <w:sz w:val="20"/>
                <w:szCs w:val="20"/>
              </w:rPr>
              <w:t>统一资源</w:t>
            </w:r>
          </w:p>
        </w:tc>
        <w:tc>
          <w:tcPr>
            <w:tcW w:w="3123" w:type="pct"/>
            <w:shd w:val="clear" w:color="auto" w:fill="auto"/>
            <w:vAlign w:val="center"/>
          </w:tcPr>
          <w:p>
            <w:pPr>
              <w:widowControl/>
              <w:jc w:val="left"/>
              <w:rPr>
                <w:rFonts w:ascii="宋体" w:hAnsi="宋体" w:cs="宋体"/>
                <w:color w:val="auto"/>
                <w:kern w:val="0"/>
                <w:sz w:val="20"/>
                <w:szCs w:val="20"/>
              </w:rPr>
            </w:pPr>
            <w:r>
              <w:rPr>
                <w:rFonts w:hint="eastAsia" w:ascii="宋体" w:hAnsi="宋体"/>
                <w:color w:val="auto"/>
              </w:rPr>
              <w:t>模块需要复用资源中心提供的关系型数据库及分布式数据库，统一使用资源中心提供的大数据能力。</w:t>
            </w:r>
          </w:p>
        </w:tc>
      </w:tr>
    </w:tbl>
    <w:p>
      <w:pPr>
        <w:pStyle w:val="10"/>
        <w:jc w:val="both"/>
        <w:rPr>
          <w:rFonts w:hint="eastAsia" w:ascii="仿宋_GB2312" w:hAnsi="仿宋_GB2312" w:eastAsia="仿宋_GB2312" w:cs="仿宋_GB2312"/>
          <w:bCs/>
          <w:color w:val="auto"/>
          <w:sz w:val="28"/>
          <w:szCs w:val="28"/>
          <w:lang w:val="en-US" w:eastAsia="zh-CN"/>
        </w:rPr>
      </w:pPr>
    </w:p>
    <w:p>
      <w:pPr>
        <w:keepNext/>
        <w:keepLines/>
        <w:numPr>
          <w:ilvl w:val="3"/>
          <w:numId w:val="2"/>
        </w:numPr>
        <w:tabs>
          <w:tab w:val="left" w:pos="142"/>
          <w:tab w:val="left" w:pos="360"/>
        </w:tabs>
        <w:spacing w:line="360" w:lineRule="auto"/>
        <w:ind w:left="864" w:leftChars="0" w:hanging="864" w:firstLineChars="0"/>
        <w:outlineLvl w:val="2"/>
        <w:rPr>
          <w:rFonts w:hint="eastAsia" w:ascii="黑体" w:hAnsi="黑体" w:eastAsia="黑体" w:cs="仿宋"/>
          <w:b/>
          <w:bCs/>
          <w:color w:val="auto"/>
          <w:sz w:val="28"/>
          <w:szCs w:val="32"/>
        </w:rPr>
      </w:pPr>
      <w:r>
        <w:rPr>
          <w:rFonts w:hint="eastAsia" w:ascii="黑体" w:hAnsi="黑体" w:eastAsia="黑体" w:cs="仿宋"/>
          <w:b/>
          <w:bCs/>
          <w:color w:val="auto"/>
          <w:sz w:val="28"/>
          <w:szCs w:val="32"/>
          <w:lang w:val="en-US" w:eastAsia="zh-CN"/>
        </w:rPr>
        <w:t>各模块数据及指标要求一览表</w:t>
      </w:r>
    </w:p>
    <w:tbl>
      <w:tblPr>
        <w:tblStyle w:val="22"/>
        <w:tblW w:w="87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3"/>
        <w:gridCol w:w="1179"/>
        <w:gridCol w:w="4063"/>
        <w:gridCol w:w="2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63"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117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名称</w:t>
            </w:r>
          </w:p>
        </w:tc>
        <w:tc>
          <w:tcPr>
            <w:tcW w:w="406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sz w:val="21"/>
                <w:szCs w:val="21"/>
                <w:u w:val="none"/>
              </w:rPr>
              <w:t>★</w:t>
            </w:r>
            <w:r>
              <w:rPr>
                <w:rFonts w:hint="eastAsia" w:ascii="宋体" w:hAnsi="宋体" w:eastAsia="宋体" w:cs="宋体"/>
                <w:b/>
                <w:bCs/>
                <w:i w:val="0"/>
                <w:iCs w:val="0"/>
                <w:color w:val="auto"/>
                <w:kern w:val="0"/>
                <w:sz w:val="21"/>
                <w:szCs w:val="21"/>
                <w:u w:val="none"/>
                <w:lang w:val="en-US" w:eastAsia="zh-CN" w:bidi="ar"/>
              </w:rPr>
              <w:t xml:space="preserve">指标要求 </w:t>
            </w:r>
          </w:p>
        </w:tc>
        <w:tc>
          <w:tcPr>
            <w:tcW w:w="296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 xml:space="preserve"> </w:t>
            </w:r>
            <w:r>
              <w:rPr>
                <w:rFonts w:hint="eastAsia" w:ascii="宋体" w:hAnsi="宋体" w:eastAsia="宋体" w:cs="宋体"/>
                <w:b/>
                <w:bCs/>
                <w:i w:val="0"/>
                <w:iCs w:val="0"/>
                <w:color w:val="auto"/>
                <w:sz w:val="21"/>
                <w:szCs w:val="21"/>
                <w:u w:val="none"/>
              </w:rPr>
              <w:t>★</w:t>
            </w:r>
            <w:r>
              <w:rPr>
                <w:rFonts w:hint="eastAsia" w:ascii="宋体" w:hAnsi="宋体" w:eastAsia="宋体" w:cs="宋体"/>
                <w:b/>
                <w:bCs/>
                <w:i w:val="0"/>
                <w:iCs w:val="0"/>
                <w:color w:val="auto"/>
                <w:kern w:val="0"/>
                <w:sz w:val="21"/>
                <w:szCs w:val="21"/>
                <w:u w:val="none"/>
                <w:lang w:val="en-US" w:eastAsia="zh-CN" w:bidi="ar"/>
              </w:rPr>
              <w:t>数据需求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63"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p>
        </w:tc>
        <w:tc>
          <w:tcPr>
            <w:tcW w:w="117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各模块</w:t>
            </w:r>
          </w:p>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共性要求</w:t>
            </w:r>
          </w:p>
          <w:p>
            <w:pPr>
              <w:pStyle w:val="10"/>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（数据中心除外）</w:t>
            </w:r>
          </w:p>
        </w:tc>
        <w:tc>
          <w:tcPr>
            <w:tcW w:w="406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1）平均响应时间小于1秒。</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shd w:val="clear" w:color="auto" w:fill="auto"/>
                <w:lang w:val="en-US" w:eastAsia="zh-CN" w:bidi="ar"/>
              </w:rPr>
            </w:pPr>
            <w:r>
              <w:rPr>
                <w:rFonts w:hint="eastAsia" w:ascii="宋体" w:hAnsi="宋体" w:eastAsia="宋体" w:cs="宋体"/>
                <w:i w:val="0"/>
                <w:iCs w:val="0"/>
                <w:color w:val="auto"/>
                <w:kern w:val="0"/>
                <w:sz w:val="21"/>
                <w:szCs w:val="21"/>
                <w:u w:val="none"/>
                <w:shd w:val="clear" w:color="auto" w:fill="auto"/>
                <w:lang w:val="en-US" w:eastAsia="zh-CN" w:bidi="ar"/>
              </w:rPr>
              <w:t>2）无故障运行时间大于8751.24小时/年。</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shd w:val="clear" w:color="auto" w:fill="auto"/>
                <w:lang w:val="en-US" w:eastAsia="zh-CN" w:bidi="ar"/>
              </w:rPr>
            </w:pPr>
            <w:r>
              <w:rPr>
                <w:rFonts w:hint="eastAsia" w:ascii="宋体" w:hAnsi="宋体" w:eastAsia="宋体" w:cs="宋体"/>
                <w:i w:val="0"/>
                <w:iCs w:val="0"/>
                <w:color w:val="auto"/>
                <w:kern w:val="0"/>
                <w:sz w:val="21"/>
                <w:szCs w:val="21"/>
                <w:u w:val="none"/>
                <w:shd w:val="clear" w:color="auto" w:fill="auto"/>
                <w:lang w:val="en-US" w:eastAsia="zh-CN" w:bidi="ar"/>
              </w:rPr>
              <w:t>3）在达到最大并发用户数并发访问时达到的指标：</w:t>
            </w:r>
          </w:p>
          <w:p>
            <w:pPr>
              <w:keepNext w:val="0"/>
              <w:keepLines w:val="0"/>
              <w:widowControl/>
              <w:suppressLineNumbers w:val="0"/>
              <w:ind w:firstLine="210" w:firstLineChars="100"/>
              <w:jc w:val="left"/>
              <w:textAlignment w:val="center"/>
              <w:rPr>
                <w:rFonts w:hint="eastAsia" w:ascii="宋体" w:hAnsi="宋体" w:eastAsia="宋体" w:cs="宋体"/>
                <w:i w:val="0"/>
                <w:iCs w:val="0"/>
                <w:color w:val="auto"/>
                <w:kern w:val="0"/>
                <w:sz w:val="21"/>
                <w:szCs w:val="21"/>
                <w:u w:val="none"/>
                <w:shd w:val="clear" w:color="auto" w:fill="auto"/>
                <w:lang w:val="en-US" w:eastAsia="zh-CN" w:bidi="ar"/>
              </w:rPr>
            </w:pPr>
            <w:r>
              <w:rPr>
                <w:rFonts w:hint="eastAsia" w:ascii="宋体" w:hAnsi="宋体" w:eastAsia="宋体" w:cs="宋体"/>
                <w:i w:val="0"/>
                <w:iCs w:val="0"/>
                <w:color w:val="auto"/>
                <w:kern w:val="0"/>
                <w:sz w:val="21"/>
                <w:szCs w:val="21"/>
                <w:u w:val="none"/>
                <w:shd w:val="clear" w:color="auto" w:fill="auto"/>
                <w:lang w:val="en-US" w:eastAsia="zh-CN" w:bidi="ar"/>
              </w:rPr>
              <w:t>对于单类信息的快速查询，响应时间在1秒内。</w:t>
            </w:r>
          </w:p>
          <w:p>
            <w:pPr>
              <w:keepNext w:val="0"/>
              <w:keepLines w:val="0"/>
              <w:widowControl/>
              <w:suppressLineNumbers w:val="0"/>
              <w:ind w:firstLine="210" w:firstLineChars="100"/>
              <w:jc w:val="both"/>
              <w:textAlignment w:val="center"/>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auto"/>
                <w:kern w:val="0"/>
                <w:sz w:val="21"/>
                <w:szCs w:val="21"/>
                <w:u w:val="none"/>
                <w:shd w:val="clear" w:color="auto" w:fill="auto"/>
                <w:lang w:val="en-US" w:eastAsia="zh-CN" w:bidi="ar"/>
              </w:rPr>
              <w:t>对于多类信息的模糊查询，响应时间在5秒内。</w:t>
            </w:r>
          </w:p>
        </w:tc>
        <w:tc>
          <w:tcPr>
            <w:tcW w:w="296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1）应按照数据中心的北向接口规范，从数据中心获取其他系统共享的数据。</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2）应按照数据中心的南向数据接口规范，将产生的业务类数据推送至数据中心。</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3）保证输入、输出数据的安全性。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6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应用融合管理模块</w:t>
            </w:r>
          </w:p>
        </w:tc>
        <w:tc>
          <w:tcPr>
            <w:tcW w:w="4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1）支持同时用户在线数不小于2000人。</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2）支持并发用户数量不小于500人</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1）从各业务模型直接获取功能权限。</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2）为台州市公安提供服务。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6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数智实战模块</w:t>
            </w:r>
          </w:p>
        </w:tc>
        <w:tc>
          <w:tcPr>
            <w:tcW w:w="4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1）支持同时用户在线数不小于</w:t>
            </w:r>
            <w:r>
              <w:rPr>
                <w:rFonts w:hint="eastAsia" w:ascii="宋体" w:hAnsi="宋体" w:eastAsia="宋体" w:cs="宋体"/>
                <w:i w:val="0"/>
                <w:iCs w:val="0"/>
                <w:color w:val="auto"/>
                <w:sz w:val="21"/>
                <w:szCs w:val="21"/>
                <w:u w:val="none"/>
                <w:lang w:val="en-US" w:eastAsia="zh-CN"/>
              </w:rPr>
              <w:t>5</w:t>
            </w:r>
            <w:r>
              <w:rPr>
                <w:rFonts w:hint="eastAsia" w:ascii="宋体" w:hAnsi="宋体" w:eastAsia="宋体" w:cs="宋体"/>
                <w:i w:val="0"/>
                <w:iCs w:val="0"/>
                <w:color w:val="auto"/>
                <w:sz w:val="21"/>
                <w:szCs w:val="21"/>
                <w:u w:val="none"/>
              </w:rPr>
              <w:t>00人。</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2）支持并发用户数量大于</w:t>
            </w:r>
            <w:r>
              <w:rPr>
                <w:rFonts w:hint="eastAsia" w:ascii="宋体" w:hAnsi="宋体" w:eastAsia="宋体" w:cs="宋体"/>
                <w:i w:val="0"/>
                <w:iCs w:val="0"/>
                <w:color w:val="auto"/>
                <w:sz w:val="21"/>
                <w:szCs w:val="21"/>
                <w:u w:val="none"/>
                <w:lang w:val="en-US" w:eastAsia="zh-CN"/>
              </w:rPr>
              <w:t>10</w:t>
            </w:r>
            <w:r>
              <w:rPr>
                <w:rFonts w:hint="eastAsia" w:ascii="宋体" w:hAnsi="宋体" w:eastAsia="宋体" w:cs="宋体"/>
                <w:i w:val="0"/>
                <w:iCs w:val="0"/>
                <w:color w:val="auto"/>
                <w:sz w:val="21"/>
                <w:szCs w:val="21"/>
                <w:u w:val="none"/>
              </w:rPr>
              <w:t>0人。</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6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数智决策模块</w:t>
            </w:r>
          </w:p>
        </w:tc>
        <w:tc>
          <w:tcPr>
            <w:tcW w:w="4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1）支持同时用户在线数不小于</w:t>
            </w:r>
            <w:r>
              <w:rPr>
                <w:rFonts w:hint="eastAsia" w:ascii="宋体" w:hAnsi="宋体" w:eastAsia="宋体" w:cs="宋体"/>
                <w:i w:val="0"/>
                <w:iCs w:val="0"/>
                <w:color w:val="auto"/>
                <w:sz w:val="21"/>
                <w:szCs w:val="21"/>
                <w:u w:val="none"/>
                <w:lang w:val="en-US" w:eastAsia="zh-CN"/>
              </w:rPr>
              <w:t>10</w:t>
            </w:r>
            <w:r>
              <w:rPr>
                <w:rFonts w:hint="eastAsia" w:ascii="宋体" w:hAnsi="宋体" w:eastAsia="宋体" w:cs="宋体"/>
                <w:i w:val="0"/>
                <w:iCs w:val="0"/>
                <w:color w:val="auto"/>
                <w:sz w:val="21"/>
                <w:szCs w:val="21"/>
                <w:u w:val="none"/>
              </w:rPr>
              <w:t>00人。</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2）支持并发用户数量大于</w:t>
            </w:r>
            <w:r>
              <w:rPr>
                <w:rFonts w:hint="eastAsia" w:ascii="宋体" w:hAnsi="宋体" w:eastAsia="宋体" w:cs="宋体"/>
                <w:i w:val="0"/>
                <w:iCs w:val="0"/>
                <w:color w:val="auto"/>
                <w:sz w:val="21"/>
                <w:szCs w:val="21"/>
                <w:u w:val="none"/>
                <w:lang w:val="en-US" w:eastAsia="zh-CN"/>
              </w:rPr>
              <w:t>10</w:t>
            </w:r>
            <w:r>
              <w:rPr>
                <w:rFonts w:hint="eastAsia" w:ascii="宋体" w:hAnsi="宋体" w:eastAsia="宋体" w:cs="宋体"/>
                <w:i w:val="0"/>
                <w:iCs w:val="0"/>
                <w:color w:val="auto"/>
                <w:sz w:val="21"/>
                <w:szCs w:val="21"/>
                <w:u w:val="none"/>
              </w:rPr>
              <w:t>0人。</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6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高地一体化模块</w:t>
            </w:r>
          </w:p>
        </w:tc>
        <w:tc>
          <w:tcPr>
            <w:tcW w:w="4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1）支持同时用户在线数不小于200人。</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rPr>
              <w:t>2）支持并发用户数量不小于50人。</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6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信号控制提升模块</w:t>
            </w:r>
          </w:p>
        </w:tc>
        <w:tc>
          <w:tcPr>
            <w:tcW w:w="4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1）支持同时用户在线数不小于200人。</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2）支持并发用户数量不小于50人。</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3</w:t>
            </w:r>
            <w:r>
              <w:rPr>
                <w:rFonts w:hint="eastAsia" w:ascii="宋体" w:hAnsi="宋体" w:eastAsia="宋体" w:cs="宋体"/>
                <w:i w:val="0"/>
                <w:iCs w:val="0"/>
                <w:color w:val="auto"/>
                <w:sz w:val="21"/>
                <w:szCs w:val="21"/>
                <w:u w:val="none"/>
              </w:rPr>
              <w:t>）并发调控信号配时的路口不少于</w:t>
            </w:r>
            <w:r>
              <w:rPr>
                <w:rFonts w:hint="eastAsia" w:ascii="宋体" w:hAnsi="宋体" w:eastAsia="宋体" w:cs="宋体"/>
                <w:i w:val="0"/>
                <w:iCs w:val="0"/>
                <w:color w:val="auto"/>
                <w:sz w:val="21"/>
                <w:szCs w:val="21"/>
                <w:u w:val="none"/>
                <w:lang w:val="en-US" w:eastAsia="zh-CN"/>
              </w:rPr>
              <w:t>5</w:t>
            </w:r>
            <w:r>
              <w:rPr>
                <w:rFonts w:hint="eastAsia" w:ascii="宋体" w:hAnsi="宋体" w:eastAsia="宋体" w:cs="宋体"/>
                <w:i w:val="0"/>
                <w:iCs w:val="0"/>
                <w:color w:val="auto"/>
                <w:sz w:val="21"/>
                <w:szCs w:val="21"/>
                <w:u w:val="none"/>
              </w:rPr>
              <w:t>00个。</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6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事故可视化模块</w:t>
            </w:r>
          </w:p>
        </w:tc>
        <w:tc>
          <w:tcPr>
            <w:tcW w:w="4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1）支持同时用户在线数不小于</w:t>
            </w:r>
            <w:r>
              <w:rPr>
                <w:rFonts w:hint="eastAsia" w:ascii="宋体" w:hAnsi="宋体" w:eastAsia="宋体" w:cs="宋体"/>
                <w:i w:val="0"/>
                <w:iCs w:val="0"/>
                <w:color w:val="auto"/>
                <w:sz w:val="21"/>
                <w:szCs w:val="21"/>
                <w:u w:val="none"/>
                <w:lang w:val="en-US" w:eastAsia="zh-CN"/>
              </w:rPr>
              <w:t>6</w:t>
            </w:r>
            <w:r>
              <w:rPr>
                <w:rFonts w:hint="eastAsia" w:ascii="宋体" w:hAnsi="宋体" w:eastAsia="宋体" w:cs="宋体"/>
                <w:i w:val="0"/>
                <w:iCs w:val="0"/>
                <w:color w:val="auto"/>
                <w:sz w:val="21"/>
                <w:szCs w:val="21"/>
                <w:u w:val="none"/>
              </w:rPr>
              <w:t>00人。</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rPr>
              <w:t>2）支持并发用户数量不小于100人。</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6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交通态势分析模块</w:t>
            </w:r>
          </w:p>
        </w:tc>
        <w:tc>
          <w:tcPr>
            <w:tcW w:w="4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1）支持同时用户在线数不小于</w:t>
            </w:r>
            <w:r>
              <w:rPr>
                <w:rFonts w:hint="eastAsia" w:ascii="宋体" w:hAnsi="宋体" w:eastAsia="宋体" w:cs="宋体"/>
                <w:i w:val="0"/>
                <w:iCs w:val="0"/>
                <w:color w:val="auto"/>
                <w:sz w:val="21"/>
                <w:szCs w:val="21"/>
                <w:u w:val="none"/>
                <w:lang w:val="en-US" w:eastAsia="zh-CN"/>
              </w:rPr>
              <w:t>10</w:t>
            </w:r>
            <w:r>
              <w:rPr>
                <w:rFonts w:hint="eastAsia" w:ascii="宋体" w:hAnsi="宋体" w:eastAsia="宋体" w:cs="宋体"/>
                <w:i w:val="0"/>
                <w:iCs w:val="0"/>
                <w:color w:val="auto"/>
                <w:sz w:val="21"/>
                <w:szCs w:val="21"/>
                <w:u w:val="none"/>
              </w:rPr>
              <w:t>00人。</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2）支持并发用户数量不小于</w:t>
            </w:r>
            <w:r>
              <w:rPr>
                <w:rFonts w:hint="eastAsia" w:ascii="宋体" w:hAnsi="宋体" w:eastAsia="宋体" w:cs="宋体"/>
                <w:i w:val="0"/>
                <w:iCs w:val="0"/>
                <w:color w:val="auto"/>
                <w:sz w:val="21"/>
                <w:szCs w:val="21"/>
                <w:u w:val="none"/>
                <w:lang w:val="en-US" w:eastAsia="zh-CN"/>
              </w:rPr>
              <w:t>200</w:t>
            </w:r>
            <w:r>
              <w:rPr>
                <w:rFonts w:hint="eastAsia" w:ascii="宋体" w:hAnsi="宋体" w:eastAsia="宋体" w:cs="宋体"/>
                <w:i w:val="0"/>
                <w:iCs w:val="0"/>
                <w:color w:val="auto"/>
                <w:sz w:val="21"/>
                <w:szCs w:val="21"/>
                <w:u w:val="none"/>
              </w:rPr>
              <w:t>人。</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eastAsia="zh-CN"/>
              </w:rPr>
              <w:t>3</w:t>
            </w:r>
            <w:r>
              <w:rPr>
                <w:rFonts w:hint="eastAsia" w:ascii="宋体" w:hAnsi="宋体" w:eastAsia="宋体" w:cs="宋体"/>
                <w:i w:val="0"/>
                <w:iCs w:val="0"/>
                <w:color w:val="auto"/>
                <w:sz w:val="21"/>
                <w:szCs w:val="21"/>
                <w:u w:val="none"/>
              </w:rPr>
              <w:t>）电子地图gps查询100WGPS历史数据查询时间≤5秒。</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6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8</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驾驶人学习防范模块</w:t>
            </w:r>
          </w:p>
        </w:tc>
        <w:tc>
          <w:tcPr>
            <w:tcW w:w="4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1）支持同时用户在线数不小于</w:t>
            </w:r>
            <w:r>
              <w:rPr>
                <w:rFonts w:hint="eastAsia" w:ascii="宋体" w:hAnsi="宋体" w:eastAsia="宋体" w:cs="宋体"/>
                <w:i w:val="0"/>
                <w:iCs w:val="0"/>
                <w:color w:val="auto"/>
                <w:sz w:val="21"/>
                <w:szCs w:val="21"/>
                <w:u w:val="none"/>
                <w:lang w:val="en-US" w:eastAsia="zh-CN"/>
              </w:rPr>
              <w:t>10</w:t>
            </w:r>
            <w:r>
              <w:rPr>
                <w:rFonts w:hint="eastAsia" w:ascii="宋体" w:hAnsi="宋体" w:eastAsia="宋体" w:cs="宋体"/>
                <w:i w:val="0"/>
                <w:iCs w:val="0"/>
                <w:color w:val="auto"/>
                <w:sz w:val="21"/>
                <w:szCs w:val="21"/>
                <w:u w:val="none"/>
              </w:rPr>
              <w:t>00人。</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rPr>
              <w:t>2）支持并发用户数量不小于</w:t>
            </w:r>
            <w:r>
              <w:rPr>
                <w:rFonts w:hint="eastAsia" w:ascii="宋体" w:hAnsi="宋体" w:eastAsia="宋体" w:cs="宋体"/>
                <w:i w:val="0"/>
                <w:iCs w:val="0"/>
                <w:color w:val="auto"/>
                <w:sz w:val="21"/>
                <w:szCs w:val="21"/>
                <w:u w:val="none"/>
                <w:lang w:val="en-US" w:eastAsia="zh-CN"/>
              </w:rPr>
              <w:t>200</w:t>
            </w:r>
            <w:r>
              <w:rPr>
                <w:rFonts w:hint="eastAsia" w:ascii="宋体" w:hAnsi="宋体" w:eastAsia="宋体" w:cs="宋体"/>
                <w:i w:val="0"/>
                <w:iCs w:val="0"/>
                <w:color w:val="auto"/>
                <w:sz w:val="21"/>
                <w:szCs w:val="21"/>
                <w:u w:val="none"/>
              </w:rPr>
              <w:t>人。</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rPr>
              <w:t>“线上办业务办理”子模块，直接对接六合一系统，完成相关的业务办理。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6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运维管理模块</w:t>
            </w:r>
          </w:p>
        </w:tc>
        <w:tc>
          <w:tcPr>
            <w:tcW w:w="4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1）支持同时用户在线数不小于200人。</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rPr>
              <w:t>2）支持并发用户数量不小于50人。</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6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移动应用模块</w:t>
            </w:r>
          </w:p>
        </w:tc>
        <w:tc>
          <w:tcPr>
            <w:tcW w:w="4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1）支持同时用户在线数不小于3000人。</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rPr>
              <w:t>2）支持并发用户数量不小于600人。</w:t>
            </w:r>
            <w:r>
              <w:rPr>
                <w:rFonts w:hint="eastAsia" w:ascii="宋体" w:hAnsi="宋体" w:eastAsia="宋体" w:cs="宋体"/>
                <w:i w:val="0"/>
                <w:iCs w:val="0"/>
                <w:color w:val="auto"/>
                <w:sz w:val="21"/>
                <w:szCs w:val="21"/>
                <w:u w:val="none"/>
                <w:lang w:val="en-US" w:eastAsia="zh-CN"/>
              </w:rPr>
              <w:t xml:space="preserve"> </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6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赋能中心</w:t>
            </w:r>
          </w:p>
        </w:tc>
        <w:tc>
          <w:tcPr>
            <w:tcW w:w="4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rPr>
              <w:t>1）注册用户数不小于</w:t>
            </w:r>
            <w:r>
              <w:rPr>
                <w:rFonts w:hint="eastAsia" w:ascii="宋体" w:hAnsi="宋体" w:eastAsia="宋体" w:cs="宋体"/>
                <w:i w:val="0"/>
                <w:iCs w:val="0"/>
                <w:color w:val="auto"/>
                <w:sz w:val="21"/>
                <w:szCs w:val="21"/>
                <w:u w:val="none"/>
                <w:lang w:val="en-US" w:eastAsia="zh-CN"/>
              </w:rPr>
              <w:t>8</w:t>
            </w:r>
            <w:r>
              <w:rPr>
                <w:rFonts w:hint="eastAsia" w:ascii="宋体" w:hAnsi="宋体" w:eastAsia="宋体" w:cs="宋体"/>
                <w:i w:val="0"/>
                <w:iCs w:val="0"/>
                <w:color w:val="auto"/>
                <w:sz w:val="21"/>
                <w:szCs w:val="21"/>
                <w:u w:val="none"/>
              </w:rPr>
              <w:t>000</w:t>
            </w:r>
            <w:r>
              <w:rPr>
                <w:rFonts w:hint="eastAsia" w:ascii="宋体" w:hAnsi="宋体" w:eastAsia="宋体" w:cs="宋体"/>
                <w:i w:val="0"/>
                <w:iCs w:val="0"/>
                <w:color w:val="auto"/>
                <w:sz w:val="21"/>
                <w:szCs w:val="21"/>
                <w:u w:val="none"/>
                <w:lang w:eastAsia="zh-CN"/>
              </w:rPr>
              <w:t>；</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val="en-US" w:eastAsia="zh-CN"/>
              </w:rPr>
              <w:t>2</w:t>
            </w:r>
            <w:r>
              <w:rPr>
                <w:rFonts w:hint="eastAsia" w:ascii="宋体" w:hAnsi="宋体" w:eastAsia="宋体" w:cs="宋体"/>
                <w:i w:val="0"/>
                <w:iCs w:val="0"/>
                <w:color w:val="auto"/>
                <w:sz w:val="21"/>
                <w:szCs w:val="21"/>
                <w:u w:val="none"/>
              </w:rPr>
              <w:t>）在线用户数不小于</w:t>
            </w:r>
            <w:r>
              <w:rPr>
                <w:rFonts w:hint="eastAsia" w:ascii="宋体" w:hAnsi="宋体" w:eastAsia="宋体" w:cs="宋体"/>
                <w:i w:val="0"/>
                <w:iCs w:val="0"/>
                <w:color w:val="auto"/>
                <w:sz w:val="21"/>
                <w:szCs w:val="21"/>
                <w:u w:val="none"/>
                <w:lang w:val="en-US" w:eastAsia="zh-CN"/>
              </w:rPr>
              <w:t>20</w:t>
            </w:r>
            <w:r>
              <w:rPr>
                <w:rFonts w:hint="eastAsia" w:ascii="宋体" w:hAnsi="宋体" w:eastAsia="宋体" w:cs="宋体"/>
                <w:i w:val="0"/>
                <w:iCs w:val="0"/>
                <w:color w:val="auto"/>
                <w:sz w:val="21"/>
                <w:szCs w:val="21"/>
                <w:u w:val="none"/>
              </w:rPr>
              <w:t>00</w:t>
            </w:r>
            <w:r>
              <w:rPr>
                <w:rFonts w:hint="eastAsia" w:ascii="宋体" w:hAnsi="宋体" w:eastAsia="宋体" w:cs="宋体"/>
                <w:i w:val="0"/>
                <w:iCs w:val="0"/>
                <w:color w:val="auto"/>
                <w:sz w:val="21"/>
                <w:szCs w:val="21"/>
                <w:u w:val="none"/>
                <w:lang w:eastAsia="zh-CN"/>
              </w:rPr>
              <w:t>；</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3</w:t>
            </w:r>
            <w:r>
              <w:rPr>
                <w:rFonts w:hint="eastAsia" w:ascii="宋体" w:hAnsi="宋体" w:eastAsia="宋体" w:cs="宋体"/>
                <w:i w:val="0"/>
                <w:iCs w:val="0"/>
                <w:color w:val="auto"/>
                <w:sz w:val="21"/>
                <w:szCs w:val="21"/>
                <w:u w:val="none"/>
              </w:rPr>
              <w:t>）支持并发用户数量不小于</w:t>
            </w:r>
            <w:r>
              <w:rPr>
                <w:rFonts w:hint="eastAsia" w:ascii="宋体" w:hAnsi="宋体" w:eastAsia="宋体" w:cs="宋体"/>
                <w:i w:val="0"/>
                <w:iCs w:val="0"/>
                <w:color w:val="auto"/>
                <w:sz w:val="21"/>
                <w:szCs w:val="21"/>
                <w:u w:val="none"/>
                <w:lang w:val="en-US" w:eastAsia="zh-CN"/>
              </w:rPr>
              <w:t>5</w:t>
            </w:r>
            <w:r>
              <w:rPr>
                <w:rFonts w:hint="eastAsia" w:ascii="宋体" w:hAnsi="宋体" w:eastAsia="宋体" w:cs="宋体"/>
                <w:i w:val="0"/>
                <w:iCs w:val="0"/>
                <w:color w:val="auto"/>
                <w:sz w:val="21"/>
                <w:szCs w:val="21"/>
                <w:u w:val="none"/>
              </w:rPr>
              <w:t>00人。</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7" w:hRule="atLeast"/>
          <w:jc w:val="center"/>
        </w:trPr>
        <w:tc>
          <w:tcPr>
            <w:tcW w:w="56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12</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数据中心</w:t>
            </w:r>
          </w:p>
        </w:tc>
        <w:tc>
          <w:tcPr>
            <w:tcW w:w="4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需同时达到以下二类指标要求：</w:t>
            </w:r>
          </w:p>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第一类</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1)实体同步：</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【100W】数据量，同步时间1分10秒以内</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【1000W】数据量，同步时间25分45秒以内</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【1亿】数据量，同步时间4时34分25秒以内</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2)关系同步：</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【1000W】数据量，同步时间5时20分钟以内可以同时对5千张表新建画布;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一个画布上可以支持100个节点，打开画布的响应时间：285ms以内</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3)数据清洗：【亿级】数据量，并发50，在2小时完成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4)数据同步：【千万级】数据量，全量同步，20并发，20分钟完成；【亿级】数据量，增量同步，20并发，2小时完成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5)实时流：【千万级】：【5并发,2小时】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6)查询数据表：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100并发，平均响应时间760毫秒以内</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150并发，平均响应时间1145毫秒以内</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200并发，平均响应时间1525毫秒以内</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第二类</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1"/>
                <w:szCs w:val="21"/>
                <w:u w:val="none"/>
              </w:rPr>
              <w:t>1）</w:t>
            </w:r>
            <w:r>
              <w:rPr>
                <w:rFonts w:hint="eastAsia" w:ascii="宋体" w:hAnsi="宋体" w:eastAsia="宋体" w:cs="宋体"/>
                <w:i w:val="0"/>
                <w:iCs w:val="0"/>
                <w:color w:val="auto"/>
                <w:kern w:val="0"/>
                <w:sz w:val="21"/>
                <w:szCs w:val="21"/>
                <w:u w:val="none"/>
                <w:lang w:val="en-US" w:eastAsia="zh-CN" w:bidi="ar"/>
              </w:rPr>
              <w:t>支持接入数据库类型：≥12种；</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1"/>
                <w:szCs w:val="21"/>
                <w:u w:val="none"/>
                <w:lang w:val="en-US" w:eastAsia="zh-CN"/>
              </w:rPr>
              <w:t>2</w:t>
            </w:r>
            <w:r>
              <w:rPr>
                <w:rFonts w:hint="eastAsia" w:ascii="宋体" w:hAnsi="宋体" w:eastAsia="宋体" w:cs="宋体"/>
                <w:i w:val="0"/>
                <w:iCs w:val="0"/>
                <w:color w:val="auto"/>
                <w:sz w:val="21"/>
                <w:szCs w:val="21"/>
                <w:u w:val="none"/>
              </w:rPr>
              <w:t>）</w:t>
            </w:r>
            <w:r>
              <w:rPr>
                <w:rFonts w:hint="eastAsia" w:ascii="宋体" w:hAnsi="宋体" w:eastAsia="宋体" w:cs="宋体"/>
                <w:i w:val="0"/>
                <w:iCs w:val="0"/>
                <w:color w:val="auto"/>
                <w:kern w:val="0"/>
                <w:sz w:val="21"/>
                <w:szCs w:val="21"/>
                <w:u w:val="none"/>
                <w:lang w:val="en-US" w:eastAsia="zh-CN" w:bidi="ar"/>
              </w:rPr>
              <w:t>支持接入数据库数量：不限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1"/>
                <w:szCs w:val="21"/>
                <w:u w:val="none"/>
                <w:lang w:val="en-US" w:eastAsia="zh-CN"/>
              </w:rPr>
              <w:t>3</w:t>
            </w:r>
            <w:r>
              <w:rPr>
                <w:rFonts w:hint="eastAsia" w:ascii="宋体" w:hAnsi="宋体" w:eastAsia="宋体" w:cs="宋体"/>
                <w:i w:val="0"/>
                <w:iCs w:val="0"/>
                <w:color w:val="auto"/>
                <w:sz w:val="21"/>
                <w:szCs w:val="21"/>
                <w:u w:val="none"/>
              </w:rPr>
              <w:t>）</w:t>
            </w:r>
            <w:r>
              <w:rPr>
                <w:rFonts w:hint="eastAsia" w:ascii="宋体" w:hAnsi="宋体" w:eastAsia="宋体" w:cs="宋体"/>
                <w:i w:val="0"/>
                <w:iCs w:val="0"/>
                <w:color w:val="auto"/>
                <w:kern w:val="0"/>
                <w:sz w:val="21"/>
                <w:szCs w:val="21"/>
                <w:u w:val="none"/>
                <w:lang w:val="en-US" w:eastAsia="zh-CN" w:bidi="ar"/>
              </w:rPr>
              <w:t>支持设置分层数：≥3层，包括开发层、主题层、服务层；</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1"/>
                <w:szCs w:val="21"/>
                <w:u w:val="none"/>
                <w:lang w:val="en-US" w:eastAsia="zh-CN"/>
              </w:rPr>
              <w:t>4</w:t>
            </w:r>
            <w:r>
              <w:rPr>
                <w:rFonts w:hint="eastAsia" w:ascii="宋体" w:hAnsi="宋体" w:eastAsia="宋体" w:cs="宋体"/>
                <w:i w:val="0"/>
                <w:iCs w:val="0"/>
                <w:color w:val="auto"/>
                <w:sz w:val="21"/>
                <w:szCs w:val="21"/>
                <w:u w:val="none"/>
              </w:rPr>
              <w:t>）</w:t>
            </w:r>
            <w:r>
              <w:rPr>
                <w:rFonts w:hint="eastAsia" w:ascii="宋体" w:hAnsi="宋体" w:eastAsia="宋体" w:cs="宋体"/>
                <w:i w:val="0"/>
                <w:iCs w:val="0"/>
                <w:color w:val="auto"/>
                <w:kern w:val="0"/>
                <w:sz w:val="21"/>
                <w:szCs w:val="21"/>
                <w:u w:val="none"/>
                <w:lang w:val="en-US" w:eastAsia="zh-CN" w:bidi="ar"/>
              </w:rPr>
              <w:t>离线采集速率：单节点最高可达 50MB/s，最大速率可达 50 万条/s；</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1"/>
                <w:szCs w:val="21"/>
                <w:u w:val="none"/>
                <w:lang w:val="en-US" w:eastAsia="zh-CN"/>
              </w:rPr>
              <w:t>5</w:t>
            </w:r>
            <w:r>
              <w:rPr>
                <w:rFonts w:hint="eastAsia" w:ascii="宋体" w:hAnsi="宋体" w:eastAsia="宋体" w:cs="宋体"/>
                <w:i w:val="0"/>
                <w:iCs w:val="0"/>
                <w:color w:val="auto"/>
                <w:sz w:val="21"/>
                <w:szCs w:val="21"/>
                <w:u w:val="none"/>
              </w:rPr>
              <w:t>）</w:t>
            </w:r>
            <w:r>
              <w:rPr>
                <w:rFonts w:hint="eastAsia" w:ascii="宋体" w:hAnsi="宋体" w:eastAsia="宋体" w:cs="宋体"/>
                <w:i w:val="0"/>
                <w:iCs w:val="0"/>
                <w:color w:val="auto"/>
                <w:kern w:val="0"/>
                <w:sz w:val="21"/>
                <w:szCs w:val="21"/>
                <w:u w:val="none"/>
                <w:lang w:val="en-US" w:eastAsia="zh-CN" w:bidi="ar"/>
              </w:rPr>
              <w:t>批量采集支持单次创建5000张表的采集任务；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1"/>
                <w:szCs w:val="21"/>
                <w:u w:val="none"/>
                <w:lang w:val="en-US" w:eastAsia="zh-CN"/>
              </w:rPr>
              <w:t>6</w:t>
            </w:r>
            <w:r>
              <w:rPr>
                <w:rFonts w:hint="eastAsia" w:ascii="宋体" w:hAnsi="宋体" w:eastAsia="宋体" w:cs="宋体"/>
                <w:i w:val="0"/>
                <w:iCs w:val="0"/>
                <w:color w:val="auto"/>
                <w:sz w:val="21"/>
                <w:szCs w:val="21"/>
                <w:u w:val="none"/>
              </w:rPr>
              <w:t>）</w:t>
            </w:r>
            <w:r>
              <w:rPr>
                <w:rFonts w:hint="eastAsia" w:ascii="宋体" w:hAnsi="宋体" w:eastAsia="宋体" w:cs="宋体"/>
                <w:i w:val="0"/>
                <w:iCs w:val="0"/>
                <w:color w:val="auto"/>
                <w:kern w:val="0"/>
                <w:sz w:val="21"/>
                <w:szCs w:val="21"/>
                <w:u w:val="none"/>
                <w:lang w:val="en-US" w:eastAsia="zh-CN" w:bidi="ar"/>
              </w:rPr>
              <w:t>实时采集单节点最高可达20MB/s的峰值流量；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1"/>
                <w:szCs w:val="21"/>
                <w:u w:val="none"/>
                <w:lang w:val="en-US" w:eastAsia="zh-CN"/>
              </w:rPr>
              <w:t>7</w:t>
            </w:r>
            <w:r>
              <w:rPr>
                <w:rFonts w:hint="eastAsia" w:ascii="宋体" w:hAnsi="宋体" w:eastAsia="宋体" w:cs="宋体"/>
                <w:i w:val="0"/>
                <w:iCs w:val="0"/>
                <w:color w:val="auto"/>
                <w:sz w:val="21"/>
                <w:szCs w:val="21"/>
                <w:u w:val="none"/>
              </w:rPr>
              <w:t>）</w:t>
            </w:r>
            <w:r>
              <w:rPr>
                <w:rFonts w:hint="eastAsia" w:ascii="宋体" w:hAnsi="宋体" w:eastAsia="宋体" w:cs="宋体"/>
                <w:i w:val="0"/>
                <w:iCs w:val="0"/>
                <w:color w:val="auto"/>
                <w:kern w:val="0"/>
                <w:sz w:val="21"/>
                <w:szCs w:val="21"/>
                <w:u w:val="none"/>
                <w:lang w:val="en-US" w:eastAsia="zh-CN" w:bidi="ar"/>
              </w:rPr>
              <w:t>单节点平均处理数据量可达1.5亿条/小时；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1"/>
                <w:szCs w:val="21"/>
                <w:u w:val="none"/>
                <w:lang w:val="en-US" w:eastAsia="zh-CN"/>
              </w:rPr>
              <w:t>8</w:t>
            </w:r>
            <w:r>
              <w:rPr>
                <w:rFonts w:hint="eastAsia" w:ascii="宋体" w:hAnsi="宋体" w:eastAsia="宋体" w:cs="宋体"/>
                <w:i w:val="0"/>
                <w:iCs w:val="0"/>
                <w:color w:val="auto"/>
                <w:sz w:val="21"/>
                <w:szCs w:val="21"/>
                <w:u w:val="none"/>
              </w:rPr>
              <w:t>）</w:t>
            </w:r>
            <w:r>
              <w:rPr>
                <w:rFonts w:hint="eastAsia" w:ascii="宋体" w:hAnsi="宋体" w:eastAsia="宋体" w:cs="宋体"/>
                <w:i w:val="0"/>
                <w:iCs w:val="0"/>
                <w:color w:val="auto"/>
                <w:kern w:val="0"/>
                <w:sz w:val="21"/>
                <w:szCs w:val="21"/>
                <w:u w:val="none"/>
                <w:lang w:val="en-US" w:eastAsia="zh-CN" w:bidi="ar"/>
              </w:rPr>
              <w:t>单节点平均数据处理流量可达40GB/小时；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1"/>
                <w:szCs w:val="21"/>
                <w:u w:val="none"/>
                <w:lang w:val="en-US" w:eastAsia="zh-CN"/>
              </w:rPr>
              <w:t>9</w:t>
            </w:r>
            <w:r>
              <w:rPr>
                <w:rFonts w:hint="eastAsia" w:ascii="宋体" w:hAnsi="宋体" w:eastAsia="宋体" w:cs="宋体"/>
                <w:i w:val="0"/>
                <w:iCs w:val="0"/>
                <w:color w:val="auto"/>
                <w:sz w:val="21"/>
                <w:szCs w:val="21"/>
                <w:u w:val="none"/>
              </w:rPr>
              <w:t>）</w:t>
            </w:r>
            <w:r>
              <w:rPr>
                <w:rFonts w:hint="eastAsia" w:ascii="宋体" w:hAnsi="宋体" w:eastAsia="宋体" w:cs="宋体"/>
                <w:i w:val="0"/>
                <w:iCs w:val="0"/>
                <w:color w:val="auto"/>
                <w:kern w:val="0"/>
                <w:sz w:val="21"/>
                <w:szCs w:val="21"/>
                <w:u w:val="none"/>
                <w:lang w:val="en-US" w:eastAsia="zh-CN" w:bidi="ar"/>
              </w:rPr>
              <w:t>单节点可支撑日均并发调用次数：≥75万次；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1"/>
                <w:szCs w:val="21"/>
                <w:u w:val="none"/>
              </w:rPr>
              <w:t>1</w:t>
            </w:r>
            <w:r>
              <w:rPr>
                <w:rFonts w:hint="eastAsia" w:ascii="宋体" w:hAnsi="宋体" w:eastAsia="宋体" w:cs="宋体"/>
                <w:i w:val="0"/>
                <w:iCs w:val="0"/>
                <w:color w:val="auto"/>
                <w:sz w:val="21"/>
                <w:szCs w:val="21"/>
                <w:u w:val="none"/>
                <w:lang w:val="en-US" w:eastAsia="zh-CN"/>
              </w:rPr>
              <w:t>0</w:t>
            </w:r>
            <w:r>
              <w:rPr>
                <w:rFonts w:hint="eastAsia" w:ascii="宋体" w:hAnsi="宋体" w:eastAsia="宋体" w:cs="宋体"/>
                <w:i w:val="0"/>
                <w:iCs w:val="0"/>
                <w:color w:val="auto"/>
                <w:sz w:val="21"/>
                <w:szCs w:val="21"/>
                <w:u w:val="none"/>
              </w:rPr>
              <w:t>）</w:t>
            </w:r>
            <w:r>
              <w:rPr>
                <w:rFonts w:hint="eastAsia" w:ascii="宋体" w:hAnsi="宋体" w:eastAsia="宋体" w:cs="宋体"/>
                <w:i w:val="0"/>
                <w:iCs w:val="0"/>
                <w:color w:val="auto"/>
                <w:kern w:val="0"/>
                <w:sz w:val="21"/>
                <w:szCs w:val="21"/>
                <w:u w:val="none"/>
                <w:lang w:val="en-US" w:eastAsia="zh-CN" w:bidi="ar"/>
              </w:rPr>
              <w:t>单节点支持创建共享API服务：≥500个；</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1"/>
                <w:szCs w:val="21"/>
                <w:u w:val="none"/>
              </w:rPr>
              <w:t>1</w:t>
            </w:r>
            <w:r>
              <w:rPr>
                <w:rFonts w:hint="eastAsia" w:ascii="宋体" w:hAnsi="宋体" w:eastAsia="宋体" w:cs="宋体"/>
                <w:i w:val="0"/>
                <w:iCs w:val="0"/>
                <w:color w:val="auto"/>
                <w:sz w:val="21"/>
                <w:szCs w:val="21"/>
                <w:u w:val="none"/>
                <w:lang w:val="en-US" w:eastAsia="zh-CN"/>
              </w:rPr>
              <w:t>1</w:t>
            </w:r>
            <w:r>
              <w:rPr>
                <w:rFonts w:hint="eastAsia" w:ascii="宋体" w:hAnsi="宋体" w:eastAsia="宋体" w:cs="宋体"/>
                <w:i w:val="0"/>
                <w:iCs w:val="0"/>
                <w:color w:val="auto"/>
                <w:sz w:val="21"/>
                <w:szCs w:val="21"/>
                <w:u w:val="none"/>
              </w:rPr>
              <w:t>）</w:t>
            </w:r>
            <w:r>
              <w:rPr>
                <w:rFonts w:hint="eastAsia" w:ascii="宋体" w:hAnsi="宋体" w:eastAsia="宋体" w:cs="宋体"/>
                <w:i w:val="0"/>
                <w:iCs w:val="0"/>
                <w:color w:val="auto"/>
                <w:kern w:val="0"/>
                <w:sz w:val="21"/>
                <w:szCs w:val="21"/>
                <w:u w:val="none"/>
                <w:lang w:val="en-US" w:eastAsia="zh-CN" w:bidi="ar"/>
              </w:rPr>
              <w:t>提供治理规则：≥50种；</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1"/>
                <w:szCs w:val="21"/>
                <w:u w:val="none"/>
              </w:rPr>
              <w:t>1</w:t>
            </w:r>
            <w:r>
              <w:rPr>
                <w:rFonts w:hint="eastAsia" w:ascii="宋体" w:hAnsi="宋体" w:eastAsia="宋体" w:cs="宋体"/>
                <w:i w:val="0"/>
                <w:iCs w:val="0"/>
                <w:color w:val="auto"/>
                <w:sz w:val="21"/>
                <w:szCs w:val="21"/>
                <w:u w:val="none"/>
                <w:lang w:val="en-US" w:eastAsia="zh-CN"/>
              </w:rPr>
              <w:t>2</w:t>
            </w:r>
            <w:r>
              <w:rPr>
                <w:rFonts w:hint="eastAsia" w:ascii="宋体" w:hAnsi="宋体" w:eastAsia="宋体" w:cs="宋体"/>
                <w:i w:val="0"/>
                <w:iCs w:val="0"/>
                <w:color w:val="auto"/>
                <w:sz w:val="21"/>
                <w:szCs w:val="21"/>
                <w:u w:val="none"/>
              </w:rPr>
              <w:t>）</w:t>
            </w:r>
            <w:r>
              <w:rPr>
                <w:rFonts w:hint="eastAsia" w:ascii="宋体" w:hAnsi="宋体" w:eastAsia="宋体" w:cs="宋体"/>
                <w:i w:val="0"/>
                <w:iCs w:val="0"/>
                <w:color w:val="auto"/>
                <w:kern w:val="0"/>
                <w:sz w:val="21"/>
                <w:szCs w:val="21"/>
                <w:u w:val="none"/>
                <w:lang w:val="en-US" w:eastAsia="zh-CN" w:bidi="ar"/>
              </w:rPr>
              <w:t>脚本类型支持SQL、Python、Shell；</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1"/>
                <w:szCs w:val="21"/>
                <w:u w:val="none"/>
              </w:rPr>
              <w:t>1</w:t>
            </w:r>
            <w:r>
              <w:rPr>
                <w:rFonts w:hint="eastAsia" w:ascii="宋体" w:hAnsi="宋体" w:eastAsia="宋体" w:cs="宋体"/>
                <w:i w:val="0"/>
                <w:iCs w:val="0"/>
                <w:color w:val="auto"/>
                <w:sz w:val="21"/>
                <w:szCs w:val="21"/>
                <w:u w:val="none"/>
                <w:lang w:val="en-US" w:eastAsia="zh-CN"/>
              </w:rPr>
              <w:t>3</w:t>
            </w:r>
            <w:r>
              <w:rPr>
                <w:rFonts w:hint="eastAsia" w:ascii="宋体" w:hAnsi="宋体" w:eastAsia="宋体" w:cs="宋体"/>
                <w:i w:val="0"/>
                <w:iCs w:val="0"/>
                <w:color w:val="auto"/>
                <w:sz w:val="21"/>
                <w:szCs w:val="21"/>
                <w:u w:val="none"/>
              </w:rPr>
              <w:t>）</w:t>
            </w:r>
            <w:r>
              <w:rPr>
                <w:rFonts w:hint="eastAsia" w:ascii="宋体" w:hAnsi="宋体" w:eastAsia="宋体" w:cs="宋体"/>
                <w:i w:val="0"/>
                <w:iCs w:val="0"/>
                <w:color w:val="auto"/>
                <w:kern w:val="0"/>
                <w:sz w:val="21"/>
                <w:szCs w:val="21"/>
                <w:u w:val="none"/>
                <w:lang w:val="en-US" w:eastAsia="zh-CN" w:bidi="ar"/>
              </w:rPr>
              <w:t>质量探查预设规则：≥20个；</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1"/>
                <w:szCs w:val="21"/>
                <w:u w:val="none"/>
              </w:rPr>
              <w:t>1</w:t>
            </w:r>
            <w:r>
              <w:rPr>
                <w:rFonts w:hint="eastAsia" w:ascii="宋体" w:hAnsi="宋体" w:eastAsia="宋体" w:cs="宋体"/>
                <w:i w:val="0"/>
                <w:iCs w:val="0"/>
                <w:color w:val="auto"/>
                <w:sz w:val="21"/>
                <w:szCs w:val="21"/>
                <w:u w:val="none"/>
                <w:lang w:val="en-US" w:eastAsia="zh-CN"/>
              </w:rPr>
              <w:t>4</w:t>
            </w:r>
            <w:r>
              <w:rPr>
                <w:rFonts w:hint="eastAsia" w:ascii="宋体" w:hAnsi="宋体" w:eastAsia="宋体" w:cs="宋体"/>
                <w:i w:val="0"/>
                <w:iCs w:val="0"/>
                <w:color w:val="auto"/>
                <w:sz w:val="21"/>
                <w:szCs w:val="21"/>
                <w:u w:val="none"/>
              </w:rPr>
              <w:t>）</w:t>
            </w:r>
            <w:r>
              <w:rPr>
                <w:rFonts w:hint="eastAsia" w:ascii="宋体" w:hAnsi="宋体" w:eastAsia="宋体" w:cs="宋体"/>
                <w:i w:val="0"/>
                <w:iCs w:val="0"/>
                <w:color w:val="auto"/>
                <w:kern w:val="0"/>
                <w:sz w:val="21"/>
                <w:szCs w:val="21"/>
                <w:u w:val="none"/>
                <w:lang w:val="en-US" w:eastAsia="zh-CN" w:bidi="ar"/>
              </w:rPr>
              <w:t>支持并发批处理数据峰值达100GB；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1"/>
                <w:szCs w:val="21"/>
                <w:u w:val="none"/>
              </w:rPr>
              <w:t>1</w:t>
            </w:r>
            <w:r>
              <w:rPr>
                <w:rFonts w:hint="eastAsia" w:ascii="宋体" w:hAnsi="宋体" w:eastAsia="宋体" w:cs="宋体"/>
                <w:i w:val="0"/>
                <w:iCs w:val="0"/>
                <w:color w:val="auto"/>
                <w:sz w:val="21"/>
                <w:szCs w:val="21"/>
                <w:u w:val="none"/>
                <w:lang w:val="en-US" w:eastAsia="zh-CN"/>
              </w:rPr>
              <w:t>5</w:t>
            </w:r>
            <w:r>
              <w:rPr>
                <w:rFonts w:hint="eastAsia" w:ascii="宋体" w:hAnsi="宋体" w:eastAsia="宋体" w:cs="宋体"/>
                <w:i w:val="0"/>
                <w:iCs w:val="0"/>
                <w:color w:val="auto"/>
                <w:sz w:val="21"/>
                <w:szCs w:val="21"/>
                <w:u w:val="none"/>
              </w:rPr>
              <w:t>）</w:t>
            </w:r>
            <w:r>
              <w:rPr>
                <w:rFonts w:hint="eastAsia" w:ascii="宋体" w:hAnsi="宋体" w:eastAsia="宋体" w:cs="宋体"/>
                <w:i w:val="0"/>
                <w:iCs w:val="0"/>
                <w:color w:val="auto"/>
                <w:kern w:val="0"/>
                <w:sz w:val="21"/>
                <w:szCs w:val="21"/>
                <w:u w:val="none"/>
                <w:lang w:val="en-US" w:eastAsia="zh-CN" w:bidi="ar"/>
              </w:rPr>
              <w:t>无故障运行时间大于8759.12小时/年。</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p>
        </w:tc>
      </w:tr>
    </w:tbl>
    <w:p>
      <w:pPr>
        <w:numPr>
          <w:ilvl w:val="0"/>
          <w:numId w:val="0"/>
        </w:numPr>
        <w:spacing w:line="360" w:lineRule="auto"/>
        <w:ind w:leftChars="0"/>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w:t>
      </w:r>
      <w:r>
        <w:rPr>
          <w:rFonts w:hint="eastAsia" w:ascii="黑体" w:hAnsi="黑体" w:eastAsia="黑体" w:cs="黑体"/>
          <w:color w:val="auto"/>
          <w:sz w:val="28"/>
          <w:szCs w:val="28"/>
          <w:lang w:val="en-US" w:eastAsia="zh-CN"/>
        </w:rPr>
        <w:t>三</w:t>
      </w:r>
      <w:r>
        <w:rPr>
          <w:rFonts w:hint="eastAsia" w:ascii="黑体" w:hAnsi="黑体" w:eastAsia="黑体" w:cs="黑体"/>
          <w:color w:val="auto"/>
          <w:sz w:val="28"/>
          <w:szCs w:val="28"/>
          <w:lang w:eastAsia="zh-CN"/>
        </w:rPr>
        <w:t>）</w:t>
      </w:r>
      <w:r>
        <w:rPr>
          <w:rFonts w:hint="eastAsia" w:ascii="黑体" w:hAnsi="黑体" w:eastAsia="黑体" w:cs="黑体"/>
          <w:color w:val="auto"/>
          <w:sz w:val="28"/>
          <w:szCs w:val="28"/>
        </w:rPr>
        <w:t>项目验收标准</w:t>
      </w:r>
    </w:p>
    <w:p>
      <w:pPr>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项目的验收包括</w:t>
      </w:r>
      <w:r>
        <w:rPr>
          <w:rFonts w:hint="eastAsia" w:ascii="宋体" w:hAnsi="宋体" w:eastAsia="宋体" w:cs="宋体"/>
          <w:color w:val="auto"/>
          <w:sz w:val="24"/>
          <w:szCs w:val="24"/>
          <w:lang w:eastAsia="zh-CN"/>
        </w:rPr>
        <w:t>上线验收</w:t>
      </w:r>
      <w:r>
        <w:rPr>
          <w:rFonts w:hint="eastAsia" w:ascii="宋体" w:hAnsi="宋体" w:eastAsia="宋体" w:cs="宋体"/>
          <w:color w:val="auto"/>
          <w:sz w:val="24"/>
          <w:szCs w:val="24"/>
        </w:rPr>
        <w:t>、试运行</w:t>
      </w:r>
      <w:r>
        <w:rPr>
          <w:rFonts w:hint="eastAsia" w:ascii="宋体" w:hAnsi="宋体" w:eastAsia="宋体" w:cs="宋体"/>
          <w:color w:val="auto"/>
          <w:sz w:val="24"/>
          <w:szCs w:val="24"/>
          <w:lang w:eastAsia="zh-CN"/>
        </w:rPr>
        <w:t>、交付验收</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运维</w:t>
      </w:r>
      <w:r>
        <w:rPr>
          <w:rFonts w:hint="eastAsia" w:ascii="宋体" w:hAnsi="宋体" w:cs="宋体"/>
          <w:color w:val="FF0000"/>
          <w:sz w:val="24"/>
          <w:szCs w:val="24"/>
          <w:lang w:eastAsia="zh-CN"/>
        </w:rPr>
        <w:t>考核</w:t>
      </w:r>
      <w:r>
        <w:rPr>
          <w:rFonts w:hint="eastAsia" w:ascii="宋体" w:hAnsi="宋体" w:eastAsia="宋体" w:cs="宋体"/>
          <w:color w:val="auto"/>
          <w:sz w:val="24"/>
          <w:szCs w:val="24"/>
        </w:rPr>
        <w:t>。</w:t>
      </w:r>
    </w:p>
    <w:p>
      <w:pPr>
        <w:spacing w:beforeLines="0" w:afterLines="0"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1、项目</w:t>
      </w:r>
      <w:r>
        <w:rPr>
          <w:rFonts w:hint="eastAsia" w:ascii="宋体" w:hAnsi="宋体" w:eastAsia="宋体" w:cs="宋体"/>
          <w:color w:val="auto"/>
          <w:sz w:val="24"/>
          <w:szCs w:val="24"/>
          <w:lang w:eastAsia="zh-CN"/>
        </w:rPr>
        <w:t>上线验收</w:t>
      </w:r>
    </w:p>
    <w:p>
      <w:pPr>
        <w:spacing w:beforeLines="0" w:afterLines="0"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lang w:eastAsia="zh-CN"/>
        </w:rPr>
        <w:t>上线验收</w:t>
      </w:r>
      <w:r>
        <w:rPr>
          <w:rFonts w:hint="eastAsia" w:ascii="宋体" w:hAnsi="宋体" w:eastAsia="宋体" w:cs="宋体"/>
          <w:color w:val="auto"/>
          <w:sz w:val="24"/>
          <w:szCs w:val="24"/>
          <w:lang w:val="en-US" w:eastAsia="zh-CN"/>
        </w:rPr>
        <w:t>前，中标方应首先对系统进行自测，并将系统自测报告提交采购方和监理方审查。中标方依本合同约定向采购方提交成果及相关文档，并向采购方提出</w:t>
      </w:r>
      <w:r>
        <w:rPr>
          <w:rFonts w:hint="eastAsia" w:ascii="宋体" w:hAnsi="宋体" w:eastAsia="宋体" w:cs="宋体"/>
          <w:color w:val="auto"/>
          <w:sz w:val="24"/>
          <w:szCs w:val="24"/>
          <w:lang w:eastAsia="zh-CN"/>
        </w:rPr>
        <w:t>上线验收</w:t>
      </w:r>
      <w:r>
        <w:rPr>
          <w:rFonts w:hint="eastAsia" w:ascii="宋体" w:hAnsi="宋体" w:eastAsia="宋体" w:cs="宋体"/>
          <w:color w:val="auto"/>
          <w:sz w:val="24"/>
          <w:szCs w:val="24"/>
          <w:lang w:val="en-US" w:eastAsia="zh-CN"/>
        </w:rPr>
        <w:t>申请。采购方接到中标方项目</w:t>
      </w:r>
      <w:r>
        <w:rPr>
          <w:rFonts w:hint="eastAsia" w:ascii="宋体" w:hAnsi="宋体" w:eastAsia="宋体" w:cs="宋体"/>
          <w:color w:val="auto"/>
          <w:sz w:val="24"/>
          <w:szCs w:val="24"/>
          <w:lang w:eastAsia="zh-CN"/>
        </w:rPr>
        <w:t>上线验收</w:t>
      </w:r>
      <w:r>
        <w:rPr>
          <w:rFonts w:hint="eastAsia" w:ascii="宋体" w:hAnsi="宋体" w:eastAsia="宋体" w:cs="宋体"/>
          <w:color w:val="auto"/>
          <w:sz w:val="24"/>
          <w:szCs w:val="24"/>
          <w:lang w:val="en-US" w:eastAsia="zh-CN"/>
        </w:rPr>
        <w:t>申请后，组织相关单位进行项目</w:t>
      </w:r>
      <w:r>
        <w:rPr>
          <w:rFonts w:hint="eastAsia" w:ascii="宋体" w:hAnsi="宋体" w:eastAsia="宋体" w:cs="宋体"/>
          <w:color w:val="auto"/>
          <w:sz w:val="24"/>
          <w:szCs w:val="24"/>
          <w:lang w:eastAsia="zh-CN"/>
        </w:rPr>
        <w:t>上线验收</w:t>
      </w:r>
      <w:r>
        <w:rPr>
          <w:rFonts w:hint="eastAsia" w:ascii="宋体" w:hAnsi="宋体" w:eastAsia="宋体" w:cs="宋体"/>
          <w:color w:val="auto"/>
          <w:sz w:val="24"/>
          <w:szCs w:val="24"/>
          <w:lang w:val="en-US" w:eastAsia="zh-CN"/>
        </w:rPr>
        <w:t>，验收合格后联合签署项目</w:t>
      </w:r>
      <w:r>
        <w:rPr>
          <w:rFonts w:hint="eastAsia" w:ascii="宋体" w:hAnsi="宋体" w:eastAsia="宋体" w:cs="宋体"/>
          <w:color w:val="auto"/>
          <w:sz w:val="24"/>
          <w:szCs w:val="24"/>
          <w:lang w:eastAsia="zh-CN"/>
        </w:rPr>
        <w:t>上线验收</w:t>
      </w:r>
      <w:r>
        <w:rPr>
          <w:rFonts w:hint="eastAsia" w:ascii="宋体" w:hAnsi="宋体" w:eastAsia="宋体" w:cs="宋体"/>
          <w:color w:val="auto"/>
          <w:sz w:val="24"/>
          <w:szCs w:val="24"/>
          <w:lang w:val="en-US" w:eastAsia="zh-CN"/>
        </w:rPr>
        <w:t>报告。</w:t>
      </w:r>
    </w:p>
    <w:p>
      <w:pPr>
        <w:spacing w:beforeLines="0" w:afterLines="0"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2、试运行</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lang w:eastAsia="zh-CN"/>
        </w:rPr>
        <w:t>上线验收</w:t>
      </w:r>
      <w:r>
        <w:rPr>
          <w:rFonts w:hint="eastAsia" w:ascii="宋体" w:hAnsi="宋体" w:eastAsia="宋体" w:cs="宋体"/>
          <w:color w:val="auto"/>
          <w:sz w:val="24"/>
          <w:szCs w:val="24"/>
        </w:rPr>
        <w:t>合格后，系统进入试运行，试运行时间为3个月以上。</w:t>
      </w:r>
    </w:p>
    <w:p>
      <w:pPr>
        <w:spacing w:beforeLines="0" w:afterLines="0"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3、项目</w:t>
      </w:r>
      <w:r>
        <w:rPr>
          <w:rFonts w:hint="eastAsia" w:ascii="宋体" w:hAnsi="宋体" w:eastAsia="宋体" w:cs="宋体"/>
          <w:color w:val="auto"/>
          <w:sz w:val="24"/>
          <w:szCs w:val="24"/>
          <w:lang w:eastAsia="zh-CN"/>
        </w:rPr>
        <w:t>交付验收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系统通过试运行后，中标方提出</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lang w:eastAsia="zh-CN"/>
        </w:rPr>
        <w:t>交付验收</w:t>
      </w:r>
      <w:r>
        <w:rPr>
          <w:rFonts w:hint="eastAsia" w:ascii="宋体" w:hAnsi="宋体" w:eastAsia="宋体" w:cs="宋体"/>
          <w:color w:val="auto"/>
          <w:sz w:val="24"/>
          <w:szCs w:val="24"/>
        </w:rPr>
        <w:t>申请，由采购方协调项目主管单位组织项目</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lang w:eastAsia="zh-CN"/>
        </w:rPr>
        <w:t>交付验收</w:t>
      </w:r>
      <w:r>
        <w:rPr>
          <w:rFonts w:hint="eastAsia" w:ascii="宋体" w:hAnsi="宋体" w:eastAsia="宋体" w:cs="宋体"/>
          <w:color w:val="auto"/>
          <w:sz w:val="24"/>
          <w:szCs w:val="24"/>
        </w:rPr>
        <w:t>。系统</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lang w:eastAsia="zh-CN"/>
        </w:rPr>
        <w:t>交付验收</w:t>
      </w:r>
      <w:r>
        <w:rPr>
          <w:rFonts w:hint="eastAsia" w:ascii="宋体" w:hAnsi="宋体" w:eastAsia="宋体" w:cs="宋体"/>
          <w:color w:val="auto"/>
          <w:sz w:val="24"/>
          <w:szCs w:val="24"/>
        </w:rPr>
        <w:t>通过，进入正式运行阶段。</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lang w:eastAsia="zh-CN"/>
        </w:rPr>
        <w:t>交付验收</w:t>
      </w:r>
      <w:r>
        <w:rPr>
          <w:rFonts w:hint="eastAsia" w:ascii="宋体" w:hAnsi="宋体" w:eastAsia="宋体" w:cs="宋体"/>
          <w:color w:val="auto"/>
          <w:sz w:val="24"/>
          <w:szCs w:val="24"/>
        </w:rPr>
        <w:t>时，需提供包含但不仅限于如下翔实的资料：</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（1）概要设计说明书，包括网络拓扑图、系统框架图等；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（2）详细设计说明书，包括系统原理图、数据流程图等；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（3）接口设计说明书，包括使用方法和案例等；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（4）数据库设计说明书；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（5）软件安装包</w:t>
      </w:r>
      <w:r>
        <w:rPr>
          <w:rFonts w:hint="eastAsia" w:ascii="宋体" w:hAnsi="宋体" w:eastAsia="宋体" w:cs="宋体"/>
          <w:color w:val="auto"/>
          <w:sz w:val="24"/>
          <w:szCs w:val="24"/>
          <w:lang w:eastAsia="zh-CN"/>
        </w:rPr>
        <w:t>、软件源代码</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软件检测报告、三级等保测评报告和备案证书（配合招标方完成）</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（7）系统试运行报告，包括试运行记录和故障处理记录；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（8）项目总结报告；</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（9）用户使用手册；</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（10）用户使用报告。</w:t>
      </w:r>
    </w:p>
    <w:p>
      <w:pPr>
        <w:spacing w:beforeLines="0" w:afterLines="0"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4、项目运维</w:t>
      </w:r>
      <w:r>
        <w:rPr>
          <w:rFonts w:hint="eastAsia" w:ascii="宋体" w:hAnsi="宋体" w:cs="宋体"/>
          <w:color w:val="FF0000"/>
          <w:sz w:val="24"/>
          <w:szCs w:val="24"/>
          <w:lang w:val="en-US" w:eastAsia="zh-CN"/>
        </w:rPr>
        <w:t>考核</w:t>
      </w:r>
    </w:p>
    <w:p>
      <w:pPr>
        <w:pStyle w:val="10"/>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项目进入正式运行阶段，驻场运维人员需参加</w:t>
      </w:r>
      <w:r>
        <w:rPr>
          <w:rFonts w:hint="eastAsia" w:ascii="宋体" w:hAnsi="宋体" w:eastAsia="宋体" w:cs="宋体"/>
          <w:color w:val="auto"/>
          <w:sz w:val="24"/>
          <w:szCs w:val="24"/>
        </w:rPr>
        <w:t>采购方</w:t>
      </w:r>
      <w:r>
        <w:rPr>
          <w:rFonts w:hint="eastAsia" w:ascii="宋体" w:hAnsi="宋体" w:eastAsia="宋体" w:cs="宋体"/>
          <w:color w:val="auto"/>
          <w:sz w:val="24"/>
          <w:szCs w:val="24"/>
          <w:lang w:eastAsia="zh-CN"/>
        </w:rPr>
        <w:t>的日常考勤，做好值班记录。</w:t>
      </w:r>
      <w:r>
        <w:rPr>
          <w:rFonts w:hint="eastAsia" w:ascii="宋体" w:hAnsi="宋体" w:cs="宋体"/>
          <w:color w:val="auto"/>
          <w:sz w:val="24"/>
          <w:szCs w:val="24"/>
          <w:highlight w:val="none"/>
          <w:lang w:val="en-US" w:eastAsia="zh-CN"/>
        </w:rPr>
        <w:t>维</w:t>
      </w:r>
      <w:r>
        <w:rPr>
          <w:rFonts w:hint="eastAsia" w:ascii="宋体" w:hAnsi="宋体" w:eastAsia="宋体" w:cs="宋体"/>
          <w:color w:val="auto"/>
          <w:sz w:val="24"/>
          <w:szCs w:val="24"/>
          <w:highlight w:val="none"/>
          <w:lang w:eastAsia="zh-CN"/>
        </w:rPr>
        <w:t>保期</w:t>
      </w:r>
      <w:r>
        <w:rPr>
          <w:rFonts w:hint="eastAsia" w:ascii="宋体" w:hAnsi="宋体" w:cs="宋体"/>
          <w:color w:val="auto"/>
          <w:sz w:val="24"/>
          <w:szCs w:val="24"/>
          <w:highlight w:val="none"/>
          <w:lang w:val="en-US" w:eastAsia="zh-CN"/>
        </w:rPr>
        <w:t>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rPr>
        <w:t>由采购方</w:t>
      </w:r>
      <w:r>
        <w:rPr>
          <w:rFonts w:hint="eastAsia" w:ascii="宋体" w:hAnsi="宋体" w:cs="宋体"/>
          <w:color w:val="FF0000"/>
          <w:sz w:val="24"/>
          <w:szCs w:val="24"/>
          <w:lang w:eastAsia="zh-CN"/>
        </w:rPr>
        <w:t>每年</w:t>
      </w:r>
      <w:r>
        <w:rPr>
          <w:rFonts w:hint="eastAsia" w:ascii="宋体" w:hAnsi="宋体" w:eastAsia="宋体" w:cs="宋体"/>
          <w:color w:val="FF0000"/>
          <w:sz w:val="24"/>
          <w:szCs w:val="24"/>
          <w:lang w:val="en-US" w:eastAsia="zh-CN"/>
        </w:rPr>
        <w:t>组织</w:t>
      </w:r>
      <w:r>
        <w:rPr>
          <w:rFonts w:hint="eastAsia" w:ascii="宋体" w:hAnsi="宋体" w:eastAsia="宋体" w:cs="宋体"/>
          <w:color w:val="auto"/>
          <w:sz w:val="24"/>
          <w:szCs w:val="24"/>
          <w:lang w:val="en-US" w:eastAsia="zh-CN"/>
        </w:rPr>
        <w:t>相关单位进行</w:t>
      </w:r>
      <w:r>
        <w:rPr>
          <w:rFonts w:hint="eastAsia" w:ascii="宋体" w:hAnsi="宋体" w:cs="宋体"/>
          <w:color w:val="FF0000"/>
          <w:sz w:val="24"/>
          <w:szCs w:val="24"/>
          <w:lang w:val="en-US" w:eastAsia="zh-CN"/>
        </w:rPr>
        <w:t>一次</w:t>
      </w:r>
      <w:r>
        <w:rPr>
          <w:rFonts w:hint="eastAsia" w:ascii="宋体" w:hAnsi="宋体" w:eastAsia="宋体" w:cs="宋体"/>
          <w:color w:val="auto"/>
          <w:sz w:val="24"/>
          <w:szCs w:val="24"/>
          <w:lang w:val="en-US" w:eastAsia="zh-CN"/>
        </w:rPr>
        <w:t>项目运维</w:t>
      </w:r>
      <w:r>
        <w:rPr>
          <w:rFonts w:hint="eastAsia" w:ascii="宋体" w:hAnsi="宋体" w:cs="宋体"/>
          <w:color w:val="FF0000"/>
          <w:sz w:val="24"/>
          <w:szCs w:val="24"/>
          <w:lang w:eastAsia="zh-CN"/>
        </w:rPr>
        <w:t>考核</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项目运维</w:t>
      </w:r>
      <w:r>
        <w:rPr>
          <w:rFonts w:hint="eastAsia" w:ascii="宋体" w:hAnsi="宋体" w:cs="宋体"/>
          <w:color w:val="FF0000"/>
          <w:sz w:val="24"/>
          <w:szCs w:val="24"/>
          <w:lang w:eastAsia="zh-CN"/>
        </w:rPr>
        <w:t>考核</w:t>
      </w:r>
      <w:r>
        <w:rPr>
          <w:rFonts w:hint="eastAsia" w:ascii="宋体" w:hAnsi="宋体" w:eastAsia="宋体" w:cs="宋体"/>
          <w:color w:val="auto"/>
          <w:sz w:val="24"/>
          <w:szCs w:val="24"/>
          <w:lang w:eastAsia="zh-CN"/>
        </w:rPr>
        <w:t>时，</w:t>
      </w:r>
      <w:r>
        <w:rPr>
          <w:rFonts w:hint="eastAsia" w:ascii="宋体" w:hAnsi="宋体" w:cs="宋体"/>
          <w:color w:val="FF0000"/>
          <w:sz w:val="24"/>
          <w:szCs w:val="24"/>
          <w:lang w:eastAsia="zh-CN"/>
        </w:rPr>
        <w:t>中标方</w:t>
      </w:r>
      <w:r>
        <w:rPr>
          <w:rFonts w:hint="eastAsia" w:ascii="宋体" w:hAnsi="宋体" w:eastAsia="宋体" w:cs="宋体"/>
          <w:color w:val="auto"/>
          <w:sz w:val="24"/>
          <w:szCs w:val="24"/>
        </w:rPr>
        <w:t>需提供包含但不仅</w:t>
      </w:r>
      <w:r>
        <w:rPr>
          <w:rFonts w:hint="eastAsia" w:ascii="宋体" w:hAnsi="宋体" w:eastAsia="宋体" w:cs="宋体"/>
          <w:color w:val="auto"/>
          <w:sz w:val="24"/>
          <w:szCs w:val="24"/>
          <w:lang w:eastAsia="zh-CN"/>
        </w:rPr>
        <w:t>限于考勤记录、值班记录（包括</w:t>
      </w:r>
      <w:r>
        <w:rPr>
          <w:rFonts w:hint="eastAsia" w:ascii="宋体" w:hAnsi="宋体" w:eastAsia="宋体" w:cs="宋体"/>
          <w:color w:val="auto"/>
          <w:sz w:val="24"/>
          <w:szCs w:val="24"/>
          <w:lang w:val="en-US" w:eastAsia="zh-CN"/>
        </w:rPr>
        <w:t>缺陷原因、维护内容、完成维护及恢复正常的时间和日期、系统升级情况等</w:t>
      </w:r>
      <w:r>
        <w:rPr>
          <w:rFonts w:hint="eastAsia" w:ascii="宋体" w:hAnsi="宋体" w:eastAsia="宋体" w:cs="宋体"/>
          <w:color w:val="auto"/>
          <w:sz w:val="24"/>
          <w:szCs w:val="24"/>
          <w:lang w:eastAsia="zh-CN"/>
        </w:rPr>
        <w:t>）等。</w:t>
      </w:r>
    </w:p>
    <w:p>
      <w:pPr>
        <w:numPr>
          <w:ilvl w:val="0"/>
          <w:numId w:val="0"/>
        </w:numPr>
        <w:spacing w:line="360" w:lineRule="auto"/>
        <w:ind w:leftChars="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（四）风险及处理要求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auto"/>
          <w:sz w:val="24"/>
          <w:szCs w:val="24"/>
          <w:lang w:eastAsia="zh-CN"/>
        </w:rPr>
        <w:t>由于本项目从立项、招标、实施到交付，时间跨度长，有可能存在业务需求调整而核减部分模块，或者在规定允许范围内增加内容。如果出现上述情况，招标方将提请市大数据局变更内容。</w:t>
      </w:r>
    </w:p>
    <w:p>
      <w:pPr>
        <w:numPr>
          <w:ilvl w:val="0"/>
          <w:numId w:val="0"/>
        </w:numPr>
        <w:spacing w:line="360" w:lineRule="auto"/>
        <w:ind w:leftChars="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（五）项目售后服务标准</w:t>
      </w:r>
    </w:p>
    <w:tbl>
      <w:tblPr>
        <w:tblStyle w:val="22"/>
        <w:tblW w:w="8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896"/>
        <w:gridCol w:w="5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34" w:type="dxa"/>
            <w:noWrap w:val="0"/>
            <w:vAlign w:val="center"/>
          </w:tcPr>
          <w:p>
            <w:pPr>
              <w:spacing w:beforeLines="0" w:afterLines="0"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序号</w:t>
            </w:r>
          </w:p>
        </w:tc>
        <w:tc>
          <w:tcPr>
            <w:tcW w:w="1896" w:type="dxa"/>
            <w:noWrap w:val="0"/>
            <w:vAlign w:val="center"/>
          </w:tcPr>
          <w:p>
            <w:pPr>
              <w:spacing w:beforeLines="0" w:afterLines="0"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 xml:space="preserve">服务内容                                                                                                                                                                                                                                                                                                                       </w:t>
            </w:r>
          </w:p>
        </w:tc>
        <w:tc>
          <w:tcPr>
            <w:tcW w:w="5894" w:type="dxa"/>
            <w:noWrap w:val="0"/>
            <w:vAlign w:val="center"/>
          </w:tcPr>
          <w:p>
            <w:pPr>
              <w:spacing w:beforeLines="0" w:afterLines="0"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pPr>
              <w:spacing w:beforeLines="0" w:afterLines="0"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896" w:type="dxa"/>
            <w:noWrap w:val="0"/>
            <w:vAlign w:val="center"/>
          </w:tcPr>
          <w:p>
            <w:pPr>
              <w:spacing w:beforeLines="0" w:afterLines="0"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分包承诺</w:t>
            </w:r>
          </w:p>
        </w:tc>
        <w:tc>
          <w:tcPr>
            <w:tcW w:w="5894" w:type="dxa"/>
            <w:noWrap w:val="0"/>
            <w:vAlign w:val="center"/>
          </w:tcPr>
          <w:p>
            <w:pPr>
              <w:spacing w:beforeLines="0" w:afterLines="0" w:line="360" w:lineRule="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中标后签订合同前，提供各模块分包商售后服务承诺函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noWrap w:val="0"/>
            <w:vAlign w:val="center"/>
          </w:tcPr>
          <w:p>
            <w:pPr>
              <w:spacing w:beforeLines="0" w:afterLines="0"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896" w:type="dxa"/>
            <w:noWrap w:val="0"/>
            <w:vAlign w:val="center"/>
          </w:tcPr>
          <w:p>
            <w:pPr>
              <w:spacing w:beforeLines="0" w:afterLines="0"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开发人员</w:t>
            </w:r>
          </w:p>
        </w:tc>
        <w:tc>
          <w:tcPr>
            <w:tcW w:w="5894" w:type="dxa"/>
            <w:noWrap w:val="0"/>
            <w:vAlign w:val="center"/>
          </w:tcPr>
          <w:p>
            <w:pPr>
              <w:spacing w:beforeLines="0" w:afterLines="0" w:line="240" w:lineRule="auto"/>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驻场时间：开发期间驻场服务，直至模块通过终验为止。</w:t>
            </w:r>
          </w:p>
          <w:p>
            <w:pPr>
              <w:spacing w:beforeLines="0" w:afterLines="0" w:line="240" w:lineRule="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驻场人数：在现场条件具备时，</w:t>
            </w:r>
            <w:r>
              <w:rPr>
                <w:rFonts w:hint="eastAsia" w:ascii="宋体" w:hAnsi="宋体" w:eastAsia="宋体" w:cs="宋体"/>
                <w:b/>
                <w:bCs/>
                <w:color w:val="auto"/>
                <w:sz w:val="21"/>
                <w:szCs w:val="21"/>
                <w:u w:val="single"/>
                <w:lang w:val="en-US" w:eastAsia="zh-CN"/>
              </w:rPr>
              <w:t>至少16人</w:t>
            </w:r>
            <w:r>
              <w:rPr>
                <w:rFonts w:hint="eastAsia" w:ascii="宋体" w:hAnsi="宋体" w:eastAsia="宋体" w:cs="宋体"/>
                <w:b/>
                <w:bCs/>
                <w:color w:val="auto"/>
                <w:sz w:val="21"/>
                <w:szCs w:val="21"/>
                <w:lang w:val="en-US" w:eastAsia="zh-CN"/>
              </w:rPr>
              <w:t>。</w:t>
            </w:r>
          </w:p>
          <w:p>
            <w:pPr>
              <w:spacing w:beforeLines="0" w:afterLines="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各模块驻场开发人数分配如下：</w:t>
            </w:r>
          </w:p>
          <w:p>
            <w:pPr>
              <w:spacing w:beforeLines="0" w:afterLines="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（1）应用融合管理模块1人；</w:t>
            </w:r>
          </w:p>
          <w:p>
            <w:pPr>
              <w:spacing w:beforeLines="0" w:afterLines="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（2）数智实战模块2人；</w:t>
            </w:r>
          </w:p>
          <w:p>
            <w:pPr>
              <w:spacing w:beforeLines="0" w:afterLines="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（3）数智决策模块2人；</w:t>
            </w:r>
          </w:p>
          <w:p>
            <w:pPr>
              <w:spacing w:beforeLines="0" w:afterLines="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（4）事故可视化模块1人；</w:t>
            </w:r>
          </w:p>
          <w:p>
            <w:pPr>
              <w:spacing w:beforeLines="0" w:afterLines="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（5）高地一体化模块1人；</w:t>
            </w:r>
          </w:p>
          <w:p>
            <w:pPr>
              <w:spacing w:beforeLines="0" w:afterLines="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（6）信号控制提升模块1人；</w:t>
            </w:r>
          </w:p>
          <w:p>
            <w:pPr>
              <w:spacing w:beforeLines="0" w:afterLines="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（7）交通态势分析模块1人；</w:t>
            </w:r>
          </w:p>
          <w:p>
            <w:pPr>
              <w:spacing w:beforeLines="0" w:afterLines="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（8）驾驶人学习防范模块1人；</w:t>
            </w:r>
          </w:p>
          <w:p>
            <w:pPr>
              <w:spacing w:beforeLines="0" w:afterLines="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（9）运维管理模块1人；</w:t>
            </w:r>
          </w:p>
          <w:p>
            <w:pPr>
              <w:spacing w:beforeLines="0" w:afterLines="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（10）移动应用模块2人；</w:t>
            </w:r>
          </w:p>
          <w:p>
            <w:pPr>
              <w:spacing w:beforeLines="0" w:afterLines="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（11）赋能中心2人；</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（12）数据中心1人。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pPr>
              <w:spacing w:beforeLines="0" w:afterLines="0"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896" w:type="dxa"/>
            <w:noWrap w:val="0"/>
            <w:vAlign w:val="center"/>
          </w:tcPr>
          <w:p>
            <w:pPr>
              <w:spacing w:beforeLines="0" w:afterLines="0" w:line="360" w:lineRule="auto"/>
              <w:jc w:val="center"/>
              <w:rPr>
                <w:rFonts w:hint="eastAsia" w:ascii="宋体" w:hAnsi="宋体" w:eastAsia="宋体" w:cs="宋体"/>
                <w:color w:val="auto"/>
                <w:sz w:val="21"/>
                <w:szCs w:val="21"/>
                <w:lang w:val="en-US" w:eastAsia="zh-CN"/>
              </w:rPr>
            </w:pPr>
            <w:r>
              <w:rPr>
                <w:rFonts w:hint="eastAsia" w:ascii="宋体" w:hAnsi="宋体"/>
                <w:b/>
                <w:color w:val="auto"/>
                <w:sz w:val="21"/>
                <w:szCs w:val="21"/>
              </w:rPr>
              <w:t>▲</w:t>
            </w:r>
            <w:r>
              <w:rPr>
                <w:rFonts w:hint="eastAsia" w:ascii="宋体" w:hAnsi="宋体" w:eastAsia="宋体" w:cs="宋体"/>
                <w:color w:val="auto"/>
                <w:sz w:val="21"/>
                <w:szCs w:val="21"/>
                <w:lang w:val="en-US" w:eastAsia="zh-CN"/>
              </w:rPr>
              <w:t>维保人员</w:t>
            </w:r>
          </w:p>
        </w:tc>
        <w:tc>
          <w:tcPr>
            <w:tcW w:w="5894" w:type="dxa"/>
            <w:noWrap w:val="0"/>
            <w:vAlign w:val="center"/>
          </w:tcPr>
          <w:p>
            <w:pPr>
              <w:spacing w:beforeLines="0" w:afterLines="0" w:line="240" w:lineRule="auto"/>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驻场时间：</w:t>
            </w:r>
            <w:r>
              <w:rPr>
                <w:rFonts w:hint="eastAsia" w:ascii="宋体" w:hAnsi="宋体" w:cs="宋体"/>
                <w:b/>
                <w:bCs/>
                <w:color w:val="auto"/>
                <w:sz w:val="21"/>
                <w:szCs w:val="21"/>
                <w:lang w:val="en-US" w:eastAsia="zh-CN"/>
              </w:rPr>
              <w:t>维</w:t>
            </w:r>
            <w:r>
              <w:rPr>
                <w:rFonts w:hint="eastAsia" w:ascii="宋体" w:hAnsi="宋体" w:eastAsia="宋体" w:cs="宋体"/>
                <w:b/>
                <w:bCs/>
                <w:color w:val="auto"/>
                <w:sz w:val="21"/>
                <w:szCs w:val="21"/>
                <w:lang w:val="en-US" w:eastAsia="zh-CN"/>
              </w:rPr>
              <w:t>保期内驻场服务，参与日常考勤</w:t>
            </w:r>
            <w:r>
              <w:rPr>
                <w:rFonts w:hint="eastAsia" w:ascii="宋体" w:hAnsi="宋体" w:cs="宋体"/>
                <w:b/>
                <w:bCs/>
                <w:color w:val="auto"/>
                <w:sz w:val="21"/>
                <w:szCs w:val="21"/>
                <w:lang w:val="en-US" w:eastAsia="zh-CN"/>
              </w:rPr>
              <w:t>、接受工作安排</w:t>
            </w:r>
            <w:r>
              <w:rPr>
                <w:rFonts w:hint="eastAsia" w:ascii="宋体" w:hAnsi="宋体" w:eastAsia="宋体" w:cs="宋体"/>
                <w:b/>
                <w:bCs/>
                <w:color w:val="auto"/>
                <w:sz w:val="21"/>
                <w:szCs w:val="21"/>
                <w:lang w:val="en-US" w:eastAsia="zh-CN"/>
              </w:rPr>
              <w:t>。</w:t>
            </w:r>
          </w:p>
          <w:p>
            <w:pPr>
              <w:spacing w:beforeLines="0" w:afterLines="0" w:line="240" w:lineRule="auto"/>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驻场人数：</w:t>
            </w:r>
            <w:r>
              <w:rPr>
                <w:rFonts w:hint="eastAsia" w:ascii="宋体" w:hAnsi="宋体" w:eastAsia="宋体" w:cs="宋体"/>
                <w:b/>
                <w:bCs/>
                <w:color w:val="auto"/>
                <w:sz w:val="21"/>
                <w:szCs w:val="21"/>
                <w:u w:val="single"/>
                <w:lang w:val="en-US" w:eastAsia="zh-CN"/>
              </w:rPr>
              <w:t>至少10人</w:t>
            </w:r>
            <w:r>
              <w:rPr>
                <w:rFonts w:hint="eastAsia" w:ascii="宋体" w:hAnsi="宋体" w:eastAsia="宋体" w:cs="宋体"/>
                <w:b/>
                <w:bCs/>
                <w:color w:val="auto"/>
                <w:sz w:val="21"/>
                <w:szCs w:val="21"/>
                <w:lang w:val="en-US" w:eastAsia="zh-CN"/>
              </w:rPr>
              <w:t>，需3年以上相关工作经验。</w:t>
            </w:r>
          </w:p>
          <w:p>
            <w:pPr>
              <w:spacing w:beforeLines="0" w:afterLines="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各模块驻场维保人数分配如下：</w:t>
            </w:r>
          </w:p>
          <w:p>
            <w:pPr>
              <w:spacing w:beforeLines="0" w:afterLines="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（1）数智实战模块2人；</w:t>
            </w:r>
          </w:p>
          <w:p>
            <w:pPr>
              <w:spacing w:beforeLines="0" w:afterLines="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（2）数智决策模块2人；</w:t>
            </w:r>
          </w:p>
          <w:p>
            <w:pPr>
              <w:spacing w:beforeLines="0" w:afterLines="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（3）数据中心1人；</w:t>
            </w:r>
          </w:p>
          <w:p>
            <w:pPr>
              <w:spacing w:beforeLines="0" w:afterLines="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（4）事故可视化模块2人；</w:t>
            </w:r>
          </w:p>
          <w:p>
            <w:pPr>
              <w:spacing w:beforeLines="0" w:afterLines="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（5）信号控制提升模块1人；</w:t>
            </w:r>
          </w:p>
          <w:p>
            <w:pPr>
              <w:spacing w:beforeLines="0" w:afterLines="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（6）运维管理模块1人；</w:t>
            </w:r>
          </w:p>
          <w:p>
            <w:pPr>
              <w:spacing w:beforeLines="0" w:afterLines="0" w:line="240" w:lineRule="auto"/>
              <w:jc w:val="both"/>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en-US" w:eastAsia="zh-CN"/>
              </w:rPr>
              <w:t>（7）移动应用模块1人。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noWrap w:val="0"/>
            <w:vAlign w:val="center"/>
          </w:tcPr>
          <w:p>
            <w:pPr>
              <w:spacing w:beforeLines="0" w:afterLines="0"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896" w:type="dxa"/>
            <w:noWrap w:val="0"/>
            <w:vAlign w:val="center"/>
          </w:tcPr>
          <w:p>
            <w:pPr>
              <w:spacing w:beforeLines="0" w:afterLines="0"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售后服务</w:t>
            </w:r>
          </w:p>
        </w:tc>
        <w:tc>
          <w:tcPr>
            <w:tcW w:w="5894" w:type="dxa"/>
            <w:noWrap w:val="0"/>
            <w:vAlign w:val="center"/>
          </w:tcPr>
          <w:p>
            <w:pPr>
              <w:spacing w:beforeLines="0" w:afterLines="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需做出无推诿承诺，提供7×24小时的电话响应售后服务；提供每年365天的专业技术支持服务，随时解答解决采购人问题；一般故障2小时内响应，6小时内到达现场；重大故障1小时内响应，2小时内到现场服务，4个小时内解决问题；紧急情况下，即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734" w:type="dxa"/>
            <w:noWrap w:val="0"/>
            <w:vAlign w:val="center"/>
          </w:tcPr>
          <w:p>
            <w:pPr>
              <w:spacing w:beforeLines="0" w:afterLines="0"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896" w:type="dxa"/>
            <w:noWrap w:val="0"/>
            <w:vAlign w:val="center"/>
          </w:tcPr>
          <w:p>
            <w:pPr>
              <w:spacing w:beforeLines="0" w:afterLines="0"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应用培训</w:t>
            </w:r>
          </w:p>
        </w:tc>
        <w:tc>
          <w:tcPr>
            <w:tcW w:w="5894" w:type="dxa"/>
            <w:noWrap w:val="0"/>
            <w:vAlign w:val="center"/>
          </w:tcPr>
          <w:p>
            <w:pPr>
              <w:spacing w:beforeLines="0" w:afterLines="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现场培训人数不限，以受训人员能独立开展工作为准，以现场培训为蓝本制作线上培训方案，培训课程和内容以能满足业务需求为准，培训费用应包含在投标价中。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pPr>
              <w:spacing w:beforeLines="0" w:afterLines="0"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896" w:type="dxa"/>
            <w:noWrap w:val="0"/>
            <w:vAlign w:val="center"/>
          </w:tcPr>
          <w:p>
            <w:pPr>
              <w:spacing w:beforeLines="0" w:afterLines="0"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其他要求</w:t>
            </w:r>
          </w:p>
        </w:tc>
        <w:tc>
          <w:tcPr>
            <w:tcW w:w="5894" w:type="dxa"/>
            <w:noWrap w:val="0"/>
            <w:vAlign w:val="center"/>
          </w:tcPr>
          <w:p>
            <w:pPr>
              <w:spacing w:beforeLines="0" w:afterLines="0" w:line="240" w:lineRule="auto"/>
              <w:jc w:val="both"/>
              <w:rPr>
                <w:rFonts w:hint="eastAsia" w:ascii="宋体" w:hAnsi="宋体" w:eastAsia="宋体" w:cs="宋体"/>
                <w:color w:val="auto"/>
                <w:sz w:val="21"/>
                <w:szCs w:val="21"/>
                <w:lang w:val="en-US" w:eastAsia="zh-CN"/>
              </w:rPr>
            </w:pPr>
            <w:bookmarkStart w:id="49" w:name="_Hlk98160716"/>
            <w:r>
              <w:rPr>
                <w:rFonts w:hint="eastAsia" w:ascii="宋体" w:hAnsi="宋体" w:eastAsia="宋体" w:cs="宋体"/>
                <w:color w:val="auto"/>
                <w:sz w:val="21"/>
                <w:szCs w:val="21"/>
                <w:lang w:val="en-US" w:eastAsia="zh-CN"/>
              </w:rPr>
              <w:t>本标所有应用软件模块需通过功能、性能检测，检测费用由采购方另行招标。</w:t>
            </w:r>
            <w:bookmarkStart w:id="50" w:name="_Hlk98160764"/>
          </w:p>
          <w:p>
            <w:pPr>
              <w:spacing w:beforeLines="0" w:afterLines="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本标所有应用软件模块需通过三级等保测评，测评费用由采购方另行招标</w:t>
            </w:r>
            <w:bookmarkEnd w:id="50"/>
            <w:r>
              <w:rPr>
                <w:rFonts w:hint="eastAsia" w:ascii="宋体" w:hAnsi="宋体" w:eastAsia="宋体" w:cs="宋体"/>
                <w:color w:val="auto"/>
                <w:sz w:val="21"/>
                <w:szCs w:val="21"/>
                <w:lang w:val="en-US" w:eastAsia="zh-CN"/>
              </w:rPr>
              <w:t>。</w:t>
            </w:r>
            <w:bookmarkEnd w:id="49"/>
          </w:p>
          <w:p>
            <w:pPr>
              <w:spacing w:beforeLines="0" w:afterLines="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中标方需承诺提供可读性强的源代码，需承诺按用户要求及时对接第三方系统。</w:t>
            </w:r>
          </w:p>
        </w:tc>
      </w:tr>
    </w:tbl>
    <w:p>
      <w:r>
        <w:br w:type="page"/>
      </w:r>
    </w:p>
    <w:p>
      <w:pPr>
        <w:sectPr>
          <w:type w:val="continuous"/>
          <w:pgSz w:w="11906" w:h="16838"/>
          <w:pgMar w:top="1440" w:right="1797" w:bottom="1440" w:left="1797" w:header="851" w:footer="992" w:gutter="0"/>
          <w:cols w:space="425" w:num="1"/>
          <w:docGrid w:type="linesAndChars" w:linePitch="312" w:charSpace="0"/>
        </w:sectPr>
      </w:pP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w:t>
      </w:r>
      <w:r>
        <w:rPr>
          <w:rFonts w:asciiTheme="minorEastAsia" w:hAnsiTheme="minorEastAsia" w:eastAsiaTheme="minorEastAsia"/>
          <w:b/>
          <w:sz w:val="24"/>
        </w:rPr>
        <w:t>、</w:t>
      </w:r>
      <w:r>
        <w:rPr>
          <w:rFonts w:hint="eastAsia" w:asciiTheme="minorEastAsia" w:hAnsiTheme="minorEastAsia" w:eastAsiaTheme="minorEastAsia"/>
          <w:b/>
          <w:sz w:val="24"/>
        </w:rPr>
        <w:t>商务需求</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213"/>
        <w:gridCol w:w="7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22" w:type="pct"/>
            <w:vAlign w:val="center"/>
          </w:tcPr>
          <w:p>
            <w:pPr>
              <w:spacing w:beforeLines="0" w:afterLines="0" w:line="360" w:lineRule="auto"/>
              <w:jc w:val="center"/>
              <w:rPr>
                <w:rFonts w:hint="eastAsia" w:ascii="宋体" w:hAnsi="宋体" w:cs="Times New Roman"/>
                <w:b/>
                <w:bCs/>
                <w:color w:val="auto"/>
                <w:sz w:val="24"/>
                <w:szCs w:val="24"/>
                <w:lang w:val="en-US" w:eastAsia="zh-CN"/>
              </w:rPr>
            </w:pPr>
            <w:r>
              <w:rPr>
                <w:rFonts w:hint="eastAsia" w:ascii="宋体" w:hAnsi="宋体" w:cs="Times New Roman"/>
                <w:b/>
                <w:bCs/>
                <w:color w:val="auto"/>
                <w:sz w:val="24"/>
                <w:szCs w:val="24"/>
                <w:lang w:val="en-US" w:eastAsia="zh-CN"/>
              </w:rPr>
              <w:t>序号</w:t>
            </w:r>
          </w:p>
        </w:tc>
        <w:tc>
          <w:tcPr>
            <w:tcW w:w="655" w:type="pct"/>
            <w:vAlign w:val="center"/>
          </w:tcPr>
          <w:p>
            <w:pPr>
              <w:spacing w:beforeLines="0" w:afterLines="0" w:line="360" w:lineRule="auto"/>
              <w:jc w:val="center"/>
              <w:rPr>
                <w:rFonts w:hint="eastAsia" w:ascii="宋体" w:hAnsi="宋体" w:cs="Times New Roman"/>
                <w:b/>
                <w:bCs/>
                <w:color w:val="auto"/>
                <w:sz w:val="24"/>
                <w:szCs w:val="24"/>
                <w:lang w:val="en-US" w:eastAsia="zh-CN"/>
              </w:rPr>
            </w:pPr>
            <w:r>
              <w:rPr>
                <w:rFonts w:hint="eastAsia" w:ascii="宋体" w:hAnsi="宋体" w:cs="Times New Roman"/>
                <w:b/>
                <w:bCs/>
                <w:color w:val="auto"/>
                <w:sz w:val="24"/>
                <w:szCs w:val="24"/>
                <w:lang w:val="en-US" w:eastAsia="zh-CN"/>
              </w:rPr>
              <w:t>项  目</w:t>
            </w:r>
          </w:p>
        </w:tc>
        <w:tc>
          <w:tcPr>
            <w:tcW w:w="3921" w:type="pct"/>
            <w:vAlign w:val="center"/>
          </w:tcPr>
          <w:p>
            <w:pPr>
              <w:spacing w:beforeLines="0" w:afterLines="0" w:line="360" w:lineRule="auto"/>
              <w:jc w:val="center"/>
              <w:rPr>
                <w:rFonts w:hint="eastAsia" w:ascii="宋体" w:hAnsi="宋体" w:cs="Times New Roman"/>
                <w:b/>
                <w:bCs/>
                <w:color w:val="auto"/>
                <w:sz w:val="24"/>
                <w:szCs w:val="24"/>
                <w:lang w:val="en-US" w:eastAsia="zh-CN"/>
              </w:rPr>
            </w:pPr>
            <w:r>
              <w:rPr>
                <w:rFonts w:hint="eastAsia" w:ascii="宋体" w:hAnsi="宋体"/>
                <w:b/>
                <w:color w:val="FF0000"/>
                <w:sz w:val="21"/>
                <w:szCs w:val="21"/>
                <w:lang w:val="en-US" w:eastAsia="zh-CN"/>
              </w:rPr>
              <w:t xml:space="preserve">  </w:t>
            </w:r>
            <w:r>
              <w:rPr>
                <w:rFonts w:hint="eastAsia" w:ascii="宋体" w:hAnsi="宋体" w:cs="Times New Roman"/>
                <w:b/>
                <w:bCs/>
                <w:color w:val="auto"/>
                <w:sz w:val="24"/>
                <w:szCs w:val="24"/>
                <w:lang w:val="en-US" w:eastAsia="zh-CN"/>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Align w:val="center"/>
          </w:tcPr>
          <w:p>
            <w:pPr>
              <w:bidi w:val="0"/>
              <w:jc w:val="center"/>
              <w:rPr>
                <w:rFonts w:hint="eastAsia"/>
                <w:lang w:val="en-US" w:eastAsia="zh-CN"/>
              </w:rPr>
            </w:pPr>
            <w:r>
              <w:rPr>
                <w:rFonts w:hint="eastAsia"/>
                <w:lang w:val="en-US" w:eastAsia="zh-CN"/>
              </w:rPr>
              <w:t>1</w:t>
            </w:r>
          </w:p>
        </w:tc>
        <w:tc>
          <w:tcPr>
            <w:tcW w:w="655" w:type="pct"/>
            <w:vAlign w:val="center"/>
          </w:tcPr>
          <w:p>
            <w:pPr>
              <w:bidi w:val="0"/>
              <w:jc w:val="center"/>
              <w:rPr>
                <w:rFonts w:hint="eastAsia"/>
                <w:lang w:val="en-US" w:eastAsia="zh-CN"/>
              </w:rPr>
            </w:pPr>
            <w:r>
              <w:rPr>
                <w:rFonts w:hint="eastAsia"/>
                <w:lang w:val="en-US" w:eastAsia="zh-CN"/>
              </w:rPr>
              <w:t>合同签订</w:t>
            </w:r>
          </w:p>
        </w:tc>
        <w:tc>
          <w:tcPr>
            <w:tcW w:w="3921" w:type="pct"/>
            <w:vAlign w:val="center"/>
          </w:tcPr>
          <w:p>
            <w:pPr>
              <w:spacing w:beforeLines="0" w:afterLines="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中标公示结束后</w:t>
            </w:r>
            <w:r>
              <w:rPr>
                <w:rFonts w:hint="eastAsia" w:ascii="宋体" w:hAnsi="宋体" w:eastAsia="宋体" w:cs="宋体"/>
                <w:color w:val="auto"/>
                <w:sz w:val="21"/>
                <w:szCs w:val="21"/>
                <w:u w:val="single"/>
                <w:lang w:val="en-US" w:eastAsia="zh-CN"/>
              </w:rPr>
              <w:t xml:space="preserve"> 30 </w:t>
            </w:r>
            <w:r>
              <w:rPr>
                <w:rFonts w:hint="eastAsia" w:ascii="宋体" w:hAnsi="宋体" w:eastAsia="宋体" w:cs="宋体"/>
                <w:color w:val="auto"/>
                <w:sz w:val="21"/>
                <w:szCs w:val="21"/>
                <w:lang w:val="en-US" w:eastAsia="zh-CN"/>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Align w:val="center"/>
          </w:tcPr>
          <w:p>
            <w:pPr>
              <w:bidi w:val="0"/>
              <w:jc w:val="center"/>
              <w:rPr>
                <w:rFonts w:hint="default"/>
                <w:lang w:val="en-US" w:eastAsia="zh-CN"/>
              </w:rPr>
            </w:pPr>
            <w:r>
              <w:rPr>
                <w:rFonts w:hint="eastAsia"/>
                <w:lang w:val="en-US" w:eastAsia="zh-CN"/>
              </w:rPr>
              <w:t>2</w:t>
            </w:r>
          </w:p>
        </w:tc>
        <w:tc>
          <w:tcPr>
            <w:tcW w:w="655" w:type="pct"/>
            <w:vAlign w:val="center"/>
          </w:tcPr>
          <w:p>
            <w:pPr>
              <w:bidi w:val="0"/>
              <w:jc w:val="center"/>
              <w:rPr>
                <w:rFonts w:hint="eastAsia"/>
                <w:lang w:val="en-US" w:eastAsia="zh-CN"/>
              </w:rPr>
            </w:pPr>
            <w:r>
              <w:rPr>
                <w:rFonts w:hint="eastAsia"/>
                <w:lang w:val="en-US" w:eastAsia="zh-CN"/>
              </w:rPr>
              <w:t>合同分包</w:t>
            </w:r>
          </w:p>
        </w:tc>
        <w:tc>
          <w:tcPr>
            <w:tcW w:w="3921" w:type="pct"/>
            <w:vAlign w:val="center"/>
          </w:tcPr>
          <w:p>
            <w:pPr>
              <w:spacing w:beforeLines="0" w:afterLines="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需征得招标方同意的前提下分包，详见下表“</w:t>
            </w:r>
            <w:r>
              <w:rPr>
                <w:rFonts w:hint="eastAsia" w:ascii="宋体" w:hAnsi="宋体" w:eastAsia="宋体" w:cs="宋体"/>
                <w:color w:val="auto"/>
                <w:sz w:val="21"/>
                <w:szCs w:val="21"/>
                <w:u w:val="single"/>
                <w:lang w:val="en-US" w:eastAsia="zh-CN"/>
              </w:rPr>
              <w:t>附1 各模块预算清单</w:t>
            </w:r>
            <w:r>
              <w:rPr>
                <w:rFonts w:hint="eastAsia" w:ascii="宋体" w:hAnsi="宋体" w:eastAsia="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2" w:type="pct"/>
            <w:vAlign w:val="center"/>
          </w:tcPr>
          <w:p>
            <w:pPr>
              <w:bidi w:val="0"/>
              <w:jc w:val="center"/>
              <w:rPr>
                <w:rFonts w:hint="eastAsia"/>
                <w:lang w:val="en-US" w:eastAsia="zh-CN"/>
              </w:rPr>
            </w:pPr>
            <w:r>
              <w:rPr>
                <w:rFonts w:hint="eastAsia"/>
                <w:lang w:val="en-US" w:eastAsia="zh-CN"/>
              </w:rPr>
              <w:t>3</w:t>
            </w:r>
          </w:p>
        </w:tc>
        <w:tc>
          <w:tcPr>
            <w:tcW w:w="655" w:type="pct"/>
            <w:vAlign w:val="center"/>
          </w:tcPr>
          <w:p>
            <w:pPr>
              <w:bidi w:val="0"/>
              <w:jc w:val="center"/>
              <w:rPr>
                <w:rFonts w:hint="eastAsia"/>
                <w:lang w:val="en-US" w:eastAsia="zh-CN"/>
              </w:rPr>
            </w:pPr>
            <w:r>
              <w:rPr>
                <w:rFonts w:hint="eastAsia"/>
                <w:lang w:val="en-US" w:eastAsia="zh-CN"/>
              </w:rPr>
              <w:t>项目工期</w:t>
            </w:r>
          </w:p>
        </w:tc>
        <w:tc>
          <w:tcPr>
            <w:tcW w:w="3921" w:type="pct"/>
            <w:vAlign w:val="center"/>
          </w:tcPr>
          <w:p>
            <w:pPr>
              <w:numPr>
                <w:ilvl w:val="0"/>
                <w:numId w:val="10"/>
              </w:numPr>
              <w:spacing w:beforeLines="0" w:afterLines="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投标人需承诺合同签订后</w:t>
            </w:r>
            <w:r>
              <w:rPr>
                <w:rFonts w:hint="eastAsia" w:ascii="宋体" w:hAnsi="宋体" w:eastAsia="宋体" w:cs="宋体"/>
                <w:color w:val="auto"/>
                <w:sz w:val="21"/>
                <w:szCs w:val="21"/>
                <w:u w:val="single"/>
                <w:lang w:val="en-US" w:eastAsia="zh-CN"/>
              </w:rPr>
              <w:t xml:space="preserve"> 270 </w:t>
            </w:r>
            <w:r>
              <w:rPr>
                <w:rFonts w:hint="eastAsia" w:ascii="宋体" w:hAnsi="宋体" w:eastAsia="宋体" w:cs="宋体"/>
                <w:color w:val="auto"/>
                <w:sz w:val="21"/>
                <w:szCs w:val="21"/>
                <w:lang w:val="en-US" w:eastAsia="zh-CN"/>
              </w:rPr>
              <w:t>天内完成本项目全部模块开发部署、集成上线，并通过项目上线验收，进入试运行（3个月以上）。</w:t>
            </w:r>
          </w:p>
          <w:p>
            <w:pPr>
              <w:numPr>
                <w:ilvl w:val="0"/>
                <w:numId w:val="10"/>
              </w:numPr>
              <w:spacing w:beforeLines="0" w:afterLines="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完成相应准备工作后，由项目建设单位向项目主管单位申请项目交付验收，交付期限不得超过2023年10月31日。详见下表“</w:t>
            </w:r>
            <w:r>
              <w:rPr>
                <w:rFonts w:hint="eastAsia" w:ascii="宋体" w:hAnsi="宋体" w:eastAsia="宋体" w:cs="宋体"/>
                <w:color w:val="auto"/>
                <w:sz w:val="21"/>
                <w:szCs w:val="21"/>
                <w:u w:val="single"/>
                <w:lang w:val="en-US" w:eastAsia="zh-CN"/>
              </w:rPr>
              <w:t>附2 各模块工期要求</w:t>
            </w:r>
            <w:r>
              <w:rPr>
                <w:rFonts w:hint="eastAsia" w:ascii="宋体" w:hAnsi="宋体" w:eastAsia="宋体" w:cs="宋体"/>
                <w:color w:val="auto"/>
                <w:sz w:val="21"/>
                <w:szCs w:val="21"/>
                <w:lang w:val="en-US" w:eastAsia="zh-CN"/>
              </w:rPr>
              <w:t>”。</w:t>
            </w:r>
          </w:p>
          <w:p>
            <w:pPr>
              <w:numPr>
                <w:ilvl w:val="0"/>
                <w:numId w:val="10"/>
              </w:numPr>
              <w:spacing w:beforeLines="0" w:afterLines="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维保期间，由采购方每年组织相关单位进行一次项目运维考核。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Align w:val="center"/>
          </w:tcPr>
          <w:p>
            <w:pPr>
              <w:bidi w:val="0"/>
              <w:jc w:val="center"/>
              <w:rPr>
                <w:rFonts w:hint="eastAsia"/>
                <w:lang w:val="en-US" w:eastAsia="zh-CN"/>
              </w:rPr>
            </w:pPr>
            <w:r>
              <w:rPr>
                <w:rFonts w:hint="eastAsia"/>
                <w:lang w:val="en-US" w:eastAsia="zh-CN"/>
              </w:rPr>
              <w:t>4</w:t>
            </w:r>
          </w:p>
        </w:tc>
        <w:tc>
          <w:tcPr>
            <w:tcW w:w="655" w:type="pct"/>
            <w:vAlign w:val="center"/>
          </w:tcPr>
          <w:p>
            <w:pPr>
              <w:bidi w:val="0"/>
              <w:jc w:val="center"/>
              <w:rPr>
                <w:rFonts w:hint="eastAsia"/>
                <w:lang w:val="en-US" w:eastAsia="zh-CN"/>
              </w:rPr>
            </w:pPr>
            <w:r>
              <w:rPr>
                <w:rFonts w:hint="eastAsia"/>
                <w:lang w:val="en-US" w:eastAsia="zh-CN"/>
              </w:rPr>
              <w:t>实施地点</w:t>
            </w:r>
          </w:p>
        </w:tc>
        <w:tc>
          <w:tcPr>
            <w:tcW w:w="3921" w:type="pct"/>
            <w:vAlign w:val="center"/>
          </w:tcPr>
          <w:p>
            <w:pPr>
              <w:spacing w:beforeLines="0" w:afterLines="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台州市公安局交通警察局指定地点。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422" w:type="pct"/>
            <w:vAlign w:val="center"/>
          </w:tcPr>
          <w:p>
            <w:pPr>
              <w:bidi w:val="0"/>
              <w:jc w:val="center"/>
              <w:rPr>
                <w:rFonts w:hint="eastAsia"/>
                <w:lang w:val="en-US" w:eastAsia="zh-CN"/>
              </w:rPr>
            </w:pPr>
            <w:r>
              <w:rPr>
                <w:rFonts w:hint="eastAsia"/>
                <w:lang w:val="en-US" w:eastAsia="zh-CN"/>
              </w:rPr>
              <w:t>5</w:t>
            </w:r>
          </w:p>
        </w:tc>
        <w:tc>
          <w:tcPr>
            <w:tcW w:w="655" w:type="pct"/>
            <w:vAlign w:val="center"/>
          </w:tcPr>
          <w:p>
            <w:pPr>
              <w:bidi w:val="0"/>
              <w:jc w:val="center"/>
              <w:rPr>
                <w:rFonts w:hint="eastAsia"/>
                <w:lang w:val="en-US" w:eastAsia="zh-CN"/>
              </w:rPr>
            </w:pPr>
            <w:r>
              <w:rPr>
                <w:rFonts w:hint="eastAsia" w:ascii="宋体" w:hAnsi="宋体" w:eastAsia="宋体" w:cs="宋体"/>
                <w:color w:val="auto"/>
                <w:sz w:val="21"/>
                <w:szCs w:val="21"/>
                <w:lang w:val="en-US" w:eastAsia="zh-CN"/>
              </w:rPr>
              <w:t>维保期</w:t>
            </w:r>
            <w:r>
              <w:rPr>
                <w:rFonts w:hint="eastAsia"/>
                <w:lang w:val="en-US" w:eastAsia="zh-CN"/>
              </w:rPr>
              <w:t>限</w:t>
            </w:r>
          </w:p>
        </w:tc>
        <w:tc>
          <w:tcPr>
            <w:tcW w:w="3921" w:type="pct"/>
            <w:vAlign w:val="center"/>
          </w:tcPr>
          <w:p>
            <w:pPr>
              <w:numPr>
                <w:ilvl w:val="0"/>
                <w:numId w:val="11"/>
              </w:numPr>
              <w:spacing w:beforeLines="0" w:afterLines="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u w:val="single"/>
                <w:lang w:val="en-US" w:eastAsia="zh-CN"/>
              </w:rPr>
              <w:t>维保期3年</w:t>
            </w:r>
            <w:r>
              <w:rPr>
                <w:rFonts w:hint="eastAsia" w:ascii="宋体" w:hAnsi="宋体" w:eastAsia="宋体" w:cs="宋体"/>
                <w:color w:val="auto"/>
                <w:sz w:val="21"/>
                <w:szCs w:val="21"/>
                <w:lang w:val="en-US" w:eastAsia="zh-CN"/>
              </w:rPr>
              <w:t>。自项目通过项目交付验收之日算起。维保期间，免费提供最新的软件版本及主题库、专题库、标准库等升级服务。</w:t>
            </w:r>
          </w:p>
          <w:p>
            <w:pPr>
              <w:numPr>
                <w:ilvl w:val="0"/>
                <w:numId w:val="11"/>
              </w:numPr>
              <w:spacing w:beforeLines="0" w:afterLines="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在维保期内，软件模块发生重大故障超过24小时，需等故障完全修复后重新开始计算该模块的免费质保期限。</w:t>
            </w:r>
          </w:p>
          <w:p>
            <w:pPr>
              <w:numPr>
                <w:ilvl w:val="0"/>
                <w:numId w:val="11"/>
              </w:numPr>
              <w:spacing w:beforeLines="0" w:afterLines="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在维保期内，每月提供缺陷原因、维护内容、完成维护及恢复正常的时间和日期等报告。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Align w:val="center"/>
          </w:tcPr>
          <w:p>
            <w:pPr>
              <w:bidi w:val="0"/>
              <w:jc w:val="center"/>
              <w:rPr>
                <w:rFonts w:hint="default"/>
                <w:lang w:val="en-US" w:eastAsia="zh-CN"/>
              </w:rPr>
            </w:pPr>
            <w:r>
              <w:rPr>
                <w:rFonts w:hint="eastAsia"/>
                <w:lang w:val="en-US" w:eastAsia="zh-CN"/>
              </w:rPr>
              <w:t>6</w:t>
            </w:r>
          </w:p>
        </w:tc>
        <w:tc>
          <w:tcPr>
            <w:tcW w:w="655" w:type="pct"/>
            <w:vAlign w:val="center"/>
          </w:tcPr>
          <w:p>
            <w:pPr>
              <w:bidi w:val="0"/>
              <w:jc w:val="center"/>
              <w:rPr>
                <w:rFonts w:hint="eastAsia"/>
                <w:lang w:val="en-US" w:eastAsia="zh-CN"/>
              </w:rPr>
            </w:pPr>
            <w:r>
              <w:rPr>
                <w:rFonts w:hint="eastAsia"/>
                <w:lang w:val="en-US" w:eastAsia="zh-CN"/>
              </w:rPr>
              <w:t>履约保证</w:t>
            </w:r>
          </w:p>
        </w:tc>
        <w:tc>
          <w:tcPr>
            <w:tcW w:w="3921" w:type="pct"/>
            <w:vAlign w:val="center"/>
          </w:tcPr>
          <w:p>
            <w:pPr>
              <w:spacing w:beforeLines="0" w:afterLines="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2" w:type="pct"/>
            <w:vAlign w:val="center"/>
          </w:tcPr>
          <w:p>
            <w:pPr>
              <w:bidi w:val="0"/>
              <w:jc w:val="center"/>
              <w:rPr>
                <w:rFonts w:hint="default"/>
                <w:lang w:val="en-US" w:eastAsia="zh-CN"/>
              </w:rPr>
            </w:pPr>
            <w:r>
              <w:rPr>
                <w:rFonts w:hint="eastAsia"/>
                <w:lang w:val="en-US" w:eastAsia="zh-CN"/>
              </w:rPr>
              <w:t>7</w:t>
            </w:r>
          </w:p>
        </w:tc>
        <w:tc>
          <w:tcPr>
            <w:tcW w:w="655" w:type="pct"/>
            <w:vAlign w:val="center"/>
          </w:tcPr>
          <w:p>
            <w:pPr>
              <w:bidi w:val="0"/>
              <w:jc w:val="center"/>
              <w:rPr>
                <w:rFonts w:hint="eastAsia"/>
                <w:lang w:val="en-US" w:eastAsia="zh-CN"/>
              </w:rPr>
            </w:pPr>
            <w:r>
              <w:rPr>
                <w:rFonts w:hint="eastAsia"/>
                <w:lang w:val="en-US" w:eastAsia="zh-CN"/>
              </w:rPr>
              <w:t>付款方式</w:t>
            </w:r>
          </w:p>
        </w:tc>
        <w:tc>
          <w:tcPr>
            <w:tcW w:w="3921" w:type="pct"/>
            <w:vAlign w:val="center"/>
          </w:tcPr>
          <w:p>
            <w:pPr>
              <w:numPr>
                <w:ilvl w:val="0"/>
                <w:numId w:val="12"/>
              </w:numPr>
              <w:spacing w:beforeLines="0" w:afterLines="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合同签订后，支付合同总金额的40%；</w:t>
            </w:r>
          </w:p>
          <w:p>
            <w:pPr>
              <w:numPr>
                <w:ilvl w:val="0"/>
                <w:numId w:val="12"/>
              </w:numPr>
              <w:spacing w:beforeLines="0" w:afterLines="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项目上线验收合格后，支付合同总金额的</w:t>
            </w:r>
            <w:r>
              <w:rPr>
                <w:rFonts w:hint="eastAsia" w:ascii="宋体" w:hAnsi="宋体" w:cs="宋体"/>
                <w:color w:val="auto"/>
                <w:sz w:val="21"/>
                <w:szCs w:val="21"/>
                <w:lang w:val="en-US" w:eastAsia="zh-CN"/>
              </w:rPr>
              <w:t>25</w:t>
            </w:r>
            <w:r>
              <w:rPr>
                <w:rFonts w:hint="eastAsia" w:ascii="宋体" w:hAnsi="宋体" w:eastAsia="宋体" w:cs="宋体"/>
                <w:color w:val="auto"/>
                <w:sz w:val="21"/>
                <w:szCs w:val="21"/>
                <w:lang w:val="en-US" w:eastAsia="zh-CN"/>
              </w:rPr>
              <w:t>%；</w:t>
            </w:r>
          </w:p>
          <w:p>
            <w:pPr>
              <w:numPr>
                <w:ilvl w:val="0"/>
                <w:numId w:val="12"/>
              </w:numPr>
              <w:spacing w:beforeLines="0" w:afterLines="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项目交付验收合格后，支付合同总金额的</w:t>
            </w:r>
            <w:r>
              <w:rPr>
                <w:rFonts w:hint="eastAsia" w:ascii="宋体" w:hAnsi="宋体" w:cs="宋体"/>
                <w:color w:val="auto"/>
                <w:sz w:val="21"/>
                <w:szCs w:val="21"/>
                <w:lang w:val="en-US" w:eastAsia="zh-CN"/>
              </w:rPr>
              <w:t>20</w:t>
            </w:r>
            <w:r>
              <w:rPr>
                <w:rFonts w:hint="eastAsia" w:ascii="宋体" w:hAnsi="宋体" w:eastAsia="宋体" w:cs="宋体"/>
                <w:color w:val="auto"/>
                <w:sz w:val="21"/>
                <w:szCs w:val="21"/>
                <w:lang w:val="en-US" w:eastAsia="zh-CN"/>
              </w:rPr>
              <w:t>%；</w:t>
            </w:r>
          </w:p>
          <w:p>
            <w:pPr>
              <w:numPr>
                <w:ilvl w:val="0"/>
                <w:numId w:val="12"/>
              </w:numPr>
              <w:spacing w:beforeLines="0" w:afterLines="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项目运维</w:t>
            </w:r>
            <w:r>
              <w:rPr>
                <w:rFonts w:hint="eastAsia" w:ascii="宋体" w:hAnsi="宋体" w:cs="宋体"/>
                <w:color w:val="auto"/>
                <w:sz w:val="21"/>
                <w:szCs w:val="21"/>
                <w:lang w:val="en-US" w:eastAsia="zh-CN"/>
              </w:rPr>
              <w:t>考核（每年一次，共3次）</w:t>
            </w:r>
            <w:r>
              <w:rPr>
                <w:rFonts w:hint="eastAsia" w:ascii="宋体" w:hAnsi="宋体" w:eastAsia="宋体" w:cs="宋体"/>
                <w:color w:val="auto"/>
                <w:sz w:val="21"/>
                <w:szCs w:val="21"/>
                <w:lang w:val="en-US" w:eastAsia="zh-CN"/>
              </w:rPr>
              <w:t>合格后，</w:t>
            </w:r>
            <w:r>
              <w:rPr>
                <w:rFonts w:hint="eastAsia" w:ascii="宋体" w:hAnsi="宋体" w:cs="宋体"/>
                <w:color w:val="auto"/>
                <w:sz w:val="21"/>
                <w:szCs w:val="21"/>
                <w:lang w:val="en-US" w:eastAsia="zh-CN"/>
              </w:rPr>
              <w:t>每年</w:t>
            </w:r>
            <w:r>
              <w:rPr>
                <w:rFonts w:hint="eastAsia" w:ascii="宋体" w:hAnsi="宋体" w:eastAsia="宋体" w:cs="宋体"/>
                <w:color w:val="auto"/>
                <w:sz w:val="21"/>
                <w:szCs w:val="21"/>
                <w:lang w:val="en-US" w:eastAsia="zh-CN"/>
              </w:rPr>
              <w:t>支付合同总金额的</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（共15%）；</w:t>
            </w:r>
          </w:p>
          <w:p>
            <w:pPr>
              <w:numPr>
                <w:ilvl w:val="0"/>
                <w:numId w:val="12"/>
              </w:numPr>
              <w:spacing w:beforeLines="0" w:afterLines="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每期金额根据实际考核情况支付，如无核减或扣罚，支付当期的全款。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0" w:hRule="atLeast"/>
          <w:jc w:val="center"/>
        </w:trPr>
        <w:tc>
          <w:tcPr>
            <w:tcW w:w="422" w:type="pct"/>
            <w:vAlign w:val="center"/>
          </w:tcPr>
          <w:p>
            <w:pPr>
              <w:bidi w:val="0"/>
              <w:jc w:val="center"/>
              <w:rPr>
                <w:rFonts w:hint="eastAsia"/>
                <w:lang w:val="en-US" w:eastAsia="zh-CN"/>
              </w:rPr>
            </w:pPr>
          </w:p>
        </w:tc>
        <w:tc>
          <w:tcPr>
            <w:tcW w:w="655" w:type="pct"/>
            <w:vAlign w:val="center"/>
          </w:tcPr>
          <w:p>
            <w:pPr>
              <w:bidi w:val="0"/>
              <w:jc w:val="center"/>
              <w:rPr>
                <w:rFonts w:hint="eastAsia"/>
                <w:lang w:val="en-US" w:eastAsia="zh-CN"/>
              </w:rPr>
            </w:pPr>
            <w:r>
              <w:rPr>
                <w:rFonts w:hint="eastAsia"/>
                <w:lang w:val="en-US" w:eastAsia="zh-CN"/>
              </w:rPr>
              <w:t>质量保证</w:t>
            </w:r>
          </w:p>
        </w:tc>
        <w:tc>
          <w:tcPr>
            <w:tcW w:w="3921" w:type="pct"/>
            <w:vAlign w:val="center"/>
          </w:tcPr>
          <w:p>
            <w:pPr>
              <w:numPr>
                <w:ilvl w:val="0"/>
                <w:numId w:val="13"/>
              </w:numPr>
              <w:spacing w:beforeLines="0" w:afterLines="0" w:line="24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在项目实施期间，由于中标方原因致项目深化设计无法通过招标方认可、无法在约定的时间内完成开发部署、无法如期通过初验或终验，</w:t>
            </w:r>
            <w:r>
              <w:rPr>
                <w:rFonts w:hint="eastAsia" w:ascii="宋体" w:hAnsi="宋体" w:eastAsia="宋体" w:cs="宋体"/>
                <w:b/>
                <w:bCs/>
                <w:color w:val="auto"/>
                <w:sz w:val="21"/>
                <w:szCs w:val="21"/>
                <w:shd w:val="clear" w:color="auto" w:fill="auto"/>
                <w:lang w:val="en-US" w:eastAsia="zh-CN"/>
              </w:rPr>
              <w:t>采购方</w:t>
            </w:r>
            <w:r>
              <w:rPr>
                <w:rFonts w:hint="eastAsia" w:ascii="宋体" w:hAnsi="宋体" w:eastAsia="宋体" w:cs="宋体"/>
                <w:b/>
                <w:bCs/>
                <w:color w:val="auto"/>
                <w:sz w:val="21"/>
                <w:szCs w:val="21"/>
                <w:lang w:val="en-US" w:eastAsia="zh-CN"/>
              </w:rPr>
              <w:t>有权对不符合要求的功能项及其相关功能予以核减，并追回已支付金额，同时处以同等金额的罚款。</w:t>
            </w:r>
          </w:p>
          <w:p>
            <w:pPr>
              <w:spacing w:beforeLines="0" w:afterLines="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2、合同金额扣除规则：</w:t>
            </w:r>
          </w:p>
          <w:p>
            <w:pPr>
              <w:spacing w:beforeLines="0" w:afterLines="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（1）中标方未及时响应监理工作要求，每次扣除1000元；</w:t>
            </w:r>
          </w:p>
          <w:p>
            <w:pPr>
              <w:spacing w:beforeLines="0" w:afterLines="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（2）在项目维保期内，由于质量问题造成系统故障，超过2个小时不能恢复，每次扣除3000元；超过5小时不能恢复，每次扣除10000元。</w:t>
            </w:r>
          </w:p>
          <w:p>
            <w:pPr>
              <w:spacing w:beforeLines="0" w:afterLines="0" w:line="240" w:lineRule="auto"/>
              <w:jc w:val="both"/>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（3）中标方擅自更换投标文件中所承诺的驻场人员，每人次扣除10000元；经采购方同意后更换人员，每人次扣除1000元。</w:t>
            </w:r>
          </w:p>
          <w:p>
            <w:pPr>
              <w:spacing w:beforeLines="0" w:afterLines="0" w:line="240" w:lineRule="auto"/>
              <w:jc w:val="both"/>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由于</w:t>
            </w:r>
            <w:r>
              <w:rPr>
                <w:rFonts w:hint="eastAsia" w:ascii="宋体" w:hAnsi="宋体" w:eastAsia="宋体" w:cs="宋体"/>
                <w:color w:val="auto"/>
                <w:kern w:val="2"/>
                <w:sz w:val="21"/>
                <w:szCs w:val="21"/>
                <w:lang w:val="en-US" w:eastAsia="zh-CN" w:bidi="ar-SA"/>
              </w:rPr>
              <w:t>驻场人员</w:t>
            </w:r>
            <w:r>
              <w:rPr>
                <w:rFonts w:hint="eastAsia" w:ascii="宋体" w:hAnsi="宋体" w:cs="宋体"/>
                <w:color w:val="auto"/>
                <w:kern w:val="2"/>
                <w:sz w:val="21"/>
                <w:szCs w:val="21"/>
                <w:lang w:val="en-US" w:eastAsia="zh-CN" w:bidi="ar-SA"/>
              </w:rPr>
              <w:t>（包括开发和维保）</w:t>
            </w:r>
            <w:r>
              <w:rPr>
                <w:rFonts w:hint="eastAsia" w:ascii="宋体" w:hAnsi="宋体" w:eastAsia="宋体" w:cs="宋体"/>
                <w:color w:val="auto"/>
                <w:kern w:val="2"/>
                <w:sz w:val="21"/>
                <w:szCs w:val="21"/>
                <w:lang w:val="en-US" w:eastAsia="zh-CN" w:bidi="ar-SA"/>
              </w:rPr>
              <w:t>没有按要求履行职责，采购方有权要求更换人员，每人次扣除</w:t>
            </w:r>
            <w:r>
              <w:rPr>
                <w:rFonts w:hint="eastAsia" w:ascii="宋体" w:hAnsi="宋体" w:eastAsia="宋体" w:cs="宋体"/>
                <w:color w:val="auto"/>
                <w:sz w:val="21"/>
                <w:szCs w:val="21"/>
                <w:lang w:val="en-US" w:eastAsia="zh-CN"/>
              </w:rPr>
              <w:t>10000元。</w:t>
            </w:r>
          </w:p>
          <w:p>
            <w:pPr>
              <w:spacing w:beforeLines="0" w:afterLines="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）中标方驻场人员</w:t>
            </w:r>
            <w:r>
              <w:rPr>
                <w:rFonts w:hint="eastAsia" w:ascii="宋体" w:hAnsi="宋体" w:cs="宋体"/>
                <w:color w:val="auto"/>
                <w:sz w:val="21"/>
                <w:szCs w:val="21"/>
                <w:lang w:val="en-US" w:eastAsia="zh-CN"/>
              </w:rPr>
              <w:t>（包括开发和维保）</w:t>
            </w:r>
            <w:r>
              <w:rPr>
                <w:rFonts w:hint="eastAsia" w:ascii="宋体" w:hAnsi="宋体" w:eastAsia="宋体" w:cs="宋体"/>
                <w:color w:val="auto"/>
                <w:sz w:val="21"/>
                <w:szCs w:val="21"/>
                <w:lang w:val="en-US" w:eastAsia="zh-CN"/>
              </w:rPr>
              <w:t>无故缺勤，</w:t>
            </w:r>
            <w:r>
              <w:rPr>
                <w:rFonts w:hint="eastAsia" w:ascii="宋体" w:hAnsi="宋体" w:cs="宋体"/>
                <w:color w:val="auto"/>
                <w:sz w:val="21"/>
                <w:szCs w:val="21"/>
                <w:lang w:val="en-US" w:eastAsia="zh-CN"/>
              </w:rPr>
              <w:t>开发人员每人每天扣除1000元、维保人员每人</w:t>
            </w:r>
            <w:r>
              <w:rPr>
                <w:rFonts w:hint="eastAsia" w:ascii="宋体" w:hAnsi="宋体" w:eastAsia="宋体" w:cs="宋体"/>
                <w:color w:val="auto"/>
                <w:sz w:val="21"/>
                <w:szCs w:val="21"/>
                <w:lang w:val="en-US" w:eastAsia="zh-CN"/>
              </w:rPr>
              <w:t>每天扣除800元。</w:t>
            </w:r>
          </w:p>
          <w:p>
            <w:pPr>
              <w:spacing w:beforeLines="0" w:afterLines="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）中标方存在其它违约责任时，视情节轻重扣除相应金额。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2" w:type="pct"/>
            <w:vAlign w:val="center"/>
          </w:tcPr>
          <w:p>
            <w:pPr>
              <w:bidi w:val="0"/>
              <w:jc w:val="center"/>
              <w:rPr>
                <w:rFonts w:hint="default"/>
                <w:lang w:val="en-US" w:eastAsia="zh-CN"/>
              </w:rPr>
            </w:pPr>
            <w:r>
              <w:rPr>
                <w:rFonts w:hint="eastAsia"/>
                <w:lang w:val="en-US" w:eastAsia="zh-CN"/>
              </w:rPr>
              <w:t>8</w:t>
            </w:r>
          </w:p>
        </w:tc>
        <w:tc>
          <w:tcPr>
            <w:tcW w:w="655" w:type="pct"/>
            <w:vAlign w:val="center"/>
          </w:tcPr>
          <w:p>
            <w:pPr>
              <w:bidi w:val="0"/>
              <w:jc w:val="center"/>
              <w:rPr>
                <w:rFonts w:hint="eastAsia"/>
                <w:lang w:val="en-US" w:eastAsia="zh-CN"/>
              </w:rPr>
            </w:pPr>
            <w:r>
              <w:rPr>
                <w:rFonts w:hint="eastAsia"/>
                <w:lang w:val="en-US" w:eastAsia="zh-CN"/>
              </w:rPr>
              <w:t>合同终止</w:t>
            </w:r>
          </w:p>
        </w:tc>
        <w:tc>
          <w:tcPr>
            <w:tcW w:w="3921" w:type="pct"/>
            <w:vAlign w:val="center"/>
          </w:tcPr>
          <w:p>
            <w:pPr>
              <w:spacing w:beforeLines="0" w:afterLines="0" w:line="240" w:lineRule="auto"/>
              <w:jc w:val="both"/>
              <w:rPr>
                <w:rFonts w:hint="eastAsia" w:ascii="宋体" w:hAnsi="宋体" w:eastAsia="宋体" w:cs="宋体"/>
                <w:color w:val="auto"/>
                <w:sz w:val="21"/>
                <w:szCs w:val="21"/>
                <w:lang w:val="en-US" w:eastAsia="zh-CN"/>
              </w:rPr>
            </w:pPr>
            <w:r>
              <w:rPr>
                <w:rFonts w:hint="eastAsia" w:ascii="宋体" w:hAnsi="宋体" w:cs="宋体"/>
                <w:strike w:val="0"/>
                <w:dstrike w:val="0"/>
                <w:color w:val="auto"/>
                <w:sz w:val="21"/>
                <w:szCs w:val="21"/>
                <w:lang w:val="en-US" w:eastAsia="zh-CN"/>
              </w:rPr>
              <w:t>中标方</w:t>
            </w:r>
            <w:r>
              <w:rPr>
                <w:rFonts w:hint="eastAsia" w:ascii="宋体" w:hAnsi="宋体" w:eastAsia="宋体" w:cs="宋体"/>
                <w:strike w:val="0"/>
                <w:dstrike w:val="0"/>
                <w:color w:val="auto"/>
                <w:sz w:val="21"/>
                <w:szCs w:val="21"/>
                <w:lang w:val="en-US" w:eastAsia="zh-CN"/>
              </w:rPr>
              <w:t>在合同有效期内，不得以任何理由终止合同，确有特殊情况的，须提前两个月向</w:t>
            </w:r>
            <w:r>
              <w:rPr>
                <w:rFonts w:hint="eastAsia" w:ascii="宋体" w:hAnsi="宋体" w:cs="宋体"/>
                <w:strike w:val="0"/>
                <w:dstrike w:val="0"/>
                <w:color w:val="auto"/>
                <w:sz w:val="21"/>
                <w:szCs w:val="21"/>
                <w:lang w:val="en-US" w:eastAsia="zh-CN"/>
              </w:rPr>
              <w:t>采购人</w:t>
            </w:r>
            <w:r>
              <w:rPr>
                <w:rFonts w:hint="eastAsia" w:ascii="宋体" w:hAnsi="宋体" w:eastAsia="宋体" w:cs="宋体"/>
                <w:strike w:val="0"/>
                <w:dstrike w:val="0"/>
                <w:color w:val="auto"/>
                <w:sz w:val="21"/>
                <w:szCs w:val="21"/>
                <w:lang w:val="en-US" w:eastAsia="zh-CN"/>
              </w:rPr>
              <w:t>提出书面申请，经</w:t>
            </w:r>
            <w:r>
              <w:rPr>
                <w:rFonts w:hint="eastAsia" w:ascii="宋体" w:hAnsi="宋体" w:cs="宋体"/>
                <w:strike w:val="0"/>
                <w:dstrike w:val="0"/>
                <w:color w:val="auto"/>
                <w:sz w:val="21"/>
                <w:szCs w:val="21"/>
                <w:lang w:val="en-US" w:eastAsia="zh-CN"/>
              </w:rPr>
              <w:t>采购人</w:t>
            </w:r>
            <w:r>
              <w:rPr>
                <w:rFonts w:hint="eastAsia" w:ascii="宋体" w:hAnsi="宋体" w:eastAsia="宋体" w:cs="宋体"/>
                <w:strike w:val="0"/>
                <w:dstrike w:val="0"/>
                <w:color w:val="auto"/>
                <w:sz w:val="21"/>
                <w:szCs w:val="21"/>
                <w:lang w:val="en-US" w:eastAsia="zh-CN"/>
              </w:rPr>
              <w:t>同意后，方可终止合同。</w:t>
            </w:r>
            <w:r>
              <w:rPr>
                <w:rFonts w:hint="eastAsia" w:ascii="宋体" w:hAnsi="宋体" w:eastAsia="宋体" w:cs="宋体"/>
                <w:color w:val="auto"/>
                <w:sz w:val="21"/>
                <w:szCs w:val="21"/>
                <w:lang w:val="en-US" w:eastAsia="zh-CN"/>
              </w:rPr>
              <w:t>因</w:t>
            </w:r>
            <w:r>
              <w:rPr>
                <w:rFonts w:hint="eastAsia" w:ascii="宋体" w:hAnsi="宋体" w:cs="宋体"/>
                <w:color w:val="auto"/>
                <w:sz w:val="21"/>
                <w:szCs w:val="21"/>
                <w:lang w:val="en-US" w:eastAsia="zh-CN"/>
              </w:rPr>
              <w:t>中标方</w:t>
            </w:r>
            <w:r>
              <w:rPr>
                <w:rFonts w:hint="eastAsia" w:ascii="宋体" w:hAnsi="宋体" w:eastAsia="宋体" w:cs="宋体"/>
                <w:color w:val="auto"/>
                <w:sz w:val="21"/>
                <w:szCs w:val="21"/>
                <w:lang w:val="en-US" w:eastAsia="zh-CN"/>
              </w:rPr>
              <w:t>不能保证工作质量的，或工期超出3个月以上，</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有权终止合同，</w:t>
            </w:r>
            <w:r>
              <w:rPr>
                <w:rFonts w:hint="eastAsia" w:ascii="宋体" w:hAnsi="宋体" w:cs="宋体"/>
                <w:color w:val="auto"/>
                <w:sz w:val="21"/>
                <w:szCs w:val="21"/>
                <w:lang w:val="en-US" w:eastAsia="zh-CN"/>
              </w:rPr>
              <w:t>中标方</w:t>
            </w:r>
            <w:r>
              <w:rPr>
                <w:rFonts w:hint="eastAsia" w:ascii="宋体" w:hAnsi="宋体" w:eastAsia="宋体" w:cs="宋体"/>
                <w:color w:val="auto"/>
                <w:sz w:val="21"/>
                <w:szCs w:val="21"/>
                <w:lang w:val="en-US" w:eastAsia="zh-CN"/>
              </w:rPr>
              <w:t>承担全部责任。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2" w:type="pct"/>
            <w:vAlign w:val="center"/>
          </w:tcPr>
          <w:p>
            <w:pPr>
              <w:bidi w:val="0"/>
              <w:jc w:val="center"/>
              <w:rPr>
                <w:rFonts w:hint="default"/>
                <w:lang w:val="en-US" w:eastAsia="zh-CN"/>
              </w:rPr>
            </w:pPr>
            <w:r>
              <w:rPr>
                <w:rFonts w:hint="eastAsia"/>
                <w:lang w:val="en-US" w:eastAsia="zh-CN"/>
              </w:rPr>
              <w:t>9</w:t>
            </w:r>
          </w:p>
        </w:tc>
        <w:tc>
          <w:tcPr>
            <w:tcW w:w="655" w:type="pct"/>
            <w:vAlign w:val="center"/>
          </w:tcPr>
          <w:p>
            <w:pPr>
              <w:bidi w:val="0"/>
              <w:jc w:val="center"/>
              <w:rPr>
                <w:rFonts w:hint="eastAsia"/>
                <w:lang w:val="en-US" w:eastAsia="zh-CN"/>
              </w:rPr>
            </w:pPr>
            <w:r>
              <w:rPr>
                <w:rFonts w:hint="eastAsia"/>
                <w:lang w:val="en-US" w:eastAsia="zh-CN"/>
              </w:rPr>
              <w:t>其它约定</w:t>
            </w:r>
          </w:p>
        </w:tc>
        <w:tc>
          <w:tcPr>
            <w:tcW w:w="3921" w:type="pct"/>
            <w:vAlign w:val="center"/>
          </w:tcPr>
          <w:p>
            <w:pPr>
              <w:spacing w:beforeLines="0" w:afterLines="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本项目招标文件、投标文件及演示资料、投标承诺函、</w:t>
            </w:r>
            <w:r>
              <w:rPr>
                <w:rFonts w:hint="eastAsia" w:ascii="宋体" w:hAnsi="宋体" w:eastAsia="宋体" w:cs="宋体"/>
                <w:color w:val="auto"/>
                <w:sz w:val="21"/>
                <w:szCs w:val="21"/>
                <w:lang w:val="zh-CN" w:eastAsia="zh-CN"/>
              </w:rPr>
              <w:t>更正补充文件、</w:t>
            </w:r>
            <w:r>
              <w:rPr>
                <w:rFonts w:hint="eastAsia" w:ascii="宋体" w:hAnsi="宋体" w:eastAsia="宋体" w:cs="宋体"/>
                <w:color w:val="auto"/>
                <w:sz w:val="21"/>
                <w:szCs w:val="21"/>
                <w:lang w:val="en-US" w:eastAsia="zh-CN"/>
              </w:rPr>
              <w:t>合同附件均为合同组成部分，与合同具有同等法律效力；各组成部分</w:t>
            </w:r>
            <w:r>
              <w:rPr>
                <w:rFonts w:hint="eastAsia" w:ascii="宋体" w:hAnsi="宋体" w:eastAsia="宋体" w:cs="宋体"/>
                <w:color w:val="auto"/>
                <w:sz w:val="21"/>
                <w:szCs w:val="21"/>
                <w:lang w:val="zh-CN" w:eastAsia="zh-CN"/>
              </w:rPr>
              <w:t>有模棱两可或互相矛盾之处，以更好地满足</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zh-CN" w:eastAsia="zh-CN"/>
              </w:rPr>
              <w:t>业务需求为准。</w:t>
            </w:r>
          </w:p>
        </w:tc>
      </w:tr>
    </w:tbl>
    <w:p>
      <w:pPr>
        <w:pStyle w:val="21"/>
        <w:widowControl w:val="0"/>
        <w:numPr>
          <w:ilvl w:val="0"/>
          <w:numId w:val="0"/>
        </w:numPr>
        <w:spacing w:after="120"/>
        <w:jc w:val="center"/>
        <w:rPr>
          <w:rFonts w:hint="eastAsia" w:ascii="宋体" w:hAnsi="宋体" w:eastAsia="宋体" w:cs="宋体"/>
          <w:b/>
          <w:bCs w:val="0"/>
          <w:color w:val="auto"/>
          <w:sz w:val="24"/>
          <w:szCs w:val="24"/>
          <w:lang w:val="en-US" w:eastAsia="zh-CN"/>
        </w:rPr>
      </w:pPr>
    </w:p>
    <w:p>
      <w:pPr>
        <w:pStyle w:val="21"/>
        <w:widowControl w:val="0"/>
        <w:numPr>
          <w:ilvl w:val="0"/>
          <w:numId w:val="0"/>
        </w:numPr>
        <w:spacing w:after="120"/>
        <w:jc w:val="center"/>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附1 各模块预算清单</w:t>
      </w:r>
    </w:p>
    <w:tbl>
      <w:tblPr>
        <w:tblStyle w:val="22"/>
        <w:tblW w:w="79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4"/>
        <w:gridCol w:w="2379"/>
        <w:gridCol w:w="3158"/>
        <w:gridCol w:w="1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4" w:hRule="atLeast"/>
          <w:jc w:val="center"/>
        </w:trPr>
        <w:tc>
          <w:tcPr>
            <w:tcW w:w="704"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237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名称</w:t>
            </w:r>
          </w:p>
        </w:tc>
        <w:tc>
          <w:tcPr>
            <w:tcW w:w="3158" w:type="dxa"/>
            <w:tcBorders>
              <w:top w:val="single" w:color="000000" w:sz="8"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经审计后的预算金额（万元）</w:t>
            </w:r>
          </w:p>
        </w:tc>
        <w:tc>
          <w:tcPr>
            <w:tcW w:w="1712" w:type="dxa"/>
            <w:tcBorders>
              <w:top w:val="single" w:color="000000" w:sz="8"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应用融合管理模块</w:t>
            </w:r>
          </w:p>
        </w:tc>
        <w:tc>
          <w:tcPr>
            <w:tcW w:w="315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73.3</w:t>
            </w:r>
          </w:p>
        </w:tc>
        <w:tc>
          <w:tcPr>
            <w:tcW w:w="1712"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w:t>
            </w:r>
            <w:r>
              <w:rPr>
                <w:rFonts w:hint="eastAsia" w:ascii="宋体" w:hAnsi="宋体" w:eastAsia="宋体" w:cs="宋体"/>
                <w:b/>
                <w:bCs/>
                <w:i w:val="0"/>
                <w:iCs w:val="0"/>
                <w:color w:val="auto"/>
                <w:sz w:val="21"/>
                <w:szCs w:val="21"/>
                <w:u w:val="none"/>
                <w:lang w:val="en-US" w:eastAsia="zh-CN"/>
              </w:rPr>
              <w:t>各模块、系统集成和运维费用，在</w:t>
            </w:r>
            <w:r>
              <w:rPr>
                <w:rFonts w:hint="eastAsia" w:ascii="宋体" w:hAnsi="宋体" w:cs="宋体"/>
                <w:b/>
                <w:bCs/>
                <w:i w:val="0"/>
                <w:iCs w:val="0"/>
                <w:color w:val="auto"/>
                <w:sz w:val="21"/>
                <w:szCs w:val="21"/>
                <w:u w:val="none"/>
                <w:lang w:val="en-US" w:eastAsia="zh-CN"/>
              </w:rPr>
              <w:t>投标报价</w:t>
            </w:r>
            <w:r>
              <w:rPr>
                <w:rFonts w:hint="eastAsia" w:ascii="宋体" w:hAnsi="宋体" w:eastAsia="宋体" w:cs="宋体"/>
                <w:b/>
                <w:bCs/>
                <w:i w:val="0"/>
                <w:iCs w:val="0"/>
                <w:color w:val="auto"/>
                <w:sz w:val="21"/>
                <w:szCs w:val="21"/>
                <w:u w:val="none"/>
                <w:lang w:val="en-US" w:eastAsia="zh-CN"/>
              </w:rPr>
              <w:t>时不得超过预算金额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数智实战模块</w:t>
            </w:r>
          </w:p>
        </w:tc>
        <w:tc>
          <w:tcPr>
            <w:tcW w:w="315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487.82</w:t>
            </w:r>
          </w:p>
        </w:tc>
        <w:tc>
          <w:tcPr>
            <w:tcW w:w="1712" w:type="dxa"/>
            <w:vMerge w:val="continue"/>
            <w:tcBorders>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数智决策模块</w:t>
            </w:r>
          </w:p>
        </w:tc>
        <w:tc>
          <w:tcPr>
            <w:tcW w:w="315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213.93</w:t>
            </w:r>
          </w:p>
        </w:tc>
        <w:tc>
          <w:tcPr>
            <w:tcW w:w="1712" w:type="dxa"/>
            <w:vMerge w:val="continue"/>
            <w:tcBorders>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高地一体化模块</w:t>
            </w:r>
          </w:p>
        </w:tc>
        <w:tc>
          <w:tcPr>
            <w:tcW w:w="315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125.6</w:t>
            </w:r>
          </w:p>
        </w:tc>
        <w:tc>
          <w:tcPr>
            <w:tcW w:w="1712" w:type="dxa"/>
            <w:vMerge w:val="continue"/>
            <w:tcBorders>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5</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信号控制提升模块</w:t>
            </w:r>
          </w:p>
        </w:tc>
        <w:tc>
          <w:tcPr>
            <w:tcW w:w="315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140.78+49.30</w:t>
            </w:r>
          </w:p>
        </w:tc>
        <w:tc>
          <w:tcPr>
            <w:tcW w:w="1712" w:type="dxa"/>
            <w:vMerge w:val="continue"/>
            <w:tcBorders>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交通态势分析模块</w:t>
            </w:r>
          </w:p>
        </w:tc>
        <w:tc>
          <w:tcPr>
            <w:tcW w:w="315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29.76</w:t>
            </w:r>
          </w:p>
        </w:tc>
        <w:tc>
          <w:tcPr>
            <w:tcW w:w="1712" w:type="dxa"/>
            <w:vMerge w:val="continue"/>
            <w:tcBorders>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7</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驾驶人学习防范模块</w:t>
            </w:r>
          </w:p>
        </w:tc>
        <w:tc>
          <w:tcPr>
            <w:tcW w:w="315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63.96</w:t>
            </w:r>
          </w:p>
        </w:tc>
        <w:tc>
          <w:tcPr>
            <w:tcW w:w="1712" w:type="dxa"/>
            <w:vMerge w:val="continue"/>
            <w:tcBorders>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8</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运维管理模块</w:t>
            </w:r>
          </w:p>
        </w:tc>
        <w:tc>
          <w:tcPr>
            <w:tcW w:w="315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134.9</w:t>
            </w:r>
          </w:p>
        </w:tc>
        <w:tc>
          <w:tcPr>
            <w:tcW w:w="1712" w:type="dxa"/>
            <w:vMerge w:val="continue"/>
            <w:tcBorders>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移动应用模块</w:t>
            </w:r>
          </w:p>
        </w:tc>
        <w:tc>
          <w:tcPr>
            <w:tcW w:w="315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125.49</w:t>
            </w:r>
          </w:p>
        </w:tc>
        <w:tc>
          <w:tcPr>
            <w:tcW w:w="1712" w:type="dxa"/>
            <w:vMerge w:val="continue"/>
            <w:tcBorders>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10</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事故可视化模块</w:t>
            </w:r>
          </w:p>
        </w:tc>
        <w:tc>
          <w:tcPr>
            <w:tcW w:w="315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113.42</w:t>
            </w:r>
          </w:p>
        </w:tc>
        <w:tc>
          <w:tcPr>
            <w:tcW w:w="1712" w:type="dxa"/>
            <w:vMerge w:val="continue"/>
            <w:tcBorders>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11</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赋能中心</w:t>
            </w:r>
          </w:p>
        </w:tc>
        <w:tc>
          <w:tcPr>
            <w:tcW w:w="315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280.26+57.99</w:t>
            </w:r>
          </w:p>
        </w:tc>
        <w:tc>
          <w:tcPr>
            <w:tcW w:w="1712" w:type="dxa"/>
            <w:vMerge w:val="continue"/>
            <w:tcBorders>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12</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数据中心</w:t>
            </w:r>
          </w:p>
        </w:tc>
        <w:tc>
          <w:tcPr>
            <w:tcW w:w="315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246.53</w:t>
            </w:r>
          </w:p>
        </w:tc>
        <w:tc>
          <w:tcPr>
            <w:tcW w:w="1712" w:type="dxa"/>
            <w:vMerge w:val="continue"/>
            <w:tcBorders>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13</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系统集成</w:t>
            </w:r>
          </w:p>
        </w:tc>
        <w:tc>
          <w:tcPr>
            <w:tcW w:w="315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184.42</w:t>
            </w:r>
          </w:p>
        </w:tc>
        <w:tc>
          <w:tcPr>
            <w:tcW w:w="1712" w:type="dxa"/>
            <w:vMerge w:val="continue"/>
            <w:tcBorders>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10人驻场运维</w:t>
            </w:r>
          </w:p>
        </w:tc>
        <w:tc>
          <w:tcPr>
            <w:tcW w:w="315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540.0</w:t>
            </w:r>
          </w:p>
        </w:tc>
        <w:tc>
          <w:tcPr>
            <w:tcW w:w="1712"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083" w:type="dxa"/>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合计</w:t>
            </w:r>
          </w:p>
        </w:tc>
        <w:tc>
          <w:tcPr>
            <w:tcW w:w="315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2867.45</w:t>
            </w:r>
          </w:p>
        </w:tc>
        <w:tc>
          <w:tcPr>
            <w:tcW w:w="171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1"/>
                <w:szCs w:val="21"/>
                <w:u w:val="none"/>
                <w:lang w:val="en-US" w:eastAsia="zh-CN" w:bidi="ar-SA"/>
              </w:rPr>
            </w:pPr>
          </w:p>
        </w:tc>
      </w:tr>
    </w:tbl>
    <w:p>
      <w:pPr>
        <w:pStyle w:val="21"/>
        <w:widowControl w:val="0"/>
        <w:numPr>
          <w:ilvl w:val="0"/>
          <w:numId w:val="0"/>
        </w:numPr>
        <w:spacing w:after="120"/>
        <w:ind w:leftChars="200"/>
        <w:jc w:val="both"/>
        <w:rPr>
          <w:rFonts w:hint="eastAsia" w:ascii="宋体" w:hAnsi="宋体" w:eastAsia="宋体" w:cs="宋体"/>
          <w:b/>
          <w:bCs w:val="0"/>
          <w:color w:val="auto"/>
          <w:sz w:val="24"/>
          <w:szCs w:val="24"/>
          <w:lang w:val="en-US" w:eastAsia="zh-CN"/>
        </w:rPr>
      </w:pPr>
    </w:p>
    <w:p>
      <w:pPr>
        <w:pStyle w:val="21"/>
        <w:widowControl w:val="0"/>
        <w:numPr>
          <w:ilvl w:val="0"/>
          <w:numId w:val="0"/>
        </w:numPr>
        <w:spacing w:after="120"/>
        <w:jc w:val="center"/>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lang w:val="en-US" w:eastAsia="zh-CN"/>
        </w:rPr>
        <w:t xml:space="preserve">附2 </w:t>
      </w:r>
      <w:r>
        <w:rPr>
          <w:rFonts w:hint="eastAsia" w:ascii="宋体" w:hAnsi="宋体" w:eastAsia="宋体" w:cs="宋体"/>
          <w:b/>
          <w:bCs w:val="0"/>
          <w:color w:val="auto"/>
          <w:sz w:val="24"/>
          <w:szCs w:val="24"/>
          <w:lang w:eastAsia="zh-CN"/>
        </w:rPr>
        <w:t>各模块工期要求</w:t>
      </w:r>
    </w:p>
    <w:tbl>
      <w:tblPr>
        <w:tblStyle w:val="22"/>
        <w:tblW w:w="79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4"/>
        <w:gridCol w:w="2372"/>
        <w:gridCol w:w="4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04"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2372"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名称</w:t>
            </w:r>
          </w:p>
        </w:tc>
        <w:tc>
          <w:tcPr>
            <w:tcW w:w="4877"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工期要求（中标确认后）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应用融合管理模块</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3个月内开发部署完毕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数智实战模块</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9个月内开发部署完毕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数智决策模块</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9个月内开发部署完毕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高地一体化模块</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6个月内开发部署完毕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5</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信号控制提升模块</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6个月内开发部署完毕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交通态势分析模块</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6个月内开发部署完毕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7</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驾驶人学习防范模块</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6个月内开发部署完毕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7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8</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运维管理模块</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val="en-US" w:eastAsia="zh-CN"/>
              </w:rPr>
              <w:t>6个月内开发部署完毕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移动应用模块</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val="en-US" w:eastAsia="zh-CN"/>
              </w:rPr>
              <w:t>9个月内开发部署完毕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10</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事故可视化模块</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val="en-US" w:eastAsia="zh-CN"/>
              </w:rPr>
              <w:t>3个月内开发部署完毕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11</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赋能中心</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val="en-US" w:eastAsia="zh-CN"/>
              </w:rPr>
              <w:t>9个月内开发部署完毕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12</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数据中心</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val="en-US" w:eastAsia="zh-CN"/>
              </w:rPr>
              <w:t>2个月内开发部署完毕，9个月内完成数据接入处理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13</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系统集成</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9个月内完成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项目上线验收</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color w:val="auto"/>
                <w:sz w:val="21"/>
                <w:szCs w:val="21"/>
                <w:lang w:val="en-US" w:eastAsia="zh-CN"/>
              </w:rPr>
              <w:t>不得超过2023年6月30日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项目交付验收</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color w:val="auto"/>
                <w:sz w:val="21"/>
                <w:szCs w:val="21"/>
                <w:lang w:val="en-US" w:eastAsia="zh-CN"/>
              </w:rPr>
              <w:t>不得超过2023年10月31日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项目运维验收</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项目交付验收合格后3年</w:t>
            </w:r>
          </w:p>
        </w:tc>
      </w:tr>
    </w:tbl>
    <w:p>
      <w:pPr>
        <w:rPr>
          <w:rFonts w:hint="eastAsia"/>
          <w:lang w:val="en-US" w:eastAsia="zh-CN"/>
        </w:rPr>
      </w:pPr>
      <w:r>
        <w:rPr>
          <w:rFonts w:hint="eastAsia"/>
          <w:lang w:val="en-US" w:eastAsia="zh-CN"/>
        </w:rPr>
        <w:br w:type="page"/>
      </w:r>
    </w:p>
    <w:p>
      <w:pPr>
        <w:pStyle w:val="11"/>
        <w:numPr>
          <w:ilvl w:val="0"/>
          <w:numId w:val="0"/>
        </w:numPr>
        <w:rPr>
          <w:rFonts w:hint="eastAsia"/>
        </w:rPr>
      </w:pPr>
    </w:p>
    <w:p>
      <w:pPr>
        <w:pStyle w:val="13"/>
        <w:tabs>
          <w:tab w:val="left" w:pos="630"/>
        </w:tabs>
        <w:snapToGrid w:val="0"/>
        <w:spacing w:line="360" w:lineRule="auto"/>
        <w:jc w:val="center"/>
        <w:rPr>
          <w:rFonts w:asciiTheme="minorEastAsia" w:hAnsiTheme="minorEastAsia" w:eastAsiaTheme="minorEastAsia"/>
          <w:b/>
          <w:sz w:val="32"/>
          <w:szCs w:val="32"/>
        </w:rPr>
      </w:pPr>
      <w:bookmarkStart w:id="51" w:name="_Toc31173_WPSOffice_Level1"/>
      <w:r>
        <w:rPr>
          <w:rFonts w:hint="eastAsia" w:cs="Times New Roman" w:asciiTheme="minorEastAsia" w:hAnsiTheme="minorEastAsia" w:eastAsiaTheme="minorEastAsia"/>
          <w:b/>
          <w:sz w:val="36"/>
          <w:szCs w:val="36"/>
        </w:rPr>
        <w:t>第四章  评标</w:t>
      </w:r>
      <w:bookmarkEnd w:id="51"/>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w:t>
      </w:r>
      <w:r>
        <w:rPr>
          <w:rFonts w:hint="eastAsia" w:ascii="宋体" w:hAnsi="宋体" w:cs="宋体"/>
          <w:sz w:val="24"/>
          <w:lang w:eastAsia="zh-CN"/>
        </w:rPr>
        <w:t>，</w:t>
      </w:r>
      <w:r>
        <w:rPr>
          <w:rFonts w:hint="eastAsia" w:ascii="宋体" w:hAnsi="宋体" w:cs="宋体"/>
          <w:sz w:val="24"/>
        </w:rPr>
        <w:t>是指投标文件满足招标文件全部实质性要求，且按照评审因素的量化指标评审得分最高的投标人为中标候选人的评标方法。</w:t>
      </w:r>
    </w:p>
    <w:p>
      <w:pPr>
        <w:pStyle w:val="21"/>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8"/>
        <w:spacing w:line="360" w:lineRule="auto"/>
        <w:ind w:firstLine="480" w:firstLineChars="200"/>
        <w:rPr>
          <w:rFonts w:asciiTheme="minorEastAsia" w:hAnsiTheme="minorEastAsia" w:eastAsiaTheme="minorEastAsia"/>
          <w:szCs w:val="21"/>
        </w:rPr>
      </w:pPr>
      <w:r>
        <w:rPr>
          <w:rFonts w:hint="eastAsia" w:asciiTheme="minorEastAsia" w:hAnsiTheme="minorEastAsia" w:eastAsiaTheme="minorEastAsia"/>
          <w:sz w:val="24"/>
        </w:rPr>
        <w:t>6.法律法规规定的其他职责。</w:t>
      </w:r>
    </w:p>
    <w:p>
      <w:pPr>
        <w:pStyle w:val="19"/>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（一）在资格证明文件或商务与技术文件中出现投标报价的，或者报价文件中报价的货物跟商务与技术文件中的投标货物出现重大偏差的；</w:t>
      </w:r>
    </w:p>
    <w:p>
      <w:pPr>
        <w:pStyle w:val="19"/>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9"/>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产品质量或者不能诚信履约的，投标人在限定的时间内不能证明其报价合理性的，评标委员会应当将其作为无效投标处理；</w:t>
      </w:r>
    </w:p>
    <w:p>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pStyle w:val="9"/>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（六）主要性能参数指标负偏离</w:t>
      </w:r>
      <w:r>
        <w:rPr>
          <w:rFonts w:hint="eastAsia" w:asciiTheme="minorEastAsia" w:hAnsiTheme="minorEastAsia" w:eastAsiaTheme="minorEastAsia"/>
          <w:color w:val="auto"/>
          <w:kern w:val="0"/>
          <w:sz w:val="24"/>
          <w:u w:val="single"/>
        </w:rPr>
        <w:t xml:space="preserve"> </w:t>
      </w:r>
      <w:r>
        <w:rPr>
          <w:rFonts w:hint="eastAsia" w:asciiTheme="minorEastAsia" w:hAnsiTheme="minorEastAsia" w:eastAsiaTheme="minorEastAsia"/>
          <w:color w:val="auto"/>
          <w:kern w:val="0"/>
          <w:sz w:val="24"/>
          <w:u w:val="single"/>
          <w:lang w:val="en-US" w:eastAsia="zh-CN"/>
        </w:rPr>
        <w:t>10</w:t>
      </w:r>
      <w:r>
        <w:rPr>
          <w:rFonts w:hint="eastAsia" w:asciiTheme="minorEastAsia" w:hAnsiTheme="minorEastAsia" w:eastAsiaTheme="minorEastAsia"/>
          <w:color w:val="auto"/>
          <w:kern w:val="0"/>
          <w:sz w:val="24"/>
          <w:u w:val="single"/>
        </w:rPr>
        <w:t xml:space="preserve"> </w:t>
      </w:r>
      <w:r>
        <w:rPr>
          <w:rFonts w:hint="eastAsia" w:asciiTheme="minorEastAsia" w:hAnsiTheme="minorEastAsia" w:eastAsiaTheme="minorEastAsia"/>
          <w:kern w:val="0"/>
          <w:sz w:val="24"/>
        </w:rPr>
        <w:t>项（含）以上的；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（八）投标文件存在虚假材料的；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（九）有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19"/>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（十）</w:t>
      </w:r>
      <w:r>
        <w:rPr>
          <w:rFonts w:cs="宋体"/>
        </w:rPr>
        <w:t>实质性要求（招标文件中打“▲”内容）不响应的；</w:t>
      </w:r>
    </w:p>
    <w:p>
      <w:pPr>
        <w:pStyle w:val="8"/>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rPr>
        <w:t>（十一）商务</w:t>
      </w:r>
      <w:r>
        <w:rPr>
          <w:rFonts w:hint="eastAsia" w:ascii="宋体" w:hAnsi="宋体" w:cs="宋体"/>
          <w:sz w:val="24"/>
          <w:szCs w:val="24"/>
        </w:rPr>
        <w:t>条款不响应的；</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（十二）投标文件有效期不足的；</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（十三）逾期或未按要求提交投标文件的；</w:t>
      </w:r>
    </w:p>
    <w:p>
      <w:pPr>
        <w:pStyle w:val="8"/>
        <w:spacing w:line="360" w:lineRule="auto"/>
        <w:ind w:firstLine="480" w:firstLineChars="200"/>
        <w:rPr>
          <w:rFonts w:asciiTheme="minorEastAsia" w:hAnsiTheme="minorEastAsia"/>
          <w:kern w:val="0"/>
          <w:sz w:val="24"/>
        </w:rPr>
      </w:pPr>
      <w:r>
        <w:rPr>
          <w:rFonts w:hint="eastAsia" w:asciiTheme="minorEastAsia" w:hAnsiTheme="minorEastAsia" w:eastAsiaTheme="minorEastAsia"/>
          <w:kern w:val="0"/>
          <w:sz w:val="24"/>
        </w:rPr>
        <w:t>（十四）其他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19"/>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13"/>
        <w:snapToGrid w:val="0"/>
        <w:spacing w:line="360" w:lineRule="auto"/>
        <w:ind w:firstLine="482" w:firstLineChars="200"/>
        <w:rPr>
          <w:rFonts w:hAnsi="宋体" w:cs="宋体"/>
          <w:b/>
          <w:sz w:val="24"/>
        </w:rPr>
      </w:pPr>
      <w:r>
        <w:rPr>
          <w:rFonts w:hint="eastAsia" w:hAnsi="宋体" w:cs="宋体"/>
          <w:b/>
          <w:sz w:val="24"/>
        </w:rPr>
        <w:t>六、评标过程的监控</w:t>
      </w:r>
    </w:p>
    <w:p>
      <w:pPr>
        <w:pStyle w:val="19"/>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3"/>
        <w:snapToGrid w:val="0"/>
        <w:spacing w:line="360" w:lineRule="auto"/>
        <w:ind w:firstLine="482" w:firstLineChars="200"/>
        <w:rPr>
          <w:rFonts w:hAnsi="宋体" w:cs="宋体"/>
          <w:b/>
          <w:bCs/>
          <w:sz w:val="24"/>
        </w:rPr>
      </w:pPr>
      <w:r>
        <w:rPr>
          <w:rFonts w:hint="eastAsia" w:hAnsi="宋体" w:cs="宋体"/>
          <w:b/>
          <w:bCs/>
          <w:sz w:val="24"/>
        </w:rPr>
        <w:t>七、政府采购政策落实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hint="eastAsia" w:ascii="宋体" w:eastAsia="宋体"/>
          <w:sz w:val="24"/>
          <w:lang w:eastAsia="zh-CN"/>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w:t>
      </w:r>
      <w:r>
        <w:rPr>
          <w:rFonts w:hint="eastAsia" w:ascii="宋体"/>
          <w:sz w:val="24"/>
          <w:lang w:val="en-US" w:eastAsia="zh-CN"/>
        </w:rPr>
        <w:t>4</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r>
        <w:rPr>
          <w:rFonts w:hint="eastAsia" w:ascii="宋体"/>
          <w:sz w:val="24"/>
          <w:lang w:eastAsia="zh-CN"/>
        </w:rPr>
        <w:t>。</w:t>
      </w:r>
    </w:p>
    <w:p>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w:t>
      </w:r>
      <w:r>
        <w:rPr>
          <w:rFonts w:hint="eastAsia" w:ascii="宋体"/>
          <w:sz w:val="24"/>
          <w:lang w:val="en-US" w:eastAsia="zh-CN"/>
        </w:rPr>
        <w:t>4</w:t>
      </w:r>
      <w:r>
        <w:rPr>
          <w:rFonts w:hint="eastAsia" w:ascii="宋体"/>
          <w:sz w:val="24"/>
          <w:lang w:val="zh-CN"/>
        </w:rPr>
        <w:t>），视同小型、微型企业，享受小微企业政府采购优惠政策。</w:t>
      </w:r>
    </w:p>
    <w:p>
      <w:pPr>
        <w:pStyle w:val="9"/>
        <w:spacing w:line="360" w:lineRule="auto"/>
        <w:ind w:firstLine="480" w:firstLineChars="200"/>
        <w:jc w:val="both"/>
        <w:rPr>
          <w:rFonts w:hint="eastAsia" w:ascii="宋体" w:hAnsi="宋体" w:eastAsia="宋体" w:cs="宋体"/>
          <w:sz w:val="24"/>
          <w:lang w:eastAsia="zh-CN"/>
        </w:rPr>
      </w:pPr>
      <w:r>
        <w:rPr>
          <w:rFonts w:hint="eastAsia" w:ascii="宋体"/>
          <w:sz w:val="24"/>
        </w:rPr>
        <w:t>4.</w:t>
      </w:r>
      <w:r>
        <w:rPr>
          <w:rFonts w:hint="eastAsia" w:ascii="宋体" w:hAnsi="宋体" w:cs="宋体"/>
          <w:sz w:val="24"/>
        </w:rPr>
        <w:t>投标产品中有符合最新一期行政主管部门公布的“节能产品政府采购品目清单”、“环境标志产品政府采购品目清单”标准的节能环保产品，应提供所投产品由国家确定的认证机关出具的节能产品、环保产品有效认证证书</w:t>
      </w:r>
      <w:r>
        <w:rPr>
          <w:rFonts w:hint="eastAsia" w:ascii="宋体" w:hAnsi="宋体" w:cs="宋体"/>
          <w:sz w:val="24"/>
          <w:lang w:eastAsia="zh-CN"/>
        </w:rPr>
        <w:t>。</w:t>
      </w:r>
      <w:r>
        <w:rPr>
          <w:rFonts w:hint="eastAsia" w:ascii="宋体" w:hAnsi="宋体" w:cs="宋体"/>
          <w:sz w:val="24"/>
        </w:rPr>
        <w:t>【特别提示：节能和环境标志产品最新一期政府采购品目清单，可在“中国政府采购网”中查看】</w:t>
      </w:r>
    </w:p>
    <w:p>
      <w:pPr>
        <w:pStyle w:val="9"/>
        <w:spacing w:line="360" w:lineRule="auto"/>
        <w:ind w:firstLine="480" w:firstLineChars="200"/>
        <w:jc w:val="both"/>
        <w:rPr>
          <w:rFonts w:ascii="宋体" w:hAnsi="宋体" w:cs="宋体"/>
          <w:sz w:val="24"/>
        </w:rPr>
      </w:pPr>
      <w:r>
        <w:rPr>
          <w:rFonts w:hint="eastAsia" w:ascii="宋体" w:hAnsi="宋体" w:cs="宋体"/>
          <w:sz w:val="24"/>
        </w:rPr>
        <w:t>5.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经主管预算单位统筹后未预留份额专门面向中小企业采购的采购项目，以及预留份额项目中的非预留部分：</w:t>
      </w:r>
      <w:r>
        <w:rPr>
          <w:rFonts w:hint="eastAsia" w:ascii="宋体"/>
          <w:color w:val="000000"/>
          <w:sz w:val="24"/>
        </w:rPr>
        <w:t>对</w:t>
      </w:r>
      <w:r>
        <w:rPr>
          <w:rFonts w:hint="eastAsia" w:ascii="宋体"/>
          <w:color w:val="000000"/>
          <w:sz w:val="24"/>
          <w:lang w:val="zh-CN"/>
        </w:rPr>
        <w:t>小微企业</w:t>
      </w:r>
      <w:r>
        <w:rPr>
          <w:rFonts w:hint="eastAsia" w:ascii="宋体"/>
          <w:color w:val="000000"/>
          <w:sz w:val="24"/>
        </w:rPr>
        <w:t>报价</w:t>
      </w:r>
      <w:r>
        <w:rPr>
          <w:rFonts w:hint="eastAsia" w:ascii="宋体"/>
          <w:color w:val="000000"/>
          <w:sz w:val="24"/>
          <w:lang w:val="zh-CN"/>
        </w:rPr>
        <w:t>给予</w:t>
      </w:r>
      <w:r>
        <w:rPr>
          <w:rFonts w:hint="eastAsia" w:ascii="宋体"/>
          <w:color w:val="000000"/>
          <w:sz w:val="24"/>
          <w:lang w:val="en-US" w:eastAsia="zh-CN"/>
        </w:rPr>
        <w:t>10</w:t>
      </w:r>
      <w:r>
        <w:rPr>
          <w:rFonts w:hint="eastAsia" w:ascii="宋体"/>
          <w:color w:val="000000"/>
          <w:sz w:val="24"/>
          <w:lang w:val="zh-CN"/>
        </w:rPr>
        <w:t>%-</w:t>
      </w:r>
      <w:r>
        <w:rPr>
          <w:rFonts w:hint="eastAsia" w:ascii="宋体"/>
          <w:color w:val="000000"/>
          <w:sz w:val="24"/>
          <w:lang w:val="en-US" w:eastAsia="zh-CN"/>
        </w:rPr>
        <w:t>20</w:t>
      </w:r>
      <w:r>
        <w:rPr>
          <w:rFonts w:hint="eastAsia" w:ascii="宋体"/>
          <w:color w:val="000000"/>
          <w:sz w:val="24"/>
          <w:lang w:val="zh-CN"/>
        </w:rPr>
        <w:t>%的扣除，用扣除后的价格计算评标基准价和投标报价。联合体各方均为小微企业的，联合体视同为小微企业，</w:t>
      </w:r>
      <w:r>
        <w:rPr>
          <w:rFonts w:hint="eastAsia" w:ascii="宋体"/>
          <w:color w:val="000000"/>
          <w:sz w:val="24"/>
        </w:rPr>
        <w:t>对报价</w:t>
      </w:r>
      <w:r>
        <w:rPr>
          <w:rFonts w:hint="eastAsia" w:ascii="宋体"/>
          <w:color w:val="000000"/>
          <w:sz w:val="24"/>
          <w:lang w:val="zh-CN"/>
        </w:rPr>
        <w:t>给予</w:t>
      </w:r>
      <w:r>
        <w:rPr>
          <w:rFonts w:hint="eastAsia" w:ascii="宋体"/>
          <w:color w:val="000000"/>
          <w:sz w:val="24"/>
          <w:lang w:val="en-US" w:eastAsia="zh-CN"/>
        </w:rPr>
        <w:t>10</w:t>
      </w:r>
      <w:r>
        <w:rPr>
          <w:rFonts w:hint="eastAsia" w:ascii="宋体"/>
          <w:color w:val="000000"/>
          <w:sz w:val="24"/>
          <w:lang w:val="zh-CN"/>
        </w:rPr>
        <w:t>%-</w:t>
      </w:r>
      <w:r>
        <w:rPr>
          <w:rFonts w:hint="eastAsia" w:ascii="宋体"/>
          <w:color w:val="000000"/>
          <w:sz w:val="24"/>
          <w:lang w:val="en-US" w:eastAsia="zh-CN"/>
        </w:rPr>
        <w:t>20</w:t>
      </w:r>
      <w:r>
        <w:rPr>
          <w:rFonts w:hint="eastAsia" w:ascii="宋体"/>
          <w:color w:val="000000"/>
          <w:sz w:val="24"/>
          <w:lang w:val="zh-CN"/>
        </w:rPr>
        <w:t>%的扣除；联合协议或者分包意向协议约定小微企业的合同份额占到合同总金额30%以上的，</w:t>
      </w:r>
      <w:r>
        <w:rPr>
          <w:rFonts w:hint="eastAsia" w:ascii="宋体"/>
          <w:color w:val="000000"/>
          <w:sz w:val="24"/>
        </w:rPr>
        <w:t>对报价</w:t>
      </w:r>
      <w:r>
        <w:rPr>
          <w:rFonts w:hint="eastAsia" w:ascii="宋体"/>
          <w:color w:val="000000"/>
          <w:sz w:val="24"/>
          <w:lang w:val="zh-CN"/>
        </w:rPr>
        <w:t>给予</w:t>
      </w:r>
      <w:r>
        <w:rPr>
          <w:rFonts w:hint="eastAsia" w:ascii="宋体"/>
          <w:color w:val="000000"/>
          <w:sz w:val="24"/>
          <w:lang w:val="en-US" w:eastAsia="zh-CN"/>
        </w:rPr>
        <w:t>4</w:t>
      </w:r>
      <w:r>
        <w:rPr>
          <w:rFonts w:hint="eastAsia" w:ascii="宋体"/>
          <w:color w:val="000000"/>
          <w:sz w:val="24"/>
          <w:lang w:val="zh-CN"/>
        </w:rPr>
        <w:t>%</w:t>
      </w:r>
      <w:r>
        <w:rPr>
          <w:rFonts w:hint="eastAsia" w:ascii="宋体"/>
          <w:color w:val="000000"/>
          <w:sz w:val="24"/>
        </w:rPr>
        <w:t>-</w:t>
      </w:r>
      <w:r>
        <w:rPr>
          <w:rFonts w:hint="eastAsia" w:ascii="宋体"/>
          <w:color w:val="000000"/>
          <w:sz w:val="24"/>
          <w:lang w:val="en-US" w:eastAsia="zh-CN"/>
        </w:rPr>
        <w:t>6</w:t>
      </w:r>
      <w:r>
        <w:rPr>
          <w:rFonts w:hint="eastAsia" w:ascii="宋体"/>
          <w:color w:val="000000"/>
          <w:sz w:val="24"/>
        </w:rPr>
        <w:t>%</w:t>
      </w:r>
      <w:r>
        <w:rPr>
          <w:rFonts w:hint="eastAsia" w:ascii="宋体"/>
          <w:color w:val="000000"/>
          <w:sz w:val="24"/>
          <w:lang w:val="zh-CN"/>
        </w:rPr>
        <w:t>的价格扣除，用扣除后的价格计算评标基准价和响应报价</w:t>
      </w:r>
      <w:r>
        <w:rPr>
          <w:rFonts w:hint="eastAsia" w:ascii="宋体"/>
          <w:sz w:val="24"/>
          <w:lang w:val="zh-CN"/>
        </w:rPr>
        <w:t>。同一投标人（包括联合体），小微企业、监狱企业、残疾人福利性单位价格扣除优惠只享受一次，不得重复享受。</w:t>
      </w:r>
    </w:p>
    <w:p>
      <w:pPr>
        <w:pStyle w:val="13"/>
        <w:snapToGrid w:val="0"/>
        <w:spacing w:line="360" w:lineRule="auto"/>
        <w:ind w:firstLine="482" w:firstLineChars="200"/>
        <w:rPr>
          <w:rFonts w:hAnsi="宋体" w:cs="宋体"/>
          <w:b/>
          <w:bCs/>
          <w:sz w:val="24"/>
        </w:rPr>
      </w:pPr>
      <w:r>
        <w:rPr>
          <w:rFonts w:hint="eastAsia" w:hAnsi="宋体" w:cs="宋体"/>
          <w:b/>
          <w:bCs/>
          <w:sz w:val="24"/>
        </w:rPr>
        <w:t>八、评标程序</w:t>
      </w:r>
    </w:p>
    <w:p>
      <w:pPr>
        <w:snapToGrid w:val="0"/>
        <w:spacing w:line="360" w:lineRule="auto"/>
        <w:ind w:firstLine="482" w:firstLineChars="200"/>
        <w:rPr>
          <w:rFonts w:ascii="宋体" w:hAnsi="宋体" w:cs="宋体"/>
          <w:b/>
          <w:bCs/>
          <w:sz w:val="24"/>
        </w:rPr>
      </w:pPr>
      <w:r>
        <w:rPr>
          <w:rFonts w:hint="eastAsia" w:ascii="宋体" w:hAnsi="宋体" w:cs="宋体"/>
          <w:b/>
          <w:bCs/>
          <w:sz w:val="24"/>
        </w:rPr>
        <w:t>（一）资格性审查</w:t>
      </w:r>
    </w:p>
    <w:p>
      <w:pPr>
        <w:pStyle w:val="9"/>
        <w:spacing w:line="360" w:lineRule="auto"/>
        <w:ind w:firstLine="480" w:firstLineChars="200"/>
        <w:jc w:val="both"/>
        <w:rPr>
          <w:ins w:id="0" w:author="zebra" w:date="2022-08-01T13:12:17Z"/>
          <w:rFonts w:hint="eastAsia" w:ascii="宋体" w:hAnsi="宋体" w:cs="宋体"/>
          <w:sz w:val="24"/>
        </w:rPr>
      </w:pPr>
      <w:r>
        <w:rPr>
          <w:rFonts w:hint="eastAsia" w:ascii="宋体" w:hAnsi="宋体" w:cs="宋体"/>
          <w:sz w:val="24"/>
        </w:rPr>
        <w:t>投标文件解密后，采购人或采购组织机构依法对投标人的资格进行审查，对审查发现无效的进行必要的询问，在政采云平台公布无效投标的投标人名单、投标无效的原因。</w:t>
      </w:r>
    </w:p>
    <w:tbl>
      <w:tblPr>
        <w:tblStyle w:val="22"/>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4"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具有独立承担民事责任的能力</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在中华人民共和国境内注册的法人或其他组织或自然人，投标时提交有效的营业执照（或事业法人登记证或身份证等相关证明）扫描件</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法定代表人委托办理招标事宜的请提交授权委托书</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授权委托书</w:t>
            </w:r>
            <w:r>
              <w:rPr>
                <w:rFonts w:hint="eastAsia" w:ascii="宋体" w:hAnsi="宋体" w:eastAsia="宋体" w:cs="宋体"/>
                <w:color w:val="000000" w:themeColor="text1"/>
                <w:sz w:val="21"/>
                <w:szCs w:val="21"/>
                <w:lang w:val="en-US" w:eastAsia="zh-CN"/>
                <w14:textFill>
                  <w14:solidFill>
                    <w14:schemeClr w14:val="tx1"/>
                  </w14:solidFill>
                </w14:textFill>
              </w:rPr>
              <w:t>》填报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具有良好的商业信誉和健全的财务会计制度</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提供具有良好的商业信誉和健全的财务会计制度的承诺函</w:t>
            </w:r>
            <w:r>
              <w:rPr>
                <w:rFonts w:hint="eastAsia" w:ascii="宋体" w:hAnsi="宋体" w:cs="宋体"/>
                <w:color w:val="000000" w:themeColor="text1"/>
                <w:kern w:val="2"/>
                <w:sz w:val="21"/>
                <w:szCs w:val="21"/>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履行合同所必需的设备和专业技术能力</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按投标文件格式填报设备及专业技术能力情况（根据附件</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《投标人基本情况表》和附件</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有依法缴纳税收和社会保障资金的良好记录</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提供</w:t>
            </w:r>
            <w:r>
              <w:rPr>
                <w:rFonts w:hint="eastAsia" w:ascii="宋体" w:hAnsi="宋体" w:eastAsia="宋体" w:cs="宋体"/>
                <w:color w:val="000000" w:themeColor="text1"/>
                <w:sz w:val="21"/>
                <w:szCs w:val="21"/>
                <w14:textFill>
                  <w14:solidFill>
                    <w14:schemeClr w14:val="tx1"/>
                  </w14:solidFill>
                </w14:textFill>
              </w:rPr>
              <w:t>没有税收缴纳、社会保障等方面的失信记录的承诺函。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w:t>
            </w:r>
            <w:r>
              <w:rPr>
                <w:rFonts w:hint="eastAsia" w:ascii="宋体" w:hAnsi="宋体" w:eastAsia="宋体" w:cs="宋体"/>
                <w:color w:val="000000" w:themeColor="text1"/>
                <w:sz w:val="21"/>
                <w:szCs w:val="21"/>
                <w:lang w:eastAsia="zh-CN"/>
                <w14:textFill>
                  <w14:solidFill>
                    <w14:schemeClr w14:val="tx1"/>
                  </w14:solidFill>
                </w14:textFill>
              </w:rPr>
              <w:t>本次</w:t>
            </w:r>
            <w:r>
              <w:rPr>
                <w:rFonts w:hint="eastAsia" w:ascii="宋体" w:hAnsi="宋体" w:eastAsia="宋体" w:cs="宋体"/>
                <w:color w:val="000000" w:themeColor="text1"/>
                <w:sz w:val="21"/>
                <w:szCs w:val="21"/>
                <w14:textFill>
                  <w14:solidFill>
                    <w14:schemeClr w14:val="tx1"/>
                  </w14:solidFill>
                </w14:textFill>
              </w:rPr>
              <w:t>采购活动前3年内，在经营活动中没有重大违法记录</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投标声明书</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信用记录</w:t>
            </w:r>
          </w:p>
        </w:tc>
        <w:tc>
          <w:tcPr>
            <w:tcW w:w="7495" w:type="dxa"/>
            <w:shd w:val="clear" w:color="auto" w:fill="auto"/>
            <w:tcMar>
              <w:top w:w="57" w:type="dxa"/>
              <w:left w:w="108" w:type="dxa"/>
              <w:bottom w:w="0" w:type="dxa"/>
              <w:right w:w="108" w:type="dxa"/>
            </w:tcMar>
            <w:vAlign w:val="center"/>
          </w:tcPr>
          <w:p>
            <w:pPr>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1.截止时点：开标后评标前。</w:t>
            </w:r>
          </w:p>
          <w:p>
            <w:pPr>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2.信用信息查询记录和证据留存的具体方式：由采购组织机构在规定查询时间内打印信用信息查询记录并归入项目档案。</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3.使用规则：投标人未被列入“信用中国”失信被执行人或重大税收违法案件当事人名单；未处于“中国政府采购网”政府采购严重违法失信行为信息记录中的禁止参加政府采购活动期间。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必须符合法律、行政法规规定的其他条件</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1.单位负责人为同一人或者存在直接控股、管理关系的不同供应商，不得同时参加本项目投标。</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2.为本项目提供整体设计、规范编制或者项目管理、监理、检测等服务的供应商，不得再参与本项目投标。</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3.投标（报价）文件相关承诺要求内容。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7495" w:type="dxa"/>
            <w:shd w:val="clear" w:color="auto" w:fill="auto"/>
            <w:tcMar>
              <w:top w:w="57" w:type="dxa"/>
              <w:left w:w="108" w:type="dxa"/>
              <w:bottom w:w="0" w:type="dxa"/>
              <w:right w:w="108" w:type="dxa"/>
            </w:tcMar>
            <w:vAlign w:val="center"/>
          </w:tcPr>
          <w:p>
            <w:pPr>
              <w:keepNext w:val="0"/>
              <w:keepLines w:val="0"/>
              <w:widowControl/>
              <w:suppressLineNumbers w:val="0"/>
              <w:jc w:val="left"/>
              <w:rPr>
                <w:rFonts w:hint="eastAsia" w:ascii="宋体" w:hAnsi="宋体" w:cs="宋体"/>
                <w:color w:val="auto"/>
                <w:szCs w:val="21"/>
              </w:rPr>
            </w:pP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若以联合体形式投标，</w:t>
            </w:r>
            <w:r>
              <w:rPr>
                <w:rFonts w:hint="eastAsia" w:ascii="宋体" w:hAnsi="宋体" w:cs="宋体"/>
                <w:color w:val="auto"/>
                <w:sz w:val="21"/>
                <w:szCs w:val="21"/>
                <w:lang w:val="en-US" w:eastAsia="zh-CN"/>
              </w:rPr>
              <w:t>请提交联合体授权委托书</w:t>
            </w:r>
            <w:r>
              <w:rPr>
                <w:rFonts w:hint="eastAsia" w:ascii="宋体" w:hAnsi="宋体" w:cs="宋体"/>
                <w:color w:val="auto"/>
                <w:sz w:val="21"/>
                <w:szCs w:val="21"/>
                <w:lang w:eastAsia="zh-CN"/>
              </w:rPr>
              <w:t>（根据附件</w:t>
            </w:r>
            <w:r>
              <w:rPr>
                <w:rFonts w:hint="eastAsia" w:ascii="宋体" w:hAnsi="宋体" w:cs="宋体"/>
                <w:color w:val="auto"/>
                <w:sz w:val="21"/>
                <w:szCs w:val="21"/>
                <w:lang w:val="en-US" w:eastAsia="zh-CN"/>
              </w:rPr>
              <w:t>2-2《联合体</w:t>
            </w:r>
            <w:r>
              <w:rPr>
                <w:rFonts w:hint="eastAsia" w:ascii="宋体" w:hAnsi="宋体" w:cs="宋体"/>
                <w:color w:val="auto"/>
                <w:sz w:val="21"/>
                <w:szCs w:val="21"/>
                <w:lang w:eastAsia="zh-CN"/>
              </w:rPr>
              <w:t>授权委托书</w:t>
            </w:r>
            <w:r>
              <w:rPr>
                <w:rFonts w:hint="eastAsia" w:ascii="宋体" w:hAnsi="宋体" w:cs="宋体"/>
                <w:color w:val="auto"/>
                <w:sz w:val="21"/>
                <w:szCs w:val="21"/>
                <w:lang w:val="en-US" w:eastAsia="zh-CN"/>
              </w:rPr>
              <w:t>》填报</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并载明联合体各方承担的工作和义务</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根据附件3 《</w:t>
            </w:r>
            <w:r>
              <w:rPr>
                <w:rFonts w:hint="eastAsia" w:ascii="宋体" w:hAnsi="宋体" w:cs="宋体"/>
                <w:color w:val="auto"/>
                <w:sz w:val="21"/>
                <w:szCs w:val="21"/>
                <w:lang w:eastAsia="zh-CN"/>
              </w:rPr>
              <w:t>联合体共同投标协议书</w:t>
            </w:r>
            <w:r>
              <w:rPr>
                <w:rFonts w:hint="eastAsia" w:ascii="宋体" w:hAnsi="宋体" w:cs="宋体"/>
                <w:color w:val="auto"/>
                <w:sz w:val="21"/>
                <w:szCs w:val="21"/>
                <w:lang w:val="en-US" w:eastAsia="zh-CN"/>
              </w:rPr>
              <w:t>》填报</w:t>
            </w:r>
            <w:r>
              <w:rPr>
                <w:rFonts w:hint="eastAsia" w:ascii="宋体" w:hAnsi="宋体" w:cs="宋体"/>
                <w:color w:val="auto"/>
                <w:sz w:val="21"/>
                <w:szCs w:val="21"/>
                <w:lang w:eastAsia="zh-CN"/>
              </w:rPr>
              <w:t>）</w:t>
            </w:r>
            <w:r>
              <w:rPr>
                <w:rFonts w:hint="eastAsia" w:ascii="宋体" w:hAnsi="宋体" w:eastAsia="宋体" w:cs="宋体"/>
                <w:color w:val="auto"/>
                <w:sz w:val="21"/>
                <w:szCs w:val="21"/>
                <w:lang w:eastAsia="zh-CN"/>
              </w:rPr>
              <w:t>。</w:t>
            </w:r>
          </w:p>
          <w:p>
            <w:pPr>
              <w:pStyle w:val="9"/>
              <w:spacing w:line="360" w:lineRule="auto"/>
              <w:ind w:firstLine="0" w:firstLineChars="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若</w:t>
            </w:r>
            <w:r>
              <w:rPr>
                <w:rFonts w:hint="eastAsia" w:ascii="宋体" w:hAnsi="宋体" w:eastAsia="宋体" w:cs="宋体"/>
                <w:color w:val="auto"/>
                <w:sz w:val="21"/>
                <w:szCs w:val="21"/>
              </w:rPr>
              <w:t>以联合体形式投标，联合体各方均须满足</w:t>
            </w:r>
            <w:r>
              <w:rPr>
                <w:rFonts w:hint="eastAsia" w:ascii="宋体" w:hAnsi="宋体" w:eastAsia="宋体" w:cs="宋体"/>
                <w:color w:val="auto"/>
                <w:sz w:val="21"/>
                <w:szCs w:val="21"/>
                <w:lang w:val="en-US" w:eastAsia="zh-CN"/>
              </w:rPr>
              <w:t>上方</w:t>
            </w:r>
            <w:r>
              <w:rPr>
                <w:rFonts w:hint="eastAsia" w:ascii="宋体" w:hAnsi="宋体" w:eastAsia="宋体" w:cs="宋体"/>
                <w:color w:val="auto"/>
                <w:sz w:val="21"/>
                <w:szCs w:val="21"/>
              </w:rPr>
              <w:t>条款</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并提供相应承诺或说明</w:t>
            </w:r>
            <w:r>
              <w:rPr>
                <w:rFonts w:hint="eastAsia" w:ascii="宋体" w:hAnsi="宋体" w:eastAsia="宋体" w:cs="宋体"/>
                <w:color w:val="auto"/>
                <w:sz w:val="21"/>
                <w:szCs w:val="21"/>
              </w:rPr>
              <w:t>。</w:t>
            </w:r>
          </w:p>
        </w:tc>
      </w:tr>
    </w:tbl>
    <w:p>
      <w:pPr>
        <w:pStyle w:val="9"/>
        <w:spacing w:line="360" w:lineRule="auto"/>
        <w:ind w:firstLine="482" w:firstLineChars="200"/>
        <w:jc w:val="both"/>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9"/>
        <w:spacing w:line="360" w:lineRule="auto"/>
        <w:ind w:firstLine="480" w:firstLineChars="200"/>
        <w:jc w:val="both"/>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评标委员会应当对符合资格的投标人的投标文件进行符合性审查，以确定其是否满足招标文件的实质性要求，对审查发现无效的进行必要的询</w:t>
      </w:r>
      <w:r>
        <w:rPr>
          <w:rFonts w:hint="eastAsia" w:asciiTheme="minorEastAsia" w:hAnsiTheme="minorEastAsia" w:eastAsiaTheme="minorEastAsia"/>
          <w:sz w:val="24"/>
        </w:rPr>
        <w:t>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p>
    <w:tbl>
      <w:tblPr>
        <w:tblStyle w:val="22"/>
        <w:tblpPr w:leftFromText="181" w:rightFromText="181" w:bottomFromText="170" w:vertAnchor="text" w:tblpXSpec="center" w:tblpY="1"/>
        <w:tblOverlap w:val="never"/>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8"/>
              <w:keepNext w:val="0"/>
              <w:keepLines w:val="0"/>
              <w:pageBreakBefore w:val="0"/>
              <w:widowControl w:val="0"/>
              <w:kinsoku/>
              <w:wordWrap/>
              <w:overflowPunct/>
              <w:topLinePunct w:val="0"/>
              <w:autoSpaceDE/>
              <w:autoSpaceDN/>
              <w:bidi w:val="0"/>
              <w:adjustRightInd/>
              <w:snapToGrid/>
              <w:spacing w:line="300" w:lineRule="auto"/>
              <w:ind w:right="146"/>
              <w:jc w:val="center"/>
              <w:textAlignment w:val="auto"/>
              <w:rPr>
                <w:sz w:val="21"/>
                <w:szCs w:val="21"/>
              </w:rPr>
            </w:pPr>
            <w:r>
              <w:rPr>
                <w:rFonts w:hint="eastAsia"/>
                <w:sz w:val="21"/>
                <w:szCs w:val="21"/>
              </w:rPr>
              <w:t>“▲”实质性条款</w:t>
            </w:r>
          </w:p>
        </w:tc>
        <w:tc>
          <w:tcPr>
            <w:tcW w:w="7476" w:type="dxa"/>
            <w:shd w:val="clear" w:color="auto" w:fill="auto"/>
            <w:tcMar>
              <w:top w:w="57" w:type="dxa"/>
              <w:left w:w="108" w:type="dxa"/>
              <w:bottom w:w="0" w:type="dxa"/>
              <w:right w:w="108" w:type="dxa"/>
            </w:tcMar>
            <w:vAlign w:val="center"/>
          </w:tcPr>
          <w:p>
            <w:pPr>
              <w:pStyle w:val="48"/>
              <w:keepNext w:val="0"/>
              <w:keepLines w:val="0"/>
              <w:pageBreakBefore w:val="0"/>
              <w:widowControl w:val="0"/>
              <w:kinsoku/>
              <w:wordWrap/>
              <w:overflowPunct/>
              <w:topLinePunct w:val="0"/>
              <w:autoSpaceDE/>
              <w:autoSpaceDN/>
              <w:bidi w:val="0"/>
              <w:adjustRightInd/>
              <w:snapToGrid/>
              <w:spacing w:before="48" w:line="300" w:lineRule="auto"/>
              <w:ind w:firstLine="420" w:firstLineChars="200"/>
              <w:textAlignment w:val="auto"/>
              <w:rPr>
                <w:sz w:val="21"/>
                <w:szCs w:val="21"/>
              </w:rPr>
            </w:pPr>
            <w:r>
              <w:rPr>
                <w:rFonts w:hint="eastAsia"/>
                <w:sz w:val="21"/>
                <w:szCs w:val="21"/>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8"/>
              <w:keepNext w:val="0"/>
              <w:keepLines w:val="0"/>
              <w:pageBreakBefore w:val="0"/>
              <w:widowControl w:val="0"/>
              <w:kinsoku/>
              <w:wordWrap/>
              <w:overflowPunct/>
              <w:topLinePunct w:val="0"/>
              <w:autoSpaceDE/>
              <w:autoSpaceDN/>
              <w:bidi w:val="0"/>
              <w:adjustRightInd/>
              <w:snapToGrid/>
              <w:spacing w:line="300" w:lineRule="auto"/>
              <w:ind w:right="146"/>
              <w:jc w:val="center"/>
              <w:textAlignment w:val="auto"/>
              <w:rPr>
                <w:sz w:val="21"/>
                <w:szCs w:val="21"/>
              </w:rPr>
            </w:pPr>
            <w:r>
              <w:rPr>
                <w:rFonts w:hint="eastAsia"/>
                <w:sz w:val="21"/>
                <w:szCs w:val="21"/>
              </w:rPr>
              <w:t>串通投标</w:t>
            </w:r>
          </w:p>
        </w:tc>
        <w:tc>
          <w:tcPr>
            <w:tcW w:w="7476" w:type="dxa"/>
            <w:shd w:val="clear" w:color="auto" w:fill="auto"/>
            <w:tcMar>
              <w:top w:w="57" w:type="dxa"/>
              <w:left w:w="108" w:type="dxa"/>
              <w:bottom w:w="0" w:type="dxa"/>
              <w:right w:w="108" w:type="dxa"/>
            </w:tcMar>
            <w:vAlign w:val="center"/>
          </w:tcPr>
          <w:p>
            <w:pPr>
              <w:pStyle w:val="48"/>
              <w:keepNext w:val="0"/>
              <w:keepLines w:val="0"/>
              <w:pageBreakBefore w:val="0"/>
              <w:widowControl w:val="0"/>
              <w:kinsoku/>
              <w:wordWrap/>
              <w:overflowPunct/>
              <w:topLinePunct w:val="0"/>
              <w:autoSpaceDE/>
              <w:autoSpaceDN/>
              <w:bidi w:val="0"/>
              <w:adjustRightInd/>
              <w:snapToGrid/>
              <w:spacing w:before="48" w:line="300" w:lineRule="auto"/>
              <w:ind w:firstLine="420" w:firstLineChars="200"/>
              <w:textAlignment w:val="auto"/>
              <w:rPr>
                <w:sz w:val="21"/>
                <w:szCs w:val="21"/>
              </w:rPr>
            </w:pPr>
            <w:r>
              <w:rPr>
                <w:rFonts w:hint="eastAsia"/>
                <w:sz w:val="21"/>
                <w:szCs w:val="21"/>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8"/>
              <w:keepNext w:val="0"/>
              <w:keepLines w:val="0"/>
              <w:pageBreakBefore w:val="0"/>
              <w:widowControl w:val="0"/>
              <w:kinsoku/>
              <w:wordWrap/>
              <w:overflowPunct/>
              <w:topLinePunct w:val="0"/>
              <w:autoSpaceDE/>
              <w:autoSpaceDN/>
              <w:bidi w:val="0"/>
              <w:adjustRightInd/>
              <w:snapToGrid/>
              <w:spacing w:line="300" w:lineRule="auto"/>
              <w:ind w:right="146"/>
              <w:jc w:val="center"/>
              <w:textAlignment w:val="auto"/>
              <w:rPr>
                <w:sz w:val="21"/>
                <w:szCs w:val="21"/>
              </w:rPr>
            </w:pPr>
            <w:r>
              <w:rPr>
                <w:rFonts w:hint="eastAsia"/>
                <w:sz w:val="21"/>
                <w:szCs w:val="21"/>
              </w:rPr>
              <w:t>附加条件</w:t>
            </w:r>
          </w:p>
        </w:tc>
        <w:tc>
          <w:tcPr>
            <w:tcW w:w="7476" w:type="dxa"/>
            <w:shd w:val="clear" w:color="auto" w:fill="auto"/>
            <w:tcMar>
              <w:top w:w="57" w:type="dxa"/>
              <w:left w:w="108" w:type="dxa"/>
              <w:bottom w:w="0" w:type="dxa"/>
              <w:right w:w="108" w:type="dxa"/>
            </w:tcMar>
            <w:vAlign w:val="center"/>
          </w:tcPr>
          <w:p>
            <w:pPr>
              <w:pStyle w:val="48"/>
              <w:keepNext w:val="0"/>
              <w:keepLines w:val="0"/>
              <w:pageBreakBefore w:val="0"/>
              <w:widowControl w:val="0"/>
              <w:kinsoku/>
              <w:wordWrap/>
              <w:overflowPunct/>
              <w:topLinePunct w:val="0"/>
              <w:autoSpaceDE/>
              <w:autoSpaceDN/>
              <w:bidi w:val="0"/>
              <w:adjustRightInd/>
              <w:snapToGrid/>
              <w:spacing w:before="48" w:line="300" w:lineRule="auto"/>
              <w:ind w:firstLine="420" w:firstLineChars="200"/>
              <w:textAlignment w:val="auto"/>
              <w:rPr>
                <w:sz w:val="21"/>
                <w:szCs w:val="21"/>
              </w:rPr>
            </w:pPr>
            <w:r>
              <w:rPr>
                <w:rFonts w:hint="eastAsia"/>
                <w:sz w:val="21"/>
                <w:szCs w:val="21"/>
              </w:rPr>
              <w:t>投标文件未含有采购人不可接受的附加条件。</w:t>
            </w:r>
          </w:p>
        </w:tc>
      </w:tr>
    </w:tbl>
    <w:p>
      <w:pPr>
        <w:pStyle w:val="9"/>
        <w:spacing w:line="360" w:lineRule="auto"/>
        <w:ind w:firstLine="482" w:firstLineChars="200"/>
        <w:jc w:val="both"/>
        <w:rPr>
          <w:rFonts w:hint="default" w:asciiTheme="minorEastAsia" w:hAnsiTheme="minorEastAsia" w:eastAsiaTheme="minorEastAsia"/>
          <w:b/>
          <w:bCs/>
          <w:sz w:val="24"/>
        </w:rPr>
      </w:pPr>
      <w:r>
        <w:rPr>
          <w:rFonts w:hint="eastAsia" w:asciiTheme="minorEastAsia" w:hAnsiTheme="minorEastAsia" w:eastAsiaTheme="minorEastAsia"/>
          <w:b/>
          <w:bCs/>
          <w:sz w:val="24"/>
        </w:rPr>
        <w:t>（三）商务技术及价格评审</w:t>
      </w:r>
    </w:p>
    <w:p>
      <w:pPr>
        <w:autoSpaceDE w:val="0"/>
        <w:autoSpaceDN w:val="0"/>
        <w:adjustRightInd w:val="0"/>
        <w:spacing w:line="360" w:lineRule="auto"/>
        <w:ind w:firstLine="482" w:firstLineChars="200"/>
        <w:rPr>
          <w:rFonts w:hint="eastAsia" w:ascii="宋体"/>
          <w:b/>
          <w:bCs/>
          <w:sz w:val="24"/>
        </w:rPr>
      </w:pPr>
      <w:r>
        <w:rPr>
          <w:rFonts w:hint="eastAsia" w:ascii="宋体"/>
          <w:b/>
          <w:bCs/>
          <w:sz w:val="24"/>
        </w:rPr>
        <w:t>1.评分标准</w:t>
      </w:r>
    </w:p>
    <w:p>
      <w:pPr>
        <w:autoSpaceDE w:val="0"/>
        <w:autoSpaceDN w:val="0"/>
        <w:adjustRightInd w:val="0"/>
        <w:spacing w:line="360" w:lineRule="auto"/>
        <w:ind w:firstLine="480" w:firstLineChars="200"/>
        <w:rPr>
          <w:rFonts w:asciiTheme="minorEastAsia" w:hAnsiTheme="minorEastAsia" w:eastAsiaTheme="minorEastAsia"/>
          <w:sz w:val="24"/>
        </w:rPr>
      </w:pPr>
      <w:r>
        <w:rPr>
          <w:rFonts w:hint="eastAsia" w:ascii="宋体" w:hAnsi="宋体" w:cs="宋体"/>
          <w:sz w:val="24"/>
          <w:u w:val="single"/>
          <w:lang w:val="en-US" w:eastAsia="zh-CN"/>
        </w:rPr>
        <w:t xml:space="preserve"> 1</w:t>
      </w:r>
      <w:r>
        <w:rPr>
          <w:rFonts w:hint="eastAsia" w:ascii="宋体" w:hAnsi="宋体" w:cs="宋体"/>
          <w:sz w:val="24"/>
          <w:u w:val="single"/>
        </w:rPr>
        <w:t xml:space="preserve"> </w:t>
      </w:r>
      <w:r>
        <w:rPr>
          <w:rFonts w:hint="eastAsia" w:asciiTheme="minorEastAsia" w:hAnsiTheme="minorEastAsia" w:eastAsiaTheme="minorEastAsia"/>
          <w:kern w:val="0"/>
          <w:sz w:val="24"/>
        </w:rPr>
        <w:t>标项项目评标方法为综合评分法，总计100分，评标按以下标准及要求进行：</w:t>
      </w:r>
    </w:p>
    <w:tbl>
      <w:tblPr>
        <w:tblStyle w:val="22"/>
        <w:tblW w:w="5000" w:type="pct"/>
        <w:tblInd w:w="0" w:type="dxa"/>
        <w:tblLayout w:type="autofit"/>
        <w:tblCellMar>
          <w:top w:w="0" w:type="dxa"/>
          <w:left w:w="108" w:type="dxa"/>
          <w:bottom w:w="0" w:type="dxa"/>
          <w:right w:w="108" w:type="dxa"/>
        </w:tblCellMar>
      </w:tblPr>
      <w:tblGrid>
        <w:gridCol w:w="740"/>
        <w:gridCol w:w="752"/>
        <w:gridCol w:w="7012"/>
        <w:gridCol w:w="752"/>
      </w:tblGrid>
      <w:tr>
        <w:tblPrEx>
          <w:tblCellMar>
            <w:top w:w="0" w:type="dxa"/>
            <w:left w:w="108" w:type="dxa"/>
            <w:bottom w:w="0" w:type="dxa"/>
            <w:right w:w="108" w:type="dxa"/>
          </w:tblCellMar>
        </w:tblPrEx>
        <w:trPr>
          <w:trHeight w:val="280" w:hRule="atLeast"/>
        </w:trPr>
        <w:tc>
          <w:tcPr>
            <w:tcW w:w="400" w:type="pct"/>
            <w:tcBorders>
              <w:top w:val="single" w:color="auto" w:sz="4" w:space="0"/>
              <w:left w:val="single" w:color="auto" w:sz="4" w:space="0"/>
              <w:bottom w:val="single" w:color="auto" w:sz="4" w:space="0"/>
              <w:right w:val="single" w:color="auto" w:sz="4" w:space="0"/>
            </w:tcBorders>
            <w:shd w:val="clear" w:color="000000" w:fill="D8D8D8"/>
            <w:vAlign w:val="center"/>
          </w:tcPr>
          <w:p>
            <w:pPr>
              <w:widowControl/>
              <w:spacing w:line="360" w:lineRule="auto"/>
              <w:jc w:val="center"/>
              <w:rPr>
                <w:rFonts w:ascii="宋体" w:hAnsi="宋体" w:cs="宋体"/>
                <w:b/>
                <w:bCs/>
                <w:color w:val="auto"/>
                <w:kern w:val="0"/>
                <w:sz w:val="21"/>
                <w:szCs w:val="21"/>
              </w:rPr>
            </w:pPr>
            <w:r>
              <w:rPr>
                <w:rFonts w:hint="eastAsia" w:ascii="宋体" w:hAnsi="宋体" w:cs="宋体"/>
                <w:b/>
                <w:bCs/>
                <w:color w:val="auto"/>
                <w:kern w:val="0"/>
                <w:sz w:val="21"/>
                <w:szCs w:val="21"/>
              </w:rPr>
              <w:t>评分项目</w:t>
            </w:r>
          </w:p>
        </w:tc>
        <w:tc>
          <w:tcPr>
            <w:tcW w:w="4192" w:type="pct"/>
            <w:gridSpan w:val="2"/>
            <w:tcBorders>
              <w:top w:val="single" w:color="auto" w:sz="4" w:space="0"/>
              <w:left w:val="nil"/>
              <w:bottom w:val="single" w:color="auto" w:sz="4" w:space="0"/>
              <w:right w:val="single" w:color="auto" w:sz="4" w:space="0"/>
            </w:tcBorders>
            <w:shd w:val="clear" w:color="000000" w:fill="D8D8D8"/>
            <w:vAlign w:val="center"/>
          </w:tcPr>
          <w:p>
            <w:pPr>
              <w:widowControl/>
              <w:spacing w:line="360" w:lineRule="auto"/>
              <w:jc w:val="center"/>
              <w:rPr>
                <w:rFonts w:ascii="宋体" w:hAnsi="宋体" w:cs="宋体"/>
                <w:b/>
                <w:bCs/>
                <w:color w:val="auto"/>
                <w:kern w:val="0"/>
                <w:sz w:val="21"/>
                <w:szCs w:val="21"/>
              </w:rPr>
            </w:pPr>
            <w:r>
              <w:rPr>
                <w:rFonts w:hint="eastAsia" w:ascii="宋体" w:hAnsi="宋体" w:cs="宋体"/>
                <w:b/>
                <w:bCs/>
                <w:color w:val="auto"/>
                <w:kern w:val="0"/>
                <w:sz w:val="21"/>
                <w:szCs w:val="21"/>
              </w:rPr>
              <w:t>评分细则</w:t>
            </w:r>
          </w:p>
        </w:tc>
        <w:tc>
          <w:tcPr>
            <w:tcW w:w="406" w:type="pct"/>
            <w:tcBorders>
              <w:top w:val="single" w:color="auto" w:sz="4" w:space="0"/>
              <w:left w:val="nil"/>
              <w:bottom w:val="single" w:color="auto" w:sz="4" w:space="0"/>
              <w:right w:val="single" w:color="auto" w:sz="4" w:space="0"/>
            </w:tcBorders>
            <w:shd w:val="clear" w:color="000000" w:fill="D8D8D8"/>
            <w:vAlign w:val="center"/>
          </w:tcPr>
          <w:p>
            <w:pPr>
              <w:widowControl/>
              <w:spacing w:line="360" w:lineRule="auto"/>
              <w:jc w:val="center"/>
              <w:rPr>
                <w:rFonts w:ascii="宋体" w:hAnsi="宋体" w:cs="宋体"/>
                <w:b/>
                <w:bCs/>
                <w:color w:val="auto"/>
                <w:kern w:val="0"/>
                <w:sz w:val="21"/>
                <w:szCs w:val="21"/>
              </w:rPr>
            </w:pPr>
            <w:r>
              <w:rPr>
                <w:rFonts w:hint="eastAsia" w:ascii="宋体" w:hAnsi="宋体" w:cs="宋体"/>
                <w:b/>
                <w:bCs/>
                <w:color w:val="auto"/>
                <w:kern w:val="0"/>
                <w:sz w:val="21"/>
                <w:szCs w:val="21"/>
              </w:rPr>
              <w:t>分值</w:t>
            </w:r>
          </w:p>
        </w:tc>
      </w:tr>
      <w:tr>
        <w:tblPrEx>
          <w:tblCellMar>
            <w:top w:w="0" w:type="dxa"/>
            <w:left w:w="108" w:type="dxa"/>
            <w:bottom w:w="0" w:type="dxa"/>
            <w:right w:w="108" w:type="dxa"/>
          </w:tblCellMar>
        </w:tblPrEx>
        <w:trPr>
          <w:trHeight w:val="1057" w:hRule="atLeast"/>
        </w:trPr>
        <w:tc>
          <w:tcPr>
            <w:tcW w:w="40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color w:val="auto"/>
                <w:kern w:val="0"/>
                <w:sz w:val="21"/>
                <w:szCs w:val="21"/>
              </w:rPr>
            </w:pPr>
            <w:r>
              <w:rPr>
                <w:rFonts w:hint="eastAsia" w:ascii="宋体" w:hAnsi="宋体" w:cs="宋体"/>
                <w:b/>
                <w:bCs/>
                <w:color w:val="auto"/>
                <w:kern w:val="0"/>
                <w:sz w:val="21"/>
                <w:szCs w:val="21"/>
              </w:rPr>
              <w:t>技术性能</w:t>
            </w:r>
            <w:r>
              <w:rPr>
                <w:rFonts w:hint="eastAsia" w:ascii="宋体" w:hAnsi="宋体" w:cs="宋体"/>
                <w:b/>
                <w:bCs/>
                <w:color w:val="auto"/>
                <w:kern w:val="0"/>
                <w:sz w:val="21"/>
                <w:szCs w:val="21"/>
                <w:lang w:val="en-US" w:eastAsia="zh-CN"/>
              </w:rPr>
              <w:t>50</w:t>
            </w:r>
            <w:r>
              <w:rPr>
                <w:rFonts w:hint="eastAsia" w:ascii="宋体" w:hAnsi="宋体" w:cs="宋体"/>
                <w:b/>
                <w:bCs/>
                <w:color w:val="auto"/>
                <w:kern w:val="0"/>
                <w:sz w:val="21"/>
                <w:szCs w:val="21"/>
              </w:rPr>
              <w:t>分</w:t>
            </w:r>
          </w:p>
        </w:tc>
        <w:tc>
          <w:tcPr>
            <w:tcW w:w="406"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hint="eastAsia"/>
                <w:color w:val="auto"/>
                <w:sz w:val="21"/>
                <w:szCs w:val="21"/>
                <w:highlight w:val="none"/>
              </w:rPr>
            </w:pPr>
            <w:r>
              <w:rPr>
                <w:rFonts w:hint="eastAsia"/>
                <w:color w:val="auto"/>
                <w:sz w:val="21"/>
                <w:szCs w:val="21"/>
                <w:highlight w:val="none"/>
              </w:rPr>
              <w:t>综合性能</w:t>
            </w:r>
          </w:p>
          <w:p>
            <w:pPr>
              <w:pStyle w:val="10"/>
              <w:spacing w:line="240" w:lineRule="auto"/>
              <w:jc w:val="center"/>
              <w:rPr>
                <w:rFonts w:hint="default" w:eastAsia="宋体"/>
                <w:color w:val="auto"/>
                <w:sz w:val="21"/>
                <w:szCs w:val="21"/>
                <w:highlight w:val="none"/>
                <w:lang w:val="en-US" w:eastAsia="zh-CN"/>
              </w:rPr>
            </w:pPr>
            <w:r>
              <w:rPr>
                <w:rFonts w:hint="eastAsia" w:ascii="宋体" w:hAnsi="宋体" w:cs="宋体"/>
                <w:b w:val="0"/>
                <w:bCs w:val="0"/>
                <w:color w:val="auto"/>
                <w:kern w:val="0"/>
                <w:sz w:val="21"/>
                <w:szCs w:val="21"/>
                <w:highlight w:val="none"/>
                <w:lang w:val="en-US" w:eastAsia="zh-CN"/>
              </w:rPr>
              <w:t>48分</w:t>
            </w:r>
          </w:p>
        </w:tc>
        <w:tc>
          <w:tcPr>
            <w:tcW w:w="3786" w:type="pct"/>
            <w:tcBorders>
              <w:top w:val="nil"/>
              <w:left w:val="nil"/>
              <w:bottom w:val="single" w:color="auto" w:sz="4" w:space="0"/>
              <w:right w:val="single" w:color="auto" w:sz="4" w:space="0"/>
            </w:tcBorders>
            <w:shd w:val="clear" w:color="auto" w:fill="auto"/>
            <w:vAlign w:val="center"/>
          </w:tcPr>
          <w:p>
            <w:pPr>
              <w:widowControl/>
              <w:spacing w:line="240" w:lineRule="auto"/>
              <w:rPr>
                <w:rFonts w:hint="eastAsia" w:ascii="宋体" w:hAnsi="宋体" w:cs="宋体"/>
                <w:color w:val="auto"/>
                <w:kern w:val="0"/>
                <w:sz w:val="21"/>
                <w:szCs w:val="21"/>
              </w:rPr>
            </w:pPr>
            <w:r>
              <w:rPr>
                <w:rFonts w:hint="eastAsia" w:ascii="宋体" w:hAnsi="宋体" w:cs="宋体"/>
                <w:color w:val="auto"/>
                <w:kern w:val="0"/>
                <w:sz w:val="21"/>
                <w:szCs w:val="21"/>
              </w:rPr>
              <w:t>根据投标人对项目现状</w:t>
            </w:r>
            <w:r>
              <w:rPr>
                <w:rFonts w:hint="eastAsia" w:ascii="宋体" w:hAnsi="宋体" w:cs="宋体"/>
                <w:color w:val="auto"/>
                <w:kern w:val="0"/>
                <w:sz w:val="21"/>
                <w:szCs w:val="21"/>
                <w:lang w:eastAsia="zh-CN"/>
              </w:rPr>
              <w:t>和需求的</w:t>
            </w:r>
            <w:r>
              <w:rPr>
                <w:rFonts w:hint="eastAsia" w:ascii="宋体" w:hAnsi="宋体" w:cs="宋体"/>
                <w:color w:val="auto"/>
                <w:kern w:val="0"/>
                <w:sz w:val="21"/>
                <w:szCs w:val="21"/>
              </w:rPr>
              <w:t>分析</w:t>
            </w:r>
            <w:r>
              <w:rPr>
                <w:rFonts w:hint="eastAsia" w:ascii="宋体" w:hAnsi="宋体" w:cs="宋体"/>
                <w:color w:val="auto"/>
                <w:kern w:val="0"/>
                <w:sz w:val="21"/>
                <w:szCs w:val="21"/>
                <w:lang w:eastAsia="zh-CN"/>
              </w:rPr>
              <w:t>进行评分</w:t>
            </w:r>
            <w:r>
              <w:rPr>
                <w:rFonts w:hint="eastAsia" w:ascii="宋体" w:hAnsi="宋体" w:cs="宋体"/>
                <w:color w:val="auto"/>
                <w:kern w:val="0"/>
                <w:sz w:val="21"/>
                <w:szCs w:val="21"/>
              </w:rPr>
              <w:t>：</w:t>
            </w:r>
          </w:p>
          <w:p>
            <w:pPr>
              <w:widowControl/>
              <w:spacing w:line="240" w:lineRule="auto"/>
              <w:rPr>
                <w:rFonts w:hint="eastAsia" w:ascii="宋体" w:hAnsi="宋体" w:cs="宋体"/>
                <w:color w:val="auto"/>
                <w:kern w:val="0"/>
                <w:sz w:val="21"/>
                <w:szCs w:val="21"/>
              </w:rPr>
            </w:pPr>
            <w:r>
              <w:rPr>
                <w:rFonts w:hint="eastAsia" w:ascii="宋体" w:hAnsi="宋体" w:cs="宋体"/>
                <w:color w:val="auto"/>
                <w:kern w:val="0"/>
                <w:sz w:val="21"/>
                <w:szCs w:val="21"/>
              </w:rPr>
              <w:t>①</w:t>
            </w:r>
            <w:r>
              <w:rPr>
                <w:rFonts w:hint="eastAsia" w:ascii="宋体" w:hAnsi="宋体" w:cs="宋体"/>
                <w:color w:val="auto"/>
                <w:kern w:val="0"/>
                <w:sz w:val="21"/>
                <w:szCs w:val="21"/>
                <w:lang w:eastAsia="zh-CN"/>
              </w:rPr>
              <w:t>分析</w:t>
            </w:r>
            <w:r>
              <w:rPr>
                <w:rFonts w:hint="eastAsia" w:ascii="宋体" w:hAnsi="宋体" w:cs="宋体"/>
                <w:color w:val="auto"/>
                <w:kern w:val="0"/>
                <w:sz w:val="21"/>
                <w:szCs w:val="21"/>
                <w:lang w:val="en-US" w:eastAsia="zh-CN"/>
              </w:rPr>
              <w:t>深入，</w:t>
            </w:r>
            <w:r>
              <w:rPr>
                <w:rFonts w:hint="eastAsia" w:ascii="宋体" w:hAnsi="宋体" w:cs="宋体"/>
                <w:color w:val="auto"/>
                <w:kern w:val="0"/>
                <w:sz w:val="21"/>
                <w:szCs w:val="21"/>
              </w:rPr>
              <w:t>全面、</w:t>
            </w:r>
            <w:r>
              <w:rPr>
                <w:rFonts w:hint="eastAsia" w:ascii="宋体" w:hAnsi="宋体" w:cs="宋体"/>
                <w:color w:val="auto"/>
                <w:kern w:val="0"/>
                <w:sz w:val="21"/>
                <w:szCs w:val="21"/>
                <w:lang w:eastAsia="zh-CN"/>
              </w:rPr>
              <w:t>合理</w:t>
            </w:r>
            <w:r>
              <w:rPr>
                <w:rFonts w:hint="eastAsia" w:ascii="宋体" w:hAnsi="宋体" w:cs="宋体"/>
                <w:color w:val="auto"/>
                <w:kern w:val="0"/>
                <w:sz w:val="21"/>
                <w:szCs w:val="21"/>
              </w:rPr>
              <w:t>且针对性</w:t>
            </w:r>
            <w:r>
              <w:rPr>
                <w:rFonts w:hint="eastAsia" w:ascii="宋体" w:hAnsi="宋体" w:cs="宋体"/>
                <w:color w:val="auto"/>
                <w:kern w:val="0"/>
                <w:sz w:val="21"/>
                <w:szCs w:val="21"/>
                <w:lang w:val="en-US" w:eastAsia="zh-CN"/>
              </w:rPr>
              <w:t>强</w:t>
            </w:r>
            <w:r>
              <w:rPr>
                <w:rFonts w:hint="eastAsia" w:ascii="宋体" w:hAnsi="宋体" w:cs="宋体"/>
                <w:color w:val="auto"/>
                <w:kern w:val="0"/>
                <w:sz w:val="21"/>
                <w:szCs w:val="21"/>
              </w:rPr>
              <w:t>的得</w:t>
            </w:r>
            <w:r>
              <w:rPr>
                <w:rFonts w:hint="eastAsia" w:ascii="宋体" w:hAnsi="宋体" w:cs="宋体"/>
                <w:color w:val="auto"/>
                <w:kern w:val="0"/>
                <w:sz w:val="21"/>
                <w:szCs w:val="21"/>
                <w:lang w:val="en-US" w:eastAsia="zh-CN"/>
              </w:rPr>
              <w:t>3-2.1</w:t>
            </w:r>
            <w:r>
              <w:rPr>
                <w:rFonts w:hint="eastAsia" w:ascii="宋体" w:hAnsi="宋体" w:cs="宋体"/>
                <w:color w:val="auto"/>
                <w:kern w:val="0"/>
                <w:sz w:val="21"/>
                <w:szCs w:val="21"/>
              </w:rPr>
              <w:t>分；</w:t>
            </w:r>
          </w:p>
          <w:p>
            <w:pPr>
              <w:widowControl/>
              <w:spacing w:line="240" w:lineRule="auto"/>
              <w:rPr>
                <w:rFonts w:hint="eastAsia" w:ascii="宋体" w:hAnsi="宋体" w:cs="宋体"/>
                <w:color w:val="auto"/>
                <w:kern w:val="0"/>
                <w:sz w:val="21"/>
                <w:szCs w:val="21"/>
              </w:rPr>
            </w:pPr>
            <w:r>
              <w:rPr>
                <w:rFonts w:hint="eastAsia" w:ascii="宋体" w:hAnsi="宋体" w:cs="宋体"/>
                <w:color w:val="auto"/>
                <w:kern w:val="0"/>
                <w:sz w:val="21"/>
                <w:szCs w:val="21"/>
              </w:rPr>
              <w:t>②</w:t>
            </w:r>
            <w:r>
              <w:rPr>
                <w:rFonts w:hint="eastAsia" w:ascii="宋体" w:hAnsi="宋体" w:cs="宋体"/>
                <w:color w:val="auto"/>
                <w:kern w:val="0"/>
                <w:sz w:val="21"/>
                <w:szCs w:val="21"/>
                <w:lang w:eastAsia="zh-CN"/>
              </w:rPr>
              <w:t>分析不够全面、合理</w:t>
            </w:r>
            <w:r>
              <w:rPr>
                <w:rFonts w:hint="eastAsia" w:ascii="宋体" w:hAnsi="宋体" w:cs="宋体"/>
                <w:color w:val="auto"/>
                <w:kern w:val="0"/>
                <w:sz w:val="21"/>
                <w:szCs w:val="21"/>
                <w:lang w:val="en-US" w:eastAsia="zh-CN"/>
              </w:rPr>
              <w:t>且针对性一般</w:t>
            </w:r>
            <w:r>
              <w:rPr>
                <w:rFonts w:hint="eastAsia" w:ascii="宋体" w:hAnsi="宋体" w:cs="宋体"/>
                <w:color w:val="auto"/>
                <w:kern w:val="0"/>
                <w:sz w:val="21"/>
                <w:szCs w:val="21"/>
              </w:rPr>
              <w:t>的得</w:t>
            </w:r>
            <w:r>
              <w:rPr>
                <w:rFonts w:hint="eastAsia" w:ascii="宋体" w:hAnsi="宋体" w:cs="宋体"/>
                <w:color w:val="auto"/>
                <w:kern w:val="0"/>
                <w:sz w:val="21"/>
                <w:szCs w:val="21"/>
                <w:lang w:val="en-US" w:eastAsia="zh-CN"/>
              </w:rPr>
              <w:t>2-1.1</w:t>
            </w:r>
            <w:r>
              <w:rPr>
                <w:rFonts w:hint="eastAsia" w:ascii="宋体" w:hAnsi="宋体" w:cs="宋体"/>
                <w:color w:val="auto"/>
                <w:kern w:val="0"/>
                <w:sz w:val="21"/>
                <w:szCs w:val="21"/>
              </w:rPr>
              <w:t>分；</w:t>
            </w:r>
          </w:p>
          <w:p>
            <w:pPr>
              <w:pStyle w:val="10"/>
              <w:spacing w:line="240" w:lineRule="auto"/>
              <w:rPr>
                <w:rFonts w:hint="default" w:eastAsia="宋体"/>
                <w:color w:val="auto"/>
                <w:sz w:val="21"/>
                <w:szCs w:val="21"/>
                <w:lang w:val="en-US" w:eastAsia="zh-CN"/>
              </w:rPr>
            </w:pPr>
            <w:r>
              <w:rPr>
                <w:rFonts w:hint="eastAsia" w:ascii="宋体" w:hAnsi="宋体" w:cs="宋体"/>
                <w:color w:val="auto"/>
                <w:kern w:val="0"/>
                <w:sz w:val="21"/>
                <w:szCs w:val="21"/>
              </w:rPr>
              <w:t>③</w:t>
            </w:r>
            <w:r>
              <w:rPr>
                <w:rFonts w:hint="eastAsia" w:ascii="宋体" w:hAnsi="宋体" w:cs="宋体"/>
                <w:color w:val="auto"/>
                <w:kern w:val="0"/>
                <w:sz w:val="21"/>
                <w:szCs w:val="21"/>
                <w:lang w:val="en-US" w:eastAsia="zh-CN"/>
              </w:rPr>
              <w:t>分析片面，合理性针对性较差的得1-0.1分；</w:t>
            </w:r>
          </w:p>
          <w:p>
            <w:pPr>
              <w:widowControl/>
              <w:spacing w:line="240" w:lineRule="auto"/>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④</w:t>
            </w:r>
            <w:r>
              <w:rPr>
                <w:rFonts w:hint="eastAsia" w:ascii="宋体" w:hAnsi="宋体" w:cs="宋体"/>
                <w:color w:val="auto"/>
                <w:kern w:val="0"/>
                <w:sz w:val="21"/>
                <w:szCs w:val="21"/>
                <w:lang w:eastAsia="zh-CN"/>
              </w:rPr>
              <w:t>未做分析的</w:t>
            </w:r>
            <w:r>
              <w:rPr>
                <w:rFonts w:hint="eastAsia" w:ascii="宋体" w:hAnsi="宋体" w:cs="宋体"/>
                <w:color w:val="auto"/>
                <w:kern w:val="0"/>
                <w:sz w:val="21"/>
                <w:szCs w:val="21"/>
              </w:rPr>
              <w:t>得</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分。</w:t>
            </w:r>
          </w:p>
        </w:tc>
        <w:tc>
          <w:tcPr>
            <w:tcW w:w="406"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3</w:t>
            </w:r>
          </w:p>
        </w:tc>
      </w:tr>
      <w:tr>
        <w:tblPrEx>
          <w:tblCellMar>
            <w:top w:w="0" w:type="dxa"/>
            <w:left w:w="108" w:type="dxa"/>
            <w:bottom w:w="0" w:type="dxa"/>
            <w:right w:w="108" w:type="dxa"/>
          </w:tblCellMar>
        </w:tblPrEx>
        <w:trPr>
          <w:trHeight w:val="1007" w:hRule="atLeast"/>
        </w:trPr>
        <w:tc>
          <w:tcPr>
            <w:tcW w:w="400" w:type="pct"/>
            <w:vMerge w:val="continue"/>
            <w:tcBorders>
              <w:left w:val="single" w:color="auto" w:sz="4" w:space="0"/>
              <w:right w:val="single" w:color="auto" w:sz="4" w:space="0"/>
            </w:tcBorders>
            <w:shd w:val="clear" w:color="auto" w:fill="auto"/>
            <w:vAlign w:val="center"/>
          </w:tcPr>
          <w:p>
            <w:pPr>
              <w:widowControl/>
              <w:spacing w:line="360" w:lineRule="auto"/>
              <w:jc w:val="center"/>
              <w:rPr>
                <w:rFonts w:hint="eastAsia" w:ascii="宋体" w:hAnsi="宋体" w:cs="宋体"/>
                <w:b/>
                <w:bCs/>
                <w:color w:val="auto"/>
                <w:kern w:val="0"/>
                <w:sz w:val="21"/>
                <w:szCs w:val="21"/>
              </w:rPr>
            </w:pPr>
          </w:p>
        </w:tc>
        <w:tc>
          <w:tcPr>
            <w:tcW w:w="406" w:type="pct"/>
            <w:vMerge w:val="continue"/>
            <w:tcBorders>
              <w:left w:val="single" w:color="auto" w:sz="4" w:space="0"/>
              <w:right w:val="single" w:color="auto" w:sz="4" w:space="0"/>
            </w:tcBorders>
            <w:shd w:val="clear" w:color="auto" w:fill="auto"/>
            <w:vAlign w:val="center"/>
          </w:tcPr>
          <w:p>
            <w:pPr>
              <w:pStyle w:val="10"/>
              <w:spacing w:line="240" w:lineRule="auto"/>
              <w:jc w:val="center"/>
              <w:rPr>
                <w:rFonts w:hint="eastAsia" w:ascii="宋体" w:hAnsi="宋体" w:cs="宋体"/>
                <w:b w:val="0"/>
                <w:bCs w:val="0"/>
                <w:color w:val="auto"/>
                <w:kern w:val="0"/>
                <w:sz w:val="21"/>
                <w:szCs w:val="21"/>
                <w:lang w:val="en-US" w:eastAsia="zh-CN"/>
              </w:rPr>
            </w:pPr>
          </w:p>
        </w:tc>
        <w:tc>
          <w:tcPr>
            <w:tcW w:w="3786" w:type="pct"/>
            <w:tcBorders>
              <w:top w:val="nil"/>
              <w:left w:val="nil"/>
              <w:bottom w:val="single" w:color="auto" w:sz="4" w:space="0"/>
              <w:right w:val="single" w:color="auto" w:sz="4" w:space="0"/>
            </w:tcBorders>
            <w:shd w:val="clear" w:color="auto" w:fill="auto"/>
            <w:vAlign w:val="center"/>
          </w:tcPr>
          <w:p>
            <w:pPr>
              <w:widowControl/>
              <w:spacing w:line="240" w:lineRule="auto"/>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根据投标人</w:t>
            </w:r>
            <w:r>
              <w:rPr>
                <w:rFonts w:hint="eastAsia" w:ascii="宋体" w:hAnsi="宋体" w:cs="宋体"/>
                <w:color w:val="auto"/>
                <w:kern w:val="0"/>
                <w:sz w:val="21"/>
                <w:szCs w:val="21"/>
                <w:lang w:eastAsia="zh-CN"/>
              </w:rPr>
              <w:t>的</w:t>
            </w:r>
            <w:r>
              <w:rPr>
                <w:rFonts w:hint="eastAsia" w:ascii="宋体" w:hAnsi="宋体" w:cs="宋体"/>
                <w:color w:val="auto"/>
                <w:kern w:val="0"/>
                <w:sz w:val="21"/>
                <w:szCs w:val="21"/>
              </w:rPr>
              <w:t>项目总体设计方案</w:t>
            </w:r>
            <w:r>
              <w:rPr>
                <w:rFonts w:hint="eastAsia" w:ascii="宋体" w:hAnsi="宋体" w:cs="宋体"/>
                <w:color w:val="auto"/>
                <w:kern w:val="0"/>
                <w:sz w:val="21"/>
                <w:szCs w:val="21"/>
                <w:lang w:eastAsia="zh-CN"/>
              </w:rPr>
              <w:t>，包括总体思路</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总体架构、总体目标，以及对于重难点分析情况进行评分</w:t>
            </w:r>
            <w:r>
              <w:rPr>
                <w:rFonts w:hint="eastAsia" w:ascii="宋体" w:hAnsi="宋体" w:cs="宋体"/>
                <w:color w:val="auto"/>
                <w:kern w:val="0"/>
                <w:sz w:val="21"/>
                <w:szCs w:val="21"/>
              </w:rPr>
              <w:t>：</w:t>
            </w:r>
          </w:p>
          <w:p>
            <w:pPr>
              <w:spacing w:line="240" w:lineRule="auto"/>
              <w:jc w:val="left"/>
              <w:rPr>
                <w:rFonts w:hint="eastAsia" w:ascii="宋体" w:hAnsi="宋体" w:eastAsia="宋体"/>
                <w:color w:val="auto"/>
                <w:sz w:val="21"/>
                <w:szCs w:val="21"/>
                <w:lang w:eastAsia="zh-CN"/>
              </w:rPr>
            </w:pPr>
            <w:r>
              <w:rPr>
                <w:rFonts w:hint="eastAsia" w:ascii="宋体" w:hAnsi="宋体"/>
                <w:color w:val="auto"/>
                <w:sz w:val="21"/>
                <w:szCs w:val="21"/>
                <w:lang w:val="en-US" w:eastAsia="zh-CN"/>
              </w:rPr>
              <w:t>①对</w:t>
            </w:r>
            <w:r>
              <w:rPr>
                <w:rFonts w:hint="eastAsia" w:ascii="宋体" w:hAnsi="宋体" w:eastAsia="宋体"/>
                <w:color w:val="auto"/>
                <w:sz w:val="21"/>
                <w:szCs w:val="21"/>
              </w:rPr>
              <w:t>项目</w:t>
            </w:r>
            <w:r>
              <w:rPr>
                <w:rFonts w:hint="eastAsia" w:ascii="宋体" w:hAnsi="宋体" w:eastAsia="宋体"/>
                <w:color w:val="auto"/>
                <w:sz w:val="21"/>
                <w:szCs w:val="21"/>
                <w:lang w:val="en-US" w:eastAsia="zh-CN"/>
              </w:rPr>
              <w:t>总体设计方案</w:t>
            </w:r>
            <w:r>
              <w:rPr>
                <w:rFonts w:hint="eastAsia" w:ascii="宋体" w:hAnsi="宋体" w:eastAsia="宋体"/>
                <w:color w:val="auto"/>
                <w:sz w:val="21"/>
                <w:szCs w:val="21"/>
              </w:rPr>
              <w:t>了解深入，</w:t>
            </w:r>
            <w:r>
              <w:rPr>
                <w:rFonts w:hint="eastAsia" w:ascii="宋体" w:hAnsi="宋体" w:cs="宋体"/>
                <w:color w:val="auto"/>
                <w:kern w:val="0"/>
                <w:sz w:val="21"/>
                <w:szCs w:val="21"/>
                <w:lang w:eastAsia="zh-CN"/>
              </w:rPr>
              <w:t>重难点分析</w:t>
            </w:r>
            <w:r>
              <w:rPr>
                <w:rFonts w:hint="eastAsia" w:ascii="宋体" w:hAnsi="宋体" w:eastAsia="宋体"/>
                <w:color w:val="auto"/>
                <w:sz w:val="21"/>
                <w:szCs w:val="21"/>
              </w:rPr>
              <w:t>思路清晰，设计方案</w:t>
            </w:r>
            <w:r>
              <w:rPr>
                <w:rFonts w:hint="eastAsia" w:ascii="宋体" w:hAnsi="宋体" w:cs="宋体"/>
                <w:color w:val="auto"/>
                <w:kern w:val="0"/>
                <w:sz w:val="21"/>
                <w:szCs w:val="21"/>
                <w:lang w:eastAsia="zh-CN"/>
              </w:rPr>
              <w:t>全面、准确、针对性</w:t>
            </w:r>
            <w:r>
              <w:rPr>
                <w:rFonts w:hint="eastAsia" w:ascii="宋体" w:hAnsi="宋体" w:cs="宋体"/>
                <w:color w:val="auto"/>
                <w:kern w:val="0"/>
                <w:sz w:val="21"/>
                <w:szCs w:val="21"/>
                <w:lang w:val="en-US" w:eastAsia="zh-CN"/>
              </w:rPr>
              <w:t>强的</w:t>
            </w:r>
            <w:r>
              <w:rPr>
                <w:rFonts w:hint="eastAsia" w:ascii="宋体" w:hAnsi="宋体" w:eastAsia="宋体"/>
                <w:color w:val="auto"/>
                <w:sz w:val="21"/>
                <w:szCs w:val="21"/>
              </w:rPr>
              <w:t>得</w:t>
            </w:r>
            <w:r>
              <w:rPr>
                <w:rFonts w:hint="eastAsia" w:ascii="宋体" w:hAnsi="宋体" w:eastAsia="宋体"/>
                <w:color w:val="auto"/>
                <w:sz w:val="21"/>
                <w:szCs w:val="21"/>
                <w:lang w:val="en-US" w:eastAsia="zh-CN"/>
              </w:rPr>
              <w:t>6-4.1</w:t>
            </w:r>
            <w:r>
              <w:rPr>
                <w:rFonts w:hint="eastAsia" w:ascii="宋体" w:hAnsi="宋体" w:eastAsia="宋体"/>
                <w:color w:val="auto"/>
                <w:sz w:val="21"/>
                <w:szCs w:val="21"/>
              </w:rPr>
              <w:t>分</w:t>
            </w:r>
            <w:r>
              <w:rPr>
                <w:rFonts w:hint="eastAsia" w:ascii="宋体" w:hAnsi="宋体"/>
                <w:color w:val="auto"/>
                <w:sz w:val="21"/>
                <w:szCs w:val="21"/>
                <w:lang w:eastAsia="zh-CN"/>
              </w:rPr>
              <w:t>；</w:t>
            </w:r>
          </w:p>
          <w:p>
            <w:pPr>
              <w:spacing w:line="240" w:lineRule="auto"/>
              <w:jc w:val="left"/>
              <w:rPr>
                <w:rFonts w:hint="eastAsia" w:ascii="宋体" w:hAnsi="宋体" w:eastAsia="宋体"/>
                <w:color w:val="auto"/>
                <w:sz w:val="21"/>
                <w:szCs w:val="21"/>
                <w:lang w:eastAsia="zh-CN"/>
              </w:rPr>
            </w:pPr>
            <w:r>
              <w:rPr>
                <w:rFonts w:hint="eastAsia" w:ascii="宋体" w:hAnsi="宋体"/>
                <w:color w:val="auto"/>
                <w:sz w:val="21"/>
                <w:szCs w:val="21"/>
                <w:lang w:val="en-US" w:eastAsia="zh-CN"/>
              </w:rPr>
              <w:t>②</w:t>
            </w:r>
            <w:r>
              <w:rPr>
                <w:rFonts w:hint="eastAsia" w:ascii="宋体" w:hAnsi="宋体" w:eastAsia="宋体"/>
                <w:color w:val="auto"/>
                <w:sz w:val="21"/>
                <w:szCs w:val="21"/>
              </w:rPr>
              <w:t>项目现状和招标方案需求了解较深入，</w:t>
            </w:r>
            <w:r>
              <w:rPr>
                <w:rFonts w:hint="eastAsia" w:ascii="宋体" w:hAnsi="宋体" w:cs="宋体"/>
                <w:color w:val="auto"/>
                <w:kern w:val="0"/>
                <w:sz w:val="21"/>
                <w:szCs w:val="21"/>
                <w:lang w:eastAsia="zh-CN"/>
              </w:rPr>
              <w:t>重难点分析</w:t>
            </w:r>
            <w:r>
              <w:rPr>
                <w:rFonts w:hint="eastAsia" w:ascii="宋体" w:hAnsi="宋体" w:eastAsia="宋体"/>
                <w:color w:val="auto"/>
                <w:sz w:val="21"/>
                <w:szCs w:val="21"/>
              </w:rPr>
              <w:t>思路较清晰，设计方案</w:t>
            </w:r>
            <w:r>
              <w:rPr>
                <w:rFonts w:hint="eastAsia" w:ascii="宋体" w:hAnsi="宋体" w:cs="宋体"/>
                <w:color w:val="auto"/>
                <w:kern w:val="0"/>
                <w:sz w:val="21"/>
                <w:szCs w:val="21"/>
                <w:lang w:eastAsia="zh-CN"/>
              </w:rPr>
              <w:t>全面、准确、针对性</w:t>
            </w:r>
            <w:r>
              <w:rPr>
                <w:rFonts w:hint="eastAsia" w:ascii="宋体" w:hAnsi="宋体" w:cs="宋体"/>
                <w:color w:val="auto"/>
                <w:kern w:val="0"/>
                <w:sz w:val="21"/>
                <w:szCs w:val="21"/>
                <w:lang w:val="en-US" w:eastAsia="zh-CN"/>
              </w:rPr>
              <w:t>一般的</w:t>
            </w:r>
            <w:r>
              <w:rPr>
                <w:rFonts w:hint="eastAsia" w:ascii="宋体" w:hAnsi="宋体" w:eastAsia="宋体"/>
                <w:color w:val="auto"/>
                <w:sz w:val="21"/>
                <w:szCs w:val="21"/>
              </w:rPr>
              <w:t>得</w:t>
            </w:r>
            <w:r>
              <w:rPr>
                <w:rFonts w:hint="eastAsia" w:ascii="宋体" w:hAnsi="宋体" w:eastAsia="宋体"/>
                <w:color w:val="auto"/>
                <w:sz w:val="21"/>
                <w:szCs w:val="21"/>
                <w:lang w:val="en-US" w:eastAsia="zh-CN"/>
              </w:rPr>
              <w:t>4-2.1</w:t>
            </w:r>
            <w:r>
              <w:rPr>
                <w:rFonts w:hint="eastAsia" w:ascii="宋体" w:hAnsi="宋体" w:eastAsia="宋体"/>
                <w:color w:val="auto"/>
                <w:sz w:val="21"/>
                <w:szCs w:val="21"/>
              </w:rPr>
              <w:t>分</w:t>
            </w:r>
            <w:r>
              <w:rPr>
                <w:rFonts w:hint="eastAsia" w:ascii="宋体" w:hAnsi="宋体"/>
                <w:color w:val="auto"/>
                <w:sz w:val="21"/>
                <w:szCs w:val="21"/>
                <w:lang w:eastAsia="zh-CN"/>
              </w:rPr>
              <w:t>；</w:t>
            </w:r>
          </w:p>
          <w:p>
            <w:pPr>
              <w:widowControl/>
              <w:spacing w:line="240" w:lineRule="auto"/>
              <w:rPr>
                <w:rFonts w:hint="eastAsia" w:ascii="宋体" w:hAnsi="宋体" w:cs="宋体"/>
                <w:color w:val="auto"/>
                <w:kern w:val="0"/>
                <w:sz w:val="21"/>
                <w:szCs w:val="21"/>
                <w:lang w:val="en-US" w:eastAsia="zh-CN"/>
              </w:rPr>
            </w:pPr>
            <w:r>
              <w:rPr>
                <w:rFonts w:hint="eastAsia" w:ascii="宋体" w:hAnsi="宋体"/>
                <w:color w:val="auto"/>
                <w:sz w:val="21"/>
                <w:szCs w:val="21"/>
                <w:lang w:val="en-US" w:eastAsia="zh-CN"/>
              </w:rPr>
              <w:t>③</w:t>
            </w:r>
            <w:r>
              <w:rPr>
                <w:rFonts w:hint="eastAsia" w:ascii="宋体" w:hAnsi="宋体" w:eastAsia="宋体"/>
                <w:color w:val="auto"/>
                <w:sz w:val="21"/>
                <w:szCs w:val="21"/>
              </w:rPr>
              <w:t>项目现状和招标方案需求了解一般，</w:t>
            </w:r>
            <w:r>
              <w:rPr>
                <w:rFonts w:hint="eastAsia" w:ascii="宋体" w:hAnsi="宋体" w:cs="宋体"/>
                <w:color w:val="auto"/>
                <w:kern w:val="0"/>
                <w:sz w:val="21"/>
                <w:szCs w:val="21"/>
                <w:lang w:eastAsia="zh-CN"/>
              </w:rPr>
              <w:t>重难点分析</w:t>
            </w:r>
            <w:r>
              <w:rPr>
                <w:rFonts w:hint="eastAsia" w:ascii="宋体" w:hAnsi="宋体" w:eastAsia="宋体"/>
                <w:color w:val="auto"/>
                <w:sz w:val="21"/>
                <w:szCs w:val="21"/>
              </w:rPr>
              <w:t>思路一般，设计方案</w:t>
            </w:r>
            <w:r>
              <w:rPr>
                <w:rFonts w:hint="eastAsia" w:ascii="宋体" w:hAnsi="宋体" w:cs="宋体"/>
                <w:color w:val="auto"/>
                <w:kern w:val="0"/>
                <w:sz w:val="21"/>
                <w:szCs w:val="21"/>
                <w:lang w:eastAsia="zh-CN"/>
              </w:rPr>
              <w:t>全面、准确、针对性</w:t>
            </w:r>
            <w:r>
              <w:rPr>
                <w:rFonts w:hint="eastAsia" w:ascii="宋体" w:hAnsi="宋体" w:cs="宋体"/>
                <w:color w:val="auto"/>
                <w:kern w:val="0"/>
                <w:sz w:val="21"/>
                <w:szCs w:val="21"/>
                <w:lang w:val="en-US" w:eastAsia="zh-CN"/>
              </w:rPr>
              <w:t>较差的</w:t>
            </w:r>
            <w:r>
              <w:rPr>
                <w:rFonts w:hint="eastAsia" w:ascii="宋体" w:hAnsi="宋体" w:eastAsia="宋体"/>
                <w:color w:val="auto"/>
                <w:sz w:val="21"/>
                <w:szCs w:val="21"/>
                <w:lang w:val="en-US" w:eastAsia="zh-CN"/>
              </w:rPr>
              <w:t>2-0.1</w:t>
            </w:r>
            <w:r>
              <w:rPr>
                <w:rFonts w:hint="eastAsia" w:ascii="宋体" w:hAnsi="宋体" w:eastAsia="宋体"/>
                <w:color w:val="auto"/>
                <w:sz w:val="21"/>
                <w:szCs w:val="21"/>
              </w:rPr>
              <w:t>分。</w:t>
            </w:r>
          </w:p>
          <w:p>
            <w:pPr>
              <w:widowControl/>
              <w:spacing w:line="240" w:lineRule="auto"/>
              <w:rPr>
                <w:rFonts w:hint="eastAsia" w:ascii="宋体" w:hAnsi="宋体" w:cs="宋体"/>
                <w:color w:val="auto"/>
                <w:kern w:val="0"/>
                <w:sz w:val="21"/>
                <w:szCs w:val="21"/>
              </w:rPr>
            </w:pPr>
            <w:r>
              <w:rPr>
                <w:rFonts w:hint="eastAsia" w:ascii="宋体" w:hAnsi="宋体" w:cs="宋体"/>
                <w:color w:val="auto"/>
                <w:kern w:val="0"/>
                <w:sz w:val="21"/>
                <w:szCs w:val="21"/>
              </w:rPr>
              <w:t>④</w:t>
            </w:r>
            <w:r>
              <w:rPr>
                <w:rFonts w:hint="eastAsia" w:ascii="宋体" w:hAnsi="宋体" w:cs="宋体"/>
                <w:color w:val="auto"/>
                <w:kern w:val="0"/>
                <w:sz w:val="21"/>
                <w:szCs w:val="21"/>
                <w:lang w:val="en-US" w:eastAsia="zh-CN"/>
              </w:rPr>
              <w:t>未做</w:t>
            </w:r>
            <w:r>
              <w:rPr>
                <w:rFonts w:hint="eastAsia" w:ascii="宋体" w:hAnsi="宋体" w:cs="宋体"/>
                <w:color w:val="auto"/>
                <w:kern w:val="0"/>
                <w:sz w:val="21"/>
                <w:szCs w:val="21"/>
              </w:rPr>
              <w:t>方案不得分。</w:t>
            </w:r>
          </w:p>
        </w:tc>
        <w:tc>
          <w:tcPr>
            <w:tcW w:w="406"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6</w:t>
            </w:r>
          </w:p>
        </w:tc>
      </w:tr>
      <w:tr>
        <w:tblPrEx>
          <w:tblCellMar>
            <w:top w:w="0" w:type="dxa"/>
            <w:left w:w="108" w:type="dxa"/>
            <w:bottom w:w="0" w:type="dxa"/>
            <w:right w:w="108" w:type="dxa"/>
          </w:tblCellMar>
        </w:tblPrEx>
        <w:trPr>
          <w:trHeight w:val="90" w:hRule="atLeast"/>
        </w:trPr>
        <w:tc>
          <w:tcPr>
            <w:tcW w:w="400"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 w:val="21"/>
                <w:szCs w:val="21"/>
              </w:rPr>
            </w:pPr>
          </w:p>
        </w:tc>
        <w:tc>
          <w:tcPr>
            <w:tcW w:w="406"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cs="宋体"/>
                <w:b/>
                <w:bCs/>
                <w:color w:val="auto"/>
                <w:kern w:val="0"/>
                <w:sz w:val="21"/>
                <w:szCs w:val="21"/>
              </w:rPr>
            </w:pPr>
          </w:p>
        </w:tc>
        <w:tc>
          <w:tcPr>
            <w:tcW w:w="3786" w:type="pct"/>
            <w:tcBorders>
              <w:top w:val="nil"/>
              <w:left w:val="nil"/>
              <w:bottom w:val="single" w:color="auto" w:sz="4" w:space="0"/>
              <w:right w:val="single" w:color="auto" w:sz="4" w:space="0"/>
            </w:tcBorders>
            <w:shd w:val="clear" w:color="auto" w:fill="auto"/>
            <w:vAlign w:val="center"/>
          </w:tcPr>
          <w:p>
            <w:pPr>
              <w:widowControl/>
              <w:spacing w:line="240" w:lineRule="auto"/>
              <w:rPr>
                <w:rFonts w:hint="eastAsia" w:ascii="宋体" w:hAnsi="宋体" w:cs="宋体"/>
                <w:color w:val="auto"/>
                <w:kern w:val="0"/>
                <w:sz w:val="21"/>
                <w:szCs w:val="21"/>
              </w:rPr>
            </w:pPr>
            <w:r>
              <w:rPr>
                <w:rFonts w:hint="eastAsia" w:ascii="宋体" w:hAnsi="宋体" w:cs="宋体"/>
                <w:color w:val="auto"/>
                <w:kern w:val="0"/>
                <w:sz w:val="21"/>
                <w:szCs w:val="21"/>
              </w:rPr>
              <w:t>根据投标人对数据中心数据标准体系中数据资源目录及数据表结构详细设计方案（至少包含标准数据库、主题数据库、专题数据库）进行</w:t>
            </w:r>
            <w:r>
              <w:rPr>
                <w:rFonts w:hint="eastAsia" w:ascii="宋体" w:hAnsi="宋体" w:cs="宋体"/>
                <w:color w:val="auto"/>
                <w:kern w:val="0"/>
                <w:sz w:val="21"/>
                <w:szCs w:val="21"/>
                <w:lang w:eastAsia="zh-CN"/>
              </w:rPr>
              <w:t>评</w:t>
            </w:r>
            <w:r>
              <w:rPr>
                <w:rFonts w:hint="eastAsia" w:ascii="宋体" w:hAnsi="宋体" w:cs="宋体"/>
                <w:color w:val="auto"/>
                <w:kern w:val="0"/>
                <w:sz w:val="21"/>
                <w:szCs w:val="21"/>
              </w:rPr>
              <w:t>分：</w:t>
            </w:r>
          </w:p>
          <w:p>
            <w:pPr>
              <w:widowControl/>
              <w:spacing w:line="240" w:lineRule="auto"/>
              <w:rPr>
                <w:rFonts w:hint="eastAsia" w:ascii="宋体" w:hAnsi="宋体" w:cs="宋体"/>
                <w:color w:val="auto"/>
                <w:kern w:val="0"/>
                <w:sz w:val="21"/>
                <w:szCs w:val="21"/>
                <w:lang w:eastAsia="zh-CN"/>
              </w:rPr>
            </w:pPr>
            <w:r>
              <w:rPr>
                <w:rFonts w:hint="eastAsia" w:ascii="宋体" w:hAnsi="宋体" w:cs="宋体"/>
                <w:color w:val="auto"/>
                <w:kern w:val="0"/>
                <w:sz w:val="21"/>
                <w:szCs w:val="21"/>
              </w:rPr>
              <w:t>①</w:t>
            </w:r>
            <w:r>
              <w:rPr>
                <w:rFonts w:hint="eastAsia" w:ascii="宋体" w:hAnsi="宋体" w:cs="宋体"/>
                <w:color w:val="auto"/>
                <w:kern w:val="0"/>
                <w:sz w:val="21"/>
                <w:szCs w:val="21"/>
                <w:lang w:eastAsia="zh-CN"/>
              </w:rPr>
              <w:t>方案描述</w:t>
            </w:r>
            <w:r>
              <w:rPr>
                <w:rFonts w:hint="eastAsia" w:ascii="宋体" w:hAnsi="宋体" w:cs="宋体"/>
                <w:color w:val="auto"/>
                <w:kern w:val="0"/>
                <w:sz w:val="21"/>
                <w:szCs w:val="21"/>
              </w:rPr>
              <w:t>完整性、准确性、合理性</w:t>
            </w:r>
            <w:r>
              <w:rPr>
                <w:rFonts w:hint="eastAsia" w:ascii="宋体" w:hAnsi="宋体" w:cs="宋体"/>
                <w:color w:val="auto"/>
                <w:kern w:val="0"/>
                <w:sz w:val="21"/>
                <w:szCs w:val="21"/>
                <w:lang w:eastAsia="zh-CN"/>
              </w:rPr>
              <w:t>较好的</w:t>
            </w:r>
            <w:r>
              <w:rPr>
                <w:rFonts w:hint="eastAsia" w:ascii="宋体" w:hAnsi="宋体" w:cs="宋体"/>
                <w:color w:val="auto"/>
                <w:kern w:val="0"/>
                <w:sz w:val="21"/>
                <w:szCs w:val="21"/>
              </w:rPr>
              <w:t>得</w:t>
            </w:r>
            <w:r>
              <w:rPr>
                <w:rFonts w:hint="eastAsia" w:ascii="宋体" w:hAnsi="宋体" w:cs="宋体"/>
                <w:color w:val="auto"/>
                <w:kern w:val="0"/>
                <w:sz w:val="21"/>
                <w:szCs w:val="21"/>
                <w:lang w:val="en-US" w:eastAsia="zh-CN"/>
              </w:rPr>
              <w:t>6-4.1</w:t>
            </w:r>
            <w:r>
              <w:rPr>
                <w:rFonts w:hint="eastAsia" w:ascii="宋体" w:hAnsi="宋体" w:cs="宋体"/>
                <w:color w:val="auto"/>
                <w:kern w:val="0"/>
                <w:sz w:val="21"/>
                <w:szCs w:val="21"/>
              </w:rPr>
              <w:t>分</w:t>
            </w:r>
            <w:r>
              <w:rPr>
                <w:rFonts w:hint="eastAsia" w:ascii="宋体" w:hAnsi="宋体" w:cs="宋体"/>
                <w:color w:val="auto"/>
                <w:kern w:val="0"/>
                <w:sz w:val="21"/>
                <w:szCs w:val="21"/>
                <w:lang w:eastAsia="zh-CN"/>
              </w:rPr>
              <w:t>；</w:t>
            </w:r>
          </w:p>
          <w:p>
            <w:pPr>
              <w:widowControl/>
              <w:spacing w:line="240" w:lineRule="auto"/>
              <w:rPr>
                <w:rFonts w:hint="eastAsia" w:ascii="宋体" w:hAnsi="宋体" w:cs="宋体"/>
                <w:color w:val="auto"/>
                <w:kern w:val="0"/>
                <w:sz w:val="21"/>
                <w:szCs w:val="21"/>
                <w:lang w:eastAsia="zh-CN"/>
              </w:rPr>
            </w:pPr>
            <w:r>
              <w:rPr>
                <w:rFonts w:hint="eastAsia" w:ascii="宋体" w:hAnsi="宋体" w:cs="宋体"/>
                <w:color w:val="auto"/>
                <w:kern w:val="0"/>
                <w:sz w:val="21"/>
                <w:szCs w:val="21"/>
              </w:rPr>
              <w:t>②</w:t>
            </w:r>
            <w:r>
              <w:rPr>
                <w:rFonts w:hint="eastAsia" w:ascii="宋体" w:hAnsi="宋体" w:cs="宋体"/>
                <w:color w:val="auto"/>
                <w:kern w:val="0"/>
                <w:sz w:val="21"/>
                <w:szCs w:val="21"/>
                <w:lang w:eastAsia="zh-CN"/>
              </w:rPr>
              <w:t>方案描述</w:t>
            </w:r>
            <w:r>
              <w:rPr>
                <w:rFonts w:hint="eastAsia" w:ascii="宋体" w:hAnsi="宋体" w:cs="宋体"/>
                <w:color w:val="auto"/>
                <w:kern w:val="0"/>
                <w:sz w:val="21"/>
                <w:szCs w:val="21"/>
              </w:rPr>
              <w:t>完整性、准确性、合理性一般</w:t>
            </w:r>
            <w:r>
              <w:rPr>
                <w:rFonts w:hint="eastAsia" w:ascii="宋体" w:hAnsi="宋体" w:cs="宋体"/>
                <w:color w:val="auto"/>
                <w:kern w:val="0"/>
                <w:sz w:val="21"/>
                <w:szCs w:val="21"/>
                <w:lang w:eastAsia="zh-CN"/>
              </w:rPr>
              <w:t>的</w:t>
            </w:r>
            <w:r>
              <w:rPr>
                <w:rFonts w:hint="eastAsia" w:ascii="宋体" w:hAnsi="宋体" w:cs="宋体"/>
                <w:color w:val="auto"/>
                <w:kern w:val="0"/>
                <w:sz w:val="21"/>
                <w:szCs w:val="21"/>
              </w:rPr>
              <w:t>得</w:t>
            </w:r>
            <w:r>
              <w:rPr>
                <w:rFonts w:hint="eastAsia" w:ascii="宋体" w:hAnsi="宋体" w:cs="宋体"/>
                <w:color w:val="auto"/>
                <w:kern w:val="0"/>
                <w:sz w:val="21"/>
                <w:szCs w:val="21"/>
                <w:lang w:val="en-US" w:eastAsia="zh-CN"/>
              </w:rPr>
              <w:t>4-2.1</w:t>
            </w:r>
            <w:r>
              <w:rPr>
                <w:rFonts w:hint="eastAsia" w:ascii="宋体" w:hAnsi="宋体" w:cs="宋体"/>
                <w:color w:val="auto"/>
                <w:kern w:val="0"/>
                <w:sz w:val="21"/>
                <w:szCs w:val="21"/>
              </w:rPr>
              <w:t>分</w:t>
            </w:r>
            <w:r>
              <w:rPr>
                <w:rFonts w:hint="eastAsia" w:ascii="宋体" w:hAnsi="宋体" w:cs="宋体"/>
                <w:color w:val="auto"/>
                <w:kern w:val="0"/>
                <w:sz w:val="21"/>
                <w:szCs w:val="21"/>
                <w:lang w:eastAsia="zh-CN"/>
              </w:rPr>
              <w:t>；</w:t>
            </w:r>
          </w:p>
          <w:p>
            <w:pPr>
              <w:widowControl/>
              <w:spacing w:line="240" w:lineRule="auto"/>
              <w:rPr>
                <w:rFonts w:hint="eastAsia" w:ascii="宋体" w:hAnsi="宋体" w:cs="宋体"/>
                <w:color w:val="auto"/>
                <w:kern w:val="0"/>
                <w:sz w:val="21"/>
                <w:szCs w:val="21"/>
                <w:lang w:eastAsia="zh-CN"/>
              </w:rPr>
            </w:pPr>
            <w:r>
              <w:rPr>
                <w:rFonts w:hint="eastAsia" w:ascii="宋体" w:hAnsi="宋体" w:cs="宋体"/>
                <w:color w:val="auto"/>
                <w:kern w:val="0"/>
                <w:sz w:val="21"/>
                <w:szCs w:val="21"/>
              </w:rPr>
              <w:t>③</w:t>
            </w:r>
            <w:r>
              <w:rPr>
                <w:rFonts w:hint="eastAsia" w:ascii="宋体" w:hAnsi="宋体" w:cs="宋体"/>
                <w:color w:val="auto"/>
                <w:kern w:val="0"/>
                <w:sz w:val="21"/>
                <w:szCs w:val="21"/>
                <w:lang w:eastAsia="zh-CN"/>
              </w:rPr>
              <w:t>方案描述</w:t>
            </w:r>
            <w:r>
              <w:rPr>
                <w:rFonts w:hint="eastAsia" w:ascii="宋体" w:hAnsi="宋体" w:cs="宋体"/>
                <w:color w:val="auto"/>
                <w:kern w:val="0"/>
                <w:sz w:val="21"/>
                <w:szCs w:val="21"/>
              </w:rPr>
              <w:t>完整性、准确性、合理性</w:t>
            </w:r>
            <w:r>
              <w:rPr>
                <w:rFonts w:hint="eastAsia" w:ascii="宋体" w:hAnsi="宋体" w:cs="宋体"/>
                <w:color w:val="auto"/>
                <w:kern w:val="0"/>
                <w:sz w:val="21"/>
                <w:szCs w:val="21"/>
                <w:lang w:eastAsia="zh-CN"/>
              </w:rPr>
              <w:t>较差的</w:t>
            </w:r>
            <w:r>
              <w:rPr>
                <w:rFonts w:hint="eastAsia" w:ascii="宋体" w:hAnsi="宋体" w:cs="宋体"/>
                <w:color w:val="auto"/>
                <w:kern w:val="0"/>
                <w:sz w:val="21"/>
                <w:szCs w:val="21"/>
              </w:rPr>
              <w:t>得</w:t>
            </w:r>
            <w:r>
              <w:rPr>
                <w:rFonts w:hint="eastAsia" w:ascii="宋体" w:hAnsi="宋体" w:cs="宋体"/>
                <w:color w:val="auto"/>
                <w:kern w:val="0"/>
                <w:sz w:val="21"/>
                <w:szCs w:val="21"/>
                <w:lang w:val="en-US" w:eastAsia="zh-CN"/>
              </w:rPr>
              <w:t>2-0.1</w:t>
            </w:r>
            <w:r>
              <w:rPr>
                <w:rFonts w:hint="eastAsia" w:ascii="宋体" w:hAnsi="宋体" w:cs="宋体"/>
                <w:color w:val="auto"/>
                <w:kern w:val="0"/>
                <w:sz w:val="21"/>
                <w:szCs w:val="21"/>
              </w:rPr>
              <w:t>分</w:t>
            </w:r>
            <w:r>
              <w:rPr>
                <w:rFonts w:hint="eastAsia" w:ascii="宋体" w:hAnsi="宋体" w:cs="宋体"/>
                <w:color w:val="auto"/>
                <w:kern w:val="0"/>
                <w:sz w:val="21"/>
                <w:szCs w:val="21"/>
                <w:lang w:eastAsia="zh-CN"/>
              </w:rPr>
              <w:t>；</w:t>
            </w:r>
          </w:p>
          <w:p>
            <w:pPr>
              <w:pStyle w:val="11"/>
              <w:spacing w:line="240" w:lineRule="auto"/>
              <w:ind w:left="0" w:leftChars="0" w:firstLine="0" w:firstLineChars="0"/>
              <w:rPr>
                <w:rFonts w:hint="eastAsia" w:ascii="宋体" w:hAnsi="宋体" w:cs="宋体"/>
                <w:color w:val="auto"/>
                <w:kern w:val="0"/>
                <w:sz w:val="21"/>
                <w:szCs w:val="21"/>
              </w:rPr>
            </w:pPr>
            <w:r>
              <w:rPr>
                <w:rFonts w:hint="eastAsia" w:ascii="宋体" w:hAnsi="宋体" w:cs="宋体"/>
                <w:color w:val="auto"/>
                <w:kern w:val="0"/>
                <w:sz w:val="21"/>
                <w:szCs w:val="21"/>
              </w:rPr>
              <w:t>④</w:t>
            </w:r>
            <w:r>
              <w:rPr>
                <w:rFonts w:hint="eastAsia" w:ascii="宋体" w:hAnsi="宋体" w:cs="宋体"/>
                <w:color w:val="auto"/>
                <w:kern w:val="0"/>
                <w:sz w:val="21"/>
                <w:szCs w:val="21"/>
                <w:lang w:val="en-US" w:eastAsia="zh-CN"/>
              </w:rPr>
              <w:t>未做</w:t>
            </w:r>
            <w:r>
              <w:rPr>
                <w:rFonts w:hint="eastAsia" w:ascii="宋体" w:hAnsi="宋体" w:cs="宋体"/>
                <w:color w:val="auto"/>
                <w:kern w:val="0"/>
                <w:sz w:val="21"/>
                <w:szCs w:val="21"/>
              </w:rPr>
              <w:t>方案不得分</w:t>
            </w:r>
            <w:r>
              <w:rPr>
                <w:rFonts w:hint="eastAsia" w:ascii="宋体" w:hAnsi="宋体" w:cs="宋体"/>
                <w:color w:val="auto"/>
                <w:kern w:val="0"/>
                <w:sz w:val="21"/>
                <w:szCs w:val="21"/>
                <w:lang w:eastAsia="zh-CN"/>
              </w:rPr>
              <w:t>。</w:t>
            </w:r>
          </w:p>
        </w:tc>
        <w:tc>
          <w:tcPr>
            <w:tcW w:w="406"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6</w:t>
            </w:r>
          </w:p>
        </w:tc>
      </w:tr>
      <w:tr>
        <w:tblPrEx>
          <w:tblCellMar>
            <w:top w:w="0" w:type="dxa"/>
            <w:left w:w="108" w:type="dxa"/>
            <w:bottom w:w="0" w:type="dxa"/>
            <w:right w:w="108" w:type="dxa"/>
          </w:tblCellMar>
        </w:tblPrEx>
        <w:trPr>
          <w:trHeight w:val="872" w:hRule="atLeast"/>
        </w:trPr>
        <w:tc>
          <w:tcPr>
            <w:tcW w:w="400"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 w:val="21"/>
                <w:szCs w:val="21"/>
              </w:rPr>
            </w:pPr>
          </w:p>
        </w:tc>
        <w:tc>
          <w:tcPr>
            <w:tcW w:w="406"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cs="宋体"/>
                <w:b/>
                <w:bCs/>
                <w:color w:val="auto"/>
                <w:kern w:val="0"/>
                <w:sz w:val="21"/>
                <w:szCs w:val="21"/>
              </w:rPr>
            </w:pPr>
          </w:p>
        </w:tc>
        <w:tc>
          <w:tcPr>
            <w:tcW w:w="3786" w:type="pct"/>
            <w:tcBorders>
              <w:top w:val="nil"/>
              <w:left w:val="nil"/>
              <w:bottom w:val="single" w:color="auto" w:sz="4" w:space="0"/>
              <w:right w:val="single" w:color="auto" w:sz="4" w:space="0"/>
            </w:tcBorders>
            <w:shd w:val="clear" w:color="auto" w:fill="auto"/>
            <w:vAlign w:val="center"/>
          </w:tcPr>
          <w:p>
            <w:pPr>
              <w:widowControl/>
              <w:spacing w:line="240" w:lineRule="auto"/>
              <w:rPr>
                <w:rFonts w:hint="eastAsia" w:ascii="宋体" w:hAnsi="宋体" w:cs="宋体"/>
                <w:color w:val="auto"/>
                <w:kern w:val="0"/>
                <w:sz w:val="21"/>
                <w:szCs w:val="21"/>
              </w:rPr>
            </w:pPr>
            <w:r>
              <w:rPr>
                <w:rFonts w:hint="eastAsia" w:ascii="宋体" w:hAnsi="宋体" w:cs="宋体"/>
                <w:color w:val="auto"/>
                <w:kern w:val="0"/>
                <w:sz w:val="21"/>
                <w:szCs w:val="21"/>
              </w:rPr>
              <w:t>根据投标人</w:t>
            </w:r>
            <w:r>
              <w:rPr>
                <w:rFonts w:hint="eastAsia" w:ascii="宋体" w:hAnsi="宋体" w:cs="宋体"/>
                <w:color w:val="auto"/>
                <w:kern w:val="0"/>
                <w:sz w:val="21"/>
                <w:szCs w:val="21"/>
                <w:lang w:eastAsia="zh-CN"/>
              </w:rPr>
              <w:t>设计的</w:t>
            </w:r>
            <w:r>
              <w:rPr>
                <w:rFonts w:hint="eastAsia" w:ascii="宋体" w:hAnsi="宋体" w:cs="宋体"/>
                <w:color w:val="auto"/>
                <w:kern w:val="0"/>
                <w:sz w:val="21"/>
                <w:szCs w:val="21"/>
              </w:rPr>
              <w:t>数据共享交换接口规范：南向（外部系统数据进入数据中心）、北向（数据中心提供数据给外部系统）数据流向图、接口模式、调用方式、调用协议、调用安全约定、返回信息码等设计方案进行打分：</w:t>
            </w:r>
          </w:p>
          <w:p>
            <w:pPr>
              <w:widowControl/>
              <w:spacing w:line="240" w:lineRule="auto"/>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①方案设计完整、合理，可实施性强得</w:t>
            </w:r>
            <w:r>
              <w:rPr>
                <w:rFonts w:hint="eastAsia" w:ascii="宋体" w:hAnsi="宋体" w:cs="宋体"/>
                <w:color w:val="auto"/>
                <w:kern w:val="0"/>
                <w:sz w:val="21"/>
                <w:szCs w:val="21"/>
                <w:lang w:val="en-US" w:eastAsia="zh-CN"/>
              </w:rPr>
              <w:t>6-4.1</w:t>
            </w:r>
            <w:r>
              <w:rPr>
                <w:rFonts w:hint="eastAsia" w:ascii="宋体" w:hAnsi="宋体" w:cs="宋体"/>
                <w:color w:val="auto"/>
                <w:kern w:val="0"/>
                <w:sz w:val="21"/>
                <w:szCs w:val="21"/>
              </w:rPr>
              <w:t>分；</w:t>
            </w:r>
          </w:p>
          <w:p>
            <w:pPr>
              <w:widowControl/>
              <w:spacing w:line="240" w:lineRule="auto"/>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②方案设计普通、基本合理，可以实施得</w:t>
            </w:r>
            <w:r>
              <w:rPr>
                <w:rFonts w:hint="eastAsia" w:ascii="宋体" w:hAnsi="宋体" w:cs="宋体"/>
                <w:color w:val="auto"/>
                <w:kern w:val="0"/>
                <w:sz w:val="21"/>
                <w:szCs w:val="21"/>
                <w:lang w:val="en-US" w:eastAsia="zh-CN"/>
              </w:rPr>
              <w:t>4-2.1</w:t>
            </w:r>
            <w:r>
              <w:rPr>
                <w:rFonts w:hint="eastAsia" w:ascii="宋体" w:hAnsi="宋体" w:cs="宋体"/>
                <w:color w:val="auto"/>
                <w:kern w:val="0"/>
                <w:sz w:val="21"/>
                <w:szCs w:val="21"/>
              </w:rPr>
              <w:t>分；</w:t>
            </w:r>
          </w:p>
          <w:p>
            <w:pPr>
              <w:widowControl/>
              <w:spacing w:line="240" w:lineRule="auto"/>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③方案设计有缺漏，但基本合理，可以实施得</w:t>
            </w:r>
            <w:r>
              <w:rPr>
                <w:rFonts w:hint="eastAsia" w:ascii="宋体" w:hAnsi="宋体" w:cs="宋体"/>
                <w:color w:val="auto"/>
                <w:kern w:val="0"/>
                <w:sz w:val="21"/>
                <w:szCs w:val="21"/>
                <w:lang w:val="en-US" w:eastAsia="zh-CN"/>
              </w:rPr>
              <w:t>2-0.1</w:t>
            </w:r>
            <w:r>
              <w:rPr>
                <w:rFonts w:hint="eastAsia" w:ascii="宋体" w:hAnsi="宋体" w:cs="宋体"/>
                <w:color w:val="auto"/>
                <w:kern w:val="0"/>
                <w:sz w:val="21"/>
                <w:szCs w:val="21"/>
              </w:rPr>
              <w:t>分；</w:t>
            </w:r>
          </w:p>
          <w:p>
            <w:pPr>
              <w:widowControl/>
              <w:spacing w:line="240" w:lineRule="auto"/>
              <w:rPr>
                <w:rFonts w:hint="eastAsia" w:ascii="宋体" w:hAnsi="宋体" w:cs="宋体"/>
                <w:color w:val="auto"/>
                <w:kern w:val="0"/>
                <w:sz w:val="21"/>
                <w:szCs w:val="21"/>
              </w:rPr>
            </w:pPr>
            <w:r>
              <w:rPr>
                <w:rFonts w:hint="eastAsia" w:ascii="宋体" w:hAnsi="宋体" w:cs="宋体"/>
                <w:color w:val="auto"/>
                <w:kern w:val="0"/>
                <w:sz w:val="21"/>
                <w:szCs w:val="21"/>
              </w:rPr>
              <w:t>④</w:t>
            </w:r>
            <w:r>
              <w:rPr>
                <w:rFonts w:hint="eastAsia" w:ascii="宋体" w:hAnsi="宋体" w:cs="宋体"/>
                <w:color w:val="auto"/>
                <w:kern w:val="0"/>
                <w:sz w:val="21"/>
                <w:szCs w:val="21"/>
                <w:lang w:val="en-US" w:eastAsia="zh-CN"/>
              </w:rPr>
              <w:t>未做</w:t>
            </w:r>
            <w:r>
              <w:rPr>
                <w:rFonts w:hint="eastAsia" w:ascii="宋体" w:hAnsi="宋体" w:cs="宋体"/>
                <w:color w:val="auto"/>
                <w:kern w:val="0"/>
                <w:sz w:val="21"/>
                <w:szCs w:val="21"/>
              </w:rPr>
              <w:t>方案不得分。</w:t>
            </w:r>
          </w:p>
        </w:tc>
        <w:tc>
          <w:tcPr>
            <w:tcW w:w="406"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6</w:t>
            </w:r>
          </w:p>
        </w:tc>
      </w:tr>
      <w:tr>
        <w:tblPrEx>
          <w:tblCellMar>
            <w:top w:w="0" w:type="dxa"/>
            <w:left w:w="108" w:type="dxa"/>
            <w:bottom w:w="0" w:type="dxa"/>
            <w:right w:w="108" w:type="dxa"/>
          </w:tblCellMar>
        </w:tblPrEx>
        <w:trPr>
          <w:trHeight w:val="370" w:hRule="atLeast"/>
        </w:trPr>
        <w:tc>
          <w:tcPr>
            <w:tcW w:w="400"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 w:val="21"/>
                <w:szCs w:val="21"/>
              </w:rPr>
            </w:pPr>
          </w:p>
        </w:tc>
        <w:tc>
          <w:tcPr>
            <w:tcW w:w="406"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cs="宋体"/>
                <w:b/>
                <w:bCs/>
                <w:color w:val="auto"/>
                <w:kern w:val="0"/>
                <w:sz w:val="21"/>
                <w:szCs w:val="21"/>
              </w:rPr>
            </w:pPr>
          </w:p>
        </w:tc>
        <w:tc>
          <w:tcPr>
            <w:tcW w:w="3786" w:type="pct"/>
            <w:tcBorders>
              <w:top w:val="nil"/>
              <w:left w:val="nil"/>
              <w:bottom w:val="single" w:color="auto" w:sz="4" w:space="0"/>
              <w:right w:val="single" w:color="auto" w:sz="4" w:space="0"/>
            </w:tcBorders>
            <w:shd w:val="clear" w:color="auto" w:fill="auto"/>
            <w:vAlign w:val="center"/>
          </w:tcPr>
          <w:p>
            <w:pPr>
              <w:widowControl/>
              <w:spacing w:line="240" w:lineRule="auto"/>
              <w:rPr>
                <w:rFonts w:hint="eastAsia" w:ascii="宋体" w:hAnsi="宋体" w:cs="宋体"/>
                <w:color w:val="auto"/>
                <w:kern w:val="0"/>
                <w:sz w:val="21"/>
                <w:szCs w:val="21"/>
              </w:rPr>
            </w:pPr>
            <w:r>
              <w:rPr>
                <w:rFonts w:hint="eastAsia" w:ascii="宋体" w:hAnsi="宋体" w:cs="宋体"/>
                <w:color w:val="auto"/>
                <w:kern w:val="0"/>
                <w:sz w:val="21"/>
                <w:szCs w:val="21"/>
              </w:rPr>
              <w:t>根据投标人对应用融合接入规范（包含应用开发规范、技术接口协议、应用安全规范，其中接口规范包含但不限于单点登录接入规范、统一用户授权管理接口规范、应用系统日志采集技术规范、应用模块接入发布规范）</w:t>
            </w:r>
            <w:r>
              <w:rPr>
                <w:rFonts w:hint="eastAsia" w:ascii="宋体" w:hAnsi="宋体" w:cs="宋体"/>
                <w:color w:val="auto"/>
                <w:kern w:val="0"/>
                <w:sz w:val="21"/>
                <w:szCs w:val="21"/>
                <w:lang w:eastAsia="zh-CN"/>
              </w:rPr>
              <w:t>等</w:t>
            </w:r>
            <w:r>
              <w:rPr>
                <w:rFonts w:hint="eastAsia" w:ascii="宋体" w:hAnsi="宋体" w:cs="宋体"/>
                <w:color w:val="auto"/>
                <w:kern w:val="0"/>
                <w:sz w:val="21"/>
                <w:szCs w:val="21"/>
              </w:rPr>
              <w:t>设计方案进行打分：</w:t>
            </w:r>
          </w:p>
          <w:p>
            <w:pPr>
              <w:widowControl/>
              <w:spacing w:line="240" w:lineRule="auto"/>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①方案规范性强，完整性好的得</w:t>
            </w:r>
            <w:r>
              <w:rPr>
                <w:rFonts w:hint="eastAsia" w:ascii="宋体" w:hAnsi="宋体" w:cs="宋体"/>
                <w:color w:val="auto"/>
                <w:kern w:val="0"/>
                <w:sz w:val="21"/>
                <w:szCs w:val="21"/>
                <w:lang w:val="en-US" w:eastAsia="zh-CN"/>
              </w:rPr>
              <w:t>6-4.1</w:t>
            </w:r>
            <w:r>
              <w:rPr>
                <w:rFonts w:hint="eastAsia" w:ascii="宋体" w:hAnsi="宋体" w:cs="宋体"/>
                <w:color w:val="auto"/>
                <w:kern w:val="0"/>
                <w:sz w:val="21"/>
                <w:szCs w:val="21"/>
              </w:rPr>
              <w:t>分；</w:t>
            </w:r>
          </w:p>
          <w:p>
            <w:pPr>
              <w:widowControl/>
              <w:spacing w:line="240" w:lineRule="auto"/>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②方案规范性一般，完整性一般的得</w:t>
            </w:r>
            <w:r>
              <w:rPr>
                <w:rFonts w:hint="eastAsia" w:ascii="宋体" w:hAnsi="宋体" w:cs="宋体"/>
                <w:color w:val="auto"/>
                <w:kern w:val="0"/>
                <w:sz w:val="21"/>
                <w:szCs w:val="21"/>
                <w:lang w:val="en-US" w:eastAsia="zh-CN"/>
              </w:rPr>
              <w:t>4-2.1</w:t>
            </w:r>
            <w:r>
              <w:rPr>
                <w:rFonts w:hint="eastAsia" w:ascii="宋体" w:hAnsi="宋体" w:cs="宋体"/>
                <w:color w:val="auto"/>
                <w:kern w:val="0"/>
                <w:sz w:val="21"/>
                <w:szCs w:val="21"/>
              </w:rPr>
              <w:t>分；</w:t>
            </w:r>
          </w:p>
          <w:p>
            <w:pPr>
              <w:widowControl/>
              <w:spacing w:line="240" w:lineRule="auto"/>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③方案规范性较差，但基本完整的得</w:t>
            </w:r>
            <w:r>
              <w:rPr>
                <w:rFonts w:hint="eastAsia" w:ascii="宋体" w:hAnsi="宋体" w:cs="宋体"/>
                <w:color w:val="auto"/>
                <w:kern w:val="0"/>
                <w:sz w:val="21"/>
                <w:szCs w:val="21"/>
                <w:lang w:val="en-US" w:eastAsia="zh-CN"/>
              </w:rPr>
              <w:t>2-0.1</w:t>
            </w:r>
            <w:r>
              <w:rPr>
                <w:rFonts w:hint="eastAsia" w:ascii="宋体" w:hAnsi="宋体" w:cs="宋体"/>
                <w:color w:val="auto"/>
                <w:kern w:val="0"/>
                <w:sz w:val="21"/>
                <w:szCs w:val="21"/>
              </w:rPr>
              <w:t>分；</w:t>
            </w:r>
          </w:p>
          <w:p>
            <w:pPr>
              <w:widowControl/>
              <w:spacing w:line="240" w:lineRule="auto"/>
              <w:rPr>
                <w:rFonts w:hint="eastAsia" w:ascii="宋体" w:hAnsi="宋体" w:cs="宋体"/>
                <w:color w:val="auto"/>
                <w:kern w:val="0"/>
                <w:sz w:val="21"/>
                <w:szCs w:val="21"/>
              </w:rPr>
            </w:pPr>
            <w:r>
              <w:rPr>
                <w:rFonts w:hint="eastAsia" w:ascii="宋体" w:hAnsi="宋体" w:cs="宋体"/>
                <w:color w:val="auto"/>
                <w:kern w:val="0"/>
                <w:sz w:val="21"/>
                <w:szCs w:val="21"/>
              </w:rPr>
              <w:t>④</w:t>
            </w:r>
            <w:r>
              <w:rPr>
                <w:rFonts w:hint="eastAsia" w:ascii="宋体" w:hAnsi="宋体" w:cs="宋体"/>
                <w:color w:val="auto"/>
                <w:kern w:val="0"/>
                <w:sz w:val="21"/>
                <w:szCs w:val="21"/>
                <w:lang w:val="en-US" w:eastAsia="zh-CN"/>
              </w:rPr>
              <w:t>未做</w:t>
            </w:r>
            <w:r>
              <w:rPr>
                <w:rFonts w:hint="eastAsia" w:ascii="宋体" w:hAnsi="宋体" w:cs="宋体"/>
                <w:color w:val="auto"/>
                <w:kern w:val="0"/>
                <w:sz w:val="21"/>
                <w:szCs w:val="21"/>
              </w:rPr>
              <w:t>方案不得分。</w:t>
            </w:r>
          </w:p>
        </w:tc>
        <w:tc>
          <w:tcPr>
            <w:tcW w:w="406"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6</w:t>
            </w:r>
          </w:p>
        </w:tc>
      </w:tr>
      <w:tr>
        <w:tblPrEx>
          <w:tblCellMar>
            <w:top w:w="0" w:type="dxa"/>
            <w:left w:w="108" w:type="dxa"/>
            <w:bottom w:w="0" w:type="dxa"/>
            <w:right w:w="108" w:type="dxa"/>
          </w:tblCellMar>
        </w:tblPrEx>
        <w:trPr>
          <w:trHeight w:val="90" w:hRule="atLeast"/>
        </w:trPr>
        <w:tc>
          <w:tcPr>
            <w:tcW w:w="400"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 w:val="21"/>
                <w:szCs w:val="21"/>
              </w:rPr>
            </w:pPr>
          </w:p>
        </w:tc>
        <w:tc>
          <w:tcPr>
            <w:tcW w:w="406"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cs="宋体"/>
                <w:b/>
                <w:bCs/>
                <w:color w:val="auto"/>
                <w:kern w:val="0"/>
                <w:sz w:val="21"/>
                <w:szCs w:val="21"/>
              </w:rPr>
            </w:pPr>
          </w:p>
        </w:tc>
        <w:tc>
          <w:tcPr>
            <w:tcW w:w="3786" w:type="pct"/>
            <w:tcBorders>
              <w:top w:val="nil"/>
              <w:left w:val="nil"/>
              <w:bottom w:val="single" w:color="auto" w:sz="4" w:space="0"/>
              <w:right w:val="single" w:color="auto" w:sz="4" w:space="0"/>
            </w:tcBorders>
            <w:shd w:val="clear" w:color="auto" w:fill="auto"/>
            <w:vAlign w:val="center"/>
          </w:tcPr>
          <w:p>
            <w:pPr>
              <w:widowControl/>
              <w:spacing w:line="240" w:lineRule="auto"/>
              <w:rPr>
                <w:rFonts w:hint="eastAsia" w:ascii="宋体" w:hAnsi="宋体" w:cs="宋体"/>
                <w:color w:val="auto"/>
                <w:kern w:val="0"/>
                <w:sz w:val="21"/>
                <w:szCs w:val="21"/>
              </w:rPr>
            </w:pPr>
            <w:r>
              <w:rPr>
                <w:rFonts w:hint="eastAsia" w:ascii="宋体" w:hAnsi="宋体" w:cs="宋体"/>
                <w:color w:val="auto"/>
                <w:kern w:val="0"/>
                <w:sz w:val="21"/>
                <w:szCs w:val="21"/>
              </w:rPr>
              <w:t>根据投标人对</w:t>
            </w:r>
            <w:r>
              <w:rPr>
                <w:rFonts w:hint="eastAsia" w:ascii="宋体" w:hAnsi="宋体" w:cs="宋体"/>
                <w:color w:val="auto"/>
                <w:kern w:val="0"/>
                <w:sz w:val="21"/>
                <w:szCs w:val="21"/>
                <w:lang w:eastAsia="zh-CN"/>
              </w:rPr>
              <w:t>数智实战模块</w:t>
            </w:r>
            <w:r>
              <w:rPr>
                <w:rFonts w:hint="eastAsia" w:ascii="宋体" w:hAnsi="宋体" w:cs="宋体"/>
                <w:color w:val="auto"/>
                <w:kern w:val="0"/>
                <w:sz w:val="21"/>
                <w:szCs w:val="21"/>
              </w:rPr>
              <w:t>详细设计方案（至少包含</w:t>
            </w:r>
            <w:r>
              <w:rPr>
                <w:rFonts w:hint="eastAsia" w:ascii="宋体" w:hAnsi="宋体" w:cs="宋体"/>
                <w:color w:val="auto"/>
                <w:kern w:val="0"/>
                <w:sz w:val="21"/>
                <w:szCs w:val="21"/>
                <w:lang w:eastAsia="zh-CN"/>
              </w:rPr>
              <w:t>目标、框架、流程、功能等</w:t>
            </w:r>
            <w:r>
              <w:rPr>
                <w:rFonts w:hint="eastAsia" w:ascii="宋体" w:hAnsi="宋体" w:cs="宋体"/>
                <w:color w:val="auto"/>
                <w:kern w:val="0"/>
                <w:sz w:val="21"/>
                <w:szCs w:val="21"/>
              </w:rPr>
              <w:t>）进行</w:t>
            </w:r>
            <w:r>
              <w:rPr>
                <w:rFonts w:hint="eastAsia" w:ascii="宋体" w:hAnsi="宋体" w:cs="宋体"/>
                <w:color w:val="auto"/>
                <w:kern w:val="0"/>
                <w:sz w:val="21"/>
                <w:szCs w:val="21"/>
                <w:lang w:eastAsia="zh-CN"/>
              </w:rPr>
              <w:t>评</w:t>
            </w:r>
            <w:r>
              <w:rPr>
                <w:rFonts w:hint="eastAsia" w:ascii="宋体" w:hAnsi="宋体" w:cs="宋体"/>
                <w:color w:val="auto"/>
                <w:kern w:val="0"/>
                <w:sz w:val="21"/>
                <w:szCs w:val="21"/>
              </w:rPr>
              <w:t>分：</w:t>
            </w:r>
          </w:p>
          <w:p>
            <w:pPr>
              <w:widowControl/>
              <w:spacing w:line="240" w:lineRule="auto"/>
              <w:rPr>
                <w:rFonts w:hint="eastAsia" w:ascii="宋体" w:hAnsi="宋体" w:cs="宋体"/>
                <w:color w:val="auto"/>
                <w:kern w:val="0"/>
                <w:sz w:val="21"/>
                <w:szCs w:val="21"/>
                <w:lang w:eastAsia="zh-CN"/>
              </w:rPr>
            </w:pPr>
            <w:r>
              <w:rPr>
                <w:rFonts w:hint="eastAsia" w:ascii="宋体" w:hAnsi="宋体" w:cs="宋体"/>
                <w:color w:val="auto"/>
                <w:kern w:val="0"/>
                <w:sz w:val="21"/>
                <w:szCs w:val="21"/>
              </w:rPr>
              <w:t>①</w:t>
            </w:r>
            <w:r>
              <w:rPr>
                <w:rFonts w:hint="eastAsia" w:ascii="宋体" w:hAnsi="宋体" w:cs="宋体"/>
                <w:color w:val="auto"/>
                <w:kern w:val="0"/>
                <w:sz w:val="21"/>
                <w:szCs w:val="21"/>
                <w:lang w:eastAsia="zh-CN"/>
              </w:rPr>
              <w:t>方案描述</w:t>
            </w:r>
            <w:r>
              <w:rPr>
                <w:rFonts w:hint="eastAsia" w:ascii="宋体" w:hAnsi="宋体" w:cs="宋体"/>
                <w:color w:val="auto"/>
                <w:kern w:val="0"/>
                <w:sz w:val="21"/>
                <w:szCs w:val="21"/>
              </w:rPr>
              <w:t>完整性、准确性、合理性</w:t>
            </w:r>
            <w:r>
              <w:rPr>
                <w:rFonts w:hint="eastAsia" w:ascii="宋体" w:hAnsi="宋体" w:cs="宋体"/>
                <w:color w:val="auto"/>
                <w:kern w:val="0"/>
                <w:sz w:val="21"/>
                <w:szCs w:val="21"/>
                <w:lang w:eastAsia="zh-CN"/>
              </w:rPr>
              <w:t>较好的</w:t>
            </w:r>
            <w:r>
              <w:rPr>
                <w:rFonts w:hint="eastAsia" w:ascii="宋体" w:hAnsi="宋体" w:cs="宋体"/>
                <w:color w:val="auto"/>
                <w:kern w:val="0"/>
                <w:sz w:val="21"/>
                <w:szCs w:val="21"/>
              </w:rPr>
              <w:t>得</w:t>
            </w:r>
            <w:r>
              <w:rPr>
                <w:rFonts w:hint="eastAsia" w:ascii="宋体" w:hAnsi="宋体" w:cs="宋体"/>
                <w:color w:val="auto"/>
                <w:kern w:val="0"/>
                <w:sz w:val="21"/>
                <w:szCs w:val="21"/>
                <w:lang w:val="en-US" w:eastAsia="zh-CN"/>
              </w:rPr>
              <w:t>6-4.1</w:t>
            </w:r>
            <w:r>
              <w:rPr>
                <w:rFonts w:hint="eastAsia" w:ascii="宋体" w:hAnsi="宋体" w:cs="宋体"/>
                <w:color w:val="auto"/>
                <w:kern w:val="0"/>
                <w:sz w:val="21"/>
                <w:szCs w:val="21"/>
              </w:rPr>
              <w:t>分</w:t>
            </w:r>
            <w:r>
              <w:rPr>
                <w:rFonts w:hint="eastAsia" w:ascii="宋体" w:hAnsi="宋体" w:cs="宋体"/>
                <w:color w:val="auto"/>
                <w:kern w:val="0"/>
                <w:sz w:val="21"/>
                <w:szCs w:val="21"/>
                <w:lang w:eastAsia="zh-CN"/>
              </w:rPr>
              <w:t>；</w:t>
            </w:r>
          </w:p>
          <w:p>
            <w:pPr>
              <w:widowControl/>
              <w:spacing w:line="240" w:lineRule="auto"/>
              <w:rPr>
                <w:rFonts w:hint="eastAsia" w:ascii="宋体" w:hAnsi="宋体" w:cs="宋体"/>
                <w:color w:val="auto"/>
                <w:kern w:val="0"/>
                <w:sz w:val="21"/>
                <w:szCs w:val="21"/>
                <w:lang w:eastAsia="zh-CN"/>
              </w:rPr>
            </w:pPr>
            <w:r>
              <w:rPr>
                <w:rFonts w:hint="eastAsia" w:ascii="宋体" w:hAnsi="宋体" w:cs="宋体"/>
                <w:color w:val="auto"/>
                <w:kern w:val="0"/>
                <w:sz w:val="21"/>
                <w:szCs w:val="21"/>
              </w:rPr>
              <w:t>②</w:t>
            </w:r>
            <w:r>
              <w:rPr>
                <w:rFonts w:hint="eastAsia" w:ascii="宋体" w:hAnsi="宋体" w:cs="宋体"/>
                <w:color w:val="auto"/>
                <w:kern w:val="0"/>
                <w:sz w:val="21"/>
                <w:szCs w:val="21"/>
                <w:lang w:eastAsia="zh-CN"/>
              </w:rPr>
              <w:t>方案描述</w:t>
            </w:r>
            <w:r>
              <w:rPr>
                <w:rFonts w:hint="eastAsia" w:ascii="宋体" w:hAnsi="宋体" w:cs="宋体"/>
                <w:color w:val="auto"/>
                <w:kern w:val="0"/>
                <w:sz w:val="21"/>
                <w:szCs w:val="21"/>
              </w:rPr>
              <w:t>完整性、准确性、合理性一般</w:t>
            </w:r>
            <w:r>
              <w:rPr>
                <w:rFonts w:hint="eastAsia" w:ascii="宋体" w:hAnsi="宋体" w:cs="宋体"/>
                <w:color w:val="auto"/>
                <w:kern w:val="0"/>
                <w:sz w:val="21"/>
                <w:szCs w:val="21"/>
                <w:lang w:eastAsia="zh-CN"/>
              </w:rPr>
              <w:t>的</w:t>
            </w:r>
            <w:r>
              <w:rPr>
                <w:rFonts w:hint="eastAsia" w:ascii="宋体" w:hAnsi="宋体" w:cs="宋体"/>
                <w:color w:val="auto"/>
                <w:kern w:val="0"/>
                <w:sz w:val="21"/>
                <w:szCs w:val="21"/>
              </w:rPr>
              <w:t>得</w:t>
            </w:r>
            <w:r>
              <w:rPr>
                <w:rFonts w:hint="eastAsia" w:ascii="宋体" w:hAnsi="宋体" w:cs="宋体"/>
                <w:color w:val="auto"/>
                <w:kern w:val="0"/>
                <w:sz w:val="21"/>
                <w:szCs w:val="21"/>
                <w:lang w:val="en-US" w:eastAsia="zh-CN"/>
              </w:rPr>
              <w:t>4-2.1</w:t>
            </w:r>
            <w:r>
              <w:rPr>
                <w:rFonts w:hint="eastAsia" w:ascii="宋体" w:hAnsi="宋体" w:cs="宋体"/>
                <w:color w:val="auto"/>
                <w:kern w:val="0"/>
                <w:sz w:val="21"/>
                <w:szCs w:val="21"/>
              </w:rPr>
              <w:t>分</w:t>
            </w:r>
            <w:r>
              <w:rPr>
                <w:rFonts w:hint="eastAsia" w:ascii="宋体" w:hAnsi="宋体" w:cs="宋体"/>
                <w:color w:val="auto"/>
                <w:kern w:val="0"/>
                <w:sz w:val="21"/>
                <w:szCs w:val="21"/>
                <w:lang w:eastAsia="zh-CN"/>
              </w:rPr>
              <w:t>；</w:t>
            </w:r>
          </w:p>
          <w:p>
            <w:pPr>
              <w:widowControl/>
              <w:spacing w:line="240" w:lineRule="auto"/>
              <w:rPr>
                <w:rFonts w:hint="eastAsia" w:ascii="宋体" w:hAnsi="宋体" w:cs="宋体"/>
                <w:color w:val="auto"/>
                <w:kern w:val="0"/>
                <w:sz w:val="21"/>
                <w:szCs w:val="21"/>
                <w:lang w:eastAsia="zh-CN"/>
              </w:rPr>
            </w:pPr>
            <w:r>
              <w:rPr>
                <w:rFonts w:hint="eastAsia" w:ascii="宋体" w:hAnsi="宋体" w:cs="宋体"/>
                <w:color w:val="auto"/>
                <w:kern w:val="0"/>
                <w:sz w:val="21"/>
                <w:szCs w:val="21"/>
              </w:rPr>
              <w:t>③</w:t>
            </w:r>
            <w:r>
              <w:rPr>
                <w:rFonts w:hint="eastAsia" w:ascii="宋体" w:hAnsi="宋体" w:cs="宋体"/>
                <w:color w:val="auto"/>
                <w:kern w:val="0"/>
                <w:sz w:val="21"/>
                <w:szCs w:val="21"/>
                <w:lang w:eastAsia="zh-CN"/>
              </w:rPr>
              <w:t>方案描述</w:t>
            </w:r>
            <w:r>
              <w:rPr>
                <w:rFonts w:hint="eastAsia" w:ascii="宋体" w:hAnsi="宋体" w:cs="宋体"/>
                <w:color w:val="auto"/>
                <w:kern w:val="0"/>
                <w:sz w:val="21"/>
                <w:szCs w:val="21"/>
              </w:rPr>
              <w:t>完整性、准确性、合理性</w:t>
            </w:r>
            <w:r>
              <w:rPr>
                <w:rFonts w:hint="eastAsia" w:ascii="宋体" w:hAnsi="宋体" w:cs="宋体"/>
                <w:color w:val="auto"/>
                <w:kern w:val="0"/>
                <w:sz w:val="21"/>
                <w:szCs w:val="21"/>
                <w:lang w:eastAsia="zh-CN"/>
              </w:rPr>
              <w:t>较差的</w:t>
            </w:r>
            <w:r>
              <w:rPr>
                <w:rFonts w:hint="eastAsia" w:ascii="宋体" w:hAnsi="宋体" w:cs="宋体"/>
                <w:color w:val="auto"/>
                <w:kern w:val="0"/>
                <w:sz w:val="21"/>
                <w:szCs w:val="21"/>
              </w:rPr>
              <w:t>得</w:t>
            </w:r>
            <w:r>
              <w:rPr>
                <w:rFonts w:hint="eastAsia" w:ascii="宋体" w:hAnsi="宋体" w:cs="宋体"/>
                <w:color w:val="auto"/>
                <w:kern w:val="0"/>
                <w:sz w:val="21"/>
                <w:szCs w:val="21"/>
                <w:lang w:val="en-US" w:eastAsia="zh-CN"/>
              </w:rPr>
              <w:t>2-0.1</w:t>
            </w:r>
            <w:r>
              <w:rPr>
                <w:rFonts w:hint="eastAsia" w:ascii="宋体" w:hAnsi="宋体" w:cs="宋体"/>
                <w:color w:val="auto"/>
                <w:kern w:val="0"/>
                <w:sz w:val="21"/>
                <w:szCs w:val="21"/>
              </w:rPr>
              <w:t>分</w:t>
            </w:r>
            <w:r>
              <w:rPr>
                <w:rFonts w:hint="eastAsia" w:ascii="宋体" w:hAnsi="宋体" w:cs="宋体"/>
                <w:color w:val="auto"/>
                <w:kern w:val="0"/>
                <w:sz w:val="21"/>
                <w:szCs w:val="21"/>
                <w:lang w:eastAsia="zh-CN"/>
              </w:rPr>
              <w:t>；</w:t>
            </w:r>
          </w:p>
          <w:p>
            <w:pPr>
              <w:widowControl/>
              <w:spacing w:line="240" w:lineRule="auto"/>
              <w:rPr>
                <w:rFonts w:hint="eastAsia" w:ascii="宋体" w:hAnsi="宋体" w:cs="宋体"/>
                <w:color w:val="auto"/>
                <w:kern w:val="0"/>
                <w:sz w:val="21"/>
                <w:szCs w:val="21"/>
              </w:rPr>
            </w:pPr>
            <w:r>
              <w:rPr>
                <w:rFonts w:hint="eastAsia" w:ascii="宋体" w:hAnsi="宋体" w:cs="宋体"/>
                <w:color w:val="auto"/>
                <w:kern w:val="0"/>
                <w:sz w:val="21"/>
                <w:szCs w:val="21"/>
              </w:rPr>
              <w:t>④</w:t>
            </w:r>
            <w:r>
              <w:rPr>
                <w:rFonts w:hint="eastAsia" w:ascii="宋体" w:hAnsi="宋体" w:cs="宋体"/>
                <w:color w:val="auto"/>
                <w:kern w:val="0"/>
                <w:sz w:val="21"/>
                <w:szCs w:val="21"/>
                <w:lang w:val="en-US" w:eastAsia="zh-CN"/>
              </w:rPr>
              <w:t>未做</w:t>
            </w:r>
            <w:r>
              <w:rPr>
                <w:rFonts w:hint="eastAsia" w:ascii="宋体" w:hAnsi="宋体" w:cs="宋体"/>
                <w:color w:val="auto"/>
                <w:kern w:val="0"/>
                <w:sz w:val="21"/>
                <w:szCs w:val="21"/>
              </w:rPr>
              <w:t>方案不得分。</w:t>
            </w:r>
          </w:p>
        </w:tc>
        <w:tc>
          <w:tcPr>
            <w:tcW w:w="406"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6</w:t>
            </w:r>
          </w:p>
        </w:tc>
      </w:tr>
      <w:tr>
        <w:tblPrEx>
          <w:tblCellMar>
            <w:top w:w="0" w:type="dxa"/>
            <w:left w:w="108" w:type="dxa"/>
            <w:bottom w:w="0" w:type="dxa"/>
            <w:right w:w="108" w:type="dxa"/>
          </w:tblCellMar>
        </w:tblPrEx>
        <w:trPr>
          <w:trHeight w:val="1083" w:hRule="atLeast"/>
        </w:trPr>
        <w:tc>
          <w:tcPr>
            <w:tcW w:w="400"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 w:val="21"/>
                <w:szCs w:val="21"/>
              </w:rPr>
            </w:pPr>
          </w:p>
        </w:tc>
        <w:tc>
          <w:tcPr>
            <w:tcW w:w="406"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cs="宋体"/>
                <w:b/>
                <w:bCs/>
                <w:color w:val="auto"/>
                <w:kern w:val="0"/>
                <w:sz w:val="21"/>
                <w:szCs w:val="21"/>
              </w:rPr>
            </w:pPr>
          </w:p>
        </w:tc>
        <w:tc>
          <w:tcPr>
            <w:tcW w:w="3786" w:type="pct"/>
            <w:tcBorders>
              <w:top w:val="nil"/>
              <w:left w:val="nil"/>
              <w:bottom w:val="single" w:color="auto" w:sz="4" w:space="0"/>
              <w:right w:val="single" w:color="auto" w:sz="4" w:space="0"/>
            </w:tcBorders>
            <w:shd w:val="clear" w:color="auto" w:fill="auto"/>
            <w:vAlign w:val="center"/>
          </w:tcPr>
          <w:p>
            <w:pPr>
              <w:widowControl/>
              <w:spacing w:line="240" w:lineRule="auto"/>
              <w:rPr>
                <w:rFonts w:hint="eastAsia" w:ascii="宋体" w:hAnsi="宋体" w:cs="宋体"/>
                <w:color w:val="auto"/>
                <w:kern w:val="0"/>
                <w:sz w:val="21"/>
                <w:szCs w:val="21"/>
              </w:rPr>
            </w:pPr>
            <w:r>
              <w:rPr>
                <w:rFonts w:hint="eastAsia" w:ascii="宋体" w:hAnsi="宋体" w:cs="宋体"/>
                <w:color w:val="auto"/>
                <w:kern w:val="0"/>
                <w:sz w:val="21"/>
                <w:szCs w:val="21"/>
              </w:rPr>
              <w:t>根据投标人对</w:t>
            </w:r>
            <w:r>
              <w:rPr>
                <w:rFonts w:hint="eastAsia" w:ascii="宋体" w:hAnsi="宋体" w:cs="宋体"/>
                <w:color w:val="auto"/>
                <w:kern w:val="0"/>
                <w:sz w:val="21"/>
                <w:szCs w:val="21"/>
                <w:lang w:eastAsia="zh-CN"/>
              </w:rPr>
              <w:t>数智决策模块</w:t>
            </w:r>
            <w:r>
              <w:rPr>
                <w:rFonts w:hint="eastAsia" w:ascii="宋体" w:hAnsi="宋体" w:cs="宋体"/>
                <w:color w:val="auto"/>
                <w:kern w:val="0"/>
                <w:sz w:val="21"/>
                <w:szCs w:val="21"/>
              </w:rPr>
              <w:t>详细设计方案（至少包含</w:t>
            </w:r>
            <w:r>
              <w:rPr>
                <w:rFonts w:hint="eastAsia" w:ascii="宋体" w:hAnsi="宋体" w:cs="宋体"/>
                <w:color w:val="auto"/>
                <w:kern w:val="0"/>
                <w:sz w:val="21"/>
                <w:szCs w:val="21"/>
                <w:lang w:eastAsia="zh-CN"/>
              </w:rPr>
              <w:t>目标、框架、流程、功能、预期视觉效果等</w:t>
            </w:r>
            <w:r>
              <w:rPr>
                <w:rFonts w:hint="eastAsia" w:ascii="宋体" w:hAnsi="宋体" w:cs="宋体"/>
                <w:color w:val="auto"/>
                <w:kern w:val="0"/>
                <w:sz w:val="21"/>
                <w:szCs w:val="21"/>
              </w:rPr>
              <w:t>）进行</w:t>
            </w:r>
            <w:r>
              <w:rPr>
                <w:rFonts w:hint="eastAsia" w:ascii="宋体" w:hAnsi="宋体" w:cs="宋体"/>
                <w:color w:val="auto"/>
                <w:kern w:val="0"/>
                <w:sz w:val="21"/>
                <w:szCs w:val="21"/>
                <w:lang w:eastAsia="zh-CN"/>
              </w:rPr>
              <w:t>评</w:t>
            </w:r>
            <w:r>
              <w:rPr>
                <w:rFonts w:hint="eastAsia" w:ascii="宋体" w:hAnsi="宋体" w:cs="宋体"/>
                <w:color w:val="auto"/>
                <w:kern w:val="0"/>
                <w:sz w:val="21"/>
                <w:szCs w:val="21"/>
              </w:rPr>
              <w:t>分：</w:t>
            </w:r>
          </w:p>
          <w:p>
            <w:pPr>
              <w:widowControl/>
              <w:spacing w:line="240" w:lineRule="auto"/>
              <w:rPr>
                <w:rFonts w:hint="eastAsia" w:ascii="宋体" w:hAnsi="宋体" w:cs="宋体"/>
                <w:color w:val="auto"/>
                <w:kern w:val="0"/>
                <w:sz w:val="21"/>
                <w:szCs w:val="21"/>
                <w:lang w:eastAsia="zh-CN"/>
              </w:rPr>
            </w:pPr>
            <w:r>
              <w:rPr>
                <w:rFonts w:hint="eastAsia" w:ascii="宋体" w:hAnsi="宋体" w:cs="宋体"/>
                <w:color w:val="auto"/>
                <w:kern w:val="0"/>
                <w:sz w:val="21"/>
                <w:szCs w:val="21"/>
              </w:rPr>
              <w:t>①</w:t>
            </w:r>
            <w:r>
              <w:rPr>
                <w:rFonts w:hint="eastAsia" w:ascii="宋体" w:hAnsi="宋体" w:cs="宋体"/>
                <w:color w:val="auto"/>
                <w:kern w:val="0"/>
                <w:sz w:val="21"/>
                <w:szCs w:val="21"/>
                <w:lang w:eastAsia="zh-CN"/>
              </w:rPr>
              <w:t>方案描述</w:t>
            </w:r>
            <w:r>
              <w:rPr>
                <w:rFonts w:hint="eastAsia" w:ascii="宋体" w:hAnsi="宋体" w:cs="宋体"/>
                <w:color w:val="auto"/>
                <w:kern w:val="0"/>
                <w:sz w:val="21"/>
                <w:szCs w:val="21"/>
              </w:rPr>
              <w:t>完整性、准确性、合理性</w:t>
            </w:r>
            <w:r>
              <w:rPr>
                <w:rFonts w:hint="eastAsia" w:ascii="宋体" w:hAnsi="宋体" w:cs="宋体"/>
                <w:color w:val="auto"/>
                <w:kern w:val="0"/>
                <w:sz w:val="21"/>
                <w:szCs w:val="21"/>
                <w:lang w:eastAsia="zh-CN"/>
              </w:rPr>
              <w:t>较好的</w:t>
            </w:r>
            <w:r>
              <w:rPr>
                <w:rFonts w:hint="eastAsia" w:ascii="宋体" w:hAnsi="宋体" w:cs="宋体"/>
                <w:color w:val="auto"/>
                <w:kern w:val="0"/>
                <w:sz w:val="21"/>
                <w:szCs w:val="21"/>
              </w:rPr>
              <w:t>得</w:t>
            </w:r>
            <w:r>
              <w:rPr>
                <w:rFonts w:hint="eastAsia" w:ascii="宋体" w:hAnsi="宋体" w:cs="宋体"/>
                <w:color w:val="auto"/>
                <w:kern w:val="0"/>
                <w:sz w:val="21"/>
                <w:szCs w:val="21"/>
                <w:lang w:val="en-US" w:eastAsia="zh-CN"/>
              </w:rPr>
              <w:t>6-4.1</w:t>
            </w:r>
            <w:r>
              <w:rPr>
                <w:rFonts w:hint="eastAsia" w:ascii="宋体" w:hAnsi="宋体" w:cs="宋体"/>
                <w:color w:val="auto"/>
                <w:kern w:val="0"/>
                <w:sz w:val="21"/>
                <w:szCs w:val="21"/>
              </w:rPr>
              <w:t>分</w:t>
            </w:r>
            <w:r>
              <w:rPr>
                <w:rFonts w:hint="eastAsia" w:ascii="宋体" w:hAnsi="宋体" w:cs="宋体"/>
                <w:color w:val="auto"/>
                <w:kern w:val="0"/>
                <w:sz w:val="21"/>
                <w:szCs w:val="21"/>
                <w:lang w:eastAsia="zh-CN"/>
              </w:rPr>
              <w:t>；</w:t>
            </w:r>
          </w:p>
          <w:p>
            <w:pPr>
              <w:widowControl/>
              <w:spacing w:line="240" w:lineRule="auto"/>
              <w:rPr>
                <w:rFonts w:hint="eastAsia" w:ascii="宋体" w:hAnsi="宋体" w:cs="宋体"/>
                <w:color w:val="auto"/>
                <w:kern w:val="0"/>
                <w:sz w:val="21"/>
                <w:szCs w:val="21"/>
                <w:lang w:eastAsia="zh-CN"/>
              </w:rPr>
            </w:pPr>
            <w:r>
              <w:rPr>
                <w:rFonts w:hint="eastAsia" w:ascii="宋体" w:hAnsi="宋体" w:cs="宋体"/>
                <w:color w:val="auto"/>
                <w:kern w:val="0"/>
                <w:sz w:val="21"/>
                <w:szCs w:val="21"/>
              </w:rPr>
              <w:t>②</w:t>
            </w:r>
            <w:r>
              <w:rPr>
                <w:rFonts w:hint="eastAsia" w:ascii="宋体" w:hAnsi="宋体" w:cs="宋体"/>
                <w:color w:val="auto"/>
                <w:kern w:val="0"/>
                <w:sz w:val="21"/>
                <w:szCs w:val="21"/>
                <w:lang w:eastAsia="zh-CN"/>
              </w:rPr>
              <w:t>方案描述</w:t>
            </w:r>
            <w:r>
              <w:rPr>
                <w:rFonts w:hint="eastAsia" w:ascii="宋体" w:hAnsi="宋体" w:cs="宋体"/>
                <w:color w:val="auto"/>
                <w:kern w:val="0"/>
                <w:sz w:val="21"/>
                <w:szCs w:val="21"/>
              </w:rPr>
              <w:t>完整性、准确性、合理性一般</w:t>
            </w:r>
            <w:r>
              <w:rPr>
                <w:rFonts w:hint="eastAsia" w:ascii="宋体" w:hAnsi="宋体" w:cs="宋体"/>
                <w:color w:val="auto"/>
                <w:kern w:val="0"/>
                <w:sz w:val="21"/>
                <w:szCs w:val="21"/>
                <w:lang w:eastAsia="zh-CN"/>
              </w:rPr>
              <w:t>的</w:t>
            </w:r>
            <w:r>
              <w:rPr>
                <w:rFonts w:hint="eastAsia" w:ascii="宋体" w:hAnsi="宋体" w:cs="宋体"/>
                <w:color w:val="auto"/>
                <w:kern w:val="0"/>
                <w:sz w:val="21"/>
                <w:szCs w:val="21"/>
              </w:rPr>
              <w:t>得</w:t>
            </w:r>
            <w:r>
              <w:rPr>
                <w:rFonts w:hint="eastAsia" w:ascii="宋体" w:hAnsi="宋体" w:cs="宋体"/>
                <w:color w:val="auto"/>
                <w:kern w:val="0"/>
                <w:sz w:val="21"/>
                <w:szCs w:val="21"/>
                <w:lang w:val="en-US" w:eastAsia="zh-CN"/>
              </w:rPr>
              <w:t>4-2.1</w:t>
            </w:r>
            <w:r>
              <w:rPr>
                <w:rFonts w:hint="eastAsia" w:ascii="宋体" w:hAnsi="宋体" w:cs="宋体"/>
                <w:color w:val="auto"/>
                <w:kern w:val="0"/>
                <w:sz w:val="21"/>
                <w:szCs w:val="21"/>
              </w:rPr>
              <w:t>分</w:t>
            </w:r>
            <w:r>
              <w:rPr>
                <w:rFonts w:hint="eastAsia" w:ascii="宋体" w:hAnsi="宋体" w:cs="宋体"/>
                <w:color w:val="auto"/>
                <w:kern w:val="0"/>
                <w:sz w:val="21"/>
                <w:szCs w:val="21"/>
                <w:lang w:eastAsia="zh-CN"/>
              </w:rPr>
              <w:t>；</w:t>
            </w:r>
          </w:p>
          <w:p>
            <w:pPr>
              <w:widowControl/>
              <w:spacing w:line="240" w:lineRule="auto"/>
              <w:rPr>
                <w:rFonts w:hint="eastAsia" w:ascii="宋体" w:hAnsi="宋体" w:cs="宋体"/>
                <w:color w:val="auto"/>
                <w:kern w:val="0"/>
                <w:sz w:val="21"/>
                <w:szCs w:val="21"/>
                <w:lang w:eastAsia="zh-CN"/>
              </w:rPr>
            </w:pPr>
            <w:r>
              <w:rPr>
                <w:rFonts w:hint="eastAsia" w:ascii="宋体" w:hAnsi="宋体" w:cs="宋体"/>
                <w:color w:val="auto"/>
                <w:kern w:val="0"/>
                <w:sz w:val="21"/>
                <w:szCs w:val="21"/>
              </w:rPr>
              <w:t>③</w:t>
            </w:r>
            <w:r>
              <w:rPr>
                <w:rFonts w:hint="eastAsia" w:ascii="宋体" w:hAnsi="宋体" w:cs="宋体"/>
                <w:color w:val="auto"/>
                <w:kern w:val="0"/>
                <w:sz w:val="21"/>
                <w:szCs w:val="21"/>
                <w:lang w:eastAsia="zh-CN"/>
              </w:rPr>
              <w:t>方案描述</w:t>
            </w:r>
            <w:r>
              <w:rPr>
                <w:rFonts w:hint="eastAsia" w:ascii="宋体" w:hAnsi="宋体" w:cs="宋体"/>
                <w:color w:val="auto"/>
                <w:kern w:val="0"/>
                <w:sz w:val="21"/>
                <w:szCs w:val="21"/>
              </w:rPr>
              <w:t>完整性、准确性、合理性</w:t>
            </w:r>
            <w:r>
              <w:rPr>
                <w:rFonts w:hint="eastAsia" w:ascii="宋体" w:hAnsi="宋体" w:cs="宋体"/>
                <w:color w:val="auto"/>
                <w:kern w:val="0"/>
                <w:sz w:val="21"/>
                <w:szCs w:val="21"/>
                <w:lang w:eastAsia="zh-CN"/>
              </w:rPr>
              <w:t>较差的</w:t>
            </w:r>
            <w:r>
              <w:rPr>
                <w:rFonts w:hint="eastAsia" w:ascii="宋体" w:hAnsi="宋体" w:cs="宋体"/>
                <w:color w:val="auto"/>
                <w:kern w:val="0"/>
                <w:sz w:val="21"/>
                <w:szCs w:val="21"/>
              </w:rPr>
              <w:t>得</w:t>
            </w:r>
            <w:r>
              <w:rPr>
                <w:rFonts w:hint="eastAsia" w:ascii="宋体" w:hAnsi="宋体" w:cs="宋体"/>
                <w:color w:val="auto"/>
                <w:kern w:val="0"/>
                <w:sz w:val="21"/>
                <w:szCs w:val="21"/>
                <w:lang w:val="en-US" w:eastAsia="zh-CN"/>
              </w:rPr>
              <w:t>2-0.1</w:t>
            </w:r>
            <w:r>
              <w:rPr>
                <w:rFonts w:hint="eastAsia" w:ascii="宋体" w:hAnsi="宋体" w:cs="宋体"/>
                <w:color w:val="auto"/>
                <w:kern w:val="0"/>
                <w:sz w:val="21"/>
                <w:szCs w:val="21"/>
              </w:rPr>
              <w:t>分</w:t>
            </w:r>
            <w:r>
              <w:rPr>
                <w:rFonts w:hint="eastAsia" w:ascii="宋体" w:hAnsi="宋体" w:cs="宋体"/>
                <w:color w:val="auto"/>
                <w:kern w:val="0"/>
                <w:sz w:val="21"/>
                <w:szCs w:val="21"/>
                <w:lang w:eastAsia="zh-CN"/>
              </w:rPr>
              <w:t>；</w:t>
            </w:r>
          </w:p>
          <w:p>
            <w:pPr>
              <w:widowControl/>
              <w:spacing w:line="240" w:lineRule="auto"/>
              <w:rPr>
                <w:rFonts w:hint="eastAsia" w:ascii="宋体" w:hAnsi="宋体" w:cs="宋体"/>
                <w:color w:val="auto"/>
                <w:kern w:val="0"/>
                <w:sz w:val="21"/>
                <w:szCs w:val="21"/>
              </w:rPr>
            </w:pPr>
            <w:r>
              <w:rPr>
                <w:rFonts w:hint="eastAsia" w:ascii="宋体" w:hAnsi="宋体" w:cs="宋体"/>
                <w:color w:val="auto"/>
                <w:kern w:val="0"/>
                <w:sz w:val="21"/>
                <w:szCs w:val="21"/>
              </w:rPr>
              <w:t>④</w:t>
            </w:r>
            <w:r>
              <w:rPr>
                <w:rFonts w:hint="eastAsia" w:ascii="宋体" w:hAnsi="宋体" w:cs="宋体"/>
                <w:color w:val="auto"/>
                <w:kern w:val="0"/>
                <w:sz w:val="21"/>
                <w:szCs w:val="21"/>
                <w:lang w:val="en-US" w:eastAsia="zh-CN"/>
              </w:rPr>
              <w:t>未做</w:t>
            </w:r>
            <w:r>
              <w:rPr>
                <w:rFonts w:hint="eastAsia" w:ascii="宋体" w:hAnsi="宋体" w:cs="宋体"/>
                <w:color w:val="auto"/>
                <w:kern w:val="0"/>
                <w:sz w:val="21"/>
                <w:szCs w:val="21"/>
              </w:rPr>
              <w:t>方案不得分。</w:t>
            </w:r>
          </w:p>
        </w:tc>
        <w:tc>
          <w:tcPr>
            <w:tcW w:w="406"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6</w:t>
            </w:r>
          </w:p>
        </w:tc>
      </w:tr>
      <w:tr>
        <w:tblPrEx>
          <w:tblCellMar>
            <w:top w:w="0" w:type="dxa"/>
            <w:left w:w="108" w:type="dxa"/>
            <w:bottom w:w="0" w:type="dxa"/>
            <w:right w:w="108" w:type="dxa"/>
          </w:tblCellMar>
        </w:tblPrEx>
        <w:trPr>
          <w:trHeight w:val="1033" w:hRule="atLeast"/>
        </w:trPr>
        <w:tc>
          <w:tcPr>
            <w:tcW w:w="400"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 w:val="21"/>
                <w:szCs w:val="21"/>
              </w:rPr>
            </w:pPr>
          </w:p>
        </w:tc>
        <w:tc>
          <w:tcPr>
            <w:tcW w:w="406"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cs="宋体"/>
                <w:b/>
                <w:bCs/>
                <w:color w:val="auto"/>
                <w:kern w:val="0"/>
                <w:sz w:val="21"/>
                <w:szCs w:val="21"/>
              </w:rPr>
            </w:pPr>
          </w:p>
        </w:tc>
        <w:tc>
          <w:tcPr>
            <w:tcW w:w="3786" w:type="pct"/>
            <w:tcBorders>
              <w:top w:val="nil"/>
              <w:left w:val="nil"/>
              <w:bottom w:val="single" w:color="auto" w:sz="4" w:space="0"/>
              <w:right w:val="single" w:color="auto" w:sz="4" w:space="0"/>
            </w:tcBorders>
            <w:shd w:val="clear" w:color="auto" w:fill="auto"/>
            <w:vAlign w:val="center"/>
          </w:tcPr>
          <w:p>
            <w:pPr>
              <w:widowControl/>
              <w:spacing w:line="240" w:lineRule="auto"/>
              <w:rPr>
                <w:rFonts w:hint="eastAsia" w:ascii="宋体" w:hAnsi="宋体" w:cs="宋体"/>
                <w:color w:val="auto"/>
                <w:kern w:val="0"/>
                <w:sz w:val="21"/>
                <w:szCs w:val="21"/>
              </w:rPr>
            </w:pPr>
            <w:r>
              <w:rPr>
                <w:rFonts w:hint="eastAsia" w:ascii="宋体" w:hAnsi="宋体" w:cs="宋体"/>
                <w:color w:val="auto"/>
                <w:kern w:val="0"/>
                <w:sz w:val="21"/>
                <w:szCs w:val="21"/>
              </w:rPr>
              <w:t>根据投标人对</w:t>
            </w:r>
            <w:r>
              <w:rPr>
                <w:rFonts w:hint="eastAsia" w:ascii="宋体" w:hAnsi="宋体" w:cs="宋体"/>
                <w:color w:val="auto"/>
                <w:kern w:val="0"/>
                <w:sz w:val="21"/>
                <w:szCs w:val="21"/>
                <w:lang w:eastAsia="zh-CN"/>
              </w:rPr>
              <w:t>其它模块</w:t>
            </w:r>
            <w:r>
              <w:rPr>
                <w:rFonts w:hint="eastAsia" w:ascii="宋体" w:hAnsi="宋体" w:cs="宋体"/>
                <w:color w:val="auto"/>
                <w:kern w:val="0"/>
                <w:sz w:val="21"/>
                <w:szCs w:val="21"/>
              </w:rPr>
              <w:t>详细设计方案（至少包含</w:t>
            </w:r>
            <w:r>
              <w:rPr>
                <w:rFonts w:hint="eastAsia" w:ascii="宋体" w:hAnsi="宋体" w:cs="宋体"/>
                <w:color w:val="auto"/>
                <w:kern w:val="0"/>
                <w:sz w:val="21"/>
                <w:szCs w:val="21"/>
                <w:lang w:eastAsia="zh-CN"/>
              </w:rPr>
              <w:t>目标、框架、流程、功能、预期视觉效果等</w:t>
            </w:r>
            <w:r>
              <w:rPr>
                <w:rFonts w:hint="eastAsia" w:ascii="宋体" w:hAnsi="宋体" w:cs="宋体"/>
                <w:color w:val="auto"/>
                <w:kern w:val="0"/>
                <w:sz w:val="21"/>
                <w:szCs w:val="21"/>
              </w:rPr>
              <w:t>）进行</w:t>
            </w:r>
            <w:r>
              <w:rPr>
                <w:rFonts w:hint="eastAsia" w:ascii="宋体" w:hAnsi="宋体" w:cs="宋体"/>
                <w:color w:val="auto"/>
                <w:kern w:val="0"/>
                <w:sz w:val="21"/>
                <w:szCs w:val="21"/>
                <w:lang w:eastAsia="zh-CN"/>
              </w:rPr>
              <w:t>评</w:t>
            </w:r>
            <w:r>
              <w:rPr>
                <w:rFonts w:hint="eastAsia" w:ascii="宋体" w:hAnsi="宋体" w:cs="宋体"/>
                <w:color w:val="auto"/>
                <w:kern w:val="0"/>
                <w:sz w:val="21"/>
                <w:szCs w:val="21"/>
              </w:rPr>
              <w:t>分：</w:t>
            </w:r>
          </w:p>
          <w:p>
            <w:pPr>
              <w:widowControl/>
              <w:spacing w:line="240" w:lineRule="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①</w:t>
            </w:r>
            <w:r>
              <w:rPr>
                <w:rFonts w:hint="eastAsia" w:ascii="宋体" w:hAnsi="宋体" w:eastAsia="宋体" w:cs="宋体"/>
                <w:color w:val="auto"/>
                <w:kern w:val="0"/>
                <w:sz w:val="21"/>
                <w:szCs w:val="21"/>
                <w:lang w:eastAsia="zh-CN"/>
              </w:rPr>
              <w:t>方案描述</w:t>
            </w:r>
            <w:r>
              <w:rPr>
                <w:rFonts w:hint="eastAsia" w:ascii="宋体" w:hAnsi="宋体" w:eastAsia="宋体" w:cs="宋体"/>
                <w:color w:val="auto"/>
                <w:kern w:val="0"/>
                <w:sz w:val="21"/>
                <w:szCs w:val="21"/>
              </w:rPr>
              <w:t>完整性、准确性、合理性</w:t>
            </w:r>
            <w:r>
              <w:rPr>
                <w:rFonts w:hint="eastAsia" w:ascii="宋体" w:hAnsi="宋体" w:eastAsia="宋体" w:cs="宋体"/>
                <w:color w:val="auto"/>
                <w:kern w:val="0"/>
                <w:sz w:val="21"/>
                <w:szCs w:val="21"/>
                <w:lang w:eastAsia="zh-CN"/>
              </w:rPr>
              <w:t>较好的</w:t>
            </w:r>
            <w:r>
              <w:rPr>
                <w:rFonts w:hint="eastAsia" w:ascii="宋体" w:hAnsi="宋体" w:eastAsia="宋体" w:cs="宋体"/>
                <w:color w:val="auto"/>
                <w:kern w:val="0"/>
                <w:sz w:val="21"/>
                <w:szCs w:val="21"/>
              </w:rPr>
              <w:t>得</w:t>
            </w:r>
            <w:r>
              <w:rPr>
                <w:rFonts w:hint="eastAsia" w:ascii="宋体" w:hAnsi="宋体" w:eastAsia="宋体" w:cs="宋体"/>
                <w:color w:val="auto"/>
                <w:kern w:val="0"/>
                <w:sz w:val="21"/>
                <w:szCs w:val="21"/>
                <w:lang w:val="en-US" w:eastAsia="zh-CN"/>
              </w:rPr>
              <w:t>6-4.1</w:t>
            </w:r>
            <w:r>
              <w:rPr>
                <w:rFonts w:hint="eastAsia" w:ascii="宋体" w:hAnsi="宋体" w:eastAsia="宋体" w:cs="宋体"/>
                <w:color w:val="auto"/>
                <w:kern w:val="0"/>
                <w:sz w:val="21"/>
                <w:szCs w:val="21"/>
              </w:rPr>
              <w:t>分</w:t>
            </w:r>
            <w:r>
              <w:rPr>
                <w:rFonts w:hint="eastAsia" w:ascii="宋体" w:hAnsi="宋体" w:eastAsia="宋体" w:cs="宋体"/>
                <w:color w:val="auto"/>
                <w:kern w:val="0"/>
                <w:sz w:val="21"/>
                <w:szCs w:val="21"/>
                <w:lang w:eastAsia="zh-CN"/>
              </w:rPr>
              <w:t>；</w:t>
            </w:r>
          </w:p>
          <w:p>
            <w:pPr>
              <w:widowControl/>
              <w:spacing w:line="240" w:lineRule="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②</w:t>
            </w:r>
            <w:r>
              <w:rPr>
                <w:rFonts w:hint="eastAsia" w:ascii="宋体" w:hAnsi="宋体" w:eastAsia="宋体" w:cs="宋体"/>
                <w:color w:val="auto"/>
                <w:kern w:val="0"/>
                <w:sz w:val="21"/>
                <w:szCs w:val="21"/>
                <w:lang w:eastAsia="zh-CN"/>
              </w:rPr>
              <w:t>方案描述</w:t>
            </w:r>
            <w:r>
              <w:rPr>
                <w:rFonts w:hint="eastAsia" w:ascii="宋体" w:hAnsi="宋体" w:eastAsia="宋体" w:cs="宋体"/>
                <w:color w:val="auto"/>
                <w:kern w:val="0"/>
                <w:sz w:val="21"/>
                <w:szCs w:val="21"/>
              </w:rPr>
              <w:t>完整性、准确性、合理性一般</w:t>
            </w:r>
            <w:r>
              <w:rPr>
                <w:rFonts w:hint="eastAsia" w:ascii="宋体" w:hAnsi="宋体" w:eastAsia="宋体" w:cs="宋体"/>
                <w:color w:val="auto"/>
                <w:kern w:val="0"/>
                <w:sz w:val="21"/>
                <w:szCs w:val="21"/>
                <w:lang w:eastAsia="zh-CN"/>
              </w:rPr>
              <w:t>的</w:t>
            </w:r>
            <w:r>
              <w:rPr>
                <w:rFonts w:hint="eastAsia" w:ascii="宋体" w:hAnsi="宋体" w:eastAsia="宋体" w:cs="宋体"/>
                <w:color w:val="auto"/>
                <w:kern w:val="0"/>
                <w:sz w:val="21"/>
                <w:szCs w:val="21"/>
              </w:rPr>
              <w:t>得</w:t>
            </w:r>
            <w:r>
              <w:rPr>
                <w:rFonts w:hint="eastAsia" w:ascii="宋体" w:hAnsi="宋体" w:eastAsia="宋体" w:cs="宋体"/>
                <w:color w:val="auto"/>
                <w:kern w:val="0"/>
                <w:sz w:val="21"/>
                <w:szCs w:val="21"/>
                <w:lang w:val="en-US" w:eastAsia="zh-CN"/>
              </w:rPr>
              <w:t>4-2.1</w:t>
            </w:r>
            <w:r>
              <w:rPr>
                <w:rFonts w:hint="eastAsia" w:ascii="宋体" w:hAnsi="宋体" w:eastAsia="宋体" w:cs="宋体"/>
                <w:color w:val="auto"/>
                <w:kern w:val="0"/>
                <w:sz w:val="21"/>
                <w:szCs w:val="21"/>
              </w:rPr>
              <w:t>分</w:t>
            </w:r>
            <w:r>
              <w:rPr>
                <w:rFonts w:hint="eastAsia" w:ascii="宋体" w:hAnsi="宋体" w:eastAsia="宋体" w:cs="宋体"/>
                <w:color w:val="auto"/>
                <w:kern w:val="0"/>
                <w:sz w:val="21"/>
                <w:szCs w:val="21"/>
                <w:lang w:eastAsia="zh-CN"/>
              </w:rPr>
              <w:t>；</w:t>
            </w:r>
          </w:p>
          <w:p>
            <w:pPr>
              <w:widowControl/>
              <w:spacing w:line="240" w:lineRule="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③</w:t>
            </w:r>
            <w:r>
              <w:rPr>
                <w:rFonts w:hint="eastAsia" w:ascii="宋体" w:hAnsi="宋体" w:eastAsia="宋体" w:cs="宋体"/>
                <w:color w:val="auto"/>
                <w:kern w:val="0"/>
                <w:sz w:val="21"/>
                <w:szCs w:val="21"/>
                <w:lang w:eastAsia="zh-CN"/>
              </w:rPr>
              <w:t>方案描述</w:t>
            </w:r>
            <w:r>
              <w:rPr>
                <w:rFonts w:hint="eastAsia" w:ascii="宋体" w:hAnsi="宋体" w:eastAsia="宋体" w:cs="宋体"/>
                <w:color w:val="auto"/>
                <w:kern w:val="0"/>
                <w:sz w:val="21"/>
                <w:szCs w:val="21"/>
              </w:rPr>
              <w:t>完整性、准确性、合理性</w:t>
            </w:r>
            <w:r>
              <w:rPr>
                <w:rFonts w:hint="eastAsia" w:ascii="宋体" w:hAnsi="宋体" w:eastAsia="宋体" w:cs="宋体"/>
                <w:color w:val="auto"/>
                <w:kern w:val="0"/>
                <w:sz w:val="21"/>
                <w:szCs w:val="21"/>
                <w:lang w:eastAsia="zh-CN"/>
              </w:rPr>
              <w:t>较差的</w:t>
            </w:r>
            <w:r>
              <w:rPr>
                <w:rFonts w:hint="eastAsia" w:ascii="宋体" w:hAnsi="宋体" w:eastAsia="宋体" w:cs="宋体"/>
                <w:color w:val="auto"/>
                <w:kern w:val="0"/>
                <w:sz w:val="21"/>
                <w:szCs w:val="21"/>
              </w:rPr>
              <w:t>得</w:t>
            </w:r>
            <w:r>
              <w:rPr>
                <w:rFonts w:hint="eastAsia" w:ascii="宋体" w:hAnsi="宋体" w:eastAsia="宋体" w:cs="宋体"/>
                <w:color w:val="auto"/>
                <w:kern w:val="0"/>
                <w:sz w:val="21"/>
                <w:szCs w:val="21"/>
                <w:lang w:val="en-US" w:eastAsia="zh-CN"/>
              </w:rPr>
              <w:t>2-0.1</w:t>
            </w:r>
            <w:r>
              <w:rPr>
                <w:rFonts w:hint="eastAsia" w:ascii="宋体" w:hAnsi="宋体" w:eastAsia="宋体" w:cs="宋体"/>
                <w:color w:val="auto"/>
                <w:kern w:val="0"/>
                <w:sz w:val="21"/>
                <w:szCs w:val="21"/>
              </w:rPr>
              <w:t>分</w:t>
            </w:r>
            <w:r>
              <w:rPr>
                <w:rFonts w:hint="eastAsia" w:ascii="宋体" w:hAnsi="宋体" w:eastAsia="宋体" w:cs="宋体"/>
                <w:color w:val="auto"/>
                <w:kern w:val="0"/>
                <w:sz w:val="21"/>
                <w:szCs w:val="21"/>
                <w:lang w:eastAsia="zh-CN"/>
              </w:rPr>
              <w:t>；</w:t>
            </w:r>
          </w:p>
          <w:p>
            <w:pPr>
              <w:widowControl/>
              <w:spacing w:line="240" w:lineRule="auto"/>
              <w:rPr>
                <w:rFonts w:hint="eastAsia" w:ascii="宋体" w:hAnsi="宋体" w:cs="宋体"/>
                <w:color w:val="auto"/>
                <w:kern w:val="0"/>
                <w:sz w:val="21"/>
                <w:szCs w:val="21"/>
              </w:rPr>
            </w:pPr>
            <w:r>
              <w:rPr>
                <w:rFonts w:hint="eastAsia" w:ascii="宋体" w:hAnsi="宋体" w:eastAsia="宋体" w:cs="宋体"/>
                <w:color w:val="auto"/>
                <w:kern w:val="0"/>
                <w:sz w:val="21"/>
                <w:szCs w:val="21"/>
              </w:rPr>
              <w:t>④</w:t>
            </w:r>
            <w:r>
              <w:rPr>
                <w:rFonts w:hint="eastAsia" w:ascii="宋体" w:hAnsi="宋体" w:eastAsia="宋体" w:cs="宋体"/>
                <w:color w:val="auto"/>
                <w:kern w:val="0"/>
                <w:sz w:val="21"/>
                <w:szCs w:val="21"/>
                <w:lang w:val="en-US" w:eastAsia="zh-CN"/>
              </w:rPr>
              <w:t>未做</w:t>
            </w:r>
            <w:r>
              <w:rPr>
                <w:rFonts w:hint="eastAsia" w:ascii="宋体" w:hAnsi="宋体" w:eastAsia="宋体" w:cs="宋体"/>
                <w:color w:val="auto"/>
                <w:kern w:val="0"/>
                <w:sz w:val="21"/>
                <w:szCs w:val="21"/>
              </w:rPr>
              <w:t>方案不得分。</w:t>
            </w:r>
          </w:p>
        </w:tc>
        <w:tc>
          <w:tcPr>
            <w:tcW w:w="406"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6</w:t>
            </w:r>
          </w:p>
        </w:tc>
      </w:tr>
      <w:tr>
        <w:tblPrEx>
          <w:tblCellMar>
            <w:top w:w="0" w:type="dxa"/>
            <w:left w:w="108" w:type="dxa"/>
            <w:bottom w:w="0" w:type="dxa"/>
            <w:right w:w="108" w:type="dxa"/>
          </w:tblCellMar>
        </w:tblPrEx>
        <w:trPr>
          <w:trHeight w:val="983" w:hRule="atLeast"/>
        </w:trPr>
        <w:tc>
          <w:tcPr>
            <w:tcW w:w="400"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 w:val="21"/>
                <w:szCs w:val="21"/>
              </w:rPr>
            </w:pPr>
          </w:p>
        </w:tc>
        <w:tc>
          <w:tcPr>
            <w:tcW w:w="406"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cs="宋体"/>
                <w:b/>
                <w:bCs/>
                <w:color w:val="auto"/>
                <w:kern w:val="0"/>
                <w:sz w:val="21"/>
                <w:szCs w:val="21"/>
              </w:rPr>
            </w:pPr>
          </w:p>
        </w:tc>
        <w:tc>
          <w:tcPr>
            <w:tcW w:w="37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对投标产品的性能指标及技术参数满足程度进行评分：全部满足要求的得满分，满分</w:t>
            </w:r>
            <w:r>
              <w:rPr>
                <w:rFonts w:hint="eastAsia" w:ascii="宋体" w:hAnsi="宋体" w:cs="宋体"/>
                <w:color w:val="auto"/>
                <w:kern w:val="0"/>
                <w:sz w:val="21"/>
                <w:szCs w:val="21"/>
                <w:lang w:val="en-US" w:eastAsia="zh-CN"/>
              </w:rPr>
              <w:t>3</w:t>
            </w:r>
            <w:r>
              <w:rPr>
                <w:rFonts w:hint="eastAsia" w:ascii="宋体" w:hAnsi="宋体" w:cs="宋体"/>
                <w:color w:val="auto"/>
                <w:kern w:val="0"/>
                <w:sz w:val="21"/>
                <w:szCs w:val="21"/>
              </w:rPr>
              <w:t>分。标注“★”的每负偏离一项扣</w:t>
            </w:r>
            <w:r>
              <w:rPr>
                <w:rFonts w:hint="eastAsia" w:ascii="宋体" w:hAnsi="宋体" w:cs="宋体"/>
                <w:color w:val="auto"/>
                <w:kern w:val="0"/>
                <w:sz w:val="21"/>
                <w:szCs w:val="21"/>
                <w:lang w:val="en-US" w:eastAsia="zh-CN"/>
              </w:rPr>
              <w:t>0.3</w:t>
            </w:r>
            <w:r>
              <w:rPr>
                <w:rFonts w:hint="eastAsia" w:ascii="宋体" w:hAnsi="宋体" w:cs="宋体"/>
                <w:color w:val="auto"/>
                <w:kern w:val="0"/>
                <w:sz w:val="21"/>
                <w:szCs w:val="21"/>
              </w:rPr>
              <w:t>分，普通项每负偏离一项扣0.</w:t>
            </w:r>
            <w:r>
              <w:rPr>
                <w:rFonts w:hint="eastAsia" w:ascii="宋体" w:hAnsi="宋体" w:cs="宋体"/>
                <w:color w:val="auto"/>
                <w:kern w:val="0"/>
                <w:sz w:val="21"/>
                <w:szCs w:val="21"/>
                <w:lang w:val="en-US" w:eastAsia="zh-CN"/>
              </w:rPr>
              <w:t>1</w:t>
            </w:r>
            <w:r>
              <w:rPr>
                <w:rFonts w:hint="eastAsia" w:ascii="宋体" w:hAnsi="宋体" w:cs="宋体"/>
                <w:color w:val="auto"/>
                <w:kern w:val="0"/>
                <w:sz w:val="21"/>
                <w:szCs w:val="21"/>
              </w:rPr>
              <w:t>分，扣完为止。</w:t>
            </w:r>
          </w:p>
        </w:tc>
        <w:tc>
          <w:tcPr>
            <w:tcW w:w="406"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3</w:t>
            </w:r>
          </w:p>
        </w:tc>
      </w:tr>
      <w:tr>
        <w:tblPrEx>
          <w:tblCellMar>
            <w:top w:w="0" w:type="dxa"/>
            <w:left w:w="108" w:type="dxa"/>
            <w:bottom w:w="0" w:type="dxa"/>
            <w:right w:w="108" w:type="dxa"/>
          </w:tblCellMar>
        </w:tblPrEx>
        <w:trPr>
          <w:trHeight w:val="90" w:hRule="atLeast"/>
        </w:trPr>
        <w:tc>
          <w:tcPr>
            <w:tcW w:w="400"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 w:val="21"/>
                <w:szCs w:val="21"/>
              </w:rPr>
            </w:pPr>
          </w:p>
        </w:tc>
        <w:tc>
          <w:tcPr>
            <w:tcW w:w="406"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color w:val="auto"/>
                <w:sz w:val="21"/>
                <w:szCs w:val="21"/>
                <w:highlight w:val="none"/>
              </w:rPr>
            </w:pPr>
            <w:r>
              <w:rPr>
                <w:rFonts w:hint="eastAsia"/>
                <w:color w:val="auto"/>
                <w:sz w:val="21"/>
                <w:szCs w:val="21"/>
                <w:highlight w:val="none"/>
              </w:rPr>
              <w:t>实施方案</w:t>
            </w:r>
          </w:p>
          <w:p>
            <w:pPr>
              <w:pStyle w:val="10"/>
              <w:spacing w:line="240" w:lineRule="auto"/>
              <w:jc w:val="center"/>
              <w:rPr>
                <w:rFonts w:hint="eastAsia" w:eastAsia="宋体"/>
                <w:color w:val="auto"/>
                <w:sz w:val="21"/>
                <w:szCs w:val="21"/>
                <w:highlight w:val="none"/>
                <w:lang w:val="en-US" w:eastAsia="zh-CN"/>
              </w:rPr>
            </w:pPr>
            <w:r>
              <w:rPr>
                <w:rFonts w:hint="eastAsia" w:ascii="宋体" w:hAnsi="宋体" w:cs="宋体"/>
                <w:b w:val="0"/>
                <w:bCs w:val="0"/>
                <w:color w:val="auto"/>
                <w:kern w:val="0"/>
                <w:sz w:val="21"/>
                <w:szCs w:val="21"/>
                <w:highlight w:val="none"/>
                <w:lang w:val="en-US" w:eastAsia="zh-CN"/>
              </w:rPr>
              <w:t>2分</w:t>
            </w:r>
          </w:p>
        </w:tc>
        <w:tc>
          <w:tcPr>
            <w:tcW w:w="378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hint="eastAsia" w:ascii="宋体" w:hAnsi="宋体" w:cs="宋体"/>
                <w:color w:val="auto"/>
                <w:kern w:val="0"/>
                <w:sz w:val="21"/>
                <w:szCs w:val="21"/>
                <w:lang w:eastAsia="zh-CN"/>
              </w:rPr>
            </w:pPr>
            <w:r>
              <w:rPr>
                <w:rFonts w:hint="eastAsia" w:ascii="宋体" w:hAnsi="宋体" w:cs="宋体"/>
                <w:color w:val="auto"/>
                <w:kern w:val="0"/>
                <w:sz w:val="21"/>
                <w:szCs w:val="21"/>
              </w:rPr>
              <w:t>根据投标人</w:t>
            </w:r>
            <w:r>
              <w:rPr>
                <w:rFonts w:hint="eastAsia" w:ascii="宋体" w:hAnsi="宋体" w:cs="宋体"/>
                <w:color w:val="auto"/>
                <w:kern w:val="0"/>
                <w:sz w:val="21"/>
                <w:szCs w:val="21"/>
                <w:lang w:eastAsia="zh-CN"/>
              </w:rPr>
              <w:t>的</w:t>
            </w:r>
            <w:r>
              <w:rPr>
                <w:rFonts w:hint="eastAsia" w:ascii="宋体" w:hAnsi="宋体" w:cs="宋体"/>
                <w:color w:val="auto"/>
                <w:kern w:val="0"/>
                <w:sz w:val="21"/>
                <w:szCs w:val="21"/>
              </w:rPr>
              <w:t>组织实施方案</w:t>
            </w:r>
            <w:r>
              <w:rPr>
                <w:rFonts w:hint="eastAsia" w:ascii="宋体" w:hAnsi="宋体" w:cs="宋体"/>
                <w:color w:val="auto"/>
                <w:kern w:val="0"/>
                <w:sz w:val="21"/>
                <w:szCs w:val="21"/>
                <w:lang w:eastAsia="zh-CN"/>
              </w:rPr>
              <w:t>（至少需包含</w:t>
            </w:r>
            <w:r>
              <w:rPr>
                <w:rFonts w:hint="eastAsia" w:ascii="宋体" w:hAnsi="宋体" w:cs="宋体"/>
                <w:color w:val="auto"/>
                <w:kern w:val="0"/>
                <w:sz w:val="21"/>
                <w:szCs w:val="21"/>
              </w:rPr>
              <w:t>项目组织措施</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用户单位个性化</w:t>
            </w:r>
            <w:r>
              <w:rPr>
                <w:rFonts w:hint="eastAsia" w:ascii="宋体" w:hAnsi="宋体" w:cs="宋体"/>
                <w:color w:val="auto"/>
                <w:kern w:val="0"/>
                <w:sz w:val="21"/>
                <w:szCs w:val="21"/>
                <w:lang w:eastAsia="zh-CN"/>
              </w:rPr>
              <w:t>的解决、</w:t>
            </w:r>
            <w:r>
              <w:rPr>
                <w:rFonts w:hint="eastAsia" w:ascii="宋体" w:hAnsi="宋体" w:cs="宋体"/>
                <w:color w:val="auto"/>
                <w:kern w:val="0"/>
                <w:sz w:val="21"/>
                <w:szCs w:val="21"/>
              </w:rPr>
              <w:t>实施进度计划</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项目风险分析</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测试与验收方案</w:t>
            </w:r>
            <w:r>
              <w:rPr>
                <w:rFonts w:hint="eastAsia" w:ascii="宋体" w:hAnsi="宋体" w:cs="宋体"/>
                <w:color w:val="auto"/>
                <w:kern w:val="0"/>
                <w:sz w:val="21"/>
                <w:szCs w:val="21"/>
                <w:lang w:eastAsia="zh-CN"/>
              </w:rPr>
              <w:t>等）进行评分：</w:t>
            </w:r>
          </w:p>
          <w:p>
            <w:pPr>
              <w:widowControl/>
              <w:spacing w:line="240" w:lineRule="auto"/>
              <w:rPr>
                <w:rFonts w:hint="eastAsia" w:ascii="宋体" w:hAnsi="宋体" w:cs="宋体"/>
                <w:color w:val="auto"/>
                <w:kern w:val="0"/>
                <w:sz w:val="21"/>
                <w:szCs w:val="21"/>
                <w:lang w:val="en-US" w:eastAsia="zh-CN"/>
              </w:rPr>
            </w:pPr>
            <w:r>
              <w:rPr>
                <w:rFonts w:hint="eastAsia" w:ascii="宋体" w:hAnsi="宋体" w:cs="宋体"/>
                <w:color w:val="auto"/>
                <w:kern w:val="0"/>
                <w:sz w:val="21"/>
                <w:szCs w:val="21"/>
              </w:rPr>
              <w:t>①方案</w:t>
            </w:r>
            <w:r>
              <w:rPr>
                <w:rFonts w:hint="eastAsia" w:ascii="宋体" w:hAnsi="宋体" w:cs="宋体"/>
                <w:color w:val="auto"/>
                <w:kern w:val="0"/>
                <w:sz w:val="21"/>
                <w:szCs w:val="21"/>
                <w:lang w:val="en-US" w:eastAsia="zh-CN"/>
              </w:rPr>
              <w:t>完整合理，</w:t>
            </w:r>
            <w:r>
              <w:rPr>
                <w:rFonts w:hint="eastAsia" w:ascii="宋体" w:hAnsi="宋体" w:cs="宋体"/>
                <w:color w:val="auto"/>
                <w:kern w:val="0"/>
                <w:sz w:val="21"/>
                <w:szCs w:val="21"/>
              </w:rPr>
              <w:t>逻辑</w:t>
            </w:r>
            <w:r>
              <w:rPr>
                <w:rFonts w:hint="eastAsia" w:ascii="宋体" w:hAnsi="宋体" w:cs="宋体"/>
                <w:color w:val="auto"/>
                <w:kern w:val="0"/>
                <w:sz w:val="21"/>
                <w:szCs w:val="21"/>
                <w:lang w:val="en-US" w:eastAsia="zh-CN"/>
              </w:rPr>
              <w:t>性</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可操作性</w:t>
            </w:r>
            <w:r>
              <w:rPr>
                <w:rFonts w:hint="eastAsia" w:ascii="宋体" w:hAnsi="宋体" w:cs="宋体"/>
                <w:color w:val="auto"/>
                <w:kern w:val="0"/>
                <w:sz w:val="21"/>
                <w:szCs w:val="21"/>
                <w:lang w:val="en-US" w:eastAsia="zh-CN"/>
              </w:rPr>
              <w:t>强</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得</w:t>
            </w:r>
            <w:r>
              <w:rPr>
                <w:rFonts w:hint="eastAsia" w:ascii="宋体" w:hAnsi="宋体" w:cs="宋体"/>
                <w:color w:val="auto"/>
                <w:kern w:val="0"/>
                <w:sz w:val="21"/>
                <w:szCs w:val="21"/>
                <w:lang w:val="en-US" w:eastAsia="zh-CN"/>
              </w:rPr>
              <w:t>2分；</w:t>
            </w:r>
          </w:p>
          <w:p>
            <w:pPr>
              <w:widowControl/>
              <w:spacing w:line="240" w:lineRule="auto"/>
              <w:rPr>
                <w:rFonts w:hint="eastAsia" w:ascii="宋体" w:hAnsi="宋体" w:cs="宋体"/>
                <w:color w:val="auto"/>
                <w:kern w:val="0"/>
                <w:sz w:val="21"/>
                <w:szCs w:val="21"/>
                <w:lang w:val="en-US" w:eastAsia="zh-CN"/>
              </w:rPr>
            </w:pPr>
            <w:r>
              <w:rPr>
                <w:rFonts w:hint="eastAsia" w:ascii="宋体" w:hAnsi="宋体" w:cs="宋体"/>
                <w:color w:val="auto"/>
                <w:kern w:val="0"/>
                <w:sz w:val="21"/>
                <w:szCs w:val="21"/>
              </w:rPr>
              <w:t>②方案</w:t>
            </w:r>
            <w:r>
              <w:rPr>
                <w:rFonts w:hint="eastAsia" w:ascii="宋体" w:hAnsi="宋体" w:cs="宋体"/>
                <w:color w:val="auto"/>
                <w:kern w:val="0"/>
                <w:sz w:val="21"/>
                <w:szCs w:val="21"/>
                <w:lang w:val="en-US" w:eastAsia="zh-CN"/>
              </w:rPr>
              <w:t>较完整合理，</w:t>
            </w:r>
            <w:r>
              <w:rPr>
                <w:rFonts w:hint="eastAsia" w:ascii="宋体" w:hAnsi="宋体" w:cs="宋体"/>
                <w:color w:val="auto"/>
                <w:kern w:val="0"/>
                <w:sz w:val="21"/>
                <w:szCs w:val="21"/>
              </w:rPr>
              <w:t>逻辑</w:t>
            </w:r>
            <w:r>
              <w:rPr>
                <w:rFonts w:hint="eastAsia" w:ascii="宋体" w:hAnsi="宋体" w:cs="宋体"/>
                <w:color w:val="auto"/>
                <w:kern w:val="0"/>
                <w:sz w:val="21"/>
                <w:szCs w:val="21"/>
                <w:lang w:val="en-US" w:eastAsia="zh-CN"/>
              </w:rPr>
              <w:t>性</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可操作性</w:t>
            </w:r>
            <w:r>
              <w:rPr>
                <w:rFonts w:hint="eastAsia" w:ascii="宋体" w:hAnsi="宋体" w:cs="宋体"/>
                <w:color w:val="auto"/>
                <w:kern w:val="0"/>
                <w:sz w:val="21"/>
                <w:szCs w:val="21"/>
                <w:lang w:val="en-US" w:eastAsia="zh-CN"/>
              </w:rPr>
              <w:t>一般</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得</w:t>
            </w:r>
            <w:r>
              <w:rPr>
                <w:rFonts w:hint="eastAsia" w:ascii="宋体" w:hAnsi="宋体" w:cs="宋体"/>
                <w:color w:val="auto"/>
                <w:kern w:val="0"/>
                <w:sz w:val="21"/>
                <w:szCs w:val="21"/>
                <w:lang w:val="en-US" w:eastAsia="zh-CN"/>
              </w:rPr>
              <w:t>1分；</w:t>
            </w:r>
          </w:p>
          <w:p>
            <w:pPr>
              <w:widowControl/>
              <w:spacing w:line="240" w:lineRule="auto"/>
              <w:rPr>
                <w:rFonts w:hint="eastAsia" w:ascii="宋体" w:hAnsi="宋体" w:cs="宋体"/>
                <w:color w:val="auto"/>
                <w:kern w:val="0"/>
                <w:sz w:val="21"/>
                <w:szCs w:val="21"/>
                <w:lang w:val="en-US" w:eastAsia="zh-CN"/>
              </w:rPr>
            </w:pPr>
            <w:r>
              <w:rPr>
                <w:rFonts w:hint="eastAsia" w:ascii="宋体" w:hAnsi="宋体" w:cs="宋体"/>
                <w:color w:val="auto"/>
                <w:kern w:val="0"/>
                <w:sz w:val="21"/>
                <w:szCs w:val="21"/>
              </w:rPr>
              <w:t>③方案</w:t>
            </w:r>
            <w:r>
              <w:rPr>
                <w:rFonts w:hint="eastAsia" w:ascii="宋体" w:hAnsi="宋体" w:cs="宋体"/>
                <w:color w:val="auto"/>
                <w:kern w:val="0"/>
                <w:sz w:val="21"/>
                <w:szCs w:val="21"/>
                <w:lang w:val="en-US" w:eastAsia="zh-CN"/>
              </w:rPr>
              <w:t>粗糙，</w:t>
            </w:r>
            <w:r>
              <w:rPr>
                <w:rFonts w:hint="eastAsia" w:ascii="宋体" w:hAnsi="宋体" w:cs="宋体"/>
                <w:color w:val="auto"/>
                <w:kern w:val="0"/>
                <w:sz w:val="21"/>
                <w:szCs w:val="21"/>
              </w:rPr>
              <w:t>逻辑</w:t>
            </w:r>
            <w:r>
              <w:rPr>
                <w:rFonts w:hint="eastAsia" w:ascii="宋体" w:hAnsi="宋体" w:cs="宋体"/>
                <w:color w:val="auto"/>
                <w:kern w:val="0"/>
                <w:sz w:val="21"/>
                <w:szCs w:val="21"/>
                <w:lang w:val="en-US" w:eastAsia="zh-CN"/>
              </w:rPr>
              <w:t>性</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可操作性</w:t>
            </w:r>
            <w:r>
              <w:rPr>
                <w:rFonts w:hint="eastAsia" w:ascii="宋体" w:hAnsi="宋体" w:cs="宋体"/>
                <w:color w:val="auto"/>
                <w:kern w:val="0"/>
                <w:sz w:val="21"/>
                <w:szCs w:val="21"/>
                <w:lang w:eastAsia="zh-CN"/>
              </w:rPr>
              <w:t>较差</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得</w:t>
            </w:r>
            <w:r>
              <w:rPr>
                <w:rFonts w:hint="eastAsia" w:ascii="宋体" w:hAnsi="宋体" w:cs="宋体"/>
                <w:color w:val="auto"/>
                <w:kern w:val="0"/>
                <w:sz w:val="21"/>
                <w:szCs w:val="21"/>
                <w:lang w:val="en-US" w:eastAsia="zh-CN"/>
              </w:rPr>
              <w:t>0.5分；</w:t>
            </w:r>
          </w:p>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④</w:t>
            </w:r>
            <w:r>
              <w:rPr>
                <w:rFonts w:hint="eastAsia" w:ascii="宋体" w:hAnsi="宋体" w:cs="宋体"/>
                <w:color w:val="auto"/>
                <w:kern w:val="0"/>
                <w:sz w:val="21"/>
                <w:szCs w:val="21"/>
                <w:lang w:val="en-US" w:eastAsia="zh-CN"/>
              </w:rPr>
              <w:t>未提供方案不得分。</w:t>
            </w:r>
          </w:p>
        </w:tc>
        <w:tc>
          <w:tcPr>
            <w:tcW w:w="406"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2</w:t>
            </w:r>
          </w:p>
        </w:tc>
      </w:tr>
      <w:tr>
        <w:tblPrEx>
          <w:tblCellMar>
            <w:top w:w="0" w:type="dxa"/>
            <w:left w:w="108" w:type="dxa"/>
            <w:bottom w:w="0" w:type="dxa"/>
            <w:right w:w="108" w:type="dxa"/>
          </w:tblCellMar>
        </w:tblPrEx>
        <w:trPr>
          <w:trHeight w:val="90" w:hRule="atLeast"/>
        </w:trPr>
        <w:tc>
          <w:tcPr>
            <w:tcW w:w="400" w:type="pct"/>
            <w:vMerge w:val="restart"/>
            <w:tcBorders>
              <w:top w:val="nil"/>
              <w:left w:val="single" w:color="auto" w:sz="4" w:space="0"/>
              <w:right w:val="single" w:color="auto" w:sz="4" w:space="0"/>
            </w:tcBorders>
            <w:vAlign w:val="center"/>
          </w:tcPr>
          <w:p>
            <w:pPr>
              <w:widowControl/>
              <w:spacing w:line="360" w:lineRule="auto"/>
              <w:jc w:val="center"/>
              <w:rPr>
                <w:rFonts w:hint="eastAsia"/>
                <w:b/>
                <w:bCs/>
                <w:color w:val="auto"/>
                <w:sz w:val="21"/>
                <w:szCs w:val="21"/>
                <w:lang w:eastAsia="zh-CN"/>
              </w:rPr>
            </w:pPr>
            <w:r>
              <w:rPr>
                <w:rFonts w:hint="eastAsia"/>
                <w:b/>
                <w:bCs/>
                <w:color w:val="auto"/>
                <w:sz w:val="21"/>
                <w:szCs w:val="21"/>
                <w:lang w:eastAsia="zh-CN"/>
              </w:rPr>
              <w:t>演示</w:t>
            </w:r>
          </w:p>
          <w:p>
            <w:pPr>
              <w:pStyle w:val="10"/>
              <w:spacing w:line="360" w:lineRule="auto"/>
              <w:jc w:val="center"/>
              <w:rPr>
                <w:rFonts w:hint="default"/>
                <w:color w:val="auto"/>
                <w:sz w:val="21"/>
                <w:szCs w:val="21"/>
                <w:lang w:val="en-US" w:eastAsia="zh-CN"/>
              </w:rPr>
            </w:pPr>
            <w:r>
              <w:rPr>
                <w:rFonts w:hint="eastAsia" w:ascii="宋体" w:hAnsi="宋体" w:cs="宋体"/>
                <w:b/>
                <w:bCs/>
                <w:color w:val="auto"/>
                <w:kern w:val="0"/>
                <w:sz w:val="21"/>
                <w:szCs w:val="21"/>
                <w:lang w:val="en-US" w:eastAsia="zh-CN"/>
              </w:rPr>
              <w:t>9分</w:t>
            </w:r>
          </w:p>
        </w:tc>
        <w:tc>
          <w:tcPr>
            <w:tcW w:w="406"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b w:val="0"/>
                <w:bCs w:val="0"/>
                <w:color w:val="auto"/>
                <w:sz w:val="21"/>
                <w:szCs w:val="21"/>
                <w:lang w:eastAsia="zh-CN"/>
              </w:rPr>
            </w:pPr>
            <w:r>
              <w:rPr>
                <w:rFonts w:hint="eastAsia"/>
                <w:b w:val="0"/>
                <w:bCs w:val="0"/>
                <w:color w:val="FF0000"/>
                <w:sz w:val="21"/>
                <w:szCs w:val="21"/>
                <w:lang w:val="en-US" w:eastAsia="zh-CN"/>
              </w:rPr>
              <w:t>数据中心</w:t>
            </w:r>
            <w:r>
              <w:rPr>
                <w:rFonts w:hint="eastAsia"/>
                <w:b w:val="0"/>
                <w:bCs w:val="0"/>
                <w:color w:val="auto"/>
                <w:sz w:val="21"/>
                <w:szCs w:val="21"/>
                <w:lang w:eastAsia="zh-CN"/>
              </w:rPr>
              <w:t>演示</w:t>
            </w:r>
          </w:p>
          <w:p>
            <w:pPr>
              <w:pStyle w:val="10"/>
              <w:spacing w:line="240" w:lineRule="auto"/>
              <w:jc w:val="center"/>
              <w:rPr>
                <w:rFonts w:hint="eastAsia" w:ascii="Times New Roman" w:hAnsi="Times New Roman" w:eastAsia="宋体" w:cs="Times New Roman"/>
                <w:color w:val="auto"/>
                <w:kern w:val="2"/>
                <w:sz w:val="21"/>
                <w:szCs w:val="21"/>
                <w:lang w:val="en-US" w:eastAsia="zh-CN" w:bidi="ar-SA"/>
              </w:rPr>
            </w:pPr>
            <w:r>
              <w:rPr>
                <w:rFonts w:hint="eastAsia" w:ascii="宋体" w:hAnsi="宋体" w:cs="宋体"/>
                <w:b w:val="0"/>
                <w:bCs w:val="0"/>
                <w:color w:val="auto"/>
                <w:kern w:val="0"/>
                <w:sz w:val="21"/>
                <w:szCs w:val="21"/>
                <w:lang w:val="en-US" w:eastAsia="zh-CN"/>
              </w:rPr>
              <w:t>要求</w:t>
            </w:r>
          </w:p>
        </w:tc>
        <w:tc>
          <w:tcPr>
            <w:tcW w:w="3786" w:type="pct"/>
            <w:tcBorders>
              <w:top w:val="nil"/>
              <w:left w:val="nil"/>
              <w:bottom w:val="single" w:color="auto" w:sz="4" w:space="0"/>
              <w:right w:val="single" w:color="auto" w:sz="4" w:space="0"/>
            </w:tcBorders>
            <w:shd w:val="clear" w:color="auto" w:fill="auto"/>
            <w:vAlign w:val="center"/>
          </w:tcPr>
          <w:p>
            <w:pPr>
              <w:pStyle w:val="10"/>
              <w:spacing w:line="240" w:lineRule="auto"/>
              <w:rPr>
                <w:rFonts w:hint="eastAsia" w:ascii="宋体" w:hAnsi="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投标人</w:t>
            </w:r>
            <w:r>
              <w:rPr>
                <w:rFonts w:hint="eastAsia" w:ascii="宋体" w:hAnsi="宋体" w:cs="宋体"/>
                <w:color w:val="auto"/>
                <w:kern w:val="0"/>
                <w:sz w:val="21"/>
                <w:szCs w:val="21"/>
                <w:lang w:val="en-US" w:eastAsia="zh-CN" w:bidi="ar-SA"/>
              </w:rPr>
              <w:t>需依照下述五个部分内容</w:t>
            </w:r>
            <w:r>
              <w:rPr>
                <w:rFonts w:hint="eastAsia" w:ascii="宋体" w:hAnsi="宋体" w:eastAsia="宋体" w:cs="宋体"/>
                <w:color w:val="auto"/>
                <w:kern w:val="0"/>
                <w:sz w:val="21"/>
                <w:szCs w:val="21"/>
                <w:lang w:val="en-US" w:eastAsia="zh-CN" w:bidi="ar-SA"/>
              </w:rPr>
              <w:t>提供真实</w:t>
            </w:r>
            <w:r>
              <w:rPr>
                <w:rFonts w:hint="eastAsia" w:ascii="宋体" w:hAnsi="宋体" w:cs="宋体"/>
                <w:color w:val="auto"/>
                <w:kern w:val="0"/>
                <w:sz w:val="21"/>
                <w:szCs w:val="21"/>
                <w:lang w:val="en-US" w:eastAsia="zh-CN" w:bidi="ar-SA"/>
              </w:rPr>
              <w:t>系统的操作录屏，配</w:t>
            </w:r>
            <w:r>
              <w:rPr>
                <w:rFonts w:hint="eastAsia" w:ascii="宋体" w:hAnsi="宋体" w:eastAsia="宋体" w:cs="宋体"/>
                <w:color w:val="auto"/>
                <w:kern w:val="0"/>
                <w:sz w:val="21"/>
                <w:szCs w:val="21"/>
                <w:lang w:val="en-US" w:eastAsia="zh-CN" w:bidi="ar-SA"/>
              </w:rPr>
              <w:t>有人员讲解。录</w:t>
            </w:r>
            <w:r>
              <w:rPr>
                <w:rFonts w:hint="eastAsia" w:ascii="宋体" w:hAnsi="宋体" w:cs="宋体"/>
                <w:color w:val="auto"/>
                <w:kern w:val="0"/>
                <w:sz w:val="21"/>
                <w:szCs w:val="21"/>
                <w:lang w:val="en-US" w:eastAsia="zh-CN" w:bidi="ar-SA"/>
              </w:rPr>
              <w:t>屏总</w:t>
            </w:r>
            <w:r>
              <w:rPr>
                <w:rFonts w:hint="eastAsia" w:ascii="宋体" w:hAnsi="宋体" w:eastAsia="宋体" w:cs="宋体"/>
                <w:color w:val="auto"/>
                <w:kern w:val="0"/>
                <w:sz w:val="21"/>
                <w:szCs w:val="21"/>
                <w:lang w:val="en-US" w:eastAsia="zh-CN" w:bidi="ar-SA"/>
              </w:rPr>
              <w:t>时长</w:t>
            </w:r>
            <w:r>
              <w:rPr>
                <w:rFonts w:hint="eastAsia" w:ascii="宋体" w:hAnsi="宋体" w:eastAsia="宋体" w:cs="宋体"/>
                <w:b/>
                <w:bCs/>
                <w:color w:val="auto"/>
                <w:kern w:val="0"/>
                <w:sz w:val="21"/>
                <w:szCs w:val="21"/>
                <w:lang w:val="en-US" w:eastAsia="zh-CN" w:bidi="ar-SA"/>
              </w:rPr>
              <w:t>不超过</w:t>
            </w:r>
            <w:r>
              <w:rPr>
                <w:rFonts w:hint="eastAsia" w:ascii="宋体" w:hAnsi="宋体" w:cs="宋体"/>
                <w:b/>
                <w:bCs/>
                <w:color w:val="auto"/>
                <w:kern w:val="0"/>
                <w:sz w:val="21"/>
                <w:szCs w:val="21"/>
                <w:lang w:val="en-US" w:eastAsia="zh-CN" w:bidi="ar-SA"/>
              </w:rPr>
              <w:t>20</w:t>
            </w:r>
            <w:r>
              <w:rPr>
                <w:rFonts w:hint="eastAsia" w:ascii="宋体" w:hAnsi="宋体" w:eastAsia="宋体" w:cs="宋体"/>
                <w:b/>
                <w:bCs/>
                <w:color w:val="auto"/>
                <w:kern w:val="0"/>
                <w:sz w:val="21"/>
                <w:szCs w:val="21"/>
                <w:lang w:val="en-US" w:eastAsia="zh-CN" w:bidi="ar-SA"/>
              </w:rPr>
              <w:t>分钟</w:t>
            </w:r>
            <w:r>
              <w:rPr>
                <w:rFonts w:hint="eastAsia" w:ascii="宋体" w:hAnsi="宋体" w:cs="宋体"/>
                <w:color w:val="auto"/>
                <w:kern w:val="0"/>
                <w:sz w:val="21"/>
                <w:szCs w:val="21"/>
                <w:lang w:val="en-US" w:eastAsia="zh-CN" w:bidi="ar-SA"/>
              </w:rPr>
              <w:t>（</w:t>
            </w:r>
            <w:r>
              <w:rPr>
                <w:rFonts w:hint="eastAsia" w:ascii="宋体" w:hAnsi="宋体" w:eastAsia="宋体" w:cs="宋体"/>
                <w:color w:val="auto"/>
                <w:kern w:val="0"/>
                <w:sz w:val="21"/>
                <w:szCs w:val="21"/>
                <w:lang w:val="en-US" w:eastAsia="zh-CN" w:bidi="ar-SA"/>
              </w:rPr>
              <w:t>录</w:t>
            </w:r>
            <w:r>
              <w:rPr>
                <w:rFonts w:hint="eastAsia" w:ascii="宋体" w:hAnsi="宋体" w:cs="宋体"/>
                <w:color w:val="auto"/>
                <w:kern w:val="0"/>
                <w:sz w:val="21"/>
                <w:szCs w:val="21"/>
                <w:lang w:val="en-US" w:eastAsia="zh-CN" w:bidi="ar-SA"/>
              </w:rPr>
              <w:t>屏</w:t>
            </w:r>
            <w:r>
              <w:rPr>
                <w:rFonts w:hint="eastAsia" w:ascii="宋体" w:hAnsi="宋体" w:eastAsia="宋体" w:cs="宋体"/>
                <w:color w:val="auto"/>
                <w:kern w:val="0"/>
                <w:sz w:val="21"/>
                <w:szCs w:val="21"/>
                <w:lang w:val="en-US" w:eastAsia="zh-CN" w:bidi="ar-SA"/>
              </w:rPr>
              <w:t>文件</w:t>
            </w:r>
            <w:r>
              <w:rPr>
                <w:rFonts w:hint="eastAsia" w:ascii="宋体" w:hAnsi="宋体" w:cs="宋体"/>
                <w:color w:val="auto"/>
                <w:kern w:val="0"/>
                <w:sz w:val="21"/>
                <w:szCs w:val="21"/>
                <w:lang w:val="en-US" w:eastAsia="zh-CN" w:bidi="ar-SA"/>
              </w:rPr>
              <w:t>需</w:t>
            </w:r>
            <w:r>
              <w:rPr>
                <w:rFonts w:hint="eastAsia" w:ascii="宋体" w:hAnsi="宋体" w:eastAsia="宋体" w:cs="宋体"/>
                <w:color w:val="auto"/>
                <w:kern w:val="0"/>
                <w:sz w:val="21"/>
                <w:szCs w:val="21"/>
                <w:lang w:val="en-US" w:eastAsia="zh-CN" w:bidi="ar-SA"/>
              </w:rPr>
              <w:t>通过“政采云视频讲标系统”进行线上实时在</w:t>
            </w:r>
            <w:r>
              <w:rPr>
                <w:rFonts w:hint="eastAsia" w:ascii="宋体" w:hAnsi="宋体" w:cs="宋体"/>
                <w:color w:val="auto"/>
                <w:kern w:val="0"/>
                <w:sz w:val="21"/>
                <w:szCs w:val="21"/>
                <w:lang w:val="en-US" w:eastAsia="zh-CN" w:bidi="ar-SA"/>
              </w:rPr>
              <w:t>线播放，播放结束后发至交易中心指定邮箱）。</w:t>
            </w:r>
          </w:p>
          <w:p>
            <w:pPr>
              <w:pStyle w:val="10"/>
              <w:spacing w:line="240" w:lineRule="auto"/>
              <w:rPr>
                <w:rFonts w:hint="eastAsia"/>
                <w:color w:val="auto"/>
                <w:sz w:val="21"/>
                <w:szCs w:val="21"/>
              </w:rPr>
            </w:pPr>
            <w:r>
              <w:rPr>
                <w:rFonts w:hint="eastAsia" w:ascii="宋体" w:hAnsi="宋体" w:eastAsia="宋体" w:cs="宋体"/>
                <w:color w:val="auto"/>
                <w:kern w:val="0"/>
                <w:sz w:val="21"/>
                <w:szCs w:val="21"/>
                <w:lang w:val="en-US" w:eastAsia="zh-CN" w:bidi="ar-SA"/>
              </w:rPr>
              <w:t>以Axure、PPT、图片等进行演示的</w:t>
            </w:r>
            <w:r>
              <w:rPr>
                <w:rFonts w:hint="eastAsia" w:ascii="宋体" w:hAnsi="宋体" w:eastAsia="宋体" w:cs="宋体"/>
                <w:b/>
                <w:bCs/>
                <w:color w:val="auto"/>
                <w:kern w:val="0"/>
                <w:sz w:val="21"/>
                <w:szCs w:val="21"/>
                <w:lang w:val="en-US" w:eastAsia="zh-CN" w:bidi="ar-SA"/>
              </w:rPr>
              <w:t>不得分</w:t>
            </w:r>
            <w:r>
              <w:rPr>
                <w:rFonts w:hint="eastAsia" w:ascii="宋体" w:hAnsi="宋体" w:eastAsia="宋体" w:cs="宋体"/>
                <w:color w:val="auto"/>
                <w:kern w:val="0"/>
                <w:sz w:val="21"/>
                <w:szCs w:val="21"/>
                <w:lang w:val="en-US" w:eastAsia="zh-CN" w:bidi="ar-SA"/>
              </w:rPr>
              <w:t>。</w:t>
            </w:r>
          </w:p>
        </w:tc>
        <w:tc>
          <w:tcPr>
            <w:tcW w:w="406"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w:t>
            </w:r>
          </w:p>
        </w:tc>
      </w:tr>
      <w:tr>
        <w:tblPrEx>
          <w:tblCellMar>
            <w:top w:w="0" w:type="dxa"/>
            <w:left w:w="108" w:type="dxa"/>
            <w:bottom w:w="0" w:type="dxa"/>
            <w:right w:w="108" w:type="dxa"/>
          </w:tblCellMar>
        </w:tblPrEx>
        <w:trPr>
          <w:trHeight w:val="267" w:hRule="atLeast"/>
        </w:trPr>
        <w:tc>
          <w:tcPr>
            <w:tcW w:w="400" w:type="pct"/>
            <w:vMerge w:val="continue"/>
            <w:tcBorders>
              <w:left w:val="single" w:color="auto" w:sz="4" w:space="0"/>
              <w:right w:val="single" w:color="auto" w:sz="4" w:space="0"/>
            </w:tcBorders>
            <w:vAlign w:val="center"/>
          </w:tcPr>
          <w:p>
            <w:pPr>
              <w:pStyle w:val="10"/>
              <w:spacing w:line="360" w:lineRule="auto"/>
              <w:jc w:val="center"/>
              <w:rPr>
                <w:rFonts w:hint="eastAsia" w:ascii="宋体" w:hAnsi="宋体" w:cs="宋体"/>
                <w:b/>
                <w:bCs/>
                <w:color w:val="auto"/>
                <w:kern w:val="0"/>
                <w:sz w:val="21"/>
                <w:szCs w:val="21"/>
                <w:lang w:val="en-US" w:eastAsia="zh-CN"/>
              </w:rPr>
            </w:pPr>
          </w:p>
        </w:tc>
        <w:tc>
          <w:tcPr>
            <w:tcW w:w="406"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b w:val="0"/>
                <w:bCs w:val="0"/>
                <w:color w:val="auto"/>
                <w:sz w:val="21"/>
                <w:szCs w:val="21"/>
                <w:lang w:val="en-US" w:eastAsia="zh-CN"/>
              </w:rPr>
            </w:pPr>
            <w:r>
              <w:rPr>
                <w:rFonts w:hint="eastAsia"/>
                <w:b w:val="0"/>
                <w:bCs w:val="0"/>
                <w:color w:val="auto"/>
                <w:sz w:val="21"/>
                <w:szCs w:val="21"/>
                <w:lang w:val="en-US" w:eastAsia="zh-CN"/>
              </w:rPr>
              <w:t>第一部分</w:t>
            </w:r>
          </w:p>
        </w:tc>
        <w:tc>
          <w:tcPr>
            <w:tcW w:w="3786"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b w:val="0"/>
                <w:bCs w:val="0"/>
                <w:color w:val="auto"/>
                <w:sz w:val="21"/>
                <w:szCs w:val="21"/>
                <w:lang w:eastAsia="zh-CN"/>
              </w:rPr>
            </w:pPr>
            <w:r>
              <w:rPr>
                <w:rFonts w:hint="eastAsia"/>
                <w:b/>
                <w:bCs/>
                <w:color w:val="auto"/>
                <w:sz w:val="21"/>
                <w:szCs w:val="21"/>
                <w:lang w:eastAsia="zh-CN"/>
              </w:rPr>
              <w:t>演示数据标准模块</w:t>
            </w:r>
            <w:r>
              <w:rPr>
                <w:rFonts w:hint="eastAsia"/>
                <w:b w:val="0"/>
                <w:bCs w:val="0"/>
                <w:color w:val="auto"/>
                <w:sz w:val="21"/>
                <w:szCs w:val="21"/>
                <w:lang w:eastAsia="zh-CN"/>
              </w:rPr>
              <w:t>（每项</w:t>
            </w:r>
            <w:r>
              <w:rPr>
                <w:rFonts w:hint="eastAsia"/>
                <w:b w:val="0"/>
                <w:bCs w:val="0"/>
                <w:color w:val="auto"/>
                <w:sz w:val="21"/>
                <w:szCs w:val="21"/>
                <w:lang w:val="en-US" w:eastAsia="zh-CN"/>
              </w:rPr>
              <w:t>0.5分</w:t>
            </w:r>
            <w:r>
              <w:rPr>
                <w:rFonts w:hint="eastAsia"/>
                <w:b w:val="0"/>
                <w:bCs w:val="0"/>
                <w:color w:val="auto"/>
                <w:sz w:val="21"/>
                <w:szCs w:val="21"/>
                <w:lang w:eastAsia="zh-CN"/>
              </w:rPr>
              <w:t>）</w:t>
            </w:r>
            <w:r>
              <w:rPr>
                <w:rFonts w:hint="eastAsia"/>
                <w:b/>
                <w:bCs/>
                <w:color w:val="auto"/>
                <w:sz w:val="21"/>
                <w:szCs w:val="21"/>
                <w:lang w:eastAsia="zh-CN"/>
              </w:rPr>
              <w:t>：</w:t>
            </w:r>
          </w:p>
          <w:p>
            <w:pPr>
              <w:widowControl/>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1、</w:t>
            </w:r>
            <w:r>
              <w:rPr>
                <w:rFonts w:hint="eastAsia" w:ascii="宋体" w:hAnsi="宋体" w:eastAsia="宋体" w:cs="宋体"/>
                <w:color w:val="auto"/>
                <w:kern w:val="0"/>
                <w:sz w:val="21"/>
                <w:szCs w:val="21"/>
                <w:lang w:val="en-US" w:eastAsia="zh-CN" w:bidi="ar-SA"/>
              </w:rPr>
              <w:t>演示自动对标功能，自动对标时每张表通过对标历史、分词的方式会默认对上一批字段，那些没有对标的字段，亦可通过手动对标的形式来完成对标。</w:t>
            </w:r>
          </w:p>
          <w:p>
            <w:pPr>
              <w:widowControl/>
              <w:spacing w:line="240" w:lineRule="auto"/>
              <w:jc w:val="left"/>
              <w:rPr>
                <w:rFonts w:hint="eastAsia"/>
                <w:b w:val="0"/>
                <w:bCs w:val="0"/>
                <w:color w:val="auto"/>
                <w:sz w:val="21"/>
                <w:szCs w:val="21"/>
                <w:lang w:val="en-US" w:eastAsia="zh-CN"/>
              </w:rPr>
            </w:pPr>
            <w:r>
              <w:rPr>
                <w:rFonts w:hint="eastAsia" w:ascii="宋体" w:hAnsi="宋体" w:cs="宋体"/>
                <w:color w:val="auto"/>
                <w:kern w:val="0"/>
                <w:sz w:val="21"/>
                <w:szCs w:val="21"/>
                <w:lang w:val="en-US" w:eastAsia="zh-CN" w:bidi="ar-SA"/>
              </w:rPr>
              <w:t>2、</w:t>
            </w:r>
            <w:r>
              <w:rPr>
                <w:rFonts w:hint="eastAsia" w:ascii="宋体" w:hAnsi="宋体" w:eastAsia="宋体" w:cs="宋体"/>
                <w:color w:val="auto"/>
                <w:kern w:val="0"/>
                <w:sz w:val="21"/>
                <w:szCs w:val="21"/>
                <w:lang w:val="en-US" w:eastAsia="zh-CN" w:bidi="ar-SA"/>
              </w:rPr>
              <w:t>演示数据标准管理功能，包括新建、导入（Excel、csv）、审核标准，数据标准可用于数据的标准化加工和质量探查。</w:t>
            </w:r>
          </w:p>
        </w:tc>
        <w:tc>
          <w:tcPr>
            <w:tcW w:w="406"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1</w:t>
            </w:r>
          </w:p>
        </w:tc>
      </w:tr>
      <w:tr>
        <w:tblPrEx>
          <w:tblCellMar>
            <w:top w:w="0" w:type="dxa"/>
            <w:left w:w="108" w:type="dxa"/>
            <w:bottom w:w="0" w:type="dxa"/>
            <w:right w:w="108" w:type="dxa"/>
          </w:tblCellMar>
        </w:tblPrEx>
        <w:trPr>
          <w:trHeight w:val="350" w:hRule="atLeast"/>
        </w:trPr>
        <w:tc>
          <w:tcPr>
            <w:tcW w:w="400" w:type="pct"/>
            <w:vMerge w:val="continue"/>
            <w:tcBorders>
              <w:left w:val="single" w:color="auto" w:sz="4" w:space="0"/>
              <w:right w:val="single" w:color="auto" w:sz="4" w:space="0"/>
            </w:tcBorders>
            <w:vAlign w:val="center"/>
          </w:tcPr>
          <w:p>
            <w:pPr>
              <w:pStyle w:val="10"/>
              <w:spacing w:line="360" w:lineRule="auto"/>
              <w:jc w:val="center"/>
              <w:rPr>
                <w:rFonts w:hint="eastAsia" w:ascii="宋体" w:hAnsi="宋体" w:cs="宋体"/>
                <w:b/>
                <w:bCs/>
                <w:color w:val="auto"/>
                <w:kern w:val="0"/>
                <w:sz w:val="21"/>
                <w:szCs w:val="21"/>
                <w:lang w:val="en-US" w:eastAsia="zh-CN"/>
              </w:rPr>
            </w:pPr>
          </w:p>
        </w:tc>
        <w:tc>
          <w:tcPr>
            <w:tcW w:w="406"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b w:val="0"/>
                <w:bCs w:val="0"/>
                <w:color w:val="auto"/>
                <w:sz w:val="21"/>
                <w:szCs w:val="21"/>
                <w:lang w:val="en-US" w:eastAsia="zh-CN"/>
              </w:rPr>
            </w:pPr>
            <w:r>
              <w:rPr>
                <w:rFonts w:hint="eastAsia"/>
                <w:b w:val="0"/>
                <w:bCs w:val="0"/>
                <w:color w:val="auto"/>
                <w:sz w:val="21"/>
                <w:szCs w:val="21"/>
                <w:lang w:val="en-US" w:eastAsia="zh-CN"/>
              </w:rPr>
              <w:t>第二部分</w:t>
            </w:r>
          </w:p>
        </w:tc>
        <w:tc>
          <w:tcPr>
            <w:tcW w:w="3786"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b/>
                <w:bCs/>
                <w:color w:val="auto"/>
                <w:sz w:val="21"/>
                <w:szCs w:val="21"/>
                <w:lang w:eastAsia="zh-CN"/>
              </w:rPr>
            </w:pPr>
            <w:r>
              <w:rPr>
                <w:rFonts w:hint="eastAsia"/>
                <w:b/>
                <w:bCs/>
                <w:color w:val="auto"/>
                <w:sz w:val="21"/>
                <w:szCs w:val="21"/>
                <w:lang w:eastAsia="zh-CN"/>
              </w:rPr>
              <w:t>演示数据采集接入模块</w:t>
            </w:r>
            <w:r>
              <w:rPr>
                <w:rFonts w:hint="eastAsia"/>
                <w:b w:val="0"/>
                <w:bCs w:val="0"/>
                <w:color w:val="auto"/>
                <w:sz w:val="21"/>
                <w:szCs w:val="21"/>
                <w:lang w:eastAsia="zh-CN"/>
              </w:rPr>
              <w:t>（每项</w:t>
            </w:r>
            <w:r>
              <w:rPr>
                <w:rFonts w:hint="eastAsia"/>
                <w:b w:val="0"/>
                <w:bCs w:val="0"/>
                <w:color w:val="auto"/>
                <w:sz w:val="21"/>
                <w:szCs w:val="21"/>
                <w:lang w:val="en-US" w:eastAsia="zh-CN"/>
              </w:rPr>
              <w:t>0.5分</w:t>
            </w:r>
            <w:r>
              <w:rPr>
                <w:rFonts w:hint="eastAsia"/>
                <w:b w:val="0"/>
                <w:bCs w:val="0"/>
                <w:color w:val="auto"/>
                <w:sz w:val="21"/>
                <w:szCs w:val="21"/>
                <w:lang w:eastAsia="zh-CN"/>
              </w:rPr>
              <w:t>）</w:t>
            </w:r>
            <w:r>
              <w:rPr>
                <w:rFonts w:hint="eastAsia"/>
                <w:b/>
                <w:bCs/>
                <w:color w:val="auto"/>
                <w:sz w:val="21"/>
                <w:szCs w:val="21"/>
                <w:lang w:eastAsia="zh-CN"/>
              </w:rPr>
              <w:t>：</w:t>
            </w:r>
          </w:p>
          <w:p>
            <w:pPr>
              <w:widowControl/>
              <w:spacing w:line="240" w:lineRule="auto"/>
              <w:jc w:val="left"/>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1、演示数据</w:t>
            </w:r>
            <w:r>
              <w:rPr>
                <w:rFonts w:hint="eastAsia" w:ascii="宋体" w:hAnsi="宋体" w:cs="宋体"/>
                <w:color w:val="auto"/>
                <w:kern w:val="0"/>
                <w:sz w:val="21"/>
                <w:szCs w:val="21"/>
                <w:lang w:val="en-US" w:eastAsia="zh-CN" w:bidi="ar-SA"/>
              </w:rPr>
              <w:t>采集</w:t>
            </w:r>
            <w:r>
              <w:rPr>
                <w:rFonts w:hint="eastAsia" w:ascii="宋体" w:hAnsi="宋体" w:eastAsia="宋体" w:cs="宋体"/>
                <w:color w:val="auto"/>
                <w:kern w:val="0"/>
                <w:sz w:val="21"/>
                <w:szCs w:val="21"/>
                <w:lang w:val="en-US" w:eastAsia="zh-CN" w:bidi="ar-SA"/>
              </w:rPr>
              <w:t>接入功能，支持关系型数据库、分布式数据库、文本数据的接入，支持数据库同步、数据抽取、批量导入、增量更新、手动采集、FTP、网络文件系统、分布式文件系统、边界接入</w:t>
            </w:r>
            <w:r>
              <w:rPr>
                <w:rFonts w:hint="eastAsia" w:ascii="宋体" w:hAnsi="宋体" w:cs="宋体"/>
                <w:color w:val="auto"/>
                <w:kern w:val="0"/>
                <w:sz w:val="21"/>
                <w:szCs w:val="21"/>
                <w:lang w:val="en-US" w:eastAsia="zh-CN" w:bidi="ar-SA"/>
              </w:rPr>
              <w:t>、插件或接口定制</w:t>
            </w:r>
            <w:r>
              <w:rPr>
                <w:rFonts w:hint="eastAsia" w:ascii="宋体" w:hAnsi="宋体" w:eastAsia="宋体" w:cs="宋体"/>
                <w:color w:val="auto"/>
                <w:kern w:val="0"/>
                <w:sz w:val="21"/>
                <w:szCs w:val="21"/>
                <w:lang w:val="en-US" w:eastAsia="zh-CN" w:bidi="ar-SA"/>
              </w:rPr>
              <w:t>等数据接入方式。</w:t>
            </w:r>
          </w:p>
          <w:p>
            <w:pPr>
              <w:widowControl/>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演示数据定义功能，包括数据格式定义、数据读取定义、数据比对定义、数据清洗定义、数据提取定义、数据分发定义；演示数据标准管理功能，包括新建、导入（Excel、csv）、审核标准，数据标准可用于数据的标准化加工和质量探查。</w:t>
            </w:r>
          </w:p>
          <w:p>
            <w:pPr>
              <w:widowControl/>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3、演示数据探查功能，包括启用探查、探查报告、探查概览，对数据进行数据上、结构上的排查，按照固有的规则进行数据校验</w:t>
            </w:r>
            <w:r>
              <w:rPr>
                <w:rFonts w:hint="eastAsia" w:ascii="宋体" w:hAnsi="宋体" w:cs="宋体"/>
                <w:color w:val="auto"/>
                <w:kern w:val="0"/>
                <w:sz w:val="21"/>
                <w:szCs w:val="21"/>
                <w:lang w:val="en-US" w:eastAsia="zh-CN" w:bidi="ar-SA"/>
              </w:rPr>
              <w:t>。</w:t>
            </w:r>
          </w:p>
          <w:p>
            <w:pPr>
              <w:widowControl/>
              <w:spacing w:line="240" w:lineRule="auto"/>
              <w:jc w:val="left"/>
              <w:rPr>
                <w:rFonts w:hint="eastAsia"/>
                <w:b w:val="0"/>
                <w:bCs w:val="0"/>
                <w:color w:val="auto"/>
                <w:sz w:val="21"/>
                <w:szCs w:val="21"/>
                <w:lang w:val="en-US" w:eastAsia="zh-CN"/>
              </w:rPr>
            </w:pPr>
            <w:r>
              <w:rPr>
                <w:rFonts w:hint="eastAsia" w:ascii="宋体" w:hAnsi="宋体" w:eastAsia="宋体" w:cs="宋体"/>
                <w:color w:val="auto"/>
                <w:kern w:val="0"/>
                <w:sz w:val="21"/>
                <w:szCs w:val="21"/>
                <w:lang w:val="en-US" w:eastAsia="zh-CN" w:bidi="ar-SA"/>
              </w:rPr>
              <w:t>4、演示数据对账功能，支持增删改查，支持监控定时调度前后源表到目标表中的数据量是否一致。</w:t>
            </w:r>
          </w:p>
        </w:tc>
        <w:tc>
          <w:tcPr>
            <w:tcW w:w="406"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w:t>
            </w:r>
          </w:p>
        </w:tc>
      </w:tr>
      <w:tr>
        <w:tblPrEx>
          <w:tblCellMar>
            <w:top w:w="0" w:type="dxa"/>
            <w:left w:w="108" w:type="dxa"/>
            <w:bottom w:w="0" w:type="dxa"/>
            <w:right w:w="108" w:type="dxa"/>
          </w:tblCellMar>
        </w:tblPrEx>
        <w:trPr>
          <w:trHeight w:val="90" w:hRule="atLeast"/>
        </w:trPr>
        <w:tc>
          <w:tcPr>
            <w:tcW w:w="400" w:type="pct"/>
            <w:vMerge w:val="continue"/>
            <w:tcBorders>
              <w:left w:val="single" w:color="auto" w:sz="4" w:space="0"/>
              <w:right w:val="single" w:color="auto" w:sz="4" w:space="0"/>
            </w:tcBorders>
            <w:vAlign w:val="center"/>
          </w:tcPr>
          <w:p>
            <w:pPr>
              <w:pStyle w:val="10"/>
              <w:spacing w:line="360" w:lineRule="auto"/>
              <w:jc w:val="center"/>
              <w:rPr>
                <w:rFonts w:hint="eastAsia" w:ascii="宋体" w:hAnsi="宋体" w:cs="宋体"/>
                <w:b/>
                <w:bCs/>
                <w:color w:val="auto"/>
                <w:kern w:val="0"/>
                <w:sz w:val="21"/>
                <w:szCs w:val="21"/>
                <w:lang w:val="en-US" w:eastAsia="zh-CN"/>
              </w:rPr>
            </w:pPr>
          </w:p>
        </w:tc>
        <w:tc>
          <w:tcPr>
            <w:tcW w:w="406"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b w:val="0"/>
                <w:bCs w:val="0"/>
                <w:color w:val="auto"/>
                <w:sz w:val="21"/>
                <w:szCs w:val="21"/>
                <w:lang w:val="en-US" w:eastAsia="zh-CN"/>
              </w:rPr>
            </w:pPr>
            <w:r>
              <w:rPr>
                <w:rFonts w:hint="eastAsia"/>
                <w:b w:val="0"/>
                <w:bCs w:val="0"/>
                <w:color w:val="auto"/>
                <w:sz w:val="21"/>
                <w:szCs w:val="21"/>
                <w:lang w:val="en-US" w:eastAsia="zh-CN"/>
              </w:rPr>
              <w:t>第三部分</w:t>
            </w:r>
          </w:p>
        </w:tc>
        <w:tc>
          <w:tcPr>
            <w:tcW w:w="3786"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b/>
                <w:bCs/>
                <w:color w:val="auto"/>
                <w:sz w:val="21"/>
                <w:szCs w:val="21"/>
                <w:lang w:eastAsia="zh-CN"/>
              </w:rPr>
            </w:pPr>
            <w:r>
              <w:rPr>
                <w:rFonts w:hint="eastAsia"/>
                <w:b/>
                <w:bCs/>
                <w:color w:val="auto"/>
                <w:sz w:val="21"/>
                <w:szCs w:val="21"/>
                <w:lang w:eastAsia="zh-CN"/>
              </w:rPr>
              <w:t>演示数据处理模块</w:t>
            </w:r>
            <w:r>
              <w:rPr>
                <w:rFonts w:hint="eastAsia"/>
                <w:b w:val="0"/>
                <w:bCs w:val="0"/>
                <w:color w:val="auto"/>
                <w:sz w:val="21"/>
                <w:szCs w:val="21"/>
                <w:lang w:eastAsia="zh-CN"/>
              </w:rPr>
              <w:t>（每项</w:t>
            </w:r>
            <w:r>
              <w:rPr>
                <w:rFonts w:hint="eastAsia"/>
                <w:b w:val="0"/>
                <w:bCs w:val="0"/>
                <w:color w:val="auto"/>
                <w:sz w:val="21"/>
                <w:szCs w:val="21"/>
                <w:lang w:val="en-US" w:eastAsia="zh-CN"/>
              </w:rPr>
              <w:t>0.5分</w:t>
            </w:r>
            <w:r>
              <w:rPr>
                <w:rFonts w:hint="eastAsia"/>
                <w:b w:val="0"/>
                <w:bCs w:val="0"/>
                <w:color w:val="auto"/>
                <w:sz w:val="21"/>
                <w:szCs w:val="21"/>
                <w:lang w:eastAsia="zh-CN"/>
              </w:rPr>
              <w:t>）</w:t>
            </w:r>
            <w:r>
              <w:rPr>
                <w:rFonts w:hint="eastAsia"/>
                <w:b/>
                <w:bCs/>
                <w:color w:val="auto"/>
                <w:sz w:val="21"/>
                <w:szCs w:val="21"/>
                <w:lang w:eastAsia="zh-CN"/>
              </w:rPr>
              <w:t>：</w:t>
            </w:r>
          </w:p>
          <w:p>
            <w:pPr>
              <w:widowControl/>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1、演示数据提取模块，支持对word、Excel等非结构化数据的提取，</w:t>
            </w:r>
            <w:r>
              <w:rPr>
                <w:rFonts w:hint="eastAsia" w:ascii="宋体" w:hAnsi="宋体" w:cs="宋体"/>
                <w:color w:val="auto"/>
                <w:kern w:val="0"/>
                <w:sz w:val="21"/>
                <w:szCs w:val="21"/>
                <w:lang w:val="en-US" w:eastAsia="zh-CN" w:bidi="ar-SA"/>
              </w:rPr>
              <w:t>通过可视化方式</w:t>
            </w:r>
            <w:r>
              <w:rPr>
                <w:rFonts w:hint="eastAsia" w:ascii="宋体" w:hAnsi="宋体" w:eastAsia="宋体" w:cs="宋体"/>
                <w:color w:val="auto"/>
                <w:kern w:val="0"/>
                <w:sz w:val="21"/>
                <w:szCs w:val="21"/>
                <w:lang w:val="en-US" w:eastAsia="zh-CN" w:bidi="ar-SA"/>
              </w:rPr>
              <w:t>支持拖动要治理的表到工作区域，并支持对数据设置筛选、增量规则；</w:t>
            </w:r>
          </w:p>
          <w:p>
            <w:pPr>
              <w:widowControl/>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2、演示数据清洗模块，支持数据治理清洗函数，</w:t>
            </w:r>
            <w:r>
              <w:rPr>
                <w:rFonts w:hint="eastAsia" w:ascii="宋体" w:hAnsi="宋体" w:cs="宋体"/>
                <w:color w:val="auto"/>
                <w:kern w:val="0"/>
                <w:sz w:val="21"/>
                <w:szCs w:val="21"/>
                <w:lang w:val="en-US" w:eastAsia="zh-CN" w:bidi="ar-SA"/>
              </w:rPr>
              <w:t>支持自动和手动清洗，</w:t>
            </w:r>
            <w:r>
              <w:rPr>
                <w:rFonts w:hint="eastAsia" w:ascii="宋体" w:hAnsi="宋体" w:eastAsia="宋体" w:cs="宋体"/>
                <w:color w:val="auto"/>
                <w:kern w:val="0"/>
                <w:sz w:val="21"/>
                <w:szCs w:val="21"/>
                <w:lang w:val="en-US" w:eastAsia="zh-CN" w:bidi="ar-SA"/>
              </w:rPr>
              <w:t>包括但不限于对身份证、车牌号、地址规划等的清洗，支持去重、代码集关联、提取、转换、截断等清洗脚本的自动化生成，支持支持根据数据标准对字段名称标准化、代码值标准化，可以对字段添加备注信息；</w:t>
            </w:r>
          </w:p>
          <w:p>
            <w:pPr>
              <w:widowControl/>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3、演示数据关联模块，支持关联回填功能</w:t>
            </w:r>
            <w:r>
              <w:rPr>
                <w:rFonts w:hint="eastAsia" w:ascii="宋体" w:hAnsi="宋体" w:cs="宋体"/>
                <w:color w:val="auto"/>
                <w:kern w:val="0"/>
                <w:sz w:val="21"/>
                <w:szCs w:val="21"/>
                <w:lang w:val="en-US" w:eastAsia="zh-CN" w:bidi="ar-SA"/>
              </w:rPr>
              <w:t>，</w:t>
            </w:r>
            <w:r>
              <w:rPr>
                <w:rFonts w:hint="eastAsia" w:ascii="宋体" w:hAnsi="宋体" w:eastAsia="宋体" w:cs="宋体"/>
                <w:color w:val="auto"/>
                <w:kern w:val="0"/>
                <w:sz w:val="21"/>
                <w:szCs w:val="21"/>
                <w:lang w:val="en-US" w:eastAsia="zh-CN" w:bidi="ar-SA"/>
              </w:rPr>
              <w:t>表关联之后，支持数据缺失部分可自动进行回填；</w:t>
            </w:r>
          </w:p>
          <w:p>
            <w:pPr>
              <w:widowControl/>
              <w:spacing w:line="240" w:lineRule="auto"/>
              <w:jc w:val="left"/>
              <w:rPr>
                <w:rFonts w:hint="eastAsia"/>
                <w:b w:val="0"/>
                <w:bCs w:val="0"/>
                <w:color w:val="auto"/>
                <w:sz w:val="21"/>
                <w:szCs w:val="21"/>
                <w:lang w:val="en-US" w:eastAsia="zh-CN"/>
              </w:rPr>
            </w:pPr>
            <w:r>
              <w:rPr>
                <w:rFonts w:hint="eastAsia" w:ascii="宋体" w:hAnsi="宋体" w:eastAsia="宋体" w:cs="宋体"/>
                <w:color w:val="auto"/>
                <w:kern w:val="0"/>
                <w:sz w:val="21"/>
                <w:szCs w:val="21"/>
                <w:lang w:val="en-US" w:eastAsia="zh-CN" w:bidi="ar-SA"/>
              </w:rPr>
              <w:t>4、演示数据比对模块，支持结构化比对功能，通过线索与指定字段取值进行比对，在海量数据中实时发现线索相关信息。</w:t>
            </w:r>
          </w:p>
        </w:tc>
        <w:tc>
          <w:tcPr>
            <w:tcW w:w="406"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w:t>
            </w:r>
          </w:p>
        </w:tc>
      </w:tr>
      <w:tr>
        <w:tblPrEx>
          <w:tblCellMar>
            <w:top w:w="0" w:type="dxa"/>
            <w:left w:w="108" w:type="dxa"/>
            <w:bottom w:w="0" w:type="dxa"/>
            <w:right w:w="108" w:type="dxa"/>
          </w:tblCellMar>
        </w:tblPrEx>
        <w:trPr>
          <w:trHeight w:val="780" w:hRule="atLeast"/>
        </w:trPr>
        <w:tc>
          <w:tcPr>
            <w:tcW w:w="400" w:type="pct"/>
            <w:vMerge w:val="continue"/>
            <w:tcBorders>
              <w:left w:val="single" w:color="auto" w:sz="4" w:space="0"/>
              <w:right w:val="single" w:color="auto" w:sz="4" w:space="0"/>
            </w:tcBorders>
            <w:vAlign w:val="center"/>
          </w:tcPr>
          <w:p>
            <w:pPr>
              <w:pStyle w:val="10"/>
              <w:spacing w:line="360" w:lineRule="auto"/>
              <w:jc w:val="center"/>
              <w:rPr>
                <w:rFonts w:hint="eastAsia" w:ascii="宋体" w:hAnsi="宋体" w:cs="宋体"/>
                <w:b/>
                <w:bCs/>
                <w:color w:val="auto"/>
                <w:kern w:val="0"/>
                <w:sz w:val="21"/>
                <w:szCs w:val="21"/>
                <w:lang w:val="en-US" w:eastAsia="zh-CN"/>
              </w:rPr>
            </w:pPr>
          </w:p>
        </w:tc>
        <w:tc>
          <w:tcPr>
            <w:tcW w:w="406"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b w:val="0"/>
                <w:bCs w:val="0"/>
                <w:color w:val="auto"/>
                <w:sz w:val="21"/>
                <w:szCs w:val="21"/>
                <w:lang w:val="en-US" w:eastAsia="zh-CN"/>
              </w:rPr>
            </w:pPr>
            <w:r>
              <w:rPr>
                <w:rFonts w:hint="eastAsia"/>
                <w:b w:val="0"/>
                <w:bCs w:val="0"/>
                <w:color w:val="auto"/>
                <w:sz w:val="21"/>
                <w:szCs w:val="21"/>
                <w:lang w:val="en-US" w:eastAsia="zh-CN"/>
              </w:rPr>
              <w:t>第四部分</w:t>
            </w:r>
          </w:p>
        </w:tc>
        <w:tc>
          <w:tcPr>
            <w:tcW w:w="3786"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b/>
                <w:bCs/>
                <w:color w:val="auto"/>
                <w:sz w:val="21"/>
                <w:szCs w:val="21"/>
                <w:lang w:eastAsia="zh-CN"/>
              </w:rPr>
            </w:pPr>
            <w:r>
              <w:rPr>
                <w:rFonts w:hint="eastAsia"/>
                <w:b/>
                <w:bCs/>
                <w:color w:val="auto"/>
                <w:sz w:val="21"/>
                <w:szCs w:val="21"/>
                <w:lang w:eastAsia="zh-CN"/>
              </w:rPr>
              <w:t>演示数据治理模块</w:t>
            </w:r>
            <w:r>
              <w:rPr>
                <w:rFonts w:hint="eastAsia"/>
                <w:b w:val="0"/>
                <w:bCs w:val="0"/>
                <w:color w:val="auto"/>
                <w:sz w:val="21"/>
                <w:szCs w:val="21"/>
                <w:lang w:eastAsia="zh-CN"/>
              </w:rPr>
              <w:t>（每项</w:t>
            </w:r>
            <w:r>
              <w:rPr>
                <w:rFonts w:hint="eastAsia"/>
                <w:b w:val="0"/>
                <w:bCs w:val="0"/>
                <w:color w:val="auto"/>
                <w:sz w:val="21"/>
                <w:szCs w:val="21"/>
                <w:lang w:val="en-US" w:eastAsia="zh-CN"/>
              </w:rPr>
              <w:t>0.6分</w:t>
            </w:r>
            <w:r>
              <w:rPr>
                <w:rFonts w:hint="eastAsia"/>
                <w:b w:val="0"/>
                <w:bCs w:val="0"/>
                <w:color w:val="auto"/>
                <w:sz w:val="21"/>
                <w:szCs w:val="21"/>
                <w:lang w:eastAsia="zh-CN"/>
              </w:rPr>
              <w:t>）</w:t>
            </w:r>
            <w:r>
              <w:rPr>
                <w:rFonts w:hint="eastAsia"/>
                <w:b/>
                <w:bCs/>
                <w:color w:val="auto"/>
                <w:sz w:val="21"/>
                <w:szCs w:val="21"/>
                <w:lang w:eastAsia="zh-CN"/>
              </w:rPr>
              <w:t>：</w:t>
            </w:r>
          </w:p>
          <w:p>
            <w:pPr>
              <w:widowControl/>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1、演示数据分级分类模块，支持对来源数据进行自动分级分类，控制用户访问数据权限，粒度支持字段级；</w:t>
            </w:r>
          </w:p>
          <w:p>
            <w:pPr>
              <w:widowControl/>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2、演示数据血缘管理模块，支持数据血缘分析，支持表血缘和字段血缘，并且能够对血缘进行影响分析，溯源分析，继承分析，流向分析，转换分析；</w:t>
            </w:r>
          </w:p>
          <w:p>
            <w:pPr>
              <w:widowControl/>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演示数据质量管理模块，支持全链路数据质量管理，对数据源、导入过程、数据资产、数据使用等数据链路中的各个环节进行管控，包括质量监控、异常告警、问题定位、自定义规则维护、灵活的规则执行、自动分析报告等；</w:t>
            </w:r>
          </w:p>
          <w:p>
            <w:pPr>
              <w:widowControl/>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4、演示元数据查询功能，支持展示各个数仓分层的技术元数据、业务元数据和</w:t>
            </w:r>
            <w:r>
              <w:rPr>
                <w:rFonts w:hint="eastAsia" w:ascii="宋体" w:hAnsi="宋体" w:cs="宋体"/>
                <w:color w:val="auto"/>
                <w:kern w:val="0"/>
                <w:sz w:val="21"/>
                <w:szCs w:val="21"/>
                <w:lang w:val="en-US" w:eastAsia="zh-CN" w:bidi="ar-SA"/>
              </w:rPr>
              <w:t>管理</w:t>
            </w:r>
            <w:r>
              <w:rPr>
                <w:rFonts w:hint="eastAsia" w:ascii="宋体" w:hAnsi="宋体" w:eastAsia="宋体" w:cs="宋体"/>
                <w:color w:val="auto"/>
                <w:kern w:val="0"/>
                <w:sz w:val="21"/>
                <w:szCs w:val="21"/>
                <w:lang w:val="en-US" w:eastAsia="zh-CN" w:bidi="ar-SA"/>
              </w:rPr>
              <w:t>元数据；</w:t>
            </w:r>
          </w:p>
          <w:p>
            <w:pPr>
              <w:widowControl/>
              <w:spacing w:line="240" w:lineRule="auto"/>
              <w:jc w:val="left"/>
              <w:rPr>
                <w:rFonts w:hint="eastAsia"/>
                <w:b w:val="0"/>
                <w:bCs w:val="0"/>
                <w:color w:val="auto"/>
                <w:sz w:val="21"/>
                <w:szCs w:val="21"/>
                <w:lang w:val="en-US" w:eastAsia="zh-CN"/>
              </w:rPr>
            </w:pPr>
            <w:r>
              <w:rPr>
                <w:rFonts w:hint="eastAsia" w:ascii="宋体" w:hAnsi="宋体" w:eastAsia="宋体" w:cs="宋体"/>
                <w:color w:val="auto"/>
                <w:kern w:val="0"/>
                <w:sz w:val="21"/>
                <w:szCs w:val="21"/>
                <w:lang w:val="en-US" w:eastAsia="zh-CN" w:bidi="ar-SA"/>
              </w:rPr>
              <w:t>5、演示API注册</w:t>
            </w:r>
            <w:r>
              <w:rPr>
                <w:rFonts w:hint="eastAsia" w:ascii="宋体" w:hAnsi="宋体" w:cs="宋体"/>
                <w:color w:val="auto"/>
                <w:kern w:val="0"/>
                <w:sz w:val="21"/>
                <w:szCs w:val="21"/>
                <w:lang w:val="en-US" w:eastAsia="zh-CN" w:bidi="ar-SA"/>
              </w:rPr>
              <w:t>、配置</w:t>
            </w:r>
            <w:r>
              <w:rPr>
                <w:rFonts w:hint="eastAsia" w:ascii="宋体" w:hAnsi="宋体" w:eastAsia="宋体" w:cs="宋体"/>
                <w:color w:val="auto"/>
                <w:kern w:val="0"/>
                <w:sz w:val="21"/>
                <w:szCs w:val="21"/>
                <w:lang w:val="en-US" w:eastAsia="zh-CN" w:bidi="ar-SA"/>
              </w:rPr>
              <w:t>功能，支持查询检索服务（全文检索、通用扩展查询、通过数据查询服务等），比对订阅，数据推送，数据操作、数据API注册</w:t>
            </w:r>
            <w:r>
              <w:rPr>
                <w:rFonts w:hint="eastAsia" w:ascii="宋体" w:hAnsi="宋体" w:cs="宋体"/>
                <w:color w:val="auto"/>
                <w:kern w:val="0"/>
                <w:sz w:val="21"/>
                <w:szCs w:val="21"/>
                <w:lang w:val="en-US" w:eastAsia="zh-CN" w:bidi="ar-SA"/>
              </w:rPr>
              <w:t>、配置</w:t>
            </w:r>
            <w:r>
              <w:rPr>
                <w:rFonts w:hint="eastAsia" w:ascii="宋体" w:hAnsi="宋体" w:eastAsia="宋体" w:cs="宋体"/>
                <w:color w:val="auto"/>
                <w:kern w:val="0"/>
                <w:sz w:val="21"/>
                <w:szCs w:val="21"/>
                <w:lang w:val="en-US" w:eastAsia="zh-CN" w:bidi="ar-SA"/>
              </w:rPr>
              <w:t>功能。</w:t>
            </w:r>
          </w:p>
        </w:tc>
        <w:tc>
          <w:tcPr>
            <w:tcW w:w="406"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3</w:t>
            </w:r>
          </w:p>
        </w:tc>
      </w:tr>
      <w:tr>
        <w:tblPrEx>
          <w:tblCellMar>
            <w:top w:w="0" w:type="dxa"/>
            <w:left w:w="108" w:type="dxa"/>
            <w:bottom w:w="0" w:type="dxa"/>
            <w:right w:w="108" w:type="dxa"/>
          </w:tblCellMar>
        </w:tblPrEx>
        <w:trPr>
          <w:trHeight w:val="780" w:hRule="atLeast"/>
        </w:trPr>
        <w:tc>
          <w:tcPr>
            <w:tcW w:w="400" w:type="pct"/>
            <w:vMerge w:val="continue"/>
            <w:tcBorders>
              <w:left w:val="single" w:color="auto" w:sz="4" w:space="0"/>
              <w:bottom w:val="single" w:color="auto" w:sz="4" w:space="0"/>
              <w:right w:val="single" w:color="auto" w:sz="4" w:space="0"/>
            </w:tcBorders>
            <w:vAlign w:val="center"/>
          </w:tcPr>
          <w:p>
            <w:pPr>
              <w:pStyle w:val="10"/>
              <w:spacing w:line="360" w:lineRule="auto"/>
              <w:jc w:val="center"/>
              <w:rPr>
                <w:rFonts w:hint="eastAsia" w:ascii="宋体" w:hAnsi="宋体" w:cs="宋体"/>
                <w:b/>
                <w:bCs/>
                <w:color w:val="auto"/>
                <w:kern w:val="0"/>
                <w:sz w:val="21"/>
                <w:szCs w:val="21"/>
                <w:lang w:val="en-US" w:eastAsia="zh-CN"/>
              </w:rPr>
            </w:pPr>
          </w:p>
        </w:tc>
        <w:tc>
          <w:tcPr>
            <w:tcW w:w="406"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b w:val="0"/>
                <w:bCs w:val="0"/>
                <w:color w:val="auto"/>
                <w:sz w:val="21"/>
                <w:szCs w:val="21"/>
                <w:lang w:val="en-US" w:eastAsia="zh-CN"/>
              </w:rPr>
            </w:pPr>
            <w:r>
              <w:rPr>
                <w:rFonts w:hint="eastAsia"/>
                <w:b w:val="0"/>
                <w:bCs w:val="0"/>
                <w:color w:val="auto"/>
                <w:sz w:val="21"/>
                <w:szCs w:val="21"/>
                <w:lang w:val="en-US" w:eastAsia="zh-CN"/>
              </w:rPr>
              <w:t>第五部分</w:t>
            </w:r>
          </w:p>
        </w:tc>
        <w:tc>
          <w:tcPr>
            <w:tcW w:w="3786"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b/>
                <w:bCs/>
                <w:color w:val="auto"/>
                <w:sz w:val="21"/>
                <w:szCs w:val="21"/>
                <w:lang w:eastAsia="zh-CN"/>
              </w:rPr>
            </w:pPr>
            <w:r>
              <w:rPr>
                <w:rFonts w:hint="eastAsia"/>
                <w:b/>
                <w:bCs/>
                <w:color w:val="auto"/>
                <w:sz w:val="21"/>
                <w:szCs w:val="21"/>
                <w:lang w:eastAsia="zh-CN"/>
              </w:rPr>
              <w:t>演示数据组织模块</w:t>
            </w:r>
            <w:r>
              <w:rPr>
                <w:rFonts w:hint="eastAsia"/>
                <w:b w:val="0"/>
                <w:bCs w:val="0"/>
                <w:color w:val="auto"/>
                <w:sz w:val="21"/>
                <w:szCs w:val="21"/>
                <w:lang w:eastAsia="zh-CN"/>
              </w:rPr>
              <w:t>（每项</w:t>
            </w:r>
            <w:r>
              <w:rPr>
                <w:rFonts w:hint="eastAsia"/>
                <w:b w:val="0"/>
                <w:bCs w:val="0"/>
                <w:color w:val="auto"/>
                <w:sz w:val="21"/>
                <w:szCs w:val="21"/>
                <w:lang w:val="en-US" w:eastAsia="zh-CN"/>
              </w:rPr>
              <w:t>0.5分</w:t>
            </w:r>
            <w:r>
              <w:rPr>
                <w:rFonts w:hint="eastAsia"/>
                <w:b w:val="0"/>
                <w:bCs w:val="0"/>
                <w:color w:val="auto"/>
                <w:sz w:val="21"/>
                <w:szCs w:val="21"/>
                <w:lang w:eastAsia="zh-CN"/>
              </w:rPr>
              <w:t>）</w:t>
            </w:r>
            <w:r>
              <w:rPr>
                <w:rFonts w:hint="eastAsia"/>
                <w:b/>
                <w:bCs/>
                <w:color w:val="auto"/>
                <w:sz w:val="21"/>
                <w:szCs w:val="21"/>
                <w:lang w:eastAsia="zh-CN"/>
              </w:rPr>
              <w:t>：</w:t>
            </w:r>
          </w:p>
          <w:p>
            <w:pPr>
              <w:widowControl/>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1、演示原始库构建功能，演示各种来源数据进行一系列处理加工后产生的标准化数据项、原始数据项等其他公共数据项，支持页面可视化配置；</w:t>
            </w:r>
          </w:p>
          <w:p>
            <w:pPr>
              <w:widowControl/>
              <w:spacing w:line="240" w:lineRule="auto"/>
              <w:jc w:val="left"/>
              <w:rPr>
                <w:rFonts w:hint="eastAsia"/>
                <w:b w:val="0"/>
                <w:bCs w:val="0"/>
                <w:color w:val="auto"/>
                <w:sz w:val="21"/>
                <w:szCs w:val="21"/>
                <w:lang w:val="en-US" w:eastAsia="zh-CN"/>
              </w:rPr>
            </w:pPr>
            <w:r>
              <w:rPr>
                <w:rFonts w:hint="eastAsia" w:ascii="宋体" w:hAnsi="宋体" w:eastAsia="宋体" w:cs="宋体"/>
                <w:color w:val="auto"/>
                <w:kern w:val="0"/>
                <w:sz w:val="21"/>
                <w:szCs w:val="21"/>
                <w:lang w:val="en-US" w:eastAsia="zh-CN" w:bidi="ar-SA"/>
              </w:rPr>
              <w:t>2、演示主题库构建功能，演示平台通过配置形成人员、机动车、组织、案事件主题库，支持页面可视化配置。</w:t>
            </w:r>
          </w:p>
        </w:tc>
        <w:tc>
          <w:tcPr>
            <w:tcW w:w="406"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1</w:t>
            </w:r>
          </w:p>
        </w:tc>
      </w:tr>
      <w:tr>
        <w:tblPrEx>
          <w:tblCellMar>
            <w:top w:w="0" w:type="dxa"/>
            <w:left w:w="108" w:type="dxa"/>
            <w:bottom w:w="0" w:type="dxa"/>
            <w:right w:w="108" w:type="dxa"/>
          </w:tblCellMar>
        </w:tblPrEx>
        <w:trPr>
          <w:trHeight w:val="955" w:hRule="atLeast"/>
        </w:trPr>
        <w:tc>
          <w:tcPr>
            <w:tcW w:w="40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cs="宋体"/>
                <w:b/>
                <w:bCs/>
                <w:color w:val="auto"/>
                <w:kern w:val="0"/>
                <w:sz w:val="21"/>
                <w:szCs w:val="21"/>
              </w:rPr>
            </w:pPr>
            <w:r>
              <w:rPr>
                <w:rFonts w:hint="eastAsia" w:ascii="宋体" w:hAnsi="宋体" w:cs="宋体"/>
                <w:b/>
                <w:bCs/>
                <w:color w:val="auto"/>
                <w:kern w:val="0"/>
                <w:sz w:val="21"/>
                <w:szCs w:val="21"/>
              </w:rPr>
              <w:t>实力信誉及业绩</w:t>
            </w:r>
          </w:p>
          <w:p>
            <w:pPr>
              <w:widowControl/>
              <w:spacing w:line="360" w:lineRule="auto"/>
              <w:jc w:val="center"/>
              <w:rPr>
                <w:rFonts w:ascii="宋体" w:hAnsi="宋体" w:cs="宋体"/>
                <w:b/>
                <w:bCs/>
                <w:color w:val="auto"/>
                <w:kern w:val="0"/>
                <w:sz w:val="21"/>
                <w:szCs w:val="21"/>
              </w:rPr>
            </w:pPr>
            <w:r>
              <w:rPr>
                <w:rFonts w:hint="eastAsia" w:ascii="宋体" w:hAnsi="宋体" w:cs="宋体"/>
                <w:b/>
                <w:bCs/>
                <w:color w:val="auto"/>
                <w:kern w:val="0"/>
                <w:sz w:val="21"/>
                <w:szCs w:val="21"/>
                <w:lang w:val="en-US" w:eastAsia="zh-CN"/>
              </w:rPr>
              <w:t>6</w:t>
            </w:r>
            <w:r>
              <w:rPr>
                <w:rFonts w:hint="eastAsia" w:ascii="宋体" w:hAnsi="宋体" w:cs="宋体"/>
                <w:b/>
                <w:bCs/>
                <w:color w:val="auto"/>
                <w:kern w:val="0"/>
                <w:sz w:val="21"/>
                <w:szCs w:val="21"/>
              </w:rPr>
              <w:t>分</w:t>
            </w:r>
          </w:p>
        </w:tc>
        <w:tc>
          <w:tcPr>
            <w:tcW w:w="406"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color w:val="auto"/>
                <w:sz w:val="21"/>
                <w:szCs w:val="21"/>
              </w:rPr>
            </w:pPr>
            <w:r>
              <w:rPr>
                <w:rFonts w:hint="eastAsia"/>
                <w:color w:val="auto"/>
                <w:sz w:val="21"/>
                <w:szCs w:val="21"/>
                <w:lang w:eastAsia="zh-CN"/>
              </w:rPr>
              <w:t>实力</w:t>
            </w:r>
            <w:r>
              <w:rPr>
                <w:rFonts w:hint="eastAsia"/>
                <w:color w:val="auto"/>
                <w:sz w:val="21"/>
                <w:szCs w:val="21"/>
              </w:rPr>
              <w:t>信誉</w:t>
            </w:r>
          </w:p>
          <w:p>
            <w:pPr>
              <w:pStyle w:val="10"/>
              <w:spacing w:line="240" w:lineRule="auto"/>
              <w:jc w:val="center"/>
              <w:rPr>
                <w:rFonts w:hint="eastAsia" w:eastAsia="宋体"/>
                <w:color w:val="auto"/>
                <w:sz w:val="21"/>
                <w:szCs w:val="21"/>
                <w:lang w:val="en-US" w:eastAsia="zh-CN"/>
              </w:rPr>
            </w:pPr>
            <w:r>
              <w:rPr>
                <w:rFonts w:hint="eastAsia" w:ascii="宋体" w:hAnsi="宋体" w:cs="宋体"/>
                <w:b w:val="0"/>
                <w:bCs w:val="0"/>
                <w:color w:val="auto"/>
                <w:kern w:val="0"/>
                <w:sz w:val="21"/>
                <w:szCs w:val="21"/>
                <w:lang w:val="en-US" w:eastAsia="zh-CN"/>
              </w:rPr>
              <w:t>4分</w:t>
            </w:r>
          </w:p>
        </w:tc>
        <w:tc>
          <w:tcPr>
            <w:tcW w:w="3786" w:type="pct"/>
            <w:tcBorders>
              <w:top w:val="nil"/>
              <w:left w:val="nil"/>
              <w:bottom w:val="single" w:color="auto" w:sz="4" w:space="0"/>
              <w:right w:val="single" w:color="auto" w:sz="4" w:space="0"/>
            </w:tcBorders>
            <w:shd w:val="clear" w:color="auto" w:fill="auto"/>
            <w:vAlign w:val="center"/>
          </w:tcPr>
          <w:p>
            <w:pPr>
              <w:widowControl/>
              <w:spacing w:line="240" w:lineRule="auto"/>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具有ITSS能力证书的得</w:t>
            </w:r>
            <w:r>
              <w:rPr>
                <w:rFonts w:hint="eastAsia" w:ascii="宋体" w:hAnsi="宋体" w:cs="宋体"/>
                <w:color w:val="auto"/>
                <w:kern w:val="0"/>
                <w:sz w:val="21"/>
                <w:szCs w:val="21"/>
                <w:lang w:val="en-US" w:eastAsia="zh-CN"/>
              </w:rPr>
              <w:t>1分</w:t>
            </w:r>
            <w:r>
              <w:rPr>
                <w:rFonts w:hint="eastAsia" w:ascii="宋体" w:hAnsi="宋体" w:cs="宋体"/>
                <w:color w:val="auto"/>
                <w:kern w:val="0"/>
                <w:sz w:val="21"/>
                <w:szCs w:val="21"/>
                <w:lang w:eastAsia="zh-CN"/>
              </w:rPr>
              <w:t>；具有ISO27001信息安全管理体系认证证书的得</w:t>
            </w:r>
            <w:r>
              <w:rPr>
                <w:rFonts w:hint="eastAsia" w:ascii="宋体" w:hAnsi="宋体" w:cs="宋体"/>
                <w:color w:val="auto"/>
                <w:kern w:val="0"/>
                <w:sz w:val="21"/>
                <w:szCs w:val="21"/>
                <w:lang w:val="en-US" w:eastAsia="zh-CN"/>
              </w:rPr>
              <w:t>1</w:t>
            </w:r>
            <w:r>
              <w:rPr>
                <w:rFonts w:hint="eastAsia" w:ascii="宋体" w:hAnsi="宋体" w:cs="宋体"/>
                <w:color w:val="auto"/>
                <w:kern w:val="0"/>
                <w:sz w:val="21"/>
                <w:szCs w:val="21"/>
                <w:lang w:eastAsia="zh-CN"/>
              </w:rPr>
              <w:t>分；具有ISO9001质量管理体系认证证书的得</w:t>
            </w:r>
            <w:r>
              <w:rPr>
                <w:rFonts w:hint="eastAsia" w:ascii="宋体" w:hAnsi="宋体" w:cs="宋体"/>
                <w:color w:val="auto"/>
                <w:kern w:val="0"/>
                <w:sz w:val="21"/>
                <w:szCs w:val="21"/>
                <w:lang w:val="en-US" w:eastAsia="zh-CN"/>
              </w:rPr>
              <w:t>1</w:t>
            </w:r>
            <w:r>
              <w:rPr>
                <w:rFonts w:hint="eastAsia" w:ascii="宋体" w:hAnsi="宋体" w:cs="宋体"/>
                <w:color w:val="auto"/>
                <w:kern w:val="0"/>
                <w:sz w:val="21"/>
                <w:szCs w:val="21"/>
                <w:lang w:eastAsia="zh-CN"/>
              </w:rPr>
              <w:t>分；具有</w:t>
            </w:r>
            <w:r>
              <w:rPr>
                <w:rFonts w:hint="eastAsia" w:ascii="宋体" w:hAnsi="宋体" w:cs="宋体"/>
                <w:color w:val="auto"/>
                <w:kern w:val="0"/>
                <w:sz w:val="21"/>
                <w:szCs w:val="21"/>
                <w:lang w:val="en-US" w:eastAsia="zh-CN"/>
              </w:rPr>
              <w:t>ISO20000信息技术服务管理证书的得1分</w:t>
            </w:r>
            <w:r>
              <w:rPr>
                <w:rFonts w:hint="eastAsia" w:ascii="宋体" w:hAnsi="宋体" w:cs="宋体"/>
                <w:color w:val="auto"/>
                <w:kern w:val="0"/>
                <w:sz w:val="21"/>
                <w:szCs w:val="21"/>
                <w:lang w:eastAsia="zh-CN"/>
              </w:rPr>
              <w:t>。</w:t>
            </w:r>
          </w:p>
        </w:tc>
        <w:tc>
          <w:tcPr>
            <w:tcW w:w="406" w:type="pc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4</w:t>
            </w:r>
          </w:p>
        </w:tc>
      </w:tr>
      <w:tr>
        <w:tblPrEx>
          <w:tblCellMar>
            <w:top w:w="0" w:type="dxa"/>
            <w:left w:w="108" w:type="dxa"/>
            <w:bottom w:w="0" w:type="dxa"/>
            <w:right w:w="108" w:type="dxa"/>
          </w:tblCellMar>
        </w:tblPrEx>
        <w:trPr>
          <w:trHeight w:val="303" w:hRule="atLeast"/>
        </w:trPr>
        <w:tc>
          <w:tcPr>
            <w:tcW w:w="400"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 w:val="21"/>
                <w:szCs w:val="21"/>
              </w:rPr>
            </w:pPr>
          </w:p>
        </w:tc>
        <w:tc>
          <w:tcPr>
            <w:tcW w:w="406"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color w:val="auto"/>
                <w:sz w:val="21"/>
                <w:szCs w:val="21"/>
              </w:rPr>
            </w:pPr>
            <w:r>
              <w:rPr>
                <w:rFonts w:hint="eastAsia"/>
                <w:color w:val="auto"/>
                <w:sz w:val="21"/>
                <w:szCs w:val="21"/>
              </w:rPr>
              <w:t>项目案例</w:t>
            </w:r>
          </w:p>
          <w:p>
            <w:pPr>
              <w:pStyle w:val="10"/>
              <w:spacing w:line="240" w:lineRule="auto"/>
              <w:jc w:val="center"/>
              <w:rPr>
                <w:rFonts w:hint="eastAsia" w:eastAsia="宋体"/>
                <w:color w:val="auto"/>
                <w:sz w:val="21"/>
                <w:szCs w:val="21"/>
                <w:lang w:val="en-US" w:eastAsia="zh-CN"/>
              </w:rPr>
            </w:pPr>
            <w:r>
              <w:rPr>
                <w:rFonts w:hint="eastAsia" w:ascii="宋体" w:hAnsi="宋体" w:cs="宋体"/>
                <w:b w:val="0"/>
                <w:bCs w:val="0"/>
                <w:color w:val="auto"/>
                <w:kern w:val="0"/>
                <w:sz w:val="21"/>
                <w:szCs w:val="21"/>
                <w:lang w:val="en-US" w:eastAsia="zh-CN"/>
              </w:rPr>
              <w:t>2分</w:t>
            </w:r>
          </w:p>
        </w:tc>
        <w:tc>
          <w:tcPr>
            <w:tcW w:w="3786" w:type="pct"/>
            <w:tcBorders>
              <w:top w:val="nil"/>
              <w:left w:val="nil"/>
              <w:bottom w:val="single" w:color="auto" w:sz="4" w:space="0"/>
              <w:right w:val="single" w:color="auto" w:sz="4" w:space="0"/>
            </w:tcBorders>
            <w:shd w:val="clear" w:color="auto" w:fill="auto"/>
            <w:vAlign w:val="center"/>
          </w:tcPr>
          <w:p>
            <w:pPr>
              <w:widowControl/>
              <w:spacing w:line="240" w:lineRule="auto"/>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自2019</w:t>
            </w:r>
            <w:r>
              <w:rPr>
                <w:rFonts w:hint="eastAsia" w:ascii="宋体" w:hAnsi="宋体" w:cs="宋体"/>
                <w:color w:val="auto"/>
                <w:kern w:val="0"/>
                <w:sz w:val="21"/>
                <w:szCs w:val="21"/>
                <w:highlight w:val="none"/>
                <w:lang w:eastAsia="zh-CN"/>
              </w:rPr>
              <w:t>年</w:t>
            </w:r>
            <w:r>
              <w:rPr>
                <w:rFonts w:hint="eastAsia" w:ascii="宋体" w:hAnsi="宋体" w:cs="宋体"/>
                <w:color w:val="auto"/>
                <w:kern w:val="0"/>
                <w:sz w:val="21"/>
                <w:szCs w:val="21"/>
                <w:highlight w:val="none"/>
                <w:lang w:val="en-US" w:eastAsia="zh-CN"/>
              </w:rPr>
              <w:t>8</w:t>
            </w:r>
            <w:r>
              <w:rPr>
                <w:rFonts w:hint="eastAsia" w:ascii="宋体" w:hAnsi="宋体" w:cs="宋体"/>
                <w:color w:val="auto"/>
                <w:kern w:val="0"/>
                <w:sz w:val="21"/>
                <w:szCs w:val="21"/>
                <w:lang w:eastAsia="zh-CN"/>
              </w:rPr>
              <w:t>月以来（以合同签订时间为准），投标人承担类似项目实施的经验情况。</w:t>
            </w:r>
            <w:r>
              <w:rPr>
                <w:rFonts w:hint="eastAsia" w:ascii="宋体" w:hAnsi="宋体" w:cs="宋体"/>
                <w:color w:val="auto"/>
                <w:kern w:val="0"/>
                <w:sz w:val="21"/>
                <w:szCs w:val="21"/>
                <w:lang w:val="en-US" w:eastAsia="zh-CN"/>
              </w:rPr>
              <w:t>依据</w:t>
            </w:r>
            <w:r>
              <w:rPr>
                <w:rFonts w:hint="eastAsia" w:ascii="宋体" w:hAnsi="宋体" w:cs="宋体"/>
                <w:color w:val="auto"/>
                <w:kern w:val="0"/>
                <w:sz w:val="21"/>
                <w:szCs w:val="21"/>
                <w:lang w:eastAsia="zh-CN"/>
              </w:rPr>
              <w:t>投标人提供的合同、合格的用户验收报告：同时提供合同和用户验收报告的案例，每个得1分，最高得</w:t>
            </w:r>
            <w:r>
              <w:rPr>
                <w:rFonts w:hint="eastAsia" w:ascii="宋体" w:hAnsi="宋体" w:cs="宋体"/>
                <w:color w:val="auto"/>
                <w:kern w:val="0"/>
                <w:sz w:val="21"/>
                <w:szCs w:val="21"/>
                <w:lang w:val="en-US" w:eastAsia="zh-CN"/>
              </w:rPr>
              <w:t>2</w:t>
            </w:r>
            <w:r>
              <w:rPr>
                <w:rFonts w:hint="eastAsia" w:ascii="宋体" w:hAnsi="宋体" w:cs="宋体"/>
                <w:color w:val="auto"/>
                <w:kern w:val="0"/>
                <w:sz w:val="21"/>
                <w:szCs w:val="21"/>
                <w:lang w:eastAsia="zh-CN"/>
              </w:rPr>
              <w:t xml:space="preserve">分。（投标时提供中标通知书、采购合同、验收报告扫描件并加盖投标人公章，同一合同不重复计分）。 </w:t>
            </w:r>
          </w:p>
          <w:p>
            <w:pPr>
              <w:widowControl/>
              <w:spacing w:line="240" w:lineRule="auto"/>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原件备查，采购机构在项目评审直至合同签订、履约期间，有权要求投标人出具投标文件中的合同和用户验收报告，予以确认其的真实性和有效性</w:t>
            </w:r>
            <w:r>
              <w:rPr>
                <w:rFonts w:hint="eastAsia" w:ascii="宋体" w:hAnsi="宋体" w:cs="宋体"/>
                <w:color w:val="auto"/>
                <w:kern w:val="0"/>
                <w:sz w:val="21"/>
                <w:szCs w:val="21"/>
                <w:lang w:eastAsia="zh-CN"/>
              </w:rPr>
              <w:t>】</w:t>
            </w:r>
          </w:p>
        </w:tc>
        <w:tc>
          <w:tcPr>
            <w:tcW w:w="406"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w:t>
            </w:r>
          </w:p>
        </w:tc>
      </w:tr>
      <w:tr>
        <w:tblPrEx>
          <w:tblCellMar>
            <w:top w:w="0" w:type="dxa"/>
            <w:left w:w="108" w:type="dxa"/>
            <w:bottom w:w="0" w:type="dxa"/>
            <w:right w:w="108" w:type="dxa"/>
          </w:tblCellMar>
        </w:tblPrEx>
        <w:trPr>
          <w:trHeight w:val="1040" w:hRule="atLeast"/>
        </w:trPr>
        <w:tc>
          <w:tcPr>
            <w:tcW w:w="400" w:type="pct"/>
            <w:vMerge w:val="restart"/>
            <w:tcBorders>
              <w:top w:val="nil"/>
              <w:left w:val="single" w:color="auto" w:sz="4" w:space="0"/>
              <w:right w:val="single" w:color="auto" w:sz="4" w:space="0"/>
            </w:tcBorders>
            <w:shd w:val="clear" w:color="auto" w:fill="auto"/>
            <w:vAlign w:val="center"/>
          </w:tcPr>
          <w:p>
            <w:pPr>
              <w:widowControl/>
              <w:spacing w:line="360" w:lineRule="auto"/>
              <w:jc w:val="center"/>
              <w:rPr>
                <w:rFonts w:ascii="宋体" w:hAnsi="宋体" w:cs="宋体"/>
                <w:b/>
                <w:bCs/>
                <w:color w:val="auto"/>
                <w:kern w:val="0"/>
                <w:sz w:val="21"/>
                <w:szCs w:val="21"/>
              </w:rPr>
            </w:pPr>
            <w:r>
              <w:rPr>
                <w:rFonts w:hint="eastAsia" w:ascii="宋体" w:hAnsi="宋体" w:cs="宋体"/>
                <w:b/>
                <w:bCs/>
                <w:color w:val="auto"/>
                <w:kern w:val="0"/>
                <w:sz w:val="21"/>
                <w:szCs w:val="21"/>
              </w:rPr>
              <w:t>售后服务承诺1</w:t>
            </w:r>
            <w:r>
              <w:rPr>
                <w:rFonts w:hint="eastAsia" w:ascii="宋体" w:hAnsi="宋体" w:cs="宋体"/>
                <w:b/>
                <w:bCs/>
                <w:color w:val="auto"/>
                <w:kern w:val="0"/>
                <w:sz w:val="21"/>
                <w:szCs w:val="21"/>
                <w:lang w:val="en-US" w:eastAsia="zh-CN"/>
              </w:rPr>
              <w:t>5</w:t>
            </w:r>
            <w:r>
              <w:rPr>
                <w:rFonts w:hint="eastAsia" w:ascii="宋体" w:hAnsi="宋体" w:cs="宋体"/>
                <w:b/>
                <w:bCs/>
                <w:color w:val="auto"/>
                <w:kern w:val="0"/>
                <w:sz w:val="21"/>
                <w:szCs w:val="21"/>
              </w:rPr>
              <w:t>分</w:t>
            </w:r>
          </w:p>
        </w:tc>
        <w:tc>
          <w:tcPr>
            <w:tcW w:w="406"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color w:val="auto"/>
                <w:sz w:val="21"/>
                <w:szCs w:val="21"/>
              </w:rPr>
            </w:pPr>
            <w:r>
              <w:rPr>
                <w:rFonts w:hint="eastAsia"/>
                <w:color w:val="auto"/>
                <w:sz w:val="21"/>
                <w:szCs w:val="21"/>
              </w:rPr>
              <w:t>服务方案</w:t>
            </w:r>
          </w:p>
          <w:p>
            <w:pPr>
              <w:pStyle w:val="10"/>
              <w:spacing w:line="240" w:lineRule="auto"/>
              <w:jc w:val="center"/>
              <w:rPr>
                <w:rFonts w:hint="eastAsia" w:eastAsia="宋体"/>
                <w:color w:val="auto"/>
                <w:sz w:val="21"/>
                <w:szCs w:val="21"/>
                <w:lang w:val="en-US" w:eastAsia="zh-CN"/>
              </w:rPr>
            </w:pPr>
            <w:r>
              <w:rPr>
                <w:rFonts w:hint="eastAsia" w:ascii="宋体" w:hAnsi="宋体" w:cs="宋体"/>
                <w:b w:val="0"/>
                <w:bCs w:val="0"/>
                <w:color w:val="auto"/>
                <w:kern w:val="0"/>
                <w:sz w:val="21"/>
                <w:szCs w:val="21"/>
                <w:lang w:val="en-US" w:eastAsia="zh-CN"/>
              </w:rPr>
              <w:t>3分</w:t>
            </w:r>
          </w:p>
        </w:tc>
        <w:tc>
          <w:tcPr>
            <w:tcW w:w="3786" w:type="pct"/>
            <w:tcBorders>
              <w:top w:val="nil"/>
              <w:left w:val="nil"/>
              <w:bottom w:val="single" w:color="auto" w:sz="4" w:space="0"/>
              <w:right w:val="single" w:color="auto" w:sz="4" w:space="0"/>
            </w:tcBorders>
            <w:shd w:val="clear" w:color="auto" w:fill="auto"/>
            <w:vAlign w:val="center"/>
          </w:tcPr>
          <w:p>
            <w:pPr>
              <w:widowControl/>
              <w:spacing w:line="240" w:lineRule="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根据投标人的售后服务方案、措施、响应时限，质保期内系统、模块优化升级的次数、内容和质量，应急预案等内容进行打分：</w:t>
            </w:r>
          </w:p>
          <w:p>
            <w:pPr>
              <w:widowControl/>
              <w:spacing w:line="240" w:lineRule="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①方案详实、</w:t>
            </w:r>
            <w:r>
              <w:rPr>
                <w:rFonts w:hint="eastAsia" w:ascii="宋体" w:hAnsi="宋体" w:eastAsia="宋体" w:cs="宋体"/>
                <w:color w:val="auto"/>
                <w:kern w:val="0"/>
                <w:sz w:val="21"/>
                <w:szCs w:val="21"/>
                <w:lang w:eastAsia="zh-CN"/>
              </w:rPr>
              <w:t>内容完整、操作性强</w:t>
            </w:r>
            <w:r>
              <w:rPr>
                <w:rFonts w:hint="eastAsia" w:ascii="宋体" w:hAnsi="宋体" w:eastAsia="宋体" w:cs="宋体"/>
                <w:color w:val="auto"/>
                <w:kern w:val="0"/>
                <w:sz w:val="21"/>
                <w:szCs w:val="21"/>
                <w:lang w:val="en-US" w:eastAsia="zh-CN"/>
              </w:rPr>
              <w:t>的得3分；</w:t>
            </w:r>
          </w:p>
          <w:p>
            <w:pPr>
              <w:widowControl/>
              <w:spacing w:line="240" w:lineRule="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②方案合理、</w:t>
            </w:r>
            <w:r>
              <w:rPr>
                <w:rFonts w:hint="eastAsia" w:ascii="宋体" w:hAnsi="宋体" w:eastAsia="宋体" w:cs="宋体"/>
                <w:color w:val="auto"/>
                <w:kern w:val="0"/>
                <w:sz w:val="21"/>
                <w:szCs w:val="21"/>
                <w:lang w:eastAsia="zh-CN"/>
              </w:rPr>
              <w:t>内容常规、操作性一般</w:t>
            </w:r>
            <w:r>
              <w:rPr>
                <w:rFonts w:hint="eastAsia" w:ascii="宋体" w:hAnsi="宋体" w:eastAsia="宋体" w:cs="宋体"/>
                <w:color w:val="auto"/>
                <w:kern w:val="0"/>
                <w:sz w:val="21"/>
                <w:szCs w:val="21"/>
                <w:lang w:val="en-US" w:eastAsia="zh-CN"/>
              </w:rPr>
              <w:t>的得2分；</w:t>
            </w:r>
          </w:p>
          <w:p>
            <w:pPr>
              <w:widowControl/>
              <w:spacing w:line="240" w:lineRule="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③方案粗糙、</w:t>
            </w:r>
            <w:r>
              <w:rPr>
                <w:rFonts w:hint="eastAsia" w:ascii="宋体" w:hAnsi="宋体" w:eastAsia="宋体" w:cs="宋体"/>
                <w:color w:val="auto"/>
                <w:kern w:val="0"/>
                <w:sz w:val="21"/>
                <w:szCs w:val="21"/>
                <w:lang w:eastAsia="zh-CN"/>
              </w:rPr>
              <w:t>内容缺漏、操作性差</w:t>
            </w:r>
            <w:r>
              <w:rPr>
                <w:rFonts w:hint="eastAsia" w:ascii="宋体" w:hAnsi="宋体" w:eastAsia="宋体" w:cs="宋体"/>
                <w:color w:val="auto"/>
                <w:kern w:val="0"/>
                <w:sz w:val="21"/>
                <w:szCs w:val="21"/>
                <w:lang w:val="en-US" w:eastAsia="zh-CN"/>
              </w:rPr>
              <w:t>的得1分。</w:t>
            </w:r>
          </w:p>
          <w:p>
            <w:pPr>
              <w:widowControl/>
              <w:spacing w:line="240" w:lineRule="auto"/>
              <w:rPr>
                <w:color w:val="auto"/>
                <w:sz w:val="21"/>
                <w:szCs w:val="21"/>
              </w:rPr>
            </w:pPr>
            <w:r>
              <w:rPr>
                <w:rFonts w:hint="eastAsia" w:ascii="宋体" w:hAnsi="宋体" w:eastAsia="宋体" w:cs="宋体"/>
                <w:color w:val="auto"/>
                <w:kern w:val="0"/>
                <w:sz w:val="21"/>
                <w:szCs w:val="21"/>
                <w:lang w:eastAsia="zh-CN"/>
              </w:rPr>
              <w:t>④</w:t>
            </w:r>
            <w:r>
              <w:rPr>
                <w:rFonts w:hint="eastAsia" w:ascii="宋体" w:hAnsi="宋体" w:eastAsia="宋体" w:cs="宋体"/>
                <w:color w:val="auto"/>
                <w:kern w:val="0"/>
                <w:sz w:val="21"/>
                <w:szCs w:val="21"/>
                <w:lang w:val="en-US" w:eastAsia="zh-CN"/>
              </w:rPr>
              <w:t>未提供方案不得分。</w:t>
            </w:r>
          </w:p>
        </w:tc>
        <w:tc>
          <w:tcPr>
            <w:tcW w:w="406"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3</w:t>
            </w:r>
          </w:p>
        </w:tc>
      </w:tr>
      <w:tr>
        <w:tblPrEx>
          <w:tblCellMar>
            <w:top w:w="0" w:type="dxa"/>
            <w:left w:w="108" w:type="dxa"/>
            <w:bottom w:w="0" w:type="dxa"/>
            <w:right w:w="108" w:type="dxa"/>
          </w:tblCellMar>
        </w:tblPrEx>
        <w:trPr>
          <w:trHeight w:val="2356" w:hRule="atLeast"/>
        </w:trPr>
        <w:tc>
          <w:tcPr>
            <w:tcW w:w="400" w:type="pct"/>
            <w:vMerge w:val="continue"/>
            <w:tcBorders>
              <w:left w:val="single" w:color="auto" w:sz="4" w:space="0"/>
              <w:right w:val="single" w:color="auto" w:sz="4" w:space="0"/>
            </w:tcBorders>
            <w:vAlign w:val="center"/>
          </w:tcPr>
          <w:p>
            <w:pPr>
              <w:widowControl/>
              <w:spacing w:line="360" w:lineRule="auto"/>
              <w:jc w:val="left"/>
              <w:rPr>
                <w:rFonts w:ascii="宋体" w:hAnsi="宋体" w:cs="宋体"/>
                <w:b/>
                <w:bCs/>
                <w:color w:val="auto"/>
                <w:kern w:val="0"/>
                <w:sz w:val="21"/>
                <w:szCs w:val="21"/>
              </w:rPr>
            </w:pPr>
          </w:p>
        </w:tc>
        <w:tc>
          <w:tcPr>
            <w:tcW w:w="406" w:type="pct"/>
            <w:vMerge w:val="restart"/>
            <w:tcBorders>
              <w:top w:val="nil"/>
              <w:left w:val="single" w:color="auto" w:sz="4" w:space="0"/>
              <w:right w:val="single" w:color="auto" w:sz="4" w:space="0"/>
            </w:tcBorders>
            <w:shd w:val="clear" w:color="auto" w:fill="auto"/>
            <w:vAlign w:val="center"/>
          </w:tcPr>
          <w:p>
            <w:pPr>
              <w:widowControl/>
              <w:spacing w:line="240" w:lineRule="auto"/>
              <w:jc w:val="center"/>
              <w:rPr>
                <w:rFonts w:hint="eastAsia" w:eastAsia="宋体"/>
                <w:color w:val="auto"/>
                <w:sz w:val="21"/>
                <w:szCs w:val="21"/>
                <w:lang w:eastAsia="zh-CN"/>
              </w:rPr>
            </w:pPr>
            <w:r>
              <w:rPr>
                <w:rFonts w:hint="eastAsia"/>
                <w:color w:val="auto"/>
                <w:sz w:val="21"/>
                <w:szCs w:val="21"/>
              </w:rPr>
              <w:t>项目组</w:t>
            </w:r>
            <w:r>
              <w:rPr>
                <w:rFonts w:hint="eastAsia"/>
                <w:color w:val="auto"/>
                <w:sz w:val="21"/>
                <w:szCs w:val="21"/>
                <w:lang w:eastAsia="zh-CN"/>
              </w:rPr>
              <w:t>人员</w:t>
            </w:r>
          </w:p>
          <w:p>
            <w:pPr>
              <w:pStyle w:val="56"/>
              <w:spacing w:line="240" w:lineRule="auto"/>
              <w:jc w:val="center"/>
              <w:rPr>
                <w:rFonts w:hint="eastAsia" w:eastAsia="宋体"/>
                <w:color w:val="auto"/>
                <w:sz w:val="21"/>
                <w:szCs w:val="21"/>
                <w:lang w:val="en-US" w:eastAsia="zh-CN"/>
              </w:rPr>
            </w:pPr>
            <w:r>
              <w:rPr>
                <w:rFonts w:hint="eastAsia" w:ascii="宋体" w:hAnsi="宋体" w:cs="宋体"/>
                <w:color w:val="auto"/>
                <w:kern w:val="0"/>
                <w:sz w:val="21"/>
                <w:szCs w:val="21"/>
                <w:lang w:val="en-US" w:eastAsia="zh-CN"/>
              </w:rPr>
              <w:t>8分</w:t>
            </w:r>
          </w:p>
        </w:tc>
        <w:tc>
          <w:tcPr>
            <w:tcW w:w="3786" w:type="pct"/>
            <w:tcBorders>
              <w:top w:val="nil"/>
              <w:left w:val="nil"/>
              <w:bottom w:val="single" w:color="auto" w:sz="4" w:space="0"/>
              <w:right w:val="single" w:color="auto" w:sz="4" w:space="0"/>
            </w:tcBorders>
            <w:shd w:val="clear" w:color="auto" w:fill="auto"/>
            <w:vAlign w:val="center"/>
          </w:tcPr>
          <w:p>
            <w:pPr>
              <w:widowControl/>
              <w:spacing w:line="240" w:lineRule="auto"/>
              <w:rPr>
                <w:rFonts w:hint="eastAsia" w:ascii="宋体" w:hAnsi="宋体" w:cs="宋体"/>
                <w:color w:val="auto"/>
                <w:kern w:val="0"/>
                <w:sz w:val="21"/>
                <w:szCs w:val="21"/>
                <w:lang w:eastAsia="zh-CN"/>
              </w:rPr>
            </w:pPr>
            <w:r>
              <w:rPr>
                <w:rFonts w:hint="eastAsia" w:ascii="宋体" w:hAnsi="宋体" w:cs="宋体"/>
                <w:color w:val="auto"/>
                <w:kern w:val="0"/>
                <w:sz w:val="21"/>
                <w:szCs w:val="21"/>
                <w:lang w:val="en-US" w:eastAsia="zh-CN"/>
              </w:rPr>
              <w:t>1、</w:t>
            </w:r>
            <w:r>
              <w:rPr>
                <w:rFonts w:hint="eastAsia" w:ascii="宋体" w:hAnsi="宋体" w:cs="宋体"/>
                <w:color w:val="auto"/>
                <w:kern w:val="0"/>
                <w:sz w:val="21"/>
                <w:szCs w:val="21"/>
                <w:lang w:eastAsia="zh-CN"/>
              </w:rPr>
              <w:t>拟担任本项目的驻场项目经理具有信息系统项目管理师（高级）资格或高级项目经理证书得1分。</w:t>
            </w:r>
          </w:p>
          <w:p>
            <w:pPr>
              <w:widowControl/>
              <w:spacing w:line="240" w:lineRule="auto"/>
              <w:rPr>
                <w:rFonts w:hint="eastAsia" w:ascii="宋体" w:hAnsi="宋体" w:cs="宋体"/>
                <w:color w:val="auto"/>
                <w:kern w:val="0"/>
                <w:sz w:val="21"/>
                <w:szCs w:val="21"/>
                <w:lang w:eastAsia="zh-CN"/>
              </w:rPr>
            </w:pPr>
            <w:r>
              <w:rPr>
                <w:rFonts w:hint="eastAsia" w:ascii="宋体" w:hAnsi="宋体" w:cs="宋体"/>
                <w:color w:val="auto"/>
                <w:kern w:val="0"/>
                <w:sz w:val="21"/>
                <w:szCs w:val="21"/>
                <w:lang w:val="en-US" w:eastAsia="zh-CN"/>
              </w:rPr>
              <w:t>2、</w:t>
            </w:r>
            <w:r>
              <w:rPr>
                <w:rFonts w:hint="eastAsia" w:ascii="宋体" w:hAnsi="宋体" w:cs="宋体"/>
                <w:color w:val="auto"/>
                <w:kern w:val="0"/>
                <w:sz w:val="21"/>
                <w:szCs w:val="21"/>
                <w:lang w:eastAsia="zh-CN"/>
              </w:rPr>
              <w:t>配备至少1名人员跟随项目经</w:t>
            </w:r>
            <w:r>
              <w:rPr>
                <w:rFonts w:hint="eastAsia" w:ascii="宋体" w:hAnsi="宋体" w:cs="宋体"/>
                <w:color w:val="000000" w:themeColor="text1"/>
                <w:kern w:val="0"/>
                <w:sz w:val="21"/>
                <w:szCs w:val="21"/>
                <w:lang w:eastAsia="zh-CN"/>
                <w14:textFill>
                  <w14:solidFill>
                    <w14:schemeClr w14:val="tx1"/>
                  </w14:solidFill>
                </w14:textFill>
              </w:rPr>
              <w:t>理</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项目交付验收</w:t>
            </w:r>
            <w:r>
              <w:rPr>
                <w:rFonts w:hint="eastAsia" w:ascii="宋体" w:hAnsi="宋体" w:cs="宋体"/>
                <w:color w:val="auto"/>
                <w:kern w:val="0"/>
                <w:sz w:val="21"/>
                <w:szCs w:val="21"/>
                <w:lang w:eastAsia="zh-CN"/>
              </w:rPr>
              <w:t>后接替项目经理继续负责项目协调工作（</w:t>
            </w:r>
            <w:r>
              <w:rPr>
                <w:rFonts w:hint="eastAsia" w:ascii="宋体" w:hAnsi="宋体" w:cs="宋体"/>
                <w:color w:val="auto"/>
                <w:kern w:val="0"/>
                <w:sz w:val="21"/>
                <w:szCs w:val="21"/>
                <w:lang w:val="en-US" w:eastAsia="zh-CN"/>
              </w:rPr>
              <w:t>需驻场，与各模块驻场人员不为同一人</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并满足：①</w:t>
            </w:r>
            <w:r>
              <w:rPr>
                <w:rFonts w:hint="eastAsia" w:ascii="宋体" w:hAnsi="宋体" w:cs="宋体"/>
                <w:color w:val="auto"/>
                <w:kern w:val="0"/>
                <w:sz w:val="21"/>
                <w:szCs w:val="21"/>
                <w:lang w:eastAsia="zh-CN"/>
              </w:rPr>
              <w:t>驻场时间不少于1年，</w:t>
            </w:r>
            <w:r>
              <w:rPr>
                <w:rFonts w:hint="eastAsia" w:ascii="宋体" w:hAnsi="宋体" w:cs="宋体"/>
                <w:color w:val="auto"/>
                <w:kern w:val="0"/>
                <w:sz w:val="21"/>
                <w:szCs w:val="21"/>
                <w:lang w:val="en-US" w:eastAsia="zh-CN"/>
              </w:rPr>
              <w:t>②</w:t>
            </w:r>
            <w:r>
              <w:rPr>
                <w:rFonts w:hint="eastAsia" w:ascii="宋体" w:hAnsi="宋体" w:cs="宋体"/>
                <w:color w:val="auto"/>
                <w:kern w:val="0"/>
                <w:sz w:val="21"/>
                <w:szCs w:val="21"/>
                <w:lang w:eastAsia="zh-CN"/>
              </w:rPr>
              <w:t>人员具有相关工作经验3年及以上。全部满足得1分，不满足不得分。</w:t>
            </w:r>
          </w:p>
          <w:p>
            <w:pPr>
              <w:widowControl/>
              <w:spacing w:line="240" w:lineRule="auto"/>
              <w:rPr>
                <w:rFonts w:hint="eastAsia"/>
                <w:color w:val="auto"/>
                <w:sz w:val="21"/>
                <w:szCs w:val="21"/>
              </w:rPr>
            </w:pPr>
            <w:r>
              <w:rPr>
                <w:rFonts w:hint="eastAsia" w:ascii="宋体" w:hAnsi="宋体" w:cs="宋体"/>
                <w:b/>
                <w:bCs/>
                <w:color w:val="auto"/>
                <w:kern w:val="0"/>
                <w:sz w:val="21"/>
                <w:szCs w:val="21"/>
                <w:lang w:eastAsia="zh-CN"/>
              </w:rPr>
              <w:t>以上人员提供最近6个月社保缴纳证明材料、相应的资质证书复印件，并加盖投标人公章。</w:t>
            </w:r>
          </w:p>
        </w:tc>
        <w:tc>
          <w:tcPr>
            <w:tcW w:w="406"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2</w:t>
            </w:r>
          </w:p>
        </w:tc>
      </w:tr>
      <w:tr>
        <w:tblPrEx>
          <w:tblCellMar>
            <w:top w:w="0" w:type="dxa"/>
            <w:left w:w="108" w:type="dxa"/>
            <w:bottom w:w="0" w:type="dxa"/>
            <w:right w:w="108" w:type="dxa"/>
          </w:tblCellMar>
        </w:tblPrEx>
        <w:trPr>
          <w:trHeight w:val="1050" w:hRule="atLeast"/>
        </w:trPr>
        <w:tc>
          <w:tcPr>
            <w:tcW w:w="400" w:type="pct"/>
            <w:vMerge w:val="continue"/>
            <w:tcBorders>
              <w:left w:val="single" w:color="auto" w:sz="4" w:space="0"/>
              <w:right w:val="single" w:color="auto" w:sz="4" w:space="0"/>
            </w:tcBorders>
            <w:vAlign w:val="center"/>
          </w:tcPr>
          <w:p>
            <w:pPr>
              <w:widowControl/>
              <w:spacing w:line="360" w:lineRule="auto"/>
              <w:jc w:val="left"/>
              <w:rPr>
                <w:rFonts w:ascii="宋体" w:hAnsi="宋体" w:cs="宋体"/>
                <w:b/>
                <w:bCs/>
                <w:color w:val="auto"/>
                <w:kern w:val="0"/>
                <w:sz w:val="21"/>
                <w:szCs w:val="21"/>
              </w:rPr>
            </w:pPr>
          </w:p>
        </w:tc>
        <w:tc>
          <w:tcPr>
            <w:tcW w:w="406" w:type="pct"/>
            <w:vMerge w:val="continue"/>
            <w:tcBorders>
              <w:left w:val="single" w:color="auto" w:sz="4" w:space="0"/>
              <w:right w:val="single" w:color="auto" w:sz="4" w:space="0"/>
            </w:tcBorders>
            <w:vAlign w:val="center"/>
          </w:tcPr>
          <w:p>
            <w:pPr>
              <w:widowControl/>
              <w:spacing w:line="240" w:lineRule="auto"/>
              <w:jc w:val="left"/>
              <w:rPr>
                <w:rFonts w:ascii="宋体" w:hAnsi="宋体" w:cs="宋体"/>
                <w:b/>
                <w:bCs/>
                <w:color w:val="auto"/>
                <w:kern w:val="0"/>
                <w:sz w:val="21"/>
                <w:szCs w:val="21"/>
              </w:rPr>
            </w:pPr>
          </w:p>
        </w:tc>
        <w:tc>
          <w:tcPr>
            <w:tcW w:w="3786" w:type="pct"/>
            <w:tcBorders>
              <w:top w:val="nil"/>
              <w:left w:val="nil"/>
              <w:bottom w:val="single" w:color="auto" w:sz="4" w:space="0"/>
              <w:right w:val="single" w:color="auto" w:sz="4" w:space="0"/>
            </w:tcBorders>
            <w:shd w:val="clear" w:color="auto" w:fill="auto"/>
            <w:vAlign w:val="center"/>
          </w:tcPr>
          <w:p>
            <w:pPr>
              <w:widowControl/>
              <w:spacing w:line="240" w:lineRule="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项目团队_驻场开发</w:t>
            </w:r>
            <w:r>
              <w:rPr>
                <w:rFonts w:hint="eastAsia" w:ascii="宋体" w:hAnsi="宋体" w:cs="宋体"/>
                <w:b w:val="0"/>
                <w:bCs w:val="0"/>
                <w:color w:val="auto"/>
                <w:kern w:val="0"/>
                <w:sz w:val="21"/>
                <w:szCs w:val="21"/>
                <w:lang w:eastAsia="zh-CN"/>
              </w:rPr>
              <w:t>（</w:t>
            </w:r>
            <w:r>
              <w:rPr>
                <w:rFonts w:hint="eastAsia" w:ascii="宋体" w:hAnsi="宋体" w:cs="宋体"/>
                <w:b w:val="0"/>
                <w:bCs w:val="0"/>
                <w:color w:val="auto"/>
                <w:kern w:val="0"/>
                <w:sz w:val="21"/>
                <w:szCs w:val="21"/>
                <w:lang w:val="en-US" w:eastAsia="zh-CN"/>
              </w:rPr>
              <w:t>若已在投标文件中明确具体的分包公司及方案，则分包人员资质可作为项目团队成员资质</w:t>
            </w:r>
            <w:r>
              <w:rPr>
                <w:rFonts w:hint="eastAsia" w:ascii="宋体" w:hAnsi="宋体" w:cs="宋体"/>
                <w:b w:val="0"/>
                <w:bCs w:val="0"/>
                <w:color w:val="auto"/>
                <w:kern w:val="0"/>
                <w:sz w:val="21"/>
                <w:szCs w:val="21"/>
                <w:lang w:eastAsia="zh-CN"/>
              </w:rPr>
              <w:t>）</w:t>
            </w:r>
            <w:r>
              <w:rPr>
                <w:rFonts w:hint="eastAsia" w:ascii="宋体" w:hAnsi="宋体" w:cs="宋体"/>
                <w:color w:val="auto"/>
                <w:kern w:val="0"/>
                <w:sz w:val="21"/>
                <w:szCs w:val="21"/>
                <w:lang w:val="en-US" w:eastAsia="zh-CN"/>
              </w:rPr>
              <w:t>需要具备：</w:t>
            </w:r>
          </w:p>
          <w:p>
            <w:pPr>
              <w:widowControl/>
              <w:spacing w:line="240" w:lineRule="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①2名高级系统分析师或高级架构师，②2名信息系统项目管理师（高级），③2名数据库系统工程师，④2名信息安全工程师，⑤8名软件设计师或高级程序员</w:t>
            </w:r>
            <w:r>
              <w:rPr>
                <w:rFonts w:hint="eastAsia" w:ascii="宋体" w:hAnsi="宋体" w:eastAsia="宋体" w:cs="宋体"/>
                <w:b w:val="0"/>
                <w:bCs w:val="0"/>
                <w:color w:val="auto"/>
                <w:sz w:val="21"/>
                <w:szCs w:val="21"/>
                <w:lang w:val="en-US" w:eastAsia="zh-CN"/>
              </w:rPr>
              <w:t>。以上</w:t>
            </w:r>
            <w:r>
              <w:rPr>
                <w:rFonts w:hint="eastAsia" w:ascii="宋体" w:hAnsi="宋体" w:cs="宋体"/>
                <w:color w:val="auto"/>
                <w:kern w:val="0"/>
                <w:sz w:val="21"/>
                <w:szCs w:val="21"/>
                <w:lang w:val="en-US" w:eastAsia="zh-CN"/>
              </w:rPr>
              <w:t>16名人员（名额分配参照售后服务标准中的驻场开发人员要求）全部满足得4分，缺一个扣1分，扣完为止。</w:t>
            </w:r>
          </w:p>
          <w:p>
            <w:pPr>
              <w:pStyle w:val="56"/>
              <w:spacing w:line="240" w:lineRule="auto"/>
              <w:rPr>
                <w:color w:val="auto"/>
                <w:sz w:val="21"/>
                <w:szCs w:val="21"/>
              </w:rPr>
            </w:pPr>
            <w:r>
              <w:rPr>
                <w:rFonts w:hint="eastAsia" w:ascii="宋体" w:hAnsi="宋体" w:cs="宋体"/>
                <w:b/>
                <w:bCs/>
                <w:color w:val="auto"/>
                <w:kern w:val="0"/>
                <w:sz w:val="21"/>
                <w:szCs w:val="21"/>
                <w:lang w:eastAsia="zh-CN"/>
              </w:rPr>
              <w:t>以上人员提供最近6个月社保缴纳证明（</w:t>
            </w:r>
            <w:r>
              <w:rPr>
                <w:rFonts w:hint="eastAsia" w:ascii="宋体" w:hAnsi="宋体" w:cs="宋体"/>
                <w:b/>
                <w:bCs/>
                <w:color w:val="auto"/>
                <w:kern w:val="0"/>
                <w:sz w:val="21"/>
                <w:szCs w:val="21"/>
                <w:lang w:val="en-US" w:eastAsia="zh-CN"/>
              </w:rPr>
              <w:t>分包人员需提供在分包公司的</w:t>
            </w:r>
            <w:r>
              <w:rPr>
                <w:rFonts w:hint="eastAsia" w:ascii="宋体" w:hAnsi="宋体" w:cs="宋体"/>
                <w:b/>
                <w:bCs/>
                <w:color w:val="auto"/>
                <w:kern w:val="0"/>
                <w:sz w:val="21"/>
                <w:szCs w:val="21"/>
                <w:lang w:eastAsia="zh-CN"/>
              </w:rPr>
              <w:t>证明）材料、相应的资质证书复印件，并加盖投标人公章。</w:t>
            </w:r>
          </w:p>
        </w:tc>
        <w:tc>
          <w:tcPr>
            <w:tcW w:w="406"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4</w:t>
            </w:r>
          </w:p>
        </w:tc>
      </w:tr>
      <w:tr>
        <w:tblPrEx>
          <w:tblCellMar>
            <w:top w:w="0" w:type="dxa"/>
            <w:left w:w="108" w:type="dxa"/>
            <w:bottom w:w="0" w:type="dxa"/>
            <w:right w:w="108" w:type="dxa"/>
          </w:tblCellMar>
        </w:tblPrEx>
        <w:trPr>
          <w:trHeight w:val="2233" w:hRule="atLeast"/>
        </w:trPr>
        <w:tc>
          <w:tcPr>
            <w:tcW w:w="400" w:type="pct"/>
            <w:vMerge w:val="continue"/>
            <w:tcBorders>
              <w:left w:val="single" w:color="auto" w:sz="4" w:space="0"/>
              <w:right w:val="single" w:color="auto" w:sz="4" w:space="0"/>
            </w:tcBorders>
            <w:vAlign w:val="center"/>
          </w:tcPr>
          <w:p>
            <w:pPr>
              <w:widowControl/>
              <w:spacing w:line="360" w:lineRule="auto"/>
              <w:jc w:val="left"/>
              <w:rPr>
                <w:rFonts w:ascii="宋体" w:hAnsi="宋体" w:cs="宋体"/>
                <w:b/>
                <w:bCs/>
                <w:color w:val="auto"/>
                <w:kern w:val="0"/>
                <w:sz w:val="21"/>
                <w:szCs w:val="21"/>
              </w:rPr>
            </w:pPr>
          </w:p>
        </w:tc>
        <w:tc>
          <w:tcPr>
            <w:tcW w:w="406" w:type="pct"/>
            <w:vMerge w:val="continue"/>
            <w:tcBorders>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b/>
                <w:bCs/>
                <w:color w:val="auto"/>
                <w:kern w:val="0"/>
                <w:sz w:val="21"/>
                <w:szCs w:val="21"/>
              </w:rPr>
            </w:pPr>
          </w:p>
        </w:tc>
        <w:tc>
          <w:tcPr>
            <w:tcW w:w="378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hint="eastAsia" w:ascii="宋体" w:hAnsi="宋体" w:cs="宋体"/>
                <w:color w:val="auto"/>
                <w:kern w:val="0"/>
                <w:sz w:val="21"/>
                <w:szCs w:val="21"/>
                <w:lang w:val="en-US" w:eastAsia="zh-CN"/>
              </w:rPr>
            </w:pPr>
            <w:r>
              <w:rPr>
                <w:rFonts w:hint="eastAsia" w:ascii="宋体" w:hAnsi="宋体" w:cs="宋体"/>
                <w:b w:val="0"/>
                <w:bCs w:val="0"/>
                <w:color w:val="auto"/>
                <w:kern w:val="0"/>
                <w:sz w:val="21"/>
                <w:szCs w:val="21"/>
                <w:lang w:eastAsia="zh-CN"/>
              </w:rPr>
              <w:t>项目团队</w:t>
            </w:r>
            <w:r>
              <w:rPr>
                <w:rFonts w:hint="eastAsia" w:ascii="宋体" w:hAnsi="宋体" w:cs="宋体"/>
                <w:b w:val="0"/>
                <w:bCs w:val="0"/>
                <w:color w:val="auto"/>
                <w:kern w:val="0"/>
                <w:sz w:val="21"/>
                <w:szCs w:val="21"/>
                <w:lang w:val="en-US" w:eastAsia="zh-CN"/>
              </w:rPr>
              <w:t>_驻场维保</w:t>
            </w:r>
            <w:r>
              <w:rPr>
                <w:rFonts w:hint="eastAsia" w:ascii="宋体" w:hAnsi="宋体" w:cs="宋体"/>
                <w:b w:val="0"/>
                <w:bCs w:val="0"/>
                <w:color w:val="auto"/>
                <w:kern w:val="0"/>
                <w:sz w:val="21"/>
                <w:szCs w:val="21"/>
                <w:lang w:eastAsia="zh-CN"/>
              </w:rPr>
              <w:t>（</w:t>
            </w:r>
            <w:r>
              <w:rPr>
                <w:rFonts w:hint="eastAsia" w:ascii="宋体" w:hAnsi="宋体" w:cs="宋体"/>
                <w:b w:val="0"/>
                <w:bCs w:val="0"/>
                <w:color w:val="auto"/>
                <w:kern w:val="0"/>
                <w:sz w:val="21"/>
                <w:szCs w:val="21"/>
                <w:lang w:val="en-US" w:eastAsia="zh-CN"/>
              </w:rPr>
              <w:t>若已在投标文件中明确具体的分包公司及方案，则分包人员资质可作为项目团队成员资质</w:t>
            </w:r>
            <w:r>
              <w:rPr>
                <w:rFonts w:hint="eastAsia" w:ascii="宋体" w:hAnsi="宋体" w:cs="宋体"/>
                <w:b w:val="0"/>
                <w:bCs w:val="0"/>
                <w:color w:val="auto"/>
                <w:kern w:val="0"/>
                <w:sz w:val="21"/>
                <w:szCs w:val="21"/>
                <w:lang w:eastAsia="zh-CN"/>
              </w:rPr>
              <w:t>）</w:t>
            </w:r>
            <w:r>
              <w:rPr>
                <w:rFonts w:hint="eastAsia" w:ascii="宋体" w:hAnsi="宋体" w:cs="宋体"/>
                <w:color w:val="auto"/>
                <w:kern w:val="0"/>
                <w:sz w:val="21"/>
                <w:szCs w:val="21"/>
                <w:lang w:val="en-US" w:eastAsia="zh-CN"/>
              </w:rPr>
              <w:t>需要具备：</w:t>
            </w:r>
          </w:p>
          <w:p>
            <w:pPr>
              <w:widowControl/>
              <w:spacing w:line="240" w:lineRule="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①人数至少10人，名额分配参照售后服务标准中的驻场维保人员要求，②3年以上工作经验，近3年年度考核合格及以上</w:t>
            </w:r>
            <w:r>
              <w:rPr>
                <w:rFonts w:hint="eastAsia" w:ascii="宋体" w:hAnsi="宋体" w:eastAsia="宋体" w:cs="宋体"/>
                <w:b w:val="0"/>
                <w:bCs w:val="0"/>
                <w:color w:val="auto"/>
                <w:sz w:val="21"/>
                <w:szCs w:val="21"/>
                <w:lang w:val="en-US" w:eastAsia="zh-CN"/>
              </w:rPr>
              <w:t>。以上</w:t>
            </w:r>
            <w:r>
              <w:rPr>
                <w:rFonts w:hint="eastAsia" w:ascii="宋体" w:hAnsi="宋体" w:cs="宋体"/>
                <w:color w:val="auto"/>
                <w:kern w:val="0"/>
                <w:sz w:val="21"/>
                <w:szCs w:val="21"/>
                <w:lang w:val="en-US" w:eastAsia="zh-CN"/>
              </w:rPr>
              <w:t>10名人员全部满足得2分，缺一个扣0.5分，扣完为止。</w:t>
            </w:r>
          </w:p>
          <w:p>
            <w:pPr>
              <w:pStyle w:val="56"/>
              <w:spacing w:line="240" w:lineRule="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eastAsia="zh-CN"/>
              </w:rPr>
              <w:t>以上人员每人均需提供最近6个月社保缴纳证明及</w:t>
            </w:r>
            <w:r>
              <w:rPr>
                <w:rFonts w:hint="eastAsia" w:ascii="宋体" w:hAnsi="宋体" w:cs="宋体"/>
                <w:b/>
                <w:bCs/>
                <w:color w:val="auto"/>
                <w:kern w:val="0"/>
                <w:sz w:val="21"/>
                <w:szCs w:val="21"/>
                <w:lang w:val="en-US" w:eastAsia="zh-CN"/>
              </w:rPr>
              <w:t>3个</w:t>
            </w:r>
            <w:r>
              <w:rPr>
                <w:rFonts w:hint="eastAsia" w:ascii="宋体" w:hAnsi="宋体" w:cs="宋体"/>
                <w:b/>
                <w:bCs/>
                <w:color w:val="auto"/>
                <w:kern w:val="0"/>
                <w:sz w:val="21"/>
                <w:szCs w:val="21"/>
                <w:lang w:eastAsia="zh-CN"/>
              </w:rPr>
              <w:t>年度考核表（</w:t>
            </w:r>
            <w:r>
              <w:rPr>
                <w:rFonts w:hint="eastAsia" w:ascii="宋体" w:hAnsi="宋体" w:cs="宋体"/>
                <w:b/>
                <w:bCs/>
                <w:color w:val="auto"/>
                <w:kern w:val="0"/>
                <w:sz w:val="21"/>
                <w:szCs w:val="21"/>
                <w:lang w:val="en-US" w:eastAsia="zh-CN"/>
              </w:rPr>
              <w:t>分包人员需提供在分包公司的</w:t>
            </w:r>
            <w:r>
              <w:rPr>
                <w:rFonts w:hint="eastAsia" w:ascii="宋体" w:hAnsi="宋体" w:cs="宋体"/>
                <w:b/>
                <w:bCs/>
                <w:color w:val="auto"/>
                <w:kern w:val="0"/>
                <w:sz w:val="21"/>
                <w:szCs w:val="21"/>
                <w:lang w:eastAsia="zh-CN"/>
              </w:rPr>
              <w:t>证明）材料、相应的资质证书复印件，并加盖投标人公章。</w:t>
            </w:r>
          </w:p>
        </w:tc>
        <w:tc>
          <w:tcPr>
            <w:tcW w:w="406"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w:t>
            </w:r>
          </w:p>
        </w:tc>
      </w:tr>
      <w:tr>
        <w:tblPrEx>
          <w:tblCellMar>
            <w:top w:w="0" w:type="dxa"/>
            <w:left w:w="108" w:type="dxa"/>
            <w:bottom w:w="0" w:type="dxa"/>
            <w:right w:w="108" w:type="dxa"/>
          </w:tblCellMar>
        </w:tblPrEx>
        <w:trPr>
          <w:trHeight w:val="520" w:hRule="atLeast"/>
        </w:trPr>
        <w:tc>
          <w:tcPr>
            <w:tcW w:w="4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 w:val="21"/>
                <w:szCs w:val="21"/>
              </w:rPr>
            </w:pPr>
          </w:p>
        </w:tc>
        <w:tc>
          <w:tcPr>
            <w:tcW w:w="40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color w:val="auto"/>
                <w:sz w:val="21"/>
                <w:szCs w:val="21"/>
              </w:rPr>
            </w:pPr>
            <w:r>
              <w:rPr>
                <w:rFonts w:hint="eastAsia"/>
                <w:color w:val="auto"/>
                <w:sz w:val="21"/>
                <w:szCs w:val="21"/>
              </w:rPr>
              <w:t>培训方案</w:t>
            </w:r>
          </w:p>
          <w:p>
            <w:pPr>
              <w:pStyle w:val="56"/>
              <w:spacing w:line="240" w:lineRule="auto"/>
              <w:jc w:val="center"/>
              <w:rPr>
                <w:rFonts w:hint="eastAsia" w:eastAsia="宋体"/>
                <w:color w:val="auto"/>
                <w:sz w:val="21"/>
                <w:szCs w:val="21"/>
                <w:lang w:val="en-US" w:eastAsia="zh-CN"/>
              </w:rPr>
            </w:pPr>
            <w:r>
              <w:rPr>
                <w:rFonts w:hint="eastAsia" w:ascii="宋体" w:hAnsi="宋体" w:cs="宋体"/>
                <w:b w:val="0"/>
                <w:bCs w:val="0"/>
                <w:color w:val="auto"/>
                <w:kern w:val="0"/>
                <w:sz w:val="21"/>
                <w:szCs w:val="21"/>
                <w:lang w:val="en-US" w:eastAsia="zh-CN"/>
              </w:rPr>
              <w:t>2分</w:t>
            </w:r>
          </w:p>
        </w:tc>
        <w:tc>
          <w:tcPr>
            <w:tcW w:w="378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根据</w:t>
            </w:r>
            <w:r>
              <w:rPr>
                <w:rFonts w:hint="eastAsia" w:ascii="宋体" w:hAnsi="宋体" w:cs="宋体"/>
                <w:color w:val="auto"/>
                <w:kern w:val="0"/>
                <w:sz w:val="21"/>
                <w:szCs w:val="21"/>
              </w:rPr>
              <w:t>投标人的培训计划</w:t>
            </w:r>
            <w:r>
              <w:rPr>
                <w:rFonts w:hint="eastAsia" w:ascii="宋体" w:hAnsi="宋体" w:cs="宋体"/>
                <w:color w:val="auto"/>
                <w:kern w:val="0"/>
                <w:sz w:val="21"/>
                <w:szCs w:val="21"/>
                <w:lang w:eastAsia="zh-CN"/>
              </w:rPr>
              <w:t>（至少应包括</w:t>
            </w:r>
            <w:r>
              <w:rPr>
                <w:rFonts w:hint="eastAsia" w:ascii="宋体" w:hAnsi="宋体" w:cs="宋体"/>
                <w:color w:val="auto"/>
                <w:kern w:val="0"/>
                <w:sz w:val="21"/>
                <w:szCs w:val="21"/>
              </w:rPr>
              <w:t>培训内容</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培训时间地点</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培训对象</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培训师资力量</w:t>
            </w:r>
            <w:r>
              <w:rPr>
                <w:rFonts w:hint="eastAsia" w:ascii="宋体" w:hAnsi="宋体" w:cs="宋体"/>
                <w:color w:val="auto"/>
                <w:kern w:val="0"/>
                <w:sz w:val="21"/>
                <w:szCs w:val="21"/>
                <w:lang w:eastAsia="zh-CN"/>
              </w:rPr>
              <w:t>等）</w:t>
            </w:r>
            <w:r>
              <w:rPr>
                <w:rFonts w:hint="eastAsia" w:ascii="宋体" w:hAnsi="宋体" w:cs="宋体"/>
                <w:color w:val="auto"/>
                <w:kern w:val="0"/>
                <w:sz w:val="21"/>
                <w:szCs w:val="21"/>
              </w:rPr>
              <w:t>进行评分</w:t>
            </w:r>
            <w:r>
              <w:rPr>
                <w:rFonts w:hint="eastAsia" w:ascii="宋体" w:hAnsi="宋体" w:cs="宋体"/>
                <w:color w:val="auto"/>
                <w:kern w:val="0"/>
                <w:sz w:val="21"/>
                <w:szCs w:val="21"/>
                <w:lang w:eastAsia="zh-CN"/>
              </w:rPr>
              <w:t>：</w:t>
            </w:r>
          </w:p>
          <w:p>
            <w:pPr>
              <w:widowControl/>
              <w:spacing w:line="240" w:lineRule="auto"/>
              <w:rPr>
                <w:rFonts w:hint="eastAsia" w:ascii="宋体" w:hAnsi="宋体" w:cs="宋体"/>
                <w:color w:val="auto"/>
                <w:kern w:val="0"/>
                <w:sz w:val="21"/>
                <w:szCs w:val="21"/>
                <w:lang w:val="en-US" w:eastAsia="zh-CN"/>
              </w:rPr>
            </w:pPr>
            <w:r>
              <w:rPr>
                <w:rFonts w:hint="eastAsia" w:ascii="宋体" w:hAnsi="宋体" w:cs="宋体"/>
                <w:color w:val="auto"/>
                <w:kern w:val="0"/>
                <w:sz w:val="21"/>
                <w:szCs w:val="21"/>
              </w:rPr>
              <w:t>①</w:t>
            </w:r>
            <w:r>
              <w:rPr>
                <w:rFonts w:hint="eastAsia" w:ascii="宋体" w:hAnsi="宋体" w:cs="宋体"/>
                <w:color w:val="auto"/>
                <w:kern w:val="0"/>
                <w:sz w:val="21"/>
                <w:szCs w:val="21"/>
                <w:lang w:eastAsia="zh-CN"/>
              </w:rPr>
              <w:t>内容</w:t>
            </w:r>
            <w:r>
              <w:rPr>
                <w:rFonts w:hint="eastAsia" w:ascii="宋体" w:hAnsi="宋体" w:cs="宋体"/>
                <w:color w:val="auto"/>
                <w:kern w:val="0"/>
                <w:sz w:val="21"/>
                <w:szCs w:val="21"/>
              </w:rPr>
              <w:t>完整</w:t>
            </w:r>
            <w:r>
              <w:rPr>
                <w:rFonts w:hint="eastAsia" w:ascii="宋体" w:hAnsi="宋体" w:cs="宋体"/>
                <w:color w:val="auto"/>
                <w:kern w:val="0"/>
                <w:sz w:val="21"/>
                <w:szCs w:val="21"/>
                <w:lang w:eastAsia="zh-CN"/>
              </w:rPr>
              <w:t>性</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合理性、</w:t>
            </w:r>
            <w:r>
              <w:rPr>
                <w:rFonts w:hint="eastAsia" w:ascii="宋体" w:hAnsi="宋体" w:cs="宋体"/>
                <w:color w:val="auto"/>
                <w:kern w:val="0"/>
                <w:sz w:val="21"/>
                <w:szCs w:val="21"/>
              </w:rPr>
              <w:t>可操作性</w:t>
            </w:r>
            <w:r>
              <w:rPr>
                <w:rFonts w:hint="eastAsia" w:ascii="宋体" w:hAnsi="宋体" w:cs="宋体"/>
                <w:color w:val="auto"/>
                <w:kern w:val="0"/>
                <w:sz w:val="21"/>
                <w:szCs w:val="21"/>
                <w:lang w:eastAsia="zh-CN"/>
              </w:rPr>
              <w:t>较好</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得</w:t>
            </w:r>
            <w:r>
              <w:rPr>
                <w:rFonts w:hint="eastAsia" w:ascii="宋体" w:hAnsi="宋体" w:cs="宋体"/>
                <w:color w:val="auto"/>
                <w:kern w:val="0"/>
                <w:sz w:val="21"/>
                <w:szCs w:val="21"/>
                <w:lang w:val="en-US" w:eastAsia="zh-CN"/>
              </w:rPr>
              <w:t>2分；</w:t>
            </w:r>
          </w:p>
          <w:p>
            <w:pPr>
              <w:widowControl/>
              <w:spacing w:line="240" w:lineRule="auto"/>
              <w:rPr>
                <w:rFonts w:hint="eastAsia" w:ascii="宋体" w:hAnsi="宋体" w:cs="宋体"/>
                <w:color w:val="auto"/>
                <w:kern w:val="0"/>
                <w:sz w:val="21"/>
                <w:szCs w:val="21"/>
                <w:lang w:val="en-US" w:eastAsia="zh-CN"/>
              </w:rPr>
            </w:pPr>
            <w:r>
              <w:rPr>
                <w:rFonts w:hint="eastAsia" w:ascii="宋体" w:hAnsi="宋体" w:cs="宋体"/>
                <w:color w:val="auto"/>
                <w:kern w:val="0"/>
                <w:sz w:val="21"/>
                <w:szCs w:val="21"/>
              </w:rPr>
              <w:t>②</w:t>
            </w:r>
            <w:r>
              <w:rPr>
                <w:rFonts w:hint="eastAsia" w:ascii="宋体" w:hAnsi="宋体" w:cs="宋体"/>
                <w:color w:val="auto"/>
                <w:kern w:val="0"/>
                <w:sz w:val="21"/>
                <w:szCs w:val="21"/>
                <w:lang w:eastAsia="zh-CN"/>
              </w:rPr>
              <w:t>内容</w:t>
            </w:r>
            <w:r>
              <w:rPr>
                <w:rFonts w:hint="eastAsia" w:ascii="宋体" w:hAnsi="宋体" w:cs="宋体"/>
                <w:color w:val="auto"/>
                <w:kern w:val="0"/>
                <w:sz w:val="21"/>
                <w:szCs w:val="21"/>
              </w:rPr>
              <w:t>逻辑</w:t>
            </w:r>
            <w:r>
              <w:rPr>
                <w:rFonts w:hint="eastAsia" w:ascii="宋体" w:hAnsi="宋体" w:cs="宋体"/>
                <w:color w:val="auto"/>
                <w:kern w:val="0"/>
                <w:sz w:val="21"/>
                <w:szCs w:val="21"/>
                <w:lang w:eastAsia="zh-CN"/>
              </w:rPr>
              <w:t>性</w:t>
            </w:r>
            <w:r>
              <w:rPr>
                <w:rFonts w:hint="eastAsia" w:ascii="宋体" w:hAnsi="宋体" w:cs="宋体"/>
                <w:color w:val="auto"/>
                <w:kern w:val="0"/>
                <w:sz w:val="21"/>
                <w:szCs w:val="21"/>
              </w:rPr>
              <w:t>、完整</w:t>
            </w:r>
            <w:r>
              <w:rPr>
                <w:rFonts w:hint="eastAsia" w:ascii="宋体" w:hAnsi="宋体" w:cs="宋体"/>
                <w:color w:val="auto"/>
                <w:kern w:val="0"/>
                <w:sz w:val="21"/>
                <w:szCs w:val="21"/>
                <w:lang w:eastAsia="zh-CN"/>
              </w:rPr>
              <w:t>性</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合理性、</w:t>
            </w:r>
            <w:r>
              <w:rPr>
                <w:rFonts w:hint="eastAsia" w:ascii="宋体" w:hAnsi="宋体" w:cs="宋体"/>
                <w:color w:val="auto"/>
                <w:kern w:val="0"/>
                <w:sz w:val="21"/>
                <w:szCs w:val="21"/>
              </w:rPr>
              <w:t>可操作性</w:t>
            </w:r>
            <w:r>
              <w:rPr>
                <w:rFonts w:hint="eastAsia" w:ascii="宋体" w:hAnsi="宋体" w:cs="宋体"/>
                <w:color w:val="auto"/>
                <w:kern w:val="0"/>
                <w:sz w:val="21"/>
                <w:szCs w:val="21"/>
                <w:lang w:eastAsia="zh-CN"/>
              </w:rPr>
              <w:t>一般</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得</w:t>
            </w:r>
            <w:r>
              <w:rPr>
                <w:rFonts w:hint="eastAsia" w:ascii="宋体" w:hAnsi="宋体" w:cs="宋体"/>
                <w:color w:val="auto"/>
                <w:kern w:val="0"/>
                <w:sz w:val="21"/>
                <w:szCs w:val="21"/>
                <w:lang w:val="en-US" w:eastAsia="zh-CN"/>
              </w:rPr>
              <w:t>1分；</w:t>
            </w:r>
          </w:p>
          <w:p>
            <w:pPr>
              <w:widowControl/>
              <w:spacing w:line="240" w:lineRule="auto"/>
              <w:rPr>
                <w:rFonts w:hint="eastAsia" w:ascii="宋体" w:hAnsi="宋体" w:cs="宋体"/>
                <w:color w:val="auto"/>
                <w:kern w:val="0"/>
                <w:sz w:val="21"/>
                <w:szCs w:val="21"/>
                <w:lang w:val="en-US" w:eastAsia="zh-CN"/>
              </w:rPr>
            </w:pPr>
            <w:r>
              <w:rPr>
                <w:rFonts w:hint="eastAsia" w:ascii="宋体" w:hAnsi="宋体" w:cs="宋体"/>
                <w:color w:val="auto"/>
                <w:kern w:val="0"/>
                <w:sz w:val="21"/>
                <w:szCs w:val="21"/>
              </w:rPr>
              <w:t>③</w:t>
            </w:r>
            <w:r>
              <w:rPr>
                <w:rFonts w:hint="eastAsia" w:ascii="宋体" w:hAnsi="宋体" w:cs="宋体"/>
                <w:color w:val="auto"/>
                <w:kern w:val="0"/>
                <w:sz w:val="21"/>
                <w:szCs w:val="21"/>
                <w:lang w:eastAsia="zh-CN"/>
              </w:rPr>
              <w:t>内容</w:t>
            </w:r>
            <w:r>
              <w:rPr>
                <w:rFonts w:hint="eastAsia" w:ascii="宋体" w:hAnsi="宋体" w:cs="宋体"/>
                <w:color w:val="auto"/>
                <w:kern w:val="0"/>
                <w:sz w:val="21"/>
                <w:szCs w:val="21"/>
              </w:rPr>
              <w:t>逻辑</w:t>
            </w:r>
            <w:r>
              <w:rPr>
                <w:rFonts w:hint="eastAsia" w:ascii="宋体" w:hAnsi="宋体" w:cs="宋体"/>
                <w:color w:val="auto"/>
                <w:kern w:val="0"/>
                <w:sz w:val="21"/>
                <w:szCs w:val="21"/>
                <w:lang w:eastAsia="zh-CN"/>
              </w:rPr>
              <w:t>性</w:t>
            </w:r>
            <w:r>
              <w:rPr>
                <w:rFonts w:hint="eastAsia" w:ascii="宋体" w:hAnsi="宋体" w:cs="宋体"/>
                <w:color w:val="auto"/>
                <w:kern w:val="0"/>
                <w:sz w:val="21"/>
                <w:szCs w:val="21"/>
              </w:rPr>
              <w:t>、完整</w:t>
            </w:r>
            <w:r>
              <w:rPr>
                <w:rFonts w:hint="eastAsia" w:ascii="宋体" w:hAnsi="宋体" w:cs="宋体"/>
                <w:color w:val="auto"/>
                <w:kern w:val="0"/>
                <w:sz w:val="21"/>
                <w:szCs w:val="21"/>
                <w:lang w:eastAsia="zh-CN"/>
              </w:rPr>
              <w:t>性</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合理性、</w:t>
            </w:r>
            <w:r>
              <w:rPr>
                <w:rFonts w:hint="eastAsia" w:ascii="宋体" w:hAnsi="宋体" w:cs="宋体"/>
                <w:color w:val="auto"/>
                <w:kern w:val="0"/>
                <w:sz w:val="21"/>
                <w:szCs w:val="21"/>
              </w:rPr>
              <w:t>可操作性</w:t>
            </w:r>
            <w:r>
              <w:rPr>
                <w:rFonts w:hint="eastAsia" w:ascii="宋体" w:hAnsi="宋体" w:cs="宋体"/>
                <w:color w:val="auto"/>
                <w:kern w:val="0"/>
                <w:sz w:val="21"/>
                <w:szCs w:val="21"/>
                <w:lang w:eastAsia="zh-CN"/>
              </w:rPr>
              <w:t>较差</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得</w:t>
            </w:r>
            <w:r>
              <w:rPr>
                <w:rFonts w:hint="eastAsia" w:ascii="宋体" w:hAnsi="宋体" w:cs="宋体"/>
                <w:color w:val="auto"/>
                <w:kern w:val="0"/>
                <w:sz w:val="21"/>
                <w:szCs w:val="21"/>
                <w:lang w:val="en-US" w:eastAsia="zh-CN"/>
              </w:rPr>
              <w:t>0.5分；</w:t>
            </w:r>
          </w:p>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④</w:t>
            </w:r>
            <w:r>
              <w:rPr>
                <w:rFonts w:hint="eastAsia" w:ascii="宋体" w:hAnsi="宋体" w:cs="宋体"/>
                <w:color w:val="auto"/>
                <w:kern w:val="0"/>
                <w:sz w:val="21"/>
                <w:szCs w:val="21"/>
                <w:lang w:eastAsia="zh-CN"/>
              </w:rPr>
              <w:t>其它情况</w:t>
            </w:r>
            <w:r>
              <w:rPr>
                <w:rFonts w:hint="eastAsia" w:ascii="宋体" w:hAnsi="宋体" w:cs="宋体"/>
                <w:color w:val="auto"/>
                <w:kern w:val="0"/>
                <w:sz w:val="21"/>
                <w:szCs w:val="21"/>
                <w:lang w:val="en-US" w:eastAsia="zh-CN"/>
              </w:rPr>
              <w:t>不得分。</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auto"/>
                <w:kern w:val="0"/>
                <w:sz w:val="21"/>
                <w:szCs w:val="21"/>
              </w:rPr>
            </w:pPr>
            <w:r>
              <w:rPr>
                <w:rFonts w:hint="eastAsia" w:ascii="宋体" w:hAnsi="宋体" w:cs="宋体"/>
                <w:color w:val="auto"/>
                <w:kern w:val="0"/>
                <w:sz w:val="21"/>
                <w:szCs w:val="21"/>
              </w:rPr>
              <w:t>2</w:t>
            </w:r>
          </w:p>
        </w:tc>
      </w:tr>
      <w:tr>
        <w:tblPrEx>
          <w:tblCellMar>
            <w:top w:w="0" w:type="dxa"/>
            <w:left w:w="108" w:type="dxa"/>
            <w:bottom w:w="0" w:type="dxa"/>
            <w:right w:w="108" w:type="dxa"/>
          </w:tblCellMar>
        </w:tblPrEx>
        <w:trPr>
          <w:trHeight w:val="790" w:hRule="atLeast"/>
        </w:trPr>
        <w:tc>
          <w:tcPr>
            <w:tcW w:w="400" w:type="pct"/>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b/>
                <w:bCs/>
                <w:color w:val="auto"/>
                <w:kern w:val="0"/>
                <w:sz w:val="21"/>
                <w:szCs w:val="21"/>
              </w:rPr>
            </w:pPr>
          </w:p>
        </w:tc>
        <w:tc>
          <w:tcPr>
            <w:tcW w:w="40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color w:val="auto"/>
                <w:sz w:val="21"/>
                <w:szCs w:val="21"/>
              </w:rPr>
            </w:pPr>
            <w:r>
              <w:rPr>
                <w:rFonts w:hint="eastAsia"/>
                <w:color w:val="auto"/>
                <w:sz w:val="21"/>
                <w:szCs w:val="21"/>
              </w:rPr>
              <w:t>其他优惠</w:t>
            </w:r>
          </w:p>
          <w:p>
            <w:pPr>
              <w:pStyle w:val="56"/>
              <w:spacing w:line="240" w:lineRule="auto"/>
              <w:jc w:val="center"/>
              <w:rPr>
                <w:rFonts w:hint="eastAsia" w:eastAsiaTheme="minorEastAsia"/>
                <w:color w:val="auto"/>
                <w:sz w:val="21"/>
                <w:szCs w:val="21"/>
                <w:lang w:val="en-US" w:eastAsia="zh-CN"/>
              </w:rPr>
            </w:pPr>
            <w:r>
              <w:rPr>
                <w:rFonts w:hint="eastAsia" w:asciiTheme="minorEastAsia" w:hAnsiTheme="minorEastAsia" w:eastAsiaTheme="minorEastAsia"/>
                <w:b w:val="0"/>
                <w:bCs/>
                <w:color w:val="auto"/>
                <w:sz w:val="21"/>
                <w:szCs w:val="21"/>
                <w:lang w:val="en-US" w:eastAsia="zh-CN"/>
              </w:rPr>
              <w:t>2分</w:t>
            </w:r>
          </w:p>
        </w:tc>
        <w:tc>
          <w:tcPr>
            <w:tcW w:w="3786" w:type="pct"/>
            <w:tcBorders>
              <w:top w:val="single" w:color="auto" w:sz="4" w:space="0"/>
              <w:left w:val="nil"/>
              <w:bottom w:val="single" w:color="auto" w:sz="4" w:space="0"/>
              <w:right w:val="single" w:color="auto" w:sz="4" w:space="0"/>
            </w:tcBorders>
            <w:shd w:val="clear" w:color="auto" w:fill="auto"/>
          </w:tcPr>
          <w:p>
            <w:pPr>
              <w:widowControl/>
              <w:spacing w:line="240" w:lineRule="auto"/>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根据投标人给出的优惠条件和特色服务承诺进行评分：</w:t>
            </w:r>
          </w:p>
          <w:p>
            <w:pPr>
              <w:widowControl/>
              <w:spacing w:line="240" w:lineRule="auto"/>
              <w:rPr>
                <w:rFonts w:hint="eastAsia" w:asciiTheme="minorEastAsia" w:hAnsiTheme="minorEastAsia" w:eastAsiaTheme="minorEastAsia"/>
                <w:color w:val="auto"/>
                <w:sz w:val="21"/>
                <w:szCs w:val="21"/>
              </w:rPr>
            </w:pPr>
            <w:r>
              <w:rPr>
                <w:rFonts w:asciiTheme="minorEastAsia" w:hAnsiTheme="minorEastAsia" w:eastAsiaTheme="minorEastAsia"/>
                <w:color w:val="auto"/>
                <w:sz w:val="21"/>
                <w:szCs w:val="21"/>
              </w:rPr>
              <w:fldChar w:fldCharType="begin"/>
            </w:r>
            <w:r>
              <w:rPr>
                <w:rFonts w:asciiTheme="minorEastAsia" w:hAnsiTheme="minorEastAsia" w:eastAsiaTheme="minorEastAsia"/>
                <w:color w:val="auto"/>
                <w:sz w:val="21"/>
                <w:szCs w:val="21"/>
              </w:rPr>
              <w:instrText xml:space="preserve"> </w:instrText>
            </w:r>
            <w:r>
              <w:rPr>
                <w:rFonts w:hint="eastAsia" w:asciiTheme="minorEastAsia" w:hAnsiTheme="minorEastAsia" w:eastAsiaTheme="minorEastAsia"/>
                <w:color w:val="auto"/>
                <w:sz w:val="21"/>
                <w:szCs w:val="21"/>
              </w:rPr>
              <w:instrText xml:space="preserve">= 1 \* GB3</w:instrText>
            </w:r>
            <w:r>
              <w:rPr>
                <w:rFonts w:asciiTheme="minorEastAsia" w:hAnsiTheme="minorEastAsia" w:eastAsiaTheme="minorEastAsia"/>
                <w:color w:val="auto"/>
                <w:sz w:val="21"/>
                <w:szCs w:val="21"/>
              </w:rPr>
              <w:instrText xml:space="preserve"> </w:instrText>
            </w:r>
            <w:r>
              <w:rPr>
                <w:rFonts w:asciiTheme="minorEastAsia" w:hAnsiTheme="minorEastAsia" w:eastAsiaTheme="minorEastAsia"/>
                <w:color w:val="auto"/>
                <w:sz w:val="21"/>
                <w:szCs w:val="21"/>
              </w:rPr>
              <w:fldChar w:fldCharType="separate"/>
            </w:r>
            <w:r>
              <w:rPr>
                <w:rFonts w:hint="eastAsia" w:asciiTheme="minorEastAsia" w:hAnsiTheme="minorEastAsia" w:eastAsiaTheme="minorEastAsia"/>
                <w:color w:val="auto"/>
                <w:sz w:val="21"/>
                <w:szCs w:val="21"/>
              </w:rPr>
              <w:t>①</w:t>
            </w:r>
            <w:r>
              <w:rPr>
                <w:rFonts w:asciiTheme="minorEastAsia" w:hAnsiTheme="minorEastAsia" w:eastAsiaTheme="minorEastAsia"/>
                <w:color w:val="auto"/>
                <w:sz w:val="21"/>
                <w:szCs w:val="21"/>
              </w:rPr>
              <w:fldChar w:fldCharType="end"/>
            </w:r>
            <w:r>
              <w:rPr>
                <w:rFonts w:hint="eastAsia" w:asciiTheme="minorEastAsia" w:hAnsiTheme="minorEastAsia" w:eastAsiaTheme="minorEastAsia"/>
                <w:color w:val="auto"/>
                <w:sz w:val="21"/>
                <w:szCs w:val="21"/>
              </w:rPr>
              <w:t>与本项目完全契合，具有实质性、科学性，重点突出得</w:t>
            </w:r>
            <w:r>
              <w:rPr>
                <w:rFonts w:hint="eastAsia" w:asciiTheme="minorEastAsia" w:hAnsiTheme="minorEastAsia" w:eastAsiaTheme="minorEastAsia"/>
                <w:color w:val="auto"/>
                <w:sz w:val="21"/>
                <w:szCs w:val="21"/>
                <w:lang w:val="en-US" w:eastAsia="zh-CN"/>
              </w:rPr>
              <w:t>2</w:t>
            </w:r>
            <w:r>
              <w:rPr>
                <w:rFonts w:hint="eastAsia" w:asciiTheme="minorEastAsia" w:hAnsiTheme="minorEastAsia" w:eastAsiaTheme="minorEastAsia"/>
                <w:color w:val="auto"/>
                <w:sz w:val="21"/>
                <w:szCs w:val="21"/>
              </w:rPr>
              <w:t>分；</w:t>
            </w:r>
          </w:p>
          <w:p>
            <w:pPr>
              <w:widowControl/>
              <w:spacing w:line="240" w:lineRule="auto"/>
              <w:rPr>
                <w:rFonts w:hint="eastAsia" w:asciiTheme="minorEastAsia" w:hAnsiTheme="minorEastAsia" w:eastAsiaTheme="minorEastAsia"/>
                <w:color w:val="auto"/>
                <w:sz w:val="21"/>
                <w:szCs w:val="21"/>
              </w:rPr>
            </w:pPr>
            <w:r>
              <w:rPr>
                <w:rFonts w:asciiTheme="minorEastAsia" w:hAnsiTheme="minorEastAsia" w:eastAsiaTheme="minorEastAsia"/>
                <w:color w:val="auto"/>
                <w:sz w:val="21"/>
                <w:szCs w:val="21"/>
              </w:rPr>
              <w:fldChar w:fldCharType="begin"/>
            </w:r>
            <w:r>
              <w:rPr>
                <w:rFonts w:asciiTheme="minorEastAsia" w:hAnsiTheme="minorEastAsia" w:eastAsiaTheme="minorEastAsia"/>
                <w:color w:val="auto"/>
                <w:sz w:val="21"/>
                <w:szCs w:val="21"/>
              </w:rPr>
              <w:instrText xml:space="preserve"> </w:instrText>
            </w:r>
            <w:r>
              <w:rPr>
                <w:rFonts w:hint="eastAsia" w:asciiTheme="minorEastAsia" w:hAnsiTheme="minorEastAsia" w:eastAsiaTheme="minorEastAsia"/>
                <w:color w:val="auto"/>
                <w:sz w:val="21"/>
                <w:szCs w:val="21"/>
              </w:rPr>
              <w:instrText xml:space="preserve">= 2 \* GB3</w:instrText>
            </w:r>
            <w:r>
              <w:rPr>
                <w:rFonts w:asciiTheme="minorEastAsia" w:hAnsiTheme="minorEastAsia" w:eastAsiaTheme="minorEastAsia"/>
                <w:color w:val="auto"/>
                <w:sz w:val="21"/>
                <w:szCs w:val="21"/>
              </w:rPr>
              <w:instrText xml:space="preserve"> </w:instrText>
            </w:r>
            <w:r>
              <w:rPr>
                <w:rFonts w:asciiTheme="minorEastAsia" w:hAnsiTheme="minorEastAsia" w:eastAsiaTheme="minorEastAsia"/>
                <w:color w:val="auto"/>
                <w:sz w:val="21"/>
                <w:szCs w:val="21"/>
              </w:rPr>
              <w:fldChar w:fldCharType="separate"/>
            </w:r>
            <w:r>
              <w:rPr>
                <w:rFonts w:hint="eastAsia" w:asciiTheme="minorEastAsia" w:hAnsiTheme="minorEastAsia" w:eastAsiaTheme="minorEastAsia"/>
                <w:color w:val="auto"/>
                <w:sz w:val="21"/>
                <w:szCs w:val="21"/>
              </w:rPr>
              <w:t>②</w:t>
            </w:r>
            <w:r>
              <w:rPr>
                <w:rFonts w:asciiTheme="minorEastAsia" w:hAnsiTheme="minorEastAsia" w:eastAsiaTheme="minorEastAsia"/>
                <w:color w:val="auto"/>
                <w:sz w:val="21"/>
                <w:szCs w:val="21"/>
              </w:rPr>
              <w:fldChar w:fldCharType="end"/>
            </w:r>
            <w:r>
              <w:rPr>
                <w:rFonts w:hint="eastAsia" w:asciiTheme="minorEastAsia" w:hAnsiTheme="minorEastAsia" w:eastAsiaTheme="minorEastAsia"/>
                <w:color w:val="auto"/>
                <w:sz w:val="21"/>
                <w:szCs w:val="21"/>
              </w:rPr>
              <w:t>与本项目契合</w:t>
            </w:r>
            <w:r>
              <w:rPr>
                <w:rFonts w:hint="eastAsia" w:asciiTheme="minorEastAsia" w:hAnsiTheme="minorEastAsia" w:eastAsiaTheme="minorEastAsia"/>
                <w:color w:val="auto"/>
                <w:sz w:val="21"/>
                <w:szCs w:val="21"/>
                <w:lang w:eastAsia="zh-CN"/>
              </w:rPr>
              <w:t>，基本</w:t>
            </w:r>
            <w:r>
              <w:rPr>
                <w:rFonts w:hint="eastAsia" w:asciiTheme="minorEastAsia" w:hAnsiTheme="minorEastAsia" w:eastAsiaTheme="minorEastAsia"/>
                <w:color w:val="auto"/>
                <w:sz w:val="21"/>
                <w:szCs w:val="21"/>
              </w:rPr>
              <w:t>具有实质性、科学性，得</w:t>
            </w:r>
            <w:r>
              <w:rPr>
                <w:rFonts w:hint="eastAsia" w:asciiTheme="minorEastAsia" w:hAnsiTheme="minorEastAsia" w:eastAsiaTheme="minorEastAsia"/>
                <w:color w:val="auto"/>
                <w:sz w:val="21"/>
                <w:szCs w:val="21"/>
                <w:lang w:val="en-US" w:eastAsia="zh-CN"/>
              </w:rPr>
              <w:t>1</w:t>
            </w:r>
            <w:r>
              <w:rPr>
                <w:rFonts w:hint="eastAsia" w:asciiTheme="minorEastAsia" w:hAnsiTheme="minorEastAsia" w:eastAsiaTheme="minorEastAsia"/>
                <w:color w:val="auto"/>
                <w:sz w:val="21"/>
                <w:szCs w:val="21"/>
              </w:rPr>
              <w:t>分；</w:t>
            </w:r>
          </w:p>
          <w:p>
            <w:pPr>
              <w:widowControl/>
              <w:spacing w:line="240" w:lineRule="auto"/>
              <w:rPr>
                <w:rFonts w:ascii="宋体" w:hAnsi="宋体" w:cs="宋体"/>
                <w:color w:val="auto"/>
                <w:kern w:val="0"/>
                <w:sz w:val="21"/>
                <w:szCs w:val="21"/>
              </w:rPr>
            </w:pPr>
            <w:r>
              <w:rPr>
                <w:rFonts w:asciiTheme="minorEastAsia" w:hAnsiTheme="minorEastAsia" w:eastAsiaTheme="minorEastAsia"/>
                <w:color w:val="auto"/>
                <w:sz w:val="21"/>
                <w:szCs w:val="21"/>
              </w:rPr>
              <w:fldChar w:fldCharType="begin"/>
            </w:r>
            <w:r>
              <w:rPr>
                <w:rFonts w:asciiTheme="minorEastAsia" w:hAnsiTheme="minorEastAsia" w:eastAsiaTheme="minorEastAsia"/>
                <w:color w:val="auto"/>
                <w:sz w:val="21"/>
                <w:szCs w:val="21"/>
              </w:rPr>
              <w:instrText xml:space="preserve"> </w:instrText>
            </w:r>
            <w:r>
              <w:rPr>
                <w:rFonts w:hint="eastAsia" w:asciiTheme="minorEastAsia" w:hAnsiTheme="minorEastAsia" w:eastAsiaTheme="minorEastAsia"/>
                <w:color w:val="auto"/>
                <w:sz w:val="21"/>
                <w:szCs w:val="21"/>
              </w:rPr>
              <w:instrText xml:space="preserve">= 3 \* GB3</w:instrText>
            </w:r>
            <w:r>
              <w:rPr>
                <w:rFonts w:asciiTheme="minorEastAsia" w:hAnsiTheme="minorEastAsia" w:eastAsiaTheme="minorEastAsia"/>
                <w:color w:val="auto"/>
                <w:sz w:val="21"/>
                <w:szCs w:val="21"/>
              </w:rPr>
              <w:instrText xml:space="preserve"> </w:instrText>
            </w:r>
            <w:r>
              <w:rPr>
                <w:rFonts w:asciiTheme="minorEastAsia" w:hAnsiTheme="minorEastAsia" w:eastAsiaTheme="minorEastAsia"/>
                <w:color w:val="auto"/>
                <w:sz w:val="21"/>
                <w:szCs w:val="21"/>
              </w:rPr>
              <w:fldChar w:fldCharType="separate"/>
            </w:r>
            <w:r>
              <w:rPr>
                <w:rFonts w:hint="eastAsia" w:asciiTheme="minorEastAsia" w:hAnsiTheme="minorEastAsia" w:eastAsiaTheme="minorEastAsia"/>
                <w:color w:val="auto"/>
                <w:sz w:val="21"/>
                <w:szCs w:val="21"/>
              </w:rPr>
              <w:t>③</w:t>
            </w:r>
            <w:r>
              <w:rPr>
                <w:rFonts w:asciiTheme="minorEastAsia" w:hAnsiTheme="minorEastAsia" w:eastAsiaTheme="minorEastAsia"/>
                <w:color w:val="auto"/>
                <w:sz w:val="21"/>
                <w:szCs w:val="21"/>
              </w:rPr>
              <w:fldChar w:fldCharType="end"/>
            </w:r>
            <w:r>
              <w:rPr>
                <w:rFonts w:hint="eastAsia" w:asciiTheme="minorEastAsia" w:hAnsiTheme="minorEastAsia" w:eastAsiaTheme="minorEastAsia"/>
                <w:color w:val="auto"/>
                <w:sz w:val="21"/>
                <w:szCs w:val="21"/>
              </w:rPr>
              <w:t>与本项目</w:t>
            </w:r>
            <w:r>
              <w:rPr>
                <w:rFonts w:hint="eastAsia" w:asciiTheme="minorEastAsia" w:hAnsiTheme="minorEastAsia" w:eastAsiaTheme="minorEastAsia"/>
                <w:color w:val="auto"/>
                <w:sz w:val="21"/>
                <w:szCs w:val="21"/>
                <w:lang w:eastAsia="zh-CN"/>
              </w:rPr>
              <w:t>不</w:t>
            </w:r>
            <w:r>
              <w:rPr>
                <w:rFonts w:hint="eastAsia" w:asciiTheme="minorEastAsia" w:hAnsiTheme="minorEastAsia" w:eastAsiaTheme="minorEastAsia"/>
                <w:color w:val="auto"/>
                <w:sz w:val="21"/>
                <w:szCs w:val="21"/>
              </w:rPr>
              <w:t>契合</w:t>
            </w:r>
            <w:r>
              <w:rPr>
                <w:rFonts w:hint="eastAsia" w:asciiTheme="minorEastAsia" w:hAnsiTheme="minorEastAsia" w:eastAsiaTheme="minorEastAsia"/>
                <w:color w:val="auto"/>
                <w:sz w:val="21"/>
                <w:szCs w:val="21"/>
                <w:lang w:eastAsia="zh-CN"/>
              </w:rPr>
              <w:t>，或</w:t>
            </w:r>
            <w:r>
              <w:rPr>
                <w:rFonts w:hint="eastAsia" w:asciiTheme="minorEastAsia" w:hAnsiTheme="minorEastAsia" w:eastAsiaTheme="minorEastAsia"/>
                <w:color w:val="auto"/>
                <w:sz w:val="21"/>
                <w:szCs w:val="21"/>
              </w:rPr>
              <w:t>未提供不得分。</w:t>
            </w:r>
          </w:p>
        </w:tc>
        <w:tc>
          <w:tcPr>
            <w:tcW w:w="406"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w:t>
            </w:r>
          </w:p>
        </w:tc>
      </w:tr>
      <w:tr>
        <w:tblPrEx>
          <w:tblCellMar>
            <w:top w:w="0" w:type="dxa"/>
            <w:left w:w="108" w:type="dxa"/>
            <w:bottom w:w="0" w:type="dxa"/>
            <w:right w:w="108" w:type="dxa"/>
          </w:tblCellMar>
        </w:tblPrEx>
        <w:trPr>
          <w:trHeight w:val="312" w:hRule="atLeast"/>
        </w:trPr>
        <w:tc>
          <w:tcPr>
            <w:tcW w:w="40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b/>
                <w:bCs/>
                <w:color w:val="auto"/>
                <w:kern w:val="0"/>
                <w:sz w:val="21"/>
                <w:szCs w:val="21"/>
              </w:rPr>
            </w:pPr>
            <w:r>
              <w:rPr>
                <w:rFonts w:hint="eastAsia" w:ascii="宋体" w:hAnsi="宋体" w:cs="宋体"/>
                <w:b/>
                <w:bCs/>
                <w:color w:val="auto"/>
                <w:kern w:val="0"/>
                <w:sz w:val="21"/>
                <w:szCs w:val="21"/>
              </w:rPr>
              <w:t>价格</w:t>
            </w:r>
            <w:r>
              <w:rPr>
                <w:rFonts w:hint="eastAsia" w:ascii="宋体" w:hAnsi="宋体" w:cs="宋体"/>
                <w:b/>
                <w:bCs/>
                <w:color w:val="auto"/>
                <w:kern w:val="0"/>
                <w:sz w:val="21"/>
                <w:szCs w:val="21"/>
                <w:lang w:val="en-US" w:eastAsia="zh-CN"/>
              </w:rPr>
              <w:t>2</w:t>
            </w:r>
            <w:r>
              <w:rPr>
                <w:rFonts w:hint="eastAsia" w:ascii="宋体" w:hAnsi="宋体" w:cs="宋体"/>
                <w:b/>
                <w:bCs/>
                <w:color w:val="auto"/>
                <w:kern w:val="0"/>
                <w:sz w:val="21"/>
                <w:szCs w:val="21"/>
              </w:rPr>
              <w:t>0分</w:t>
            </w:r>
          </w:p>
        </w:tc>
        <w:tc>
          <w:tcPr>
            <w:tcW w:w="4192"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21"/>
                <w:szCs w:val="21"/>
              </w:rPr>
            </w:pPr>
            <w:r>
              <w:rPr>
                <w:rFonts w:hint="eastAsia" w:ascii="宋体" w:hAnsi="宋体" w:cs="宋体"/>
                <w:color w:val="auto"/>
                <w:kern w:val="0"/>
                <w:sz w:val="21"/>
                <w:szCs w:val="21"/>
              </w:rPr>
              <w:t>以投标合格供应商有效投标总报价中的最低价为基准价，基准价为</w:t>
            </w:r>
            <w:r>
              <w:rPr>
                <w:rFonts w:hint="eastAsia" w:ascii="宋体" w:hAnsi="宋体" w:cs="宋体"/>
                <w:color w:val="auto"/>
                <w:kern w:val="0"/>
                <w:sz w:val="21"/>
                <w:szCs w:val="21"/>
                <w:lang w:val="en-US" w:eastAsia="zh-CN"/>
              </w:rPr>
              <w:t>2</w:t>
            </w:r>
            <w:r>
              <w:rPr>
                <w:rFonts w:hint="eastAsia" w:ascii="宋体" w:hAnsi="宋体" w:cs="宋体"/>
                <w:color w:val="auto"/>
                <w:kern w:val="0"/>
                <w:sz w:val="21"/>
                <w:szCs w:val="21"/>
              </w:rPr>
              <w:t>0分。投标报价得分＝（评标基准价/最终投标报价）×</w:t>
            </w:r>
            <w:r>
              <w:rPr>
                <w:rFonts w:hint="eastAsia" w:ascii="宋体" w:hAnsi="宋体" w:cs="宋体"/>
                <w:color w:val="auto"/>
                <w:kern w:val="0"/>
                <w:sz w:val="21"/>
                <w:szCs w:val="21"/>
                <w:u w:val="single"/>
                <w:lang w:val="en-US" w:eastAsia="zh-CN"/>
              </w:rPr>
              <w:t>2</w:t>
            </w:r>
            <w:r>
              <w:rPr>
                <w:rFonts w:hint="eastAsia" w:ascii="宋体" w:hAnsi="宋体" w:cs="宋体"/>
                <w:color w:val="auto"/>
                <w:kern w:val="0"/>
                <w:sz w:val="21"/>
                <w:szCs w:val="21"/>
                <w:u w:val="single"/>
              </w:rPr>
              <w:t>0%</w:t>
            </w:r>
            <w:r>
              <w:rPr>
                <w:rFonts w:hint="eastAsia" w:ascii="宋体" w:hAnsi="宋体" w:cs="宋体"/>
                <w:color w:val="auto"/>
                <w:kern w:val="0"/>
                <w:sz w:val="21"/>
                <w:szCs w:val="21"/>
              </w:rPr>
              <w:t>×100（小数点后保留2位小数）。（</w:t>
            </w:r>
            <w:r>
              <w:rPr>
                <w:rFonts w:hint="eastAsia" w:asciiTheme="minorEastAsia" w:hAnsiTheme="minorEastAsia" w:eastAsiaTheme="minorEastAsia" w:cstheme="minorEastAsia"/>
                <w:color w:val="000000" w:themeColor="text1"/>
                <w:sz w:val="21"/>
                <w:szCs w:val="21"/>
                <w14:textFill>
                  <w14:solidFill>
                    <w14:schemeClr w14:val="tx1"/>
                  </w14:solidFill>
                </w14:textFill>
              </w:rPr>
              <w:t>注：</w:t>
            </w:r>
            <w:r>
              <w:rPr>
                <w:rFonts w:hint="eastAsia" w:asciiTheme="minorEastAsia" w:hAnsiTheme="minorEastAsia" w:eastAsiaTheme="minorEastAsia" w:cstheme="minorEastAsia"/>
                <w:sz w:val="21"/>
                <w:szCs w:val="21"/>
              </w:rPr>
              <w:t>符</w:t>
            </w:r>
            <w:r>
              <w:rPr>
                <w:rFonts w:hint="eastAsia" w:asciiTheme="minorEastAsia" w:hAnsiTheme="minorEastAsia" w:eastAsiaTheme="minorEastAsia" w:cstheme="minorEastAsia"/>
                <w:sz w:val="21"/>
                <w:szCs w:val="21"/>
                <w:highlight w:val="none"/>
              </w:rPr>
              <w:t>合本章第</w:t>
            </w:r>
            <w:r>
              <w:rPr>
                <w:rFonts w:hint="eastAsia" w:asciiTheme="minorEastAsia" w:hAnsiTheme="minorEastAsia" w:eastAsiaTheme="minorEastAsia" w:cstheme="minorEastAsia"/>
                <w:sz w:val="21"/>
                <w:szCs w:val="21"/>
                <w:highlight w:val="none"/>
                <w:lang w:val="en-US" w:eastAsia="zh-CN"/>
              </w:rPr>
              <w:t>七</w:t>
            </w:r>
            <w:r>
              <w:rPr>
                <w:rFonts w:hint="eastAsia" w:asciiTheme="minorEastAsia" w:hAnsiTheme="minorEastAsia" w:eastAsiaTheme="minorEastAsia" w:cstheme="minorEastAsia"/>
                <w:sz w:val="21"/>
                <w:szCs w:val="21"/>
                <w:highlight w:val="none"/>
              </w:rPr>
              <w:t>点政府采购政策的，</w:t>
            </w:r>
            <w:r>
              <w:rPr>
                <w:rFonts w:hint="eastAsia" w:asciiTheme="minorEastAsia" w:hAnsiTheme="minorEastAsia" w:eastAsiaTheme="minorEastAsia" w:cstheme="minorEastAsia"/>
                <w:sz w:val="21"/>
                <w:szCs w:val="21"/>
                <w:highlight w:val="none"/>
                <w:lang w:val="en-US" w:eastAsia="zh-CN"/>
              </w:rPr>
              <w:t>根据对应情形，</w:t>
            </w:r>
            <w:r>
              <w:rPr>
                <w:rFonts w:hint="eastAsia" w:asciiTheme="minorEastAsia" w:hAnsiTheme="minorEastAsia" w:eastAsiaTheme="minorEastAsia" w:cstheme="minorEastAsia"/>
                <w:sz w:val="21"/>
                <w:szCs w:val="21"/>
                <w:highlight w:val="none"/>
              </w:rPr>
              <w:t>对报价给予</w:t>
            </w:r>
            <w:r>
              <w:rPr>
                <w:rFonts w:hint="eastAsia" w:asciiTheme="minorEastAsia" w:hAnsiTheme="minorEastAsia" w:eastAsiaTheme="minorEastAsia" w:cstheme="minorEastAsia"/>
                <w:sz w:val="21"/>
                <w:szCs w:val="21"/>
                <w:highlight w:val="none"/>
                <w:u w:val="single"/>
                <w:lang w:val="en-US" w:eastAsia="zh-CN"/>
              </w:rPr>
              <w:t xml:space="preserve"> 20%</w:t>
            </w:r>
            <w:r>
              <w:rPr>
                <w:rFonts w:hint="eastAsia" w:asciiTheme="minorEastAsia" w:hAnsiTheme="minorEastAsia" w:eastAsiaTheme="minorEastAsia" w:cstheme="minorEastAsia"/>
                <w:sz w:val="21"/>
                <w:szCs w:val="21"/>
                <w:highlight w:val="none"/>
                <w:u w:val="none"/>
              </w:rPr>
              <w:t xml:space="preserve"> </w:t>
            </w:r>
            <w:r>
              <w:rPr>
                <w:rFonts w:hint="eastAsia" w:asciiTheme="minorEastAsia" w:hAnsiTheme="minorEastAsia" w:eastAsiaTheme="minorEastAsia" w:cstheme="minorEastAsia"/>
                <w:sz w:val="21"/>
                <w:szCs w:val="21"/>
                <w:highlight w:val="none"/>
                <w:u w:val="none"/>
                <w:lang w:val="en-US" w:eastAsia="zh-CN"/>
              </w:rPr>
              <w:t>或</w:t>
            </w:r>
            <w:r>
              <w:rPr>
                <w:rFonts w:hint="eastAsia" w:asciiTheme="minorEastAsia" w:hAnsiTheme="minorEastAsia" w:eastAsiaTheme="minorEastAsia" w:cstheme="minorEastAsia"/>
                <w:sz w:val="21"/>
                <w:szCs w:val="21"/>
                <w:highlight w:val="none"/>
                <w:u w:val="single"/>
                <w:lang w:val="en-US" w:eastAsia="zh-CN"/>
              </w:rPr>
              <w:t xml:space="preserve"> 6%</w:t>
            </w:r>
            <w:r>
              <w:rPr>
                <w:rFonts w:hint="eastAsia" w:asciiTheme="minorEastAsia" w:hAnsiTheme="minorEastAsia" w:eastAsiaTheme="minorEastAsia" w:cstheme="minorEastAsia"/>
                <w:sz w:val="21"/>
                <w:szCs w:val="21"/>
                <w:highlight w:val="none"/>
              </w:rPr>
              <w:t>的</w:t>
            </w:r>
            <w:r>
              <w:rPr>
                <w:rFonts w:hint="eastAsia" w:asciiTheme="minorEastAsia" w:hAnsiTheme="minorEastAsia" w:eastAsiaTheme="minorEastAsia" w:cstheme="minorEastAsia"/>
                <w:sz w:val="21"/>
                <w:szCs w:val="21"/>
              </w:rPr>
              <w:t>价格扣除，用扣除后的价格参与评审。</w:t>
            </w:r>
            <w:r>
              <w:rPr>
                <w:rFonts w:hint="eastAsia" w:ascii="宋体" w:hAnsi="宋体" w:cs="宋体"/>
                <w:color w:val="auto"/>
                <w:kern w:val="0"/>
                <w:sz w:val="21"/>
                <w:szCs w:val="21"/>
              </w:rPr>
              <w:t>)</w:t>
            </w:r>
          </w:p>
        </w:tc>
        <w:tc>
          <w:tcPr>
            <w:tcW w:w="406"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lang w:val="en-US" w:eastAsia="zh-CN"/>
              </w:rPr>
              <w:t>2</w:t>
            </w:r>
            <w:r>
              <w:rPr>
                <w:rFonts w:hint="eastAsia" w:ascii="宋体" w:hAnsi="宋体" w:cs="宋体"/>
                <w:color w:val="auto"/>
                <w:kern w:val="0"/>
                <w:sz w:val="21"/>
                <w:szCs w:val="21"/>
              </w:rPr>
              <w:t>0</w:t>
            </w:r>
          </w:p>
        </w:tc>
      </w:tr>
      <w:tr>
        <w:tblPrEx>
          <w:tblCellMar>
            <w:top w:w="0" w:type="dxa"/>
            <w:left w:w="108" w:type="dxa"/>
            <w:bottom w:w="0" w:type="dxa"/>
            <w:right w:w="108" w:type="dxa"/>
          </w:tblCellMar>
        </w:tblPrEx>
        <w:trPr>
          <w:trHeight w:val="690" w:hRule="atLeast"/>
        </w:trPr>
        <w:tc>
          <w:tcPr>
            <w:tcW w:w="400"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 w:val="21"/>
                <w:szCs w:val="21"/>
              </w:rPr>
            </w:pPr>
          </w:p>
        </w:tc>
        <w:tc>
          <w:tcPr>
            <w:tcW w:w="419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1"/>
                <w:szCs w:val="21"/>
              </w:rPr>
            </w:pPr>
          </w:p>
        </w:tc>
        <w:tc>
          <w:tcPr>
            <w:tcW w:w="406"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1"/>
                <w:szCs w:val="21"/>
              </w:rPr>
            </w:pPr>
          </w:p>
        </w:tc>
      </w:tr>
    </w:tbl>
    <w:p>
      <w:pPr>
        <w:autoSpaceDE w:val="0"/>
        <w:autoSpaceDN w:val="0"/>
        <w:adjustRightInd w:val="0"/>
        <w:spacing w:line="360" w:lineRule="auto"/>
        <w:rPr>
          <w:rFonts w:asciiTheme="minorEastAsia" w:hAnsiTheme="minorEastAsia" w:eastAsiaTheme="minorEastAsia"/>
          <w:sz w:val="24"/>
        </w:rPr>
      </w:pPr>
    </w:p>
    <w:p>
      <w:pPr>
        <w:spacing w:line="360" w:lineRule="auto"/>
      </w:pPr>
      <w:r>
        <w:rPr>
          <w:rFonts w:hint="eastAsia"/>
        </w:rPr>
        <w:t>注：①请扫描上传合同、证书、报告及其他相关证明材料的原件</w:t>
      </w:r>
      <w:r>
        <w:rPr>
          <w:rFonts w:hint="eastAsia"/>
          <w:lang w:val="en-US" w:eastAsia="zh-CN"/>
        </w:rPr>
        <w:t>扫描件</w:t>
      </w:r>
      <w:r>
        <w:rPr>
          <w:rFonts w:hint="eastAsia"/>
        </w:rPr>
        <w:t>至投标文件，并加盖公章。</w:t>
      </w: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w:t>
      </w:r>
      <w:r>
        <w:rPr>
          <w:rFonts w:hint="eastAsia" w:ascii="宋体" w:hAnsi="宋体" w:cs="宋体"/>
          <w:sz w:val="24"/>
          <w:lang w:eastAsia="zh-CN"/>
        </w:rPr>
        <w:t>“</w:t>
      </w:r>
      <w:r>
        <w:rPr>
          <w:rFonts w:hint="eastAsia" w:ascii="宋体" w:hAnsi="宋体" w:cs="宋体"/>
          <w:sz w:val="24"/>
        </w:rPr>
        <w:t>政采云平台</w:t>
      </w:r>
      <w:r>
        <w:rPr>
          <w:rFonts w:hint="eastAsia" w:ascii="宋体" w:hAnsi="宋体" w:cs="宋体"/>
          <w:sz w:val="24"/>
          <w:lang w:eastAsia="zh-CN"/>
        </w:rPr>
        <w:t>”</w:t>
      </w:r>
      <w:r>
        <w:rPr>
          <w:rFonts w:hint="eastAsia" w:ascii="宋体" w:hAnsi="宋体" w:cs="宋体"/>
          <w:sz w:val="24"/>
        </w:rPr>
        <w:t>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hAnsi="宋体" w:cs="宋体"/>
          <w:b/>
          <w:bCs/>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评标委员会各成员应当独立对每个投标人的投标文件进行评价，并汇总每个投标人的得分。</w:t>
      </w:r>
    </w:p>
    <w:p>
      <w:pPr>
        <w:spacing w:line="360" w:lineRule="auto"/>
        <w:ind w:firstLine="480" w:firstLineChars="200"/>
        <w:rPr>
          <w:rFonts w:ascii="宋体" w:hAnsi="宋体" w:cs="宋体"/>
          <w:sz w:val="24"/>
          <w:lang w:val="zh-CN"/>
        </w:rPr>
      </w:pPr>
      <w:r>
        <w:rPr>
          <w:rFonts w:hint="eastAsia" w:ascii="宋体" w:hAnsi="宋体" w:cs="宋体"/>
          <w:sz w:val="24"/>
        </w:rPr>
        <w:t>1.评标结果按评审后综合得分由高到低顺序排列。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提供相同品牌产品的，</w:t>
      </w:r>
      <w:r>
        <w:rPr>
          <w:rFonts w:hint="eastAsia" w:ascii="宋体" w:hAnsi="宋体" w:cs="宋体"/>
          <w:sz w:val="24"/>
        </w:rPr>
        <w:t>参照《政府采购货物和服务招标投标管理办法》（第87号令）第三十一条有关规定执行</w:t>
      </w:r>
      <w:r>
        <w:rPr>
          <w:rFonts w:hint="eastAsia" w:ascii="宋体" w:hAnsi="宋体" w:cs="宋体"/>
          <w:sz w:val="24"/>
          <w:lang w:val="zh-CN"/>
        </w:rPr>
        <w:t>。</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pPr>
        <w:pStyle w:val="19"/>
        <w:spacing w:before="0" w:beforeAutospacing="0" w:after="0" w:afterAutospacing="0" w:line="360" w:lineRule="auto"/>
        <w:jc w:val="both"/>
        <w:rPr>
          <w:rFonts w:hint="default" w:asciiTheme="minorEastAsia" w:hAnsiTheme="minorEastAsia" w:eastAsiaTheme="minorEastAsia"/>
          <w:b/>
          <w:bCs/>
        </w:rPr>
      </w:pPr>
    </w:p>
    <w:p>
      <w:pPr>
        <w:rPr>
          <w:rFonts w:hint="default" w:asciiTheme="minorEastAsia" w:hAnsiTheme="minorEastAsia" w:eastAsiaTheme="minorEastAsia"/>
          <w:b/>
          <w:bCs/>
        </w:rPr>
      </w:pPr>
      <w:r>
        <w:rPr>
          <w:rFonts w:hint="default" w:asciiTheme="minorEastAsia" w:hAnsiTheme="minorEastAsia" w:eastAsiaTheme="minorEastAsia"/>
          <w:b/>
          <w:bCs/>
        </w:rPr>
        <w:br w:type="page"/>
      </w:r>
    </w:p>
    <w:p>
      <w:pPr>
        <w:pStyle w:val="19"/>
        <w:spacing w:before="0" w:beforeAutospacing="0" w:after="0" w:afterAutospacing="0" w:line="360" w:lineRule="auto"/>
        <w:ind w:firstLine="482" w:firstLineChars="200"/>
        <w:jc w:val="both"/>
        <w:rPr>
          <w:rFonts w:hint="default" w:asciiTheme="minorEastAsia" w:hAnsiTheme="minorEastAsia" w:eastAsiaTheme="minorEastAsia"/>
          <w:b/>
          <w:bCs/>
        </w:rPr>
      </w:pPr>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第五章 拟签订的合同文本</w:t>
      </w:r>
    </w:p>
    <w:p>
      <w:pPr>
        <w:widowControl/>
        <w:shd w:val="clear" w:color="auto" w:fill="FFFFFF"/>
        <w:spacing w:line="360" w:lineRule="auto"/>
        <w:ind w:firstLine="480" w:firstLineChars="200"/>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w:t>
      </w:r>
      <w:r>
        <w:rPr>
          <w:rFonts w:hint="eastAsia" w:ascii="宋体" w:hAnsi="宋体"/>
          <w:sz w:val="24"/>
        </w:rPr>
        <w:t>中标人</w:t>
      </w:r>
      <w:r>
        <w:rPr>
          <w:rFonts w:ascii="宋体" w:hAnsi="宋体"/>
          <w:sz w:val="24"/>
        </w:rPr>
        <w:t>不得提出实质性的修改，关于专用条款将由采购人与</w:t>
      </w:r>
      <w:r>
        <w:rPr>
          <w:rFonts w:hint="eastAsia" w:ascii="宋体" w:hAnsi="宋体"/>
          <w:sz w:val="24"/>
        </w:rPr>
        <w:t>中标人</w:t>
      </w:r>
      <w:r>
        <w:rPr>
          <w:rFonts w:ascii="宋体" w:hAnsi="宋体"/>
          <w:sz w:val="24"/>
        </w:rPr>
        <w:t>结合本项目具体情况协商后签订。</w:t>
      </w:r>
    </w:p>
    <w:p>
      <w:pPr>
        <w:pStyle w:val="13"/>
        <w:snapToGrid w:val="0"/>
        <w:spacing w:line="360" w:lineRule="auto"/>
        <w:rPr>
          <w:rFonts w:hAnsi="宋体"/>
          <w:sz w:val="24"/>
        </w:rPr>
      </w:pPr>
      <w:r>
        <w:rPr>
          <w:rFonts w:hAnsi="宋体"/>
          <w:sz w:val="24"/>
        </w:rPr>
        <w:t>项目名称：                                项目编号：</w:t>
      </w:r>
    </w:p>
    <w:p>
      <w:pPr>
        <w:pStyle w:val="13"/>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13"/>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widowControl/>
        <w:shd w:val="clear" w:color="auto" w:fill="FFFFFF"/>
        <w:spacing w:line="360" w:lineRule="auto"/>
        <w:ind w:firstLine="480" w:firstLineChars="200"/>
        <w:rPr>
          <w:rFonts w:ascii="宋体" w:hAnsi="宋体"/>
          <w:sz w:val="24"/>
        </w:rPr>
      </w:pPr>
      <w:r>
        <w:rPr>
          <w:rFonts w:ascii="宋体" w:hAnsi="宋体"/>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宋体" w:hAnsi="宋体"/>
          <w:sz w:val="24"/>
        </w:rPr>
        <w:t>关于</w:t>
      </w:r>
      <w:r>
        <w:rPr>
          <w:rFonts w:hint="eastAsia" w:cs="Arial" w:asciiTheme="minorEastAsia" w:hAnsiTheme="minorEastAsia" w:eastAsiaTheme="minorEastAsia"/>
          <w:sz w:val="24"/>
        </w:rPr>
        <w:t>××</w:t>
      </w:r>
      <w:r>
        <w:rPr>
          <w:rFonts w:ascii="宋体" w:hAnsi="宋体"/>
          <w:sz w:val="24"/>
        </w:rPr>
        <w:t>项目</w:t>
      </w:r>
      <w:r>
        <w:rPr>
          <w:rFonts w:hint="eastAsia" w:ascii="宋体" w:hAnsi="宋体"/>
          <w:sz w:val="24"/>
        </w:rPr>
        <w:t>公开招标</w:t>
      </w:r>
      <w:r>
        <w:rPr>
          <w:rFonts w:ascii="宋体" w:hAnsi="宋体"/>
          <w:sz w:val="24"/>
        </w:rPr>
        <w:t>的结果，签署本合同。</w:t>
      </w:r>
    </w:p>
    <w:p>
      <w:pPr>
        <w:spacing w:line="360" w:lineRule="auto"/>
        <w:ind w:firstLine="482" w:firstLineChars="200"/>
        <w:rPr>
          <w:rFonts w:ascii="宋体"/>
          <w:sz w:val="24"/>
          <w:lang w:val="zh-CN"/>
        </w:rPr>
      </w:pPr>
      <w:r>
        <w:rPr>
          <w:rFonts w:hint="eastAsia" w:ascii="宋体"/>
          <w:b/>
          <w:bCs/>
          <w:sz w:val="24"/>
          <w:lang w:val="zh-CN"/>
        </w:rPr>
        <w:t>一、合同文件</w:t>
      </w:r>
      <w:r>
        <w:rPr>
          <w:rFonts w:hint="eastAsia" w:ascii="宋体"/>
          <w:sz w:val="24"/>
          <w:lang w:val="zh-CN"/>
        </w:rPr>
        <w:t xml:space="preserve"> </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13"/>
        <w:snapToGrid w:val="0"/>
        <w:spacing w:line="360" w:lineRule="auto"/>
        <w:ind w:firstLine="480" w:firstLineChars="200"/>
        <w:rPr>
          <w:rFonts w:hAnsi="宋体"/>
          <w:b/>
          <w:sz w:val="24"/>
        </w:rPr>
      </w:pPr>
      <w:r>
        <w:rPr>
          <w:rFonts w:hint="eastAsia"/>
          <w:sz w:val="24"/>
          <w:lang w:val="zh-CN"/>
        </w:rPr>
        <w:t>上述所指合同文件应认为是互相补充和解释的，但是有模棱两可或互相矛盾之处，以其所列内容顺序为准。</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b/>
          <w:sz w:val="24"/>
        </w:rPr>
        <w:t>二</w:t>
      </w:r>
      <w:r>
        <w:rPr>
          <w:rFonts w:ascii="宋体" w:hAnsi="宋体"/>
          <w:b/>
          <w:sz w:val="24"/>
        </w:rPr>
        <w:t>、</w:t>
      </w:r>
      <w:r>
        <w:rPr>
          <w:rFonts w:ascii="宋体" w:hAnsi="宋体" w:cs="Arial"/>
          <w:b/>
          <w:kern w:val="0"/>
          <w:sz w:val="24"/>
        </w:rPr>
        <w:t>合同内容及服务标准</w:t>
      </w:r>
    </w:p>
    <w:p>
      <w:pPr>
        <w:widowControl/>
        <w:shd w:val="clear" w:color="auto" w:fill="FFFFFF"/>
        <w:spacing w:line="360" w:lineRule="auto"/>
        <w:ind w:firstLine="480" w:firstLineChars="200"/>
        <w:rPr>
          <w:rFonts w:ascii="宋体" w:hAnsi="宋体" w:cs="Arial"/>
          <w:kern w:val="0"/>
          <w:sz w:val="24"/>
        </w:rPr>
      </w:pPr>
      <w:r>
        <w:rPr>
          <w:rFonts w:ascii="宋体" w:hAnsi="宋体" w:cs="Arial"/>
          <w:kern w:val="0"/>
          <w:sz w:val="24"/>
        </w:rPr>
        <w:t>（具体见项目需求）</w:t>
      </w:r>
    </w:p>
    <w:p>
      <w:pPr>
        <w:pStyle w:val="13"/>
        <w:snapToGrid w:val="0"/>
        <w:spacing w:line="360" w:lineRule="auto"/>
        <w:ind w:firstLine="482" w:firstLineChars="200"/>
        <w:rPr>
          <w:rFonts w:hAnsi="宋体"/>
          <w:b/>
          <w:sz w:val="24"/>
        </w:rPr>
      </w:pPr>
      <w:r>
        <w:rPr>
          <w:rFonts w:hint="eastAsia" w:hAnsi="宋体"/>
          <w:b/>
          <w:sz w:val="24"/>
        </w:rPr>
        <w:t>三</w:t>
      </w:r>
      <w:r>
        <w:rPr>
          <w:rFonts w:hAnsi="宋体"/>
          <w:b/>
          <w:sz w:val="24"/>
        </w:rPr>
        <w:t>、合同金额</w:t>
      </w:r>
    </w:p>
    <w:p>
      <w:pPr>
        <w:pStyle w:val="13"/>
        <w:snapToGrid w:val="0"/>
        <w:spacing w:line="360" w:lineRule="auto"/>
        <w:ind w:firstLine="480" w:firstLineChars="200"/>
        <w:rPr>
          <w:rFonts w:hAnsi="宋体"/>
          <w:sz w:val="24"/>
        </w:rPr>
      </w:pPr>
      <w:r>
        <w:rPr>
          <w:rFonts w:hAnsi="宋体"/>
          <w:sz w:val="24"/>
        </w:rPr>
        <w:t>本合同金额为（大写）：___________________元（￥_______________元）人民币。</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cs="Arial"/>
          <w:b/>
          <w:kern w:val="0"/>
          <w:sz w:val="24"/>
        </w:rPr>
        <w:t>四</w:t>
      </w:r>
      <w:r>
        <w:rPr>
          <w:rFonts w:ascii="宋体" w:hAnsi="宋体" w:cs="Arial"/>
          <w:b/>
          <w:kern w:val="0"/>
          <w:sz w:val="24"/>
        </w:rPr>
        <w:t>、甲乙双方责任</w:t>
      </w:r>
    </w:p>
    <w:p>
      <w:pPr>
        <w:pStyle w:val="19"/>
        <w:shd w:val="clear" w:color="auto" w:fill="FFFFFF"/>
        <w:spacing w:before="0" w:beforeAutospacing="0" w:after="0" w:afterAutospacing="0" w:line="360" w:lineRule="auto"/>
        <w:ind w:firstLine="480" w:firstLineChars="200"/>
        <w:jc w:val="both"/>
        <w:rPr>
          <w:rFonts w:hint="default" w:cs="Arial"/>
        </w:rPr>
      </w:pPr>
      <w:r>
        <w:rPr>
          <w:rFonts w:cs="Arial"/>
        </w:rPr>
        <w:t>（一）甲方责任</w:t>
      </w:r>
    </w:p>
    <w:p>
      <w:pPr>
        <w:pStyle w:val="19"/>
        <w:shd w:val="clear" w:color="auto" w:fill="FFFFFF"/>
        <w:spacing w:before="0" w:beforeAutospacing="0" w:after="0" w:afterAutospacing="0" w:line="360" w:lineRule="auto"/>
        <w:ind w:firstLine="480" w:firstLineChars="200"/>
        <w:jc w:val="both"/>
        <w:rPr>
          <w:rFonts w:hint="default" w:cs="Arial"/>
        </w:rPr>
      </w:pPr>
      <w:r>
        <w:rPr>
          <w:rFonts w:cs="Arial"/>
        </w:rPr>
        <w:t>（根据招标结果确定）</w:t>
      </w:r>
    </w:p>
    <w:p>
      <w:pPr>
        <w:pStyle w:val="19"/>
        <w:shd w:val="clear" w:color="auto" w:fill="FFFFFF"/>
        <w:spacing w:before="0" w:beforeAutospacing="0" w:after="0" w:afterAutospacing="0" w:line="360" w:lineRule="auto"/>
        <w:ind w:firstLine="480" w:firstLineChars="200"/>
        <w:jc w:val="both"/>
        <w:rPr>
          <w:rFonts w:hint="default" w:cs="Arial"/>
        </w:rPr>
      </w:pPr>
      <w:r>
        <w:rPr>
          <w:rFonts w:cs="Arial"/>
        </w:rPr>
        <w:t>（二）乙方责任</w:t>
      </w:r>
    </w:p>
    <w:p>
      <w:pPr>
        <w:pStyle w:val="19"/>
        <w:shd w:val="clear" w:color="auto" w:fill="FFFFFF"/>
        <w:spacing w:before="0" w:beforeAutospacing="0" w:after="0" w:afterAutospacing="0" w:line="360" w:lineRule="auto"/>
        <w:ind w:firstLine="480" w:firstLineChars="200"/>
        <w:jc w:val="both"/>
        <w:rPr>
          <w:rFonts w:hint="default" w:cs="Arial"/>
        </w:rPr>
      </w:pPr>
      <w:r>
        <w:t>（根据招标结果确定）</w:t>
      </w:r>
    </w:p>
    <w:p>
      <w:pPr>
        <w:pStyle w:val="13"/>
        <w:snapToGrid w:val="0"/>
        <w:spacing w:line="360" w:lineRule="auto"/>
        <w:ind w:firstLine="482" w:firstLineChars="200"/>
        <w:rPr>
          <w:rFonts w:hAnsi="宋体"/>
          <w:b/>
          <w:sz w:val="24"/>
        </w:rPr>
      </w:pPr>
      <w:r>
        <w:rPr>
          <w:rFonts w:hint="eastAsia" w:hAnsi="宋体"/>
          <w:b/>
          <w:sz w:val="24"/>
        </w:rPr>
        <w:t>五</w:t>
      </w:r>
      <w:r>
        <w:rPr>
          <w:rFonts w:hAnsi="宋体"/>
          <w:b/>
          <w:sz w:val="24"/>
        </w:rPr>
        <w:t>、技术资料</w:t>
      </w:r>
    </w:p>
    <w:p>
      <w:pPr>
        <w:pStyle w:val="13"/>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乙方应按招标文件规定的时间向甲方提供有关技术资料。</w:t>
      </w:r>
    </w:p>
    <w:p>
      <w:pPr>
        <w:pStyle w:val="13"/>
        <w:snapToGrid w:val="0"/>
        <w:spacing w:line="360" w:lineRule="auto"/>
        <w:ind w:firstLine="480" w:firstLineChars="200"/>
        <w:rPr>
          <w:rFonts w:hAnsi="宋体"/>
          <w:sz w:val="24"/>
        </w:rPr>
      </w:pPr>
      <w:r>
        <w:rPr>
          <w:rFonts w:hint="eastAsia" w:hAnsi="宋体"/>
          <w:sz w:val="24"/>
        </w:rPr>
        <w:t>（二）</w:t>
      </w:r>
      <w:r>
        <w:rPr>
          <w:rFonts w:hAnsi="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3"/>
        <w:snapToGrid w:val="0"/>
        <w:spacing w:line="360" w:lineRule="auto"/>
        <w:ind w:firstLine="482" w:firstLineChars="200"/>
        <w:rPr>
          <w:rFonts w:hAnsi="宋体"/>
          <w:b/>
          <w:sz w:val="24"/>
        </w:rPr>
      </w:pPr>
      <w:r>
        <w:rPr>
          <w:rFonts w:hint="eastAsia" w:hAnsi="宋体"/>
          <w:b/>
          <w:sz w:val="24"/>
        </w:rPr>
        <w:t>六</w:t>
      </w:r>
      <w:r>
        <w:rPr>
          <w:rFonts w:hAnsi="宋体"/>
          <w:b/>
          <w:sz w:val="24"/>
        </w:rPr>
        <w:t>、知识产权</w:t>
      </w:r>
    </w:p>
    <w:p>
      <w:pPr>
        <w:pStyle w:val="13"/>
        <w:snapToGrid w:val="0"/>
        <w:spacing w:line="360" w:lineRule="auto"/>
        <w:ind w:firstLine="480" w:firstLineChars="200"/>
        <w:rPr>
          <w:rFonts w:hAnsi="宋体"/>
          <w:sz w:val="24"/>
        </w:rPr>
      </w:pPr>
      <w:r>
        <w:rPr>
          <w:rFonts w:hint="eastAsia" w:hAnsi="宋体"/>
          <w:sz w:val="24"/>
        </w:rPr>
        <w:t>（一）</w:t>
      </w:r>
      <w:r>
        <w:rPr>
          <w:rFonts w:hAnsi="宋体"/>
          <w:sz w:val="24"/>
        </w:rPr>
        <w:t>乙方应保证提供服务过程中不会侵犯任何第三方的知识产权。</w:t>
      </w:r>
    </w:p>
    <w:p>
      <w:pPr>
        <w:pStyle w:val="13"/>
        <w:snapToGrid w:val="0"/>
        <w:spacing w:line="360" w:lineRule="auto"/>
        <w:ind w:firstLine="480" w:firstLineChars="200"/>
        <w:rPr>
          <w:rFonts w:hAnsi="宋体"/>
          <w:sz w:val="24"/>
        </w:rPr>
      </w:pPr>
      <w:r>
        <w:rPr>
          <w:rFonts w:hint="eastAsia" w:hAnsi="宋体"/>
          <w:sz w:val="24"/>
        </w:rPr>
        <w:t>（二）</w:t>
      </w:r>
      <w:r>
        <w:rPr>
          <w:rFonts w:hint="eastAsia" w:hAnsi="宋体"/>
          <w:sz w:val="24"/>
          <w:lang w:val="en-US" w:eastAsia="zh-CN"/>
        </w:rPr>
        <w:t>若侵犯，由乙方赔偿甲方因此遭受的损失（包括但不限于应对及追偿过程中所支付的律师费、差旅费、诉讼费、保全费、鉴定费、评估费等）。</w:t>
      </w:r>
    </w:p>
    <w:p>
      <w:pPr>
        <w:pStyle w:val="13"/>
        <w:snapToGrid w:val="0"/>
        <w:spacing w:line="360" w:lineRule="auto"/>
        <w:ind w:firstLine="482" w:firstLineChars="200"/>
        <w:rPr>
          <w:rFonts w:hAnsi="宋体"/>
          <w:b/>
          <w:sz w:val="24"/>
        </w:rPr>
      </w:pPr>
      <w:r>
        <w:rPr>
          <w:rFonts w:hint="eastAsia" w:hAnsi="宋体"/>
          <w:b/>
          <w:sz w:val="24"/>
        </w:rPr>
        <w:t>七</w:t>
      </w:r>
      <w:r>
        <w:rPr>
          <w:rFonts w:hAnsi="宋体"/>
          <w:b/>
          <w:sz w:val="24"/>
        </w:rPr>
        <w:t>、履约保证金</w:t>
      </w:r>
    </w:p>
    <w:p>
      <w:pPr>
        <w:tabs>
          <w:tab w:val="left" w:pos="1418"/>
        </w:tabs>
        <w:autoSpaceDE w:val="0"/>
        <w:autoSpaceDN w:val="0"/>
        <w:adjustRightInd w:val="0"/>
        <w:spacing w:line="360" w:lineRule="auto"/>
        <w:ind w:firstLine="480" w:firstLineChars="200"/>
        <w:rPr>
          <w:rFonts w:ascii="宋体" w:hAnsi="宋体" w:cstheme="minorBidi"/>
          <w:sz w:val="24"/>
        </w:rPr>
      </w:pPr>
      <w:r>
        <w:rPr>
          <w:rFonts w:hint="eastAsia" w:ascii="宋体" w:hAnsi="宋体" w:cstheme="minorBidi"/>
          <w:sz w:val="24"/>
        </w:rPr>
        <w:t>本项目履约保证金为合同金额的</w:t>
      </w:r>
      <w:r>
        <w:rPr>
          <w:rFonts w:ascii="宋体" w:hAnsi="宋体" w:cstheme="minorBidi"/>
          <w:sz w:val="24"/>
        </w:rPr>
        <w:t>____</w:t>
      </w:r>
      <w:r>
        <w:rPr>
          <w:rFonts w:hint="eastAsia" w:ascii="宋体" w:hAnsi="宋体" w:cstheme="minorBidi"/>
          <w:sz w:val="24"/>
        </w:rPr>
        <w:t>%</w:t>
      </w:r>
      <w:r>
        <w:rPr>
          <w:rFonts w:hint="eastAsia" w:ascii="宋体" w:hAnsi="宋体" w:cstheme="minorBidi"/>
          <w:sz w:val="24"/>
          <w:lang w:eastAsia="zh-CN"/>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交至采购人处，服务期</w:t>
      </w:r>
      <w:r>
        <w:rPr>
          <w:rFonts w:hint="eastAsia" w:asciiTheme="minorEastAsia" w:hAnsiTheme="minorEastAsia" w:eastAsiaTheme="minorEastAsia" w:cstheme="minorBidi"/>
          <w:sz w:val="24"/>
        </w:rPr>
        <w:t>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zh-CN"/>
        </w:rPr>
        <w:t>无息退还]</w:t>
      </w:r>
    </w:p>
    <w:p>
      <w:pPr>
        <w:snapToGrid w:val="0"/>
        <w:spacing w:line="360" w:lineRule="auto"/>
        <w:ind w:firstLine="482" w:firstLineChars="200"/>
        <w:rPr>
          <w:rFonts w:ascii="宋体" w:hAnsi="宋体"/>
          <w:b/>
          <w:sz w:val="24"/>
        </w:rPr>
      </w:pPr>
      <w:r>
        <w:rPr>
          <w:rFonts w:hint="eastAsia" w:ascii="宋体" w:hAnsi="宋体"/>
          <w:b/>
          <w:sz w:val="24"/>
        </w:rPr>
        <w:t>八、转包或分包</w:t>
      </w:r>
    </w:p>
    <w:p>
      <w:pPr>
        <w:snapToGrid w:val="0"/>
        <w:spacing w:line="360" w:lineRule="auto"/>
        <w:ind w:firstLine="480" w:firstLineChars="200"/>
        <w:rPr>
          <w:rFonts w:ascii="宋体" w:hAnsi="宋体"/>
          <w:sz w:val="24"/>
        </w:rPr>
      </w:pPr>
      <w:r>
        <w:rPr>
          <w:rFonts w:hint="eastAsia" w:hAnsi="宋体"/>
          <w:sz w:val="24"/>
        </w:rPr>
        <w:t>（一）</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pPr>
        <w:snapToGrid w:val="0"/>
        <w:spacing w:line="360" w:lineRule="auto"/>
        <w:ind w:firstLine="480" w:firstLineChars="200"/>
        <w:rPr>
          <w:rFonts w:ascii="宋体" w:hAnsi="宋体"/>
          <w:sz w:val="24"/>
        </w:rPr>
      </w:pPr>
      <w:r>
        <w:rPr>
          <w:rFonts w:hint="eastAsia" w:hAnsi="宋体"/>
          <w:sz w:val="24"/>
        </w:rPr>
        <w:t>（二）</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pPr>
        <w:snapToGrid w:val="0"/>
        <w:spacing w:line="360" w:lineRule="auto"/>
        <w:ind w:firstLine="480" w:firstLineChars="200"/>
        <w:rPr>
          <w:rFonts w:ascii="宋体" w:hAnsi="宋体"/>
          <w:sz w:val="24"/>
        </w:rPr>
      </w:pPr>
      <w:r>
        <w:rPr>
          <w:rFonts w:hint="eastAsia" w:hAnsi="宋体"/>
          <w:sz w:val="24"/>
        </w:rPr>
        <w:t>（三）</w:t>
      </w:r>
      <w:r>
        <w:rPr>
          <w:rFonts w:hint="eastAsia" w:ascii="宋体" w:hAnsi="宋体"/>
          <w:sz w:val="24"/>
        </w:rPr>
        <w:t>如有转让和未经甲方同意的分包行为，甲方有权解除合同，没收履约保证金并追究乙方的违约责任。</w:t>
      </w:r>
    </w:p>
    <w:p>
      <w:pPr>
        <w:pStyle w:val="13"/>
        <w:snapToGrid w:val="0"/>
        <w:spacing w:line="360" w:lineRule="auto"/>
        <w:ind w:firstLine="482" w:firstLineChars="200"/>
        <w:rPr>
          <w:rFonts w:hAnsi="宋体"/>
          <w:sz w:val="24"/>
        </w:rPr>
      </w:pPr>
      <w:r>
        <w:rPr>
          <w:rFonts w:hint="eastAsia" w:hAnsi="宋体"/>
          <w:b/>
          <w:sz w:val="24"/>
        </w:rPr>
        <w:t>九</w:t>
      </w:r>
      <w:r>
        <w:rPr>
          <w:rFonts w:hAnsi="宋体"/>
          <w:b/>
          <w:sz w:val="24"/>
        </w:rPr>
        <w:t>、服务期 (选用)</w:t>
      </w:r>
    </w:p>
    <w:p>
      <w:pPr>
        <w:pStyle w:val="13"/>
        <w:snapToGrid w:val="0"/>
        <w:spacing w:line="360" w:lineRule="auto"/>
        <w:ind w:firstLine="480" w:firstLineChars="200"/>
        <w:rPr>
          <w:rFonts w:hAnsi="宋体"/>
          <w:sz w:val="24"/>
        </w:rPr>
      </w:pPr>
      <w:r>
        <w:rPr>
          <w:rFonts w:hint="eastAsia" w:hAnsi="宋体"/>
          <w:sz w:val="24"/>
        </w:rPr>
        <w:t>（一）</w:t>
      </w:r>
      <w:r>
        <w:rPr>
          <w:rFonts w:hAnsi="宋体"/>
          <w:sz w:val="24"/>
        </w:rPr>
        <w:t>服务期</w:t>
      </w:r>
      <w:r>
        <w:rPr>
          <w:rFonts w:hAnsi="宋体"/>
          <w:sz w:val="24"/>
          <w:u w:val="single"/>
        </w:rPr>
        <w:t xml:space="preserve">      </w:t>
      </w:r>
      <w:r>
        <w:rPr>
          <w:rFonts w:hAnsi="宋体"/>
          <w:sz w:val="24"/>
        </w:rPr>
        <w:t>年。（自</w:t>
      </w:r>
      <w:r>
        <w:rPr>
          <w:rFonts w:hint="eastAsia" w:hAnsi="宋体"/>
          <w:sz w:val="24"/>
        </w:rPr>
        <w:t>合同签订之日</w:t>
      </w:r>
      <w:r>
        <w:rPr>
          <w:rFonts w:hAnsi="宋体"/>
          <w:sz w:val="24"/>
        </w:rPr>
        <w:t>起计）</w:t>
      </w:r>
    </w:p>
    <w:p>
      <w:pPr>
        <w:pStyle w:val="13"/>
        <w:snapToGrid w:val="0"/>
        <w:spacing w:line="360" w:lineRule="auto"/>
        <w:ind w:firstLine="482" w:firstLineChars="200"/>
        <w:rPr>
          <w:rFonts w:hAnsi="宋体"/>
          <w:b/>
          <w:sz w:val="24"/>
        </w:rPr>
      </w:pPr>
      <w:r>
        <w:rPr>
          <w:rFonts w:hint="eastAsia" w:hAnsi="宋体"/>
          <w:b/>
          <w:sz w:val="24"/>
        </w:rPr>
        <w:t>十</w:t>
      </w:r>
      <w:r>
        <w:rPr>
          <w:rFonts w:hAnsi="宋体"/>
          <w:b/>
          <w:sz w:val="24"/>
        </w:rPr>
        <w:t>、合同履行时间、履行方式及履行地点</w:t>
      </w:r>
    </w:p>
    <w:p>
      <w:pPr>
        <w:pStyle w:val="13"/>
        <w:snapToGrid w:val="0"/>
        <w:spacing w:line="360" w:lineRule="auto"/>
        <w:ind w:firstLine="480" w:firstLineChars="200"/>
        <w:rPr>
          <w:rFonts w:hAnsi="宋体"/>
          <w:bCs/>
          <w:sz w:val="24"/>
        </w:rPr>
      </w:pPr>
      <w:r>
        <w:rPr>
          <w:rFonts w:hint="eastAsia" w:hAnsi="宋体"/>
          <w:sz w:val="24"/>
        </w:rPr>
        <w:t>（一）</w:t>
      </w:r>
      <w:r>
        <w:rPr>
          <w:rFonts w:hAnsi="宋体"/>
          <w:sz w:val="24"/>
        </w:rPr>
        <w:t>履行时间</w:t>
      </w:r>
      <w:r>
        <w:rPr>
          <w:rFonts w:hAnsi="宋体"/>
          <w:bCs/>
          <w:sz w:val="24"/>
        </w:rPr>
        <w:t>：</w:t>
      </w:r>
    </w:p>
    <w:p>
      <w:pPr>
        <w:pStyle w:val="13"/>
        <w:snapToGrid w:val="0"/>
        <w:spacing w:line="360" w:lineRule="auto"/>
        <w:ind w:firstLine="480" w:firstLineChars="200"/>
        <w:rPr>
          <w:rFonts w:hAnsi="宋体"/>
          <w:bCs/>
          <w:sz w:val="24"/>
        </w:rPr>
      </w:pPr>
      <w:r>
        <w:rPr>
          <w:rFonts w:hint="eastAsia" w:hAnsi="宋体"/>
          <w:sz w:val="24"/>
        </w:rPr>
        <w:t>（二）</w:t>
      </w:r>
      <w:r>
        <w:rPr>
          <w:rFonts w:hAnsi="宋体"/>
          <w:sz w:val="24"/>
        </w:rPr>
        <w:t>履行方式</w:t>
      </w:r>
      <w:r>
        <w:rPr>
          <w:rFonts w:hAnsi="宋体"/>
          <w:bCs/>
          <w:sz w:val="24"/>
        </w:rPr>
        <w:t>：</w:t>
      </w:r>
    </w:p>
    <w:p>
      <w:pPr>
        <w:pStyle w:val="13"/>
        <w:snapToGrid w:val="0"/>
        <w:spacing w:line="360" w:lineRule="auto"/>
        <w:ind w:firstLine="480" w:firstLineChars="200"/>
        <w:rPr>
          <w:rFonts w:hAnsi="宋体"/>
          <w:sz w:val="24"/>
        </w:rPr>
      </w:pPr>
      <w:r>
        <w:rPr>
          <w:rFonts w:hint="eastAsia" w:hAnsi="宋体"/>
          <w:sz w:val="24"/>
        </w:rPr>
        <w:t>（三）</w:t>
      </w:r>
      <w:r>
        <w:rPr>
          <w:rFonts w:hAnsi="宋体"/>
          <w:sz w:val="24"/>
        </w:rPr>
        <w:t>履行地点</w:t>
      </w:r>
      <w:r>
        <w:rPr>
          <w:rFonts w:hAnsi="宋体"/>
          <w:bCs/>
          <w:sz w:val="24"/>
        </w:rPr>
        <w:t>：</w:t>
      </w:r>
    </w:p>
    <w:p>
      <w:pPr>
        <w:pStyle w:val="13"/>
        <w:snapToGrid w:val="0"/>
        <w:spacing w:line="360" w:lineRule="auto"/>
        <w:ind w:firstLine="482" w:firstLineChars="200"/>
        <w:rPr>
          <w:rFonts w:hAnsi="宋体"/>
          <w:b/>
          <w:sz w:val="24"/>
        </w:rPr>
      </w:pPr>
      <w:r>
        <w:rPr>
          <w:rFonts w:hint="eastAsia" w:hAnsi="宋体"/>
          <w:b/>
          <w:sz w:val="24"/>
        </w:rPr>
        <w:t>十一</w:t>
      </w:r>
      <w:r>
        <w:rPr>
          <w:rFonts w:hAnsi="宋体"/>
          <w:b/>
          <w:sz w:val="24"/>
        </w:rPr>
        <w:t>、款项支付</w:t>
      </w:r>
    </w:p>
    <w:p>
      <w:pPr>
        <w:pStyle w:val="13"/>
        <w:snapToGrid w:val="0"/>
        <w:spacing w:line="360" w:lineRule="auto"/>
        <w:ind w:firstLine="480" w:firstLineChars="200"/>
        <w:rPr>
          <w:rFonts w:hAnsi="宋体"/>
          <w:bCs/>
          <w:sz w:val="24"/>
        </w:rPr>
      </w:pPr>
      <w:r>
        <w:rPr>
          <w:rFonts w:hAnsi="宋体"/>
          <w:bCs/>
          <w:sz w:val="24"/>
        </w:rPr>
        <w:t xml:space="preserve"> 付款方式：</w:t>
      </w:r>
    </w:p>
    <w:p>
      <w:pPr>
        <w:snapToGrid w:val="0"/>
        <w:spacing w:line="360" w:lineRule="auto"/>
        <w:ind w:firstLine="482" w:firstLineChars="200"/>
        <w:rPr>
          <w:rFonts w:ascii="宋体" w:hAnsi="宋体"/>
          <w:b/>
          <w:sz w:val="24"/>
        </w:rPr>
      </w:pPr>
      <w:r>
        <w:rPr>
          <w:rFonts w:hint="eastAsia" w:ascii="宋体" w:hAnsi="宋体"/>
          <w:b/>
          <w:sz w:val="24"/>
        </w:rPr>
        <w:t>十二、税费</w:t>
      </w:r>
    </w:p>
    <w:p>
      <w:pPr>
        <w:snapToGrid w:val="0"/>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pPr>
        <w:pStyle w:val="13"/>
        <w:snapToGrid w:val="0"/>
        <w:spacing w:line="360" w:lineRule="auto"/>
        <w:ind w:firstLine="482" w:firstLineChars="200"/>
        <w:rPr>
          <w:rFonts w:hAnsi="宋体"/>
          <w:sz w:val="24"/>
        </w:rPr>
      </w:pPr>
      <w:r>
        <w:rPr>
          <w:rFonts w:hAnsi="宋体"/>
          <w:b/>
          <w:sz w:val="24"/>
        </w:rPr>
        <w:t>十</w:t>
      </w:r>
      <w:r>
        <w:rPr>
          <w:rFonts w:hint="eastAsia" w:hAnsi="宋体"/>
          <w:b/>
          <w:sz w:val="24"/>
        </w:rPr>
        <w:t>三</w:t>
      </w:r>
      <w:r>
        <w:rPr>
          <w:rFonts w:hAnsi="宋体"/>
          <w:b/>
          <w:sz w:val="24"/>
        </w:rPr>
        <w:t>、质量保证及后续服务</w:t>
      </w:r>
    </w:p>
    <w:p>
      <w:pPr>
        <w:pStyle w:val="13"/>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乙方应按招标文件规定向甲方提供服务。</w:t>
      </w:r>
    </w:p>
    <w:p>
      <w:pPr>
        <w:pStyle w:val="13"/>
        <w:snapToGrid w:val="0"/>
        <w:spacing w:line="360" w:lineRule="auto"/>
        <w:ind w:firstLine="480" w:firstLineChars="200"/>
        <w:rPr>
          <w:rFonts w:hAnsi="宋体"/>
          <w:sz w:val="24"/>
        </w:rPr>
      </w:pPr>
      <w:r>
        <w:rPr>
          <w:rFonts w:hint="eastAsia" w:hAnsi="宋体"/>
          <w:sz w:val="24"/>
        </w:rPr>
        <w:t>（二）</w:t>
      </w:r>
      <w:r>
        <w:rPr>
          <w:rFonts w:hAnsi="宋体"/>
          <w:sz w:val="24"/>
        </w:rPr>
        <w:t>乙方提供的服务达不到</w:t>
      </w:r>
      <w:r>
        <w:rPr>
          <w:rFonts w:hint="eastAsia" w:hAnsi="宋体"/>
          <w:sz w:val="24"/>
        </w:rPr>
        <w:t>合同文件</w:t>
      </w:r>
      <w:r>
        <w:rPr>
          <w:rFonts w:hAnsi="宋体"/>
          <w:sz w:val="24"/>
        </w:rPr>
        <w:t>要求</w:t>
      </w:r>
      <w:r>
        <w:rPr>
          <w:rFonts w:hint="eastAsia" w:hAnsi="宋体"/>
          <w:sz w:val="24"/>
        </w:rPr>
        <w:t>的</w:t>
      </w:r>
      <w:r>
        <w:rPr>
          <w:rFonts w:hAnsi="宋体"/>
          <w:sz w:val="24"/>
        </w:rPr>
        <w:t>，根据实际情况，经双方协商，可按以下办法处理：</w:t>
      </w:r>
    </w:p>
    <w:p>
      <w:pPr>
        <w:pStyle w:val="13"/>
        <w:snapToGrid w:val="0"/>
        <w:spacing w:line="360" w:lineRule="auto"/>
        <w:ind w:firstLine="480" w:firstLineChars="200"/>
        <w:rPr>
          <w:rFonts w:hAnsi="宋体"/>
          <w:sz w:val="24"/>
        </w:rPr>
      </w:pPr>
      <w:r>
        <w:rPr>
          <w:rFonts w:hint="eastAsia" w:hAnsi="宋体"/>
          <w:sz w:val="24"/>
        </w:rPr>
        <w:t>1.赔偿</w:t>
      </w:r>
      <w:r>
        <w:rPr>
          <w:rFonts w:hAnsi="宋体"/>
          <w:sz w:val="24"/>
        </w:rPr>
        <w:t>处理</w:t>
      </w:r>
      <w:r>
        <w:rPr>
          <w:rFonts w:hint="eastAsia" w:hAnsi="宋体"/>
          <w:sz w:val="24"/>
        </w:rPr>
        <w:t>；</w:t>
      </w:r>
    </w:p>
    <w:p>
      <w:pPr>
        <w:pStyle w:val="13"/>
        <w:snapToGrid w:val="0"/>
        <w:spacing w:line="360" w:lineRule="auto"/>
        <w:ind w:firstLine="480" w:firstLineChars="200"/>
        <w:rPr>
          <w:rFonts w:hAnsi="宋体"/>
          <w:sz w:val="24"/>
        </w:rPr>
      </w:pPr>
      <w:r>
        <w:rPr>
          <w:rFonts w:hint="eastAsia" w:hAnsi="宋体"/>
          <w:sz w:val="24"/>
        </w:rPr>
        <w:t>2.</w:t>
      </w:r>
      <w:r>
        <w:rPr>
          <w:rFonts w:hAnsi="宋体"/>
          <w:sz w:val="24"/>
        </w:rPr>
        <w:t>解除合同。</w:t>
      </w:r>
    </w:p>
    <w:p>
      <w:pPr>
        <w:pStyle w:val="13"/>
        <w:snapToGrid w:val="0"/>
        <w:spacing w:line="360" w:lineRule="auto"/>
        <w:ind w:firstLine="480" w:firstLineChars="200"/>
        <w:rPr>
          <w:rFonts w:hAnsi="宋体"/>
          <w:sz w:val="24"/>
        </w:rPr>
      </w:pPr>
      <w:r>
        <w:rPr>
          <w:rFonts w:hint="eastAsia" w:hAnsi="宋体"/>
          <w:sz w:val="24"/>
        </w:rPr>
        <w:t>（三）</w:t>
      </w:r>
      <w:r>
        <w:rPr>
          <w:rFonts w:hAnsi="宋体"/>
          <w:sz w:val="24"/>
        </w:rPr>
        <w:t>如在使用过程中发生问题，乙方在接到甲方通知后在</w:t>
      </w:r>
      <w:r>
        <w:rPr>
          <w:rFonts w:hint="eastAsia" w:hAnsi="宋体"/>
          <w:sz w:val="24"/>
          <w:u w:val="single"/>
        </w:rPr>
        <w:t xml:space="preserve">   </w:t>
      </w:r>
      <w:r>
        <w:rPr>
          <w:rFonts w:hAnsi="宋体"/>
          <w:sz w:val="24"/>
        </w:rPr>
        <w:t>小时内到达甲方现场。</w:t>
      </w:r>
    </w:p>
    <w:p>
      <w:pPr>
        <w:pStyle w:val="13"/>
        <w:snapToGrid w:val="0"/>
        <w:spacing w:line="360" w:lineRule="auto"/>
        <w:ind w:firstLine="480" w:firstLineChars="200"/>
        <w:rPr>
          <w:rFonts w:hAnsi="宋体"/>
          <w:sz w:val="24"/>
        </w:rPr>
      </w:pPr>
      <w:r>
        <w:rPr>
          <w:rFonts w:hint="eastAsia" w:hAnsi="宋体"/>
          <w:sz w:val="24"/>
        </w:rPr>
        <w:t>（四）</w:t>
      </w:r>
      <w:r>
        <w:rPr>
          <w:rFonts w:hAnsi="宋体"/>
          <w:sz w:val="24"/>
        </w:rPr>
        <w:t>在服务期内，乙方应对出现的质量及安全问题负责处理解决并承担一切费用。</w:t>
      </w:r>
    </w:p>
    <w:p>
      <w:pPr>
        <w:pStyle w:val="13"/>
        <w:snapToGrid w:val="0"/>
        <w:spacing w:line="360" w:lineRule="auto"/>
        <w:ind w:firstLine="482" w:firstLineChars="200"/>
        <w:rPr>
          <w:rFonts w:hAnsi="宋体"/>
          <w:b/>
          <w:sz w:val="24"/>
        </w:rPr>
      </w:pPr>
      <w:r>
        <w:rPr>
          <w:rFonts w:hAnsi="宋体"/>
          <w:b/>
          <w:sz w:val="24"/>
        </w:rPr>
        <w:t>十</w:t>
      </w:r>
      <w:r>
        <w:rPr>
          <w:rFonts w:hint="eastAsia" w:hAnsi="宋体"/>
          <w:b/>
          <w:sz w:val="24"/>
        </w:rPr>
        <w:t>四</w:t>
      </w:r>
      <w:r>
        <w:rPr>
          <w:rFonts w:hAnsi="宋体"/>
          <w:b/>
          <w:sz w:val="24"/>
        </w:rPr>
        <w:t>、违约责任</w:t>
      </w:r>
    </w:p>
    <w:p>
      <w:pPr>
        <w:pStyle w:val="13"/>
        <w:snapToGrid w:val="0"/>
        <w:spacing w:line="360" w:lineRule="auto"/>
        <w:ind w:firstLine="480" w:firstLineChars="200"/>
        <w:rPr>
          <w:rFonts w:hAnsi="宋体"/>
          <w:sz w:val="24"/>
        </w:rPr>
      </w:pPr>
      <w:r>
        <w:rPr>
          <w:rFonts w:hint="eastAsia" w:hAnsi="宋体"/>
          <w:sz w:val="24"/>
        </w:rPr>
        <w:t>（一）</w:t>
      </w: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pPr>
        <w:pStyle w:val="13"/>
        <w:snapToGrid w:val="0"/>
        <w:spacing w:line="360" w:lineRule="auto"/>
        <w:ind w:firstLine="480" w:firstLineChars="200"/>
        <w:rPr>
          <w:rFonts w:hAnsi="宋体"/>
          <w:sz w:val="24"/>
        </w:rPr>
      </w:pPr>
      <w:r>
        <w:rPr>
          <w:rFonts w:hint="eastAsia" w:hAnsi="宋体"/>
          <w:sz w:val="24"/>
        </w:rPr>
        <w:t>（二）</w:t>
      </w:r>
      <w:r>
        <w:rPr>
          <w:rFonts w:hAnsi="宋体"/>
          <w:sz w:val="24"/>
        </w:rPr>
        <w:t>甲方无故逾期验收和办理款项支付手续的,甲方应按逾期付款总额</w:t>
      </w:r>
      <w:r>
        <w:rPr>
          <w:rFonts w:hAnsi="宋体"/>
          <w:sz w:val="24"/>
          <w:u w:val="single"/>
        </w:rPr>
        <w:t>每日万分之五</w:t>
      </w:r>
      <w:r>
        <w:rPr>
          <w:rFonts w:hAnsi="宋体"/>
          <w:sz w:val="24"/>
        </w:rPr>
        <w:t>向乙方支付违约金。</w:t>
      </w:r>
    </w:p>
    <w:p>
      <w:pPr>
        <w:pStyle w:val="13"/>
        <w:snapToGrid w:val="0"/>
        <w:spacing w:line="360" w:lineRule="auto"/>
        <w:ind w:firstLine="480" w:firstLineChars="200"/>
        <w:rPr>
          <w:rFonts w:hAnsi="宋体"/>
          <w:sz w:val="24"/>
        </w:rPr>
      </w:pPr>
      <w:r>
        <w:rPr>
          <w:rFonts w:hint="eastAsia" w:hAnsi="宋体"/>
          <w:sz w:val="24"/>
        </w:rPr>
        <w:t>（三）</w:t>
      </w:r>
      <w:r>
        <w:rPr>
          <w:rFonts w:hAnsi="宋体"/>
          <w:sz w:val="24"/>
        </w:rPr>
        <w:t>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违约金。乙方超过约定日期____个工作日</w:t>
      </w:r>
      <w:r>
        <w:rPr>
          <w:rFonts w:hint="eastAsia" w:hAnsi="宋体"/>
          <w:sz w:val="24"/>
        </w:rPr>
        <w:t>仍</w:t>
      </w:r>
      <w:r>
        <w:rPr>
          <w:rFonts w:hAnsi="宋体"/>
          <w:sz w:val="24"/>
        </w:rPr>
        <w:t>不能</w:t>
      </w:r>
      <w:r>
        <w:rPr>
          <w:rFonts w:hint="eastAsia" w:hAnsi="宋体"/>
          <w:sz w:val="24"/>
        </w:rPr>
        <w:t>提供服务</w:t>
      </w:r>
      <w:r>
        <w:rPr>
          <w:rFonts w:hAnsi="宋体"/>
          <w:sz w:val="24"/>
        </w:rPr>
        <w:t>的，甲方可解除本合同。乙方因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pPr>
        <w:pStyle w:val="13"/>
        <w:snapToGrid w:val="0"/>
        <w:spacing w:line="360" w:lineRule="auto"/>
        <w:ind w:firstLine="482" w:firstLineChars="200"/>
        <w:rPr>
          <w:rFonts w:hAnsi="宋体"/>
          <w:b/>
          <w:sz w:val="24"/>
        </w:rPr>
      </w:pPr>
      <w:r>
        <w:rPr>
          <w:rFonts w:hAnsi="宋体"/>
          <w:b/>
          <w:sz w:val="24"/>
        </w:rPr>
        <w:t>十</w:t>
      </w:r>
      <w:r>
        <w:rPr>
          <w:rFonts w:hint="eastAsia" w:hAnsi="宋体"/>
          <w:b/>
          <w:sz w:val="24"/>
        </w:rPr>
        <w:t>五</w:t>
      </w:r>
      <w:r>
        <w:rPr>
          <w:rFonts w:hAnsi="宋体"/>
          <w:b/>
          <w:sz w:val="24"/>
        </w:rPr>
        <w:t>、不可抗力事件处理</w:t>
      </w:r>
    </w:p>
    <w:p>
      <w:pPr>
        <w:pStyle w:val="13"/>
        <w:snapToGrid w:val="0"/>
        <w:spacing w:line="360" w:lineRule="auto"/>
        <w:ind w:firstLine="480" w:firstLineChars="200"/>
        <w:rPr>
          <w:rFonts w:hAnsi="宋体"/>
          <w:sz w:val="24"/>
        </w:rPr>
      </w:pPr>
      <w:r>
        <w:rPr>
          <w:rFonts w:hint="eastAsia" w:hAnsi="宋体"/>
          <w:sz w:val="24"/>
        </w:rPr>
        <w:t>（一）</w:t>
      </w:r>
      <w:r>
        <w:rPr>
          <w:rFonts w:hAnsi="宋体"/>
          <w:sz w:val="24"/>
        </w:rPr>
        <w:t>在合同有效期内，任何一方因不可抗力事件导致不能履行合同，则合同履行期可延长，其延长期与不可抗力影响期相同。</w:t>
      </w:r>
    </w:p>
    <w:p>
      <w:pPr>
        <w:pStyle w:val="13"/>
        <w:snapToGrid w:val="0"/>
        <w:spacing w:line="360" w:lineRule="auto"/>
        <w:ind w:firstLine="480" w:firstLineChars="200"/>
        <w:rPr>
          <w:rFonts w:hAnsi="宋体"/>
          <w:sz w:val="24"/>
        </w:rPr>
      </w:pPr>
      <w:r>
        <w:rPr>
          <w:rFonts w:hint="eastAsia" w:hAnsi="宋体"/>
          <w:sz w:val="24"/>
        </w:rPr>
        <w:t>（二）</w:t>
      </w:r>
      <w:r>
        <w:rPr>
          <w:rFonts w:hAnsi="宋体"/>
          <w:sz w:val="24"/>
        </w:rPr>
        <w:t>不可抗力事件发生后，应立即通知对方，并寄送有关权威机构出具的证明。</w:t>
      </w:r>
    </w:p>
    <w:p>
      <w:pPr>
        <w:pStyle w:val="13"/>
        <w:snapToGrid w:val="0"/>
        <w:spacing w:line="360" w:lineRule="auto"/>
        <w:ind w:firstLine="480" w:firstLineChars="200"/>
        <w:rPr>
          <w:rFonts w:hAnsi="宋体"/>
          <w:sz w:val="24"/>
        </w:rPr>
      </w:pPr>
      <w:r>
        <w:rPr>
          <w:rFonts w:hint="eastAsia" w:hAnsi="宋体"/>
          <w:sz w:val="24"/>
        </w:rPr>
        <w:t>（三）</w:t>
      </w:r>
      <w:r>
        <w:rPr>
          <w:rFonts w:hAnsi="宋体"/>
          <w:sz w:val="24"/>
        </w:rPr>
        <w:t>不可抗力事件延续120天以上，双方应通过友好协商，确定是否继续履行合同。</w:t>
      </w:r>
    </w:p>
    <w:p>
      <w:pPr>
        <w:pStyle w:val="13"/>
        <w:snapToGrid w:val="0"/>
        <w:spacing w:line="360" w:lineRule="auto"/>
        <w:ind w:firstLine="482" w:firstLineChars="200"/>
        <w:rPr>
          <w:rFonts w:hAnsi="宋体"/>
          <w:b/>
          <w:sz w:val="24"/>
        </w:rPr>
      </w:pPr>
      <w:r>
        <w:rPr>
          <w:rFonts w:hAnsi="宋体"/>
          <w:b/>
          <w:sz w:val="24"/>
        </w:rPr>
        <w:t>十</w:t>
      </w:r>
      <w:r>
        <w:rPr>
          <w:rFonts w:hint="eastAsia" w:hAnsi="宋体"/>
          <w:b/>
          <w:sz w:val="24"/>
        </w:rPr>
        <w:t>六</w:t>
      </w:r>
      <w:r>
        <w:rPr>
          <w:rFonts w:hAnsi="宋体"/>
          <w:b/>
          <w:sz w:val="24"/>
        </w:rPr>
        <w:t>、</w:t>
      </w:r>
      <w:r>
        <w:rPr>
          <w:rFonts w:hint="eastAsia" w:asciiTheme="minorEastAsia" w:hAnsiTheme="minorEastAsia" w:eastAsiaTheme="minorEastAsia"/>
          <w:b/>
          <w:sz w:val="24"/>
        </w:rPr>
        <w:t>解决争议的方法</w:t>
      </w:r>
    </w:p>
    <w:p>
      <w:pPr>
        <w:pStyle w:val="13"/>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如双方在履行合同时发生纠纷，应协商解决；协商不成时，可提请政府采购管理部门调解；调解不成的通过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widowControl/>
        <w:spacing w:line="360" w:lineRule="auto"/>
        <w:ind w:firstLine="480" w:firstLineChars="200"/>
        <w:rPr>
          <w:rFonts w:hAnsi="宋体" w:cs="宋体"/>
          <w:kern w:val="0"/>
          <w:sz w:val="24"/>
        </w:rPr>
      </w:pPr>
      <w:r>
        <w:rPr>
          <w:rFonts w:hint="eastAsia" w:ascii="宋体" w:hAnsi="宋体" w:cs="宋体"/>
          <w:kern w:val="0"/>
          <w:sz w:val="24"/>
        </w:rPr>
        <w:t>（二）</w:t>
      </w:r>
      <w:r>
        <w:rPr>
          <w:rFonts w:ascii="宋体" w:hAnsi="宋体" w:cs="宋体"/>
          <w:kern w:val="0"/>
          <w:sz w:val="24"/>
        </w:rPr>
        <w:t xml:space="preserve">依法向人民法院提起诉讼。 </w:t>
      </w:r>
    </w:p>
    <w:p>
      <w:pPr>
        <w:pStyle w:val="13"/>
        <w:snapToGrid w:val="0"/>
        <w:spacing w:line="360" w:lineRule="auto"/>
        <w:ind w:firstLine="482" w:firstLineChars="200"/>
        <w:rPr>
          <w:rFonts w:hAnsi="宋体"/>
          <w:b/>
          <w:sz w:val="24"/>
        </w:rPr>
      </w:pPr>
      <w:r>
        <w:rPr>
          <w:rFonts w:hAnsi="宋体"/>
          <w:b/>
          <w:sz w:val="24"/>
        </w:rPr>
        <w:t>十</w:t>
      </w:r>
      <w:r>
        <w:rPr>
          <w:rFonts w:hint="eastAsia" w:hAnsi="宋体"/>
          <w:b/>
          <w:sz w:val="24"/>
        </w:rPr>
        <w:t>七</w:t>
      </w:r>
      <w:r>
        <w:rPr>
          <w:rFonts w:hAnsi="宋体"/>
          <w:b/>
          <w:sz w:val="24"/>
        </w:rPr>
        <w:t>、合同生效及其它</w:t>
      </w:r>
    </w:p>
    <w:p>
      <w:pPr>
        <w:pStyle w:val="13"/>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一</w:t>
      </w:r>
      <w:r>
        <w:rPr>
          <w:rFonts w:hAnsi="宋体" w:cs="宋体"/>
          <w:kern w:val="0"/>
          <w:sz w:val="24"/>
        </w:rPr>
        <w:t>）</w:t>
      </w:r>
      <w:r>
        <w:rPr>
          <w:rFonts w:hAnsi="宋体"/>
          <w:sz w:val="24"/>
        </w:rPr>
        <w:t>合同经双方法定代表人或授权代表</w:t>
      </w:r>
      <w:r>
        <w:rPr>
          <w:rFonts w:hint="eastAsia" w:hAnsi="宋体"/>
          <w:sz w:val="24"/>
        </w:rPr>
        <w:t>签字</w:t>
      </w:r>
      <w:r>
        <w:rPr>
          <w:rFonts w:hAnsi="宋体"/>
          <w:sz w:val="24"/>
        </w:rPr>
        <w:t>并加盖单位公章后生效。</w:t>
      </w:r>
    </w:p>
    <w:p>
      <w:pPr>
        <w:pStyle w:val="13"/>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二</w:t>
      </w:r>
      <w:r>
        <w:rPr>
          <w:rFonts w:hAnsi="宋体" w:cs="宋体"/>
          <w:kern w:val="0"/>
          <w:sz w:val="24"/>
        </w:rPr>
        <w:t>）</w:t>
      </w:r>
      <w:r>
        <w:rPr>
          <w:rFonts w:hAnsi="宋体"/>
          <w:sz w:val="24"/>
        </w:rPr>
        <w:t>本合同未尽事宜，遵照《</w:t>
      </w:r>
      <w:r>
        <w:rPr>
          <w:rFonts w:hint="eastAsia" w:hAnsi="宋体"/>
          <w:sz w:val="24"/>
        </w:rPr>
        <w:t>中华人民共和国民法典</w:t>
      </w:r>
      <w:r>
        <w:rPr>
          <w:rFonts w:hAnsi="宋体"/>
          <w:sz w:val="24"/>
        </w:rPr>
        <w:t>》有关条文执行。</w:t>
      </w:r>
    </w:p>
    <w:p>
      <w:pPr>
        <w:widowControl/>
        <w:spacing w:line="360" w:lineRule="auto"/>
        <w:ind w:firstLine="480" w:firstLineChars="200"/>
        <w:rPr>
          <w:rFonts w:ascii="宋体" w:hAnsi="宋体" w:cstheme="minorBidi"/>
          <w:sz w:val="24"/>
        </w:rPr>
      </w:pPr>
      <w:r>
        <w:rPr>
          <w:rFonts w:hAnsi="宋体" w:cs="宋体"/>
          <w:kern w:val="0"/>
          <w:sz w:val="24"/>
        </w:rPr>
        <w:t>（</w:t>
      </w:r>
      <w:r>
        <w:rPr>
          <w:rFonts w:hint="eastAsia" w:hAnsi="宋体" w:cs="宋体"/>
          <w:kern w:val="0"/>
          <w:sz w:val="24"/>
        </w:rPr>
        <w:t>三</w:t>
      </w:r>
      <w:r>
        <w:rPr>
          <w:rFonts w:hAnsi="宋体" w:cs="宋体"/>
          <w:kern w:val="0"/>
          <w:sz w:val="24"/>
        </w:rPr>
        <w:t>）</w:t>
      </w:r>
      <w:r>
        <w:rPr>
          <w:rFonts w:hint="eastAsia" w:ascii="宋体" w:hAnsi="宋体" w:cstheme="minorBidi"/>
          <w:sz w:val="24"/>
        </w:rPr>
        <w:t>本合同一式两份。甲、乙双方各执一份。本项目未尽事宜以招标文件、投标文件及澄清文件等为准。</w:t>
      </w:r>
    </w:p>
    <w:p>
      <w:pPr>
        <w:widowControl/>
        <w:spacing w:line="360" w:lineRule="auto"/>
        <w:rPr>
          <w:rFonts w:ascii="宋体" w:hAnsi="宋体"/>
          <w:kern w:val="0"/>
          <w:sz w:val="24"/>
        </w:rPr>
      </w:pPr>
    </w:p>
    <w:p>
      <w:pPr>
        <w:widowControl/>
        <w:spacing w:line="360" w:lineRule="auto"/>
        <w:rPr>
          <w:rFonts w:ascii="宋体" w:hAnsi="宋体"/>
          <w:b/>
          <w:sz w:val="24"/>
        </w:rPr>
      </w:pPr>
    </w:p>
    <w:p>
      <w:pPr>
        <w:spacing w:line="360" w:lineRule="auto"/>
        <w:rPr>
          <w:rFonts w:ascii="宋体" w:hAnsi="宋体"/>
          <w:sz w:val="24"/>
        </w:rPr>
      </w:pPr>
      <w:r>
        <w:rPr>
          <w:rFonts w:hint="eastAsia" w:ascii="宋体" w:hAnsi="宋体"/>
          <w:sz w:val="24"/>
        </w:rPr>
        <w:t>甲方（盖章）                                     乙方（盖章）</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联系电话：                                       联系电话：</w:t>
      </w:r>
    </w:p>
    <w:p>
      <w:pPr>
        <w:spacing w:line="360" w:lineRule="auto"/>
        <w:rPr>
          <w:rFonts w:ascii="宋体" w:hAnsi="宋体"/>
          <w:sz w:val="24"/>
        </w:rPr>
      </w:pPr>
      <w:r>
        <w:rPr>
          <w:rFonts w:hint="eastAsia" w:ascii="宋体" w:hAnsi="宋体"/>
          <w:sz w:val="24"/>
        </w:rPr>
        <w:t>开户银行：                                       开户银行：</w:t>
      </w:r>
    </w:p>
    <w:p>
      <w:pPr>
        <w:spacing w:line="360" w:lineRule="auto"/>
        <w:rPr>
          <w:rFonts w:ascii="宋体" w:hAnsi="宋体"/>
          <w:sz w:val="24"/>
        </w:rPr>
      </w:pPr>
      <w:r>
        <w:rPr>
          <w:rFonts w:hint="eastAsia" w:ascii="宋体" w:hAnsi="宋体"/>
          <w:sz w:val="24"/>
        </w:rPr>
        <w:t>账号：                                           账号：</w:t>
      </w:r>
    </w:p>
    <w:p>
      <w:pPr>
        <w:spacing w:line="360" w:lineRule="auto"/>
        <w:rPr>
          <w:rFonts w:ascii="宋体" w:hAnsi="宋体"/>
          <w:sz w:val="24"/>
        </w:rPr>
      </w:pPr>
      <w:r>
        <w:rPr>
          <w:rFonts w:hint="eastAsia" w:ascii="宋体" w:hAnsi="宋体"/>
          <w:sz w:val="24"/>
        </w:rPr>
        <w:t>地址及邮编：                                     地址及邮编：</w:t>
      </w:r>
    </w:p>
    <w:p>
      <w:pPr>
        <w:spacing w:line="360" w:lineRule="auto"/>
        <w:rPr>
          <w:rFonts w:ascii="宋体" w:hAnsi="宋体"/>
          <w:sz w:val="24"/>
        </w:rPr>
      </w:pPr>
    </w:p>
    <w:p>
      <w:pPr>
        <w:spacing w:line="360" w:lineRule="auto"/>
        <w:ind w:firstLine="4920" w:firstLineChars="2050"/>
        <w:rPr>
          <w:rFonts w:ascii="宋体" w:hAnsi="宋体"/>
          <w:sz w:val="24"/>
        </w:rPr>
      </w:pPr>
      <w:r>
        <w:rPr>
          <w:rFonts w:hint="eastAsia" w:ascii="宋体" w:hAnsi="宋体"/>
          <w:sz w:val="24"/>
        </w:rPr>
        <w:t>签订时间：    年   月    日</w:t>
      </w:r>
    </w:p>
    <w:p>
      <w:pPr>
        <w:autoSpaceDE w:val="0"/>
        <w:autoSpaceDN w:val="0"/>
        <w:adjustRightInd w:val="0"/>
        <w:spacing w:line="360" w:lineRule="auto"/>
        <w:rPr>
          <w:rFonts w:ascii="宋体" w:hAnsi="宋体"/>
          <w:b/>
          <w:kern w:val="0"/>
          <w:sz w:val="30"/>
        </w:rPr>
      </w:pPr>
    </w:p>
    <w:p>
      <w:pPr>
        <w:spacing w:line="360" w:lineRule="auto"/>
        <w:rPr>
          <w:rFonts w:asciiTheme="minorEastAsia" w:hAnsiTheme="minorEastAsia" w:eastAsiaTheme="minorEastAsia"/>
          <w:sz w:val="24"/>
        </w:rPr>
      </w:pPr>
    </w:p>
    <w:p>
      <w:pPr>
        <w:spacing w:line="360" w:lineRule="auto"/>
        <w:jc w:val="center"/>
        <w:rPr>
          <w:rFonts w:asciiTheme="majorEastAsia" w:hAnsiTheme="majorEastAsia" w:eastAsiaTheme="majorEastAsia"/>
          <w:b/>
          <w:sz w:val="36"/>
        </w:rPr>
      </w:pPr>
      <w:r>
        <w:rPr>
          <w:rFonts w:hint="eastAsia" w:asciiTheme="majorEastAsia" w:hAnsiTheme="majorEastAsia" w:eastAsiaTheme="majorEastAsia"/>
          <w:b/>
          <w:sz w:val="36"/>
        </w:rPr>
        <w:t>专用条款</w:t>
      </w:r>
    </w:p>
    <w:p>
      <w:pPr>
        <w:spacing w:line="360" w:lineRule="auto"/>
        <w:jc w:val="left"/>
        <w:rPr>
          <w:rFonts w:asciiTheme="majorEastAsia" w:hAnsiTheme="majorEastAsia" w:eastAsiaTheme="majorEastAsia"/>
          <w:sz w:val="28"/>
          <w:szCs w:val="28"/>
        </w:rPr>
      </w:pPr>
      <w:r>
        <w:rPr>
          <w:rFonts w:hint="eastAsia" w:asciiTheme="majorEastAsia" w:hAnsiTheme="majorEastAsia" w:eastAsiaTheme="majorEastAsia"/>
          <w:sz w:val="36"/>
        </w:rPr>
        <w:t>（</w:t>
      </w: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sz w:val="36"/>
          <w:szCs w:val="36"/>
        </w:rPr>
      </w:pPr>
      <w:bookmarkStart w:id="52" w:name="_Toc5481_WPSOffice_Level1"/>
      <w:r>
        <w:rPr>
          <w:rFonts w:hint="eastAsia" w:asciiTheme="minorEastAsia" w:hAnsiTheme="minorEastAsia" w:eastAsiaTheme="minorEastAsia"/>
          <w:b/>
          <w:sz w:val="36"/>
          <w:szCs w:val="36"/>
        </w:rPr>
        <w:t>第六章 投标文件格式</w:t>
      </w:r>
      <w:bookmarkEnd w:id="52"/>
    </w:p>
    <w:p>
      <w:pPr>
        <w:rPr>
          <w:rFonts w:hint="eastAsia" w:ascii="宋体" w:hAnsi="宋体"/>
          <w:b/>
          <w:sz w:val="30"/>
          <w:szCs w:val="30"/>
        </w:rPr>
      </w:pPr>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53" w:name="_Toc4956_WPSOffice_Level1"/>
      <w:bookmarkStart w:id="54" w:name="_Toc19093_WPSOffice_Level1"/>
      <w:bookmarkStart w:id="55" w:name="_Toc32372_WPSOffice_Level1"/>
      <w:r>
        <w:rPr>
          <w:rFonts w:hint="eastAsia"/>
          <w:sz w:val="52"/>
          <w:szCs w:val="52"/>
        </w:rPr>
        <w:t>项目名称</w:t>
      </w:r>
      <w:bookmarkEnd w:id="53"/>
      <w:bookmarkEnd w:id="54"/>
      <w:bookmarkEnd w:id="55"/>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1"/>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21"/>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pStyle w:val="8"/>
        <w:rPr>
          <w:rFonts w:ascii="仿宋_GB2312" w:hAnsi="宋体" w:eastAsia="仿宋_GB2312"/>
          <w:b/>
          <w:sz w:val="36"/>
          <w:szCs w:val="36"/>
        </w:rPr>
      </w:pPr>
    </w:p>
    <w:p>
      <w:pPr>
        <w:pStyle w:val="8"/>
        <w:rPr>
          <w:rFonts w:ascii="仿宋_GB2312" w:hAnsi="宋体" w:eastAsia="仿宋_GB2312"/>
          <w:b/>
          <w:sz w:val="36"/>
          <w:szCs w:val="36"/>
        </w:rPr>
      </w:pPr>
    </w:p>
    <w:p>
      <w:pPr>
        <w:pStyle w:val="8"/>
        <w:rPr>
          <w:rFonts w:ascii="仿宋_GB2312" w:hAnsi="宋体" w:eastAsia="仿宋_GB2312"/>
          <w:b/>
          <w:sz w:val="36"/>
          <w:szCs w:val="36"/>
        </w:rPr>
      </w:pPr>
    </w:p>
    <w:p>
      <w:pPr>
        <w:pStyle w:val="8"/>
        <w:rPr>
          <w:rFonts w:ascii="仿宋_GB2312" w:hAnsi="宋体" w:eastAsia="仿宋_GB2312"/>
          <w:b/>
          <w:sz w:val="36"/>
          <w:szCs w:val="36"/>
        </w:rPr>
      </w:pPr>
    </w:p>
    <w:p>
      <w:pPr>
        <w:spacing w:line="360" w:lineRule="auto"/>
        <w:jc w:val="center"/>
        <w:rPr>
          <w:b/>
          <w:bCs/>
          <w:sz w:val="32"/>
          <w:szCs w:val="40"/>
        </w:rPr>
      </w:pPr>
    </w:p>
    <w:p>
      <w:pPr>
        <w:spacing w:line="360" w:lineRule="auto"/>
        <w:jc w:val="center"/>
        <w:rPr>
          <w:b/>
          <w:bCs/>
          <w:sz w:val="36"/>
          <w:szCs w:val="36"/>
        </w:rPr>
      </w:pPr>
      <w:r>
        <w:rPr>
          <w:rFonts w:hint="eastAsia"/>
          <w:b/>
          <w:bCs/>
          <w:sz w:val="36"/>
          <w:szCs w:val="36"/>
        </w:rPr>
        <w:t>资格证明文件目录</w:t>
      </w:r>
    </w:p>
    <w:p>
      <w:pPr>
        <w:spacing w:line="360" w:lineRule="auto"/>
        <w:ind w:firstLine="560" w:firstLineChars="200"/>
        <w:rPr>
          <w:sz w:val="28"/>
          <w:szCs w:val="36"/>
        </w:rPr>
      </w:pPr>
    </w:p>
    <w:p>
      <w:pPr>
        <w:numPr>
          <w:ilvl w:val="0"/>
          <w:numId w:val="14"/>
        </w:numPr>
        <w:spacing w:line="360" w:lineRule="auto"/>
        <w:ind w:hanging="5"/>
        <w:rPr>
          <w:sz w:val="28"/>
          <w:szCs w:val="36"/>
        </w:rPr>
      </w:pPr>
      <w:bookmarkStart w:id="56" w:name="_Toc12587_WPSOffice_Level1"/>
      <w:bookmarkStart w:id="57" w:name="_Toc27049_WPSOffice_Level1"/>
      <w:r>
        <w:rPr>
          <w:rFonts w:hint="eastAsia"/>
          <w:sz w:val="28"/>
          <w:szCs w:val="36"/>
        </w:rPr>
        <w:t>投标声明书（附件</w:t>
      </w:r>
      <w:r>
        <w:rPr>
          <w:rFonts w:hint="eastAsia"/>
          <w:sz w:val="28"/>
          <w:szCs w:val="36"/>
          <w:lang w:val="en-US" w:eastAsia="zh-CN"/>
        </w:rPr>
        <w:t>1</w:t>
      </w:r>
      <w:r>
        <w:rPr>
          <w:rFonts w:hint="eastAsia"/>
          <w:sz w:val="28"/>
          <w:szCs w:val="36"/>
        </w:rPr>
        <w:t>）</w:t>
      </w:r>
      <w:bookmarkEnd w:id="56"/>
      <w:bookmarkEnd w:id="57"/>
    </w:p>
    <w:p>
      <w:pPr>
        <w:numPr>
          <w:ilvl w:val="0"/>
          <w:numId w:val="14"/>
        </w:numPr>
        <w:spacing w:line="360" w:lineRule="auto"/>
        <w:ind w:hanging="5"/>
        <w:rPr>
          <w:sz w:val="28"/>
          <w:szCs w:val="36"/>
        </w:rPr>
      </w:pPr>
      <w:bookmarkStart w:id="58" w:name="_Toc25574_WPSOffice_Level1"/>
      <w:bookmarkStart w:id="59" w:name="_Toc28306_WPSOffice_Level1"/>
      <w:r>
        <w:rPr>
          <w:rFonts w:hint="eastAsia"/>
          <w:sz w:val="28"/>
          <w:szCs w:val="36"/>
        </w:rPr>
        <w:t>授权委托书</w:t>
      </w:r>
      <w:r>
        <w:rPr>
          <w:rFonts w:hint="eastAsia"/>
          <w:sz w:val="28"/>
          <w:szCs w:val="36"/>
          <w:lang w:val="en-US" w:eastAsia="zh-CN"/>
        </w:rPr>
        <w:t>或联合体授权委托书</w:t>
      </w:r>
      <w:r>
        <w:rPr>
          <w:rFonts w:hint="eastAsia"/>
          <w:sz w:val="28"/>
          <w:szCs w:val="36"/>
        </w:rPr>
        <w:t>（法定代表人办理投标事宜的，则无需提交授权委托书</w:t>
      </w:r>
      <w:r>
        <w:rPr>
          <w:rFonts w:hint="eastAsia"/>
          <w:sz w:val="28"/>
          <w:szCs w:val="36"/>
          <w:lang w:eastAsia="zh-CN"/>
        </w:rPr>
        <w:t>；</w:t>
      </w:r>
      <w:r>
        <w:rPr>
          <w:rFonts w:hint="eastAsia"/>
          <w:sz w:val="28"/>
          <w:szCs w:val="36"/>
          <w:lang w:val="en-US" w:eastAsia="zh-CN"/>
        </w:rPr>
        <w:t>以联合体形式投标时需提供联合体授权委托书</w:t>
      </w:r>
      <w:r>
        <w:rPr>
          <w:rFonts w:hint="eastAsia"/>
          <w:sz w:val="28"/>
          <w:szCs w:val="36"/>
        </w:rPr>
        <w:t>)（附件</w:t>
      </w:r>
      <w:r>
        <w:rPr>
          <w:rFonts w:hint="eastAsia"/>
          <w:sz w:val="28"/>
          <w:szCs w:val="36"/>
          <w:lang w:val="en-US" w:eastAsia="zh-CN"/>
        </w:rPr>
        <w:t>2-1、附件2-2</w:t>
      </w:r>
      <w:r>
        <w:rPr>
          <w:rFonts w:hint="eastAsia"/>
          <w:sz w:val="28"/>
          <w:szCs w:val="36"/>
        </w:rPr>
        <w:t>）</w:t>
      </w:r>
      <w:bookmarkEnd w:id="58"/>
      <w:bookmarkEnd w:id="59"/>
    </w:p>
    <w:p>
      <w:pPr>
        <w:numPr>
          <w:ilvl w:val="0"/>
          <w:numId w:val="14"/>
        </w:numPr>
        <w:spacing w:line="360" w:lineRule="auto"/>
        <w:ind w:hanging="5"/>
        <w:rPr>
          <w:sz w:val="28"/>
          <w:szCs w:val="36"/>
        </w:rPr>
      </w:pPr>
      <w:r>
        <w:rPr>
          <w:rFonts w:hint="eastAsia" w:ascii="Times New Roman" w:hAnsi="Times New Roman" w:eastAsia="宋体" w:cs="Times New Roman"/>
          <w:sz w:val="28"/>
          <w:szCs w:val="36"/>
        </w:rPr>
        <w:t>联合体共同投标协议书</w:t>
      </w:r>
      <w:r>
        <w:rPr>
          <w:rFonts w:hint="eastAsia"/>
          <w:sz w:val="28"/>
          <w:szCs w:val="36"/>
        </w:rPr>
        <w:t>（</w:t>
      </w:r>
      <w:r>
        <w:rPr>
          <w:rFonts w:hint="eastAsia"/>
          <w:sz w:val="28"/>
          <w:szCs w:val="36"/>
          <w:lang w:val="en-US" w:eastAsia="zh-CN"/>
        </w:rPr>
        <w:t>以</w:t>
      </w:r>
      <w:r>
        <w:rPr>
          <w:rFonts w:hint="eastAsia"/>
          <w:sz w:val="28"/>
          <w:szCs w:val="36"/>
          <w:lang w:eastAsia="zh-CN"/>
        </w:rPr>
        <w:t>联合体</w:t>
      </w:r>
      <w:r>
        <w:rPr>
          <w:rFonts w:hint="eastAsia"/>
          <w:sz w:val="28"/>
          <w:szCs w:val="36"/>
          <w:lang w:val="en-US" w:eastAsia="zh-CN"/>
        </w:rPr>
        <w:t>形式</w:t>
      </w:r>
      <w:r>
        <w:rPr>
          <w:rFonts w:hint="eastAsia"/>
          <w:sz w:val="28"/>
          <w:szCs w:val="36"/>
          <w:lang w:eastAsia="zh-CN"/>
        </w:rPr>
        <w:t>投标时需提供）（</w:t>
      </w:r>
      <w:r>
        <w:rPr>
          <w:rFonts w:hint="eastAsia"/>
          <w:sz w:val="28"/>
          <w:szCs w:val="36"/>
          <w:lang w:val="en-US" w:eastAsia="zh-CN"/>
        </w:rPr>
        <w:t>附件3</w:t>
      </w:r>
      <w:r>
        <w:rPr>
          <w:rFonts w:hint="eastAsia"/>
          <w:sz w:val="28"/>
          <w:szCs w:val="36"/>
        </w:rPr>
        <w:t>）</w:t>
      </w:r>
    </w:p>
    <w:p>
      <w:pPr>
        <w:numPr>
          <w:ilvl w:val="0"/>
          <w:numId w:val="14"/>
        </w:numPr>
        <w:spacing w:line="360" w:lineRule="auto"/>
        <w:ind w:hanging="5"/>
        <w:rPr>
          <w:sz w:val="28"/>
          <w:szCs w:val="36"/>
        </w:rPr>
      </w:pPr>
      <w:bookmarkStart w:id="60" w:name="_Toc29616_WPSOffice_Level1"/>
      <w:bookmarkStart w:id="61" w:name="_Toc32100_WPSOffice_Level1"/>
      <w:r>
        <w:rPr>
          <w:rFonts w:hint="eastAsia"/>
          <w:sz w:val="28"/>
          <w:szCs w:val="36"/>
        </w:rPr>
        <w:t>法人或者其他组织的营业执照等证明文件，自然人的身份证明</w:t>
      </w:r>
      <w:bookmarkEnd w:id="60"/>
      <w:bookmarkEnd w:id="61"/>
    </w:p>
    <w:p>
      <w:pPr>
        <w:numPr>
          <w:ilvl w:val="0"/>
          <w:numId w:val="14"/>
        </w:numPr>
        <w:spacing w:line="360" w:lineRule="auto"/>
        <w:ind w:hanging="5"/>
        <w:rPr>
          <w:sz w:val="28"/>
          <w:szCs w:val="36"/>
        </w:rPr>
      </w:pPr>
      <w:r>
        <w:rPr>
          <w:rFonts w:hint="eastAsia"/>
          <w:sz w:val="28"/>
          <w:szCs w:val="36"/>
        </w:rPr>
        <w:t>符合参与政府采购活动的资格条件并且没有税收缴纳、社会保障等方面的失信记录的承诺函</w:t>
      </w:r>
    </w:p>
    <w:p>
      <w:pPr>
        <w:numPr>
          <w:ilvl w:val="0"/>
          <w:numId w:val="14"/>
        </w:numPr>
        <w:spacing w:line="360" w:lineRule="auto"/>
        <w:ind w:hanging="5"/>
        <w:rPr>
          <w:sz w:val="28"/>
          <w:szCs w:val="36"/>
        </w:rPr>
      </w:pPr>
      <w:bookmarkStart w:id="62" w:name="_Toc2696_WPSOffice_Level1"/>
      <w:bookmarkStart w:id="63" w:name="_Toc30751_WPSOffice_Level1"/>
      <w:r>
        <w:rPr>
          <w:rFonts w:hint="eastAsia"/>
          <w:sz w:val="28"/>
          <w:szCs w:val="36"/>
        </w:rPr>
        <w:t>具备履行合同所必需的设备和专业技术能力的证明材料</w:t>
      </w:r>
      <w:bookmarkEnd w:id="62"/>
      <w:bookmarkEnd w:id="63"/>
    </w:p>
    <w:p>
      <w:pPr>
        <w:numPr>
          <w:ilvl w:val="0"/>
          <w:numId w:val="14"/>
        </w:numPr>
        <w:spacing w:line="360" w:lineRule="auto"/>
        <w:ind w:hanging="5"/>
        <w:rPr>
          <w:sz w:val="28"/>
          <w:szCs w:val="36"/>
        </w:rPr>
      </w:pPr>
      <w:bookmarkStart w:id="64" w:name="_Toc14150_WPSOffice_Level1"/>
      <w:bookmarkStart w:id="65" w:name="_Toc4587_WPSOffice_Level1"/>
      <w:r>
        <w:rPr>
          <w:rFonts w:hint="eastAsia"/>
          <w:sz w:val="28"/>
          <w:szCs w:val="36"/>
        </w:rPr>
        <w:t>本项目要求的特定资质证书</w:t>
      </w:r>
      <w:bookmarkEnd w:id="64"/>
      <w:bookmarkEnd w:id="65"/>
    </w:p>
    <w:p>
      <w:pPr>
        <w:spacing w:line="360" w:lineRule="auto"/>
        <w:rPr>
          <w:rFonts w:ascii="宋体" w:hAnsi="宋体"/>
          <w:b/>
          <w:sz w:val="28"/>
        </w:rPr>
      </w:pPr>
    </w:p>
    <w:p>
      <w:pPr>
        <w:spacing w:line="360" w:lineRule="auto"/>
        <w:ind w:left="420"/>
        <w:rPr>
          <w:rFonts w:ascii="宋体" w:hAnsi="宋体"/>
          <w:b/>
          <w:sz w:val="28"/>
        </w:rPr>
      </w:pPr>
    </w:p>
    <w:p>
      <w:pPr>
        <w:pStyle w:val="28"/>
        <w:rPr>
          <w:rFonts w:ascii="宋体" w:hAnsi="宋体"/>
          <w:b/>
          <w:sz w:val="28"/>
        </w:rPr>
      </w:pPr>
    </w:p>
    <w:p>
      <w:pPr>
        <w:pStyle w:val="28"/>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spacing w:line="360" w:lineRule="auto"/>
        <w:ind w:left="420"/>
        <w:rPr>
          <w:rFonts w:ascii="宋体" w:hAnsi="宋体"/>
          <w:b/>
          <w:sz w:val="28"/>
        </w:rPr>
      </w:pPr>
    </w:p>
    <w:p>
      <w:pPr>
        <w:pStyle w:val="8"/>
        <w:rPr>
          <w:rFonts w:ascii="宋体" w:hAnsi="宋体"/>
          <w:b/>
          <w:sz w:val="28"/>
        </w:rPr>
      </w:pPr>
    </w:p>
    <w:p>
      <w:pPr>
        <w:rPr>
          <w:rFonts w:hint="eastAsia" w:ascii="宋体" w:hAnsi="宋体"/>
          <w:b/>
          <w:sz w:val="28"/>
        </w:rPr>
      </w:pPr>
    </w:p>
    <w:p>
      <w:pPr>
        <w:spacing w:line="312"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1</w:t>
      </w:r>
    </w:p>
    <w:p>
      <w:pPr>
        <w:adjustRightInd w:val="0"/>
        <w:snapToGrid w:val="0"/>
        <w:spacing w:line="312" w:lineRule="auto"/>
        <w:ind w:right="480"/>
        <w:jc w:val="center"/>
        <w:rPr>
          <w:rFonts w:ascii="宋体" w:hAnsi="宋体"/>
          <w:b/>
          <w:kern w:val="0"/>
          <w:sz w:val="32"/>
          <w:szCs w:val="32"/>
          <w:lang w:val="zh-CN"/>
        </w:rPr>
      </w:pPr>
      <w:bookmarkStart w:id="66" w:name="_Toc30723_WPSOffice_Level1"/>
      <w:bookmarkStart w:id="67" w:name="_Toc31708_WPSOffice_Level1"/>
      <w:r>
        <w:rPr>
          <w:rFonts w:hint="eastAsia" w:ascii="宋体" w:hAnsi="宋体"/>
          <w:b/>
          <w:kern w:val="0"/>
          <w:sz w:val="32"/>
          <w:szCs w:val="32"/>
          <w:lang w:val="zh-CN"/>
        </w:rPr>
        <w:t>投标声明书</w:t>
      </w:r>
      <w:bookmarkEnd w:id="66"/>
      <w:bookmarkEnd w:id="67"/>
    </w:p>
    <w:p>
      <w:pPr>
        <w:snapToGrid w:val="0"/>
        <w:spacing w:beforeLines="50" w:after="50" w:line="312"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w:t>
      </w:r>
      <w:r>
        <w:rPr>
          <w:rFonts w:hint="eastAsia" w:asciiTheme="minorEastAsia" w:hAnsiTheme="minorEastAsia" w:eastAsiaTheme="minorEastAsia"/>
          <w:sz w:val="24"/>
        </w:rPr>
        <w:t>采购组织机构名称</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15"/>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15"/>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15"/>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15"/>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15"/>
        </w:numPr>
        <w:snapToGrid w:val="0"/>
        <w:spacing w:line="360" w:lineRule="auto"/>
        <w:ind w:left="5" w:firstLine="415"/>
        <w:rPr>
          <w:rFonts w:ascii="仿宋_GB2312" w:hAnsi="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15"/>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pStyle w:val="21"/>
        <w:ind w:left="0" w:leftChars="0" w:firstLine="0" w:firstLineChars="0"/>
        <w:rPr>
          <w:rFonts w:hint="eastAsia"/>
          <w:lang w:val="en-US" w:eastAsia="zh-CN"/>
        </w:rPr>
      </w:pPr>
    </w:p>
    <w:p>
      <w:pPr>
        <w:pStyle w:val="21"/>
        <w:ind w:left="0" w:leftChars="0" w:firstLine="0" w:firstLineChars="0"/>
        <w:rPr>
          <w:rFonts w:hint="eastAsia"/>
          <w:lang w:val="en-US" w:eastAsia="zh-CN"/>
        </w:rPr>
      </w:pP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left="0" w:leftChars="0"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adjustRightInd w:val="0"/>
        <w:snapToGrid w:val="0"/>
        <w:spacing w:line="360" w:lineRule="auto"/>
        <w:ind w:firstLine="200"/>
        <w:rPr>
          <w:rFonts w:ascii="宋体" w:hAnsi="宋体"/>
          <w:b/>
          <w:sz w:val="28"/>
        </w:rPr>
      </w:pPr>
    </w:p>
    <w:p>
      <w:pPr>
        <w:adjustRightInd w:val="0"/>
        <w:snapToGrid w:val="0"/>
        <w:spacing w:line="360" w:lineRule="auto"/>
        <w:ind w:right="480"/>
        <w:rPr>
          <w:rFonts w:hint="default" w:ascii="宋体" w:eastAsia="宋体"/>
          <w:b/>
          <w:sz w:val="30"/>
          <w:szCs w:val="30"/>
          <w:lang w:val="en-US" w:eastAsia="zh-CN"/>
        </w:rPr>
      </w:pPr>
      <w:r>
        <w:rPr>
          <w:rFonts w:hint="eastAsia" w:ascii="宋体" w:hAnsi="宋体"/>
          <w:b/>
          <w:sz w:val="28"/>
        </w:rPr>
        <w:t>附件</w:t>
      </w:r>
      <w:r>
        <w:rPr>
          <w:rFonts w:hint="eastAsia" w:ascii="宋体" w:hAnsi="宋体"/>
          <w:b/>
          <w:sz w:val="28"/>
          <w:lang w:val="en-US" w:eastAsia="zh-CN"/>
        </w:rPr>
        <w:t>2-1</w:t>
      </w:r>
    </w:p>
    <w:p>
      <w:pPr>
        <w:spacing w:line="360" w:lineRule="auto"/>
        <w:ind w:firstLine="321" w:firstLineChars="100"/>
        <w:jc w:val="center"/>
        <w:rPr>
          <w:rFonts w:hAnsi="宋体"/>
          <w:b/>
          <w:sz w:val="32"/>
          <w:szCs w:val="32"/>
          <w:u w:val="single"/>
        </w:rPr>
      </w:pPr>
      <w:bookmarkStart w:id="68" w:name="_Toc6870_WPSOffice_Level1"/>
      <w:bookmarkStart w:id="69" w:name="_Toc24373_WPSOffice_Level1"/>
      <w:r>
        <w:rPr>
          <w:b/>
          <w:sz w:val="32"/>
          <w:szCs w:val="32"/>
        </w:rPr>
        <w:t>授权</w:t>
      </w:r>
      <w:r>
        <w:rPr>
          <w:rFonts w:hint="eastAsia"/>
          <w:b/>
          <w:sz w:val="32"/>
          <w:szCs w:val="32"/>
        </w:rPr>
        <w:t>委托</w:t>
      </w:r>
      <w:r>
        <w:rPr>
          <w:b/>
          <w:sz w:val="32"/>
          <w:szCs w:val="32"/>
        </w:rPr>
        <w:t>书</w:t>
      </w:r>
      <w:bookmarkEnd w:id="68"/>
      <w:bookmarkEnd w:id="69"/>
    </w:p>
    <w:p>
      <w:pPr>
        <w:snapToGrid w:val="0"/>
        <w:spacing w:beforeLines="50" w:after="50" w:line="360"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p>
    <w:p>
      <w:pPr>
        <w:pStyle w:val="13"/>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3"/>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3"/>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ectPr>
          <w:headerReference r:id="rId8" w:type="first"/>
          <w:footerReference r:id="rId10" w:type="first"/>
          <w:headerReference r:id="rId7" w:type="default"/>
          <w:footerReference r:id="rId9" w:type="default"/>
          <w:pgSz w:w="11906" w:h="16838"/>
          <w:pgMar w:top="1701" w:right="1448" w:bottom="1531" w:left="1418" w:header="851" w:footer="851" w:gutter="0"/>
          <w:cols w:space="720" w:num="1"/>
          <w:docGrid w:linePitch="312" w:charSpace="0"/>
        </w:sectPr>
      </w:pPr>
      <w:r>
        <w:rPr>
          <w:rFonts w:hint="eastAsia" w:ascii="宋体" w:hAnsi="宋体"/>
          <w:b/>
          <w:sz w:val="28"/>
        </w:rPr>
        <w:br w:type="page"/>
      </w:r>
    </w:p>
    <w:p>
      <w:pPr>
        <w:adjustRightInd w:val="0"/>
        <w:snapToGrid w:val="0"/>
        <w:spacing w:line="360" w:lineRule="auto"/>
        <w:ind w:right="480"/>
        <w:rPr>
          <w:rFonts w:hint="default" w:ascii="宋体" w:hAnsi="宋体" w:eastAsia="宋体" w:cs="宋体"/>
          <w:b/>
          <w:bCs/>
          <w:color w:val="auto"/>
          <w:sz w:val="32"/>
          <w:szCs w:val="32"/>
          <w:u w:val="none"/>
          <w:lang w:val="en-US" w:eastAsia="zh-CN"/>
        </w:rPr>
      </w:pPr>
      <w:r>
        <w:rPr>
          <w:rFonts w:hint="eastAsia" w:ascii="宋体" w:hAnsi="宋体"/>
          <w:b/>
          <w:sz w:val="28"/>
        </w:rPr>
        <w:t>附件</w:t>
      </w:r>
      <w:r>
        <w:rPr>
          <w:rFonts w:hint="eastAsia" w:ascii="宋体" w:hAnsi="宋体"/>
          <w:b/>
          <w:sz w:val="28"/>
          <w:lang w:val="en-US" w:eastAsia="zh-CN"/>
        </w:rPr>
        <w:t>2-2</w:t>
      </w:r>
    </w:p>
    <w:p>
      <w:pPr>
        <w:spacing w:line="360" w:lineRule="auto"/>
        <w:ind w:firstLine="321" w:firstLineChars="100"/>
        <w:jc w:val="center"/>
        <w:rPr>
          <w:rFonts w:hAnsi="宋体"/>
          <w:b/>
          <w:color w:val="auto"/>
          <w:sz w:val="32"/>
          <w:szCs w:val="32"/>
          <w:u w:val="single"/>
        </w:rPr>
      </w:pPr>
      <w:r>
        <w:rPr>
          <w:rFonts w:hint="eastAsia" w:ascii="宋体" w:hAnsi="宋体" w:eastAsia="宋体" w:cs="宋体"/>
          <w:b/>
          <w:bCs/>
          <w:color w:val="auto"/>
          <w:sz w:val="32"/>
          <w:szCs w:val="32"/>
          <w:u w:val="none"/>
          <w:lang w:eastAsia="zh-CN"/>
        </w:rPr>
        <w:t>联合体</w:t>
      </w:r>
      <w:r>
        <w:rPr>
          <w:b/>
          <w:color w:val="auto"/>
          <w:sz w:val="32"/>
          <w:szCs w:val="32"/>
        </w:rPr>
        <w:t>授权</w:t>
      </w:r>
      <w:r>
        <w:rPr>
          <w:rFonts w:hint="eastAsia"/>
          <w:b/>
          <w:color w:val="auto"/>
          <w:sz w:val="32"/>
          <w:szCs w:val="32"/>
        </w:rPr>
        <w:t>委托</w:t>
      </w:r>
      <w:r>
        <w:rPr>
          <w:b/>
          <w:color w:val="auto"/>
          <w:sz w:val="32"/>
          <w:szCs w:val="32"/>
        </w:rPr>
        <w:t>书</w:t>
      </w:r>
    </w:p>
    <w:p>
      <w:pPr>
        <w:snapToGrid w:val="0"/>
        <w:spacing w:beforeLines="50" w:after="50" w:line="360"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p>
    <w:p>
      <w:pPr>
        <w:pStyle w:val="13"/>
        <w:spacing w:line="360" w:lineRule="auto"/>
        <w:ind w:firstLine="420" w:firstLineChars="0"/>
        <w:rPr>
          <w:rFonts w:hAnsi="宋体"/>
          <w:color w:val="auto"/>
          <w:sz w:val="24"/>
        </w:rPr>
      </w:pP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牵头人</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eastAsia="zh-CN"/>
        </w:rPr>
        <w:t>、</w:t>
      </w:r>
      <w:r>
        <w:rPr>
          <w:rFonts w:hint="eastAsia" w:hAnsi="宋体"/>
          <w:color w:val="auto"/>
          <w:sz w:val="24"/>
          <w:u w:val="single"/>
          <w:lang w:val="en-US" w:eastAsia="zh-CN"/>
        </w:rPr>
        <w:t xml:space="preserve">  </w:t>
      </w: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成员1</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val="en-US" w:eastAsia="zh-CN"/>
        </w:rPr>
        <w:t>、</w:t>
      </w:r>
      <w:r>
        <w:rPr>
          <w:rFonts w:hAnsi="宋体"/>
          <w:color w:val="auto"/>
          <w:sz w:val="24"/>
          <w:u w:val="single"/>
        </w:rPr>
        <w:t>（</w:t>
      </w:r>
      <w:r>
        <w:rPr>
          <w:rFonts w:hint="eastAsia" w:hAnsi="宋体"/>
          <w:color w:val="auto"/>
          <w:sz w:val="24"/>
          <w:u w:val="single"/>
          <w:lang w:eastAsia="zh-CN"/>
        </w:rPr>
        <w:t>联</w:t>
      </w:r>
      <w:r>
        <w:rPr>
          <w:rFonts w:hint="eastAsia" w:hAnsi="宋体"/>
          <w:color w:val="auto"/>
          <w:sz w:val="24"/>
          <w:szCs w:val="24"/>
          <w:u w:val="single"/>
          <w:lang w:eastAsia="zh-CN"/>
        </w:rPr>
        <w:t>合体</w:t>
      </w:r>
      <w:r>
        <w:rPr>
          <w:rFonts w:hint="eastAsia" w:hAnsi="宋体"/>
          <w:color w:val="auto"/>
          <w:sz w:val="24"/>
          <w:szCs w:val="24"/>
          <w:u w:val="single"/>
          <w:lang w:val="en-US" w:eastAsia="zh-CN"/>
        </w:rPr>
        <w:t>成员2</w:t>
      </w:r>
      <w:r>
        <w:rPr>
          <w:rFonts w:hint="eastAsia" w:hAnsi="宋体"/>
          <w:color w:val="auto"/>
          <w:sz w:val="24"/>
          <w:szCs w:val="24"/>
          <w:u w:val="single"/>
          <w:lang w:eastAsia="zh-CN"/>
        </w:rPr>
        <w:t>公司</w:t>
      </w:r>
      <w:r>
        <w:rPr>
          <w:rFonts w:hAnsi="宋体"/>
          <w:color w:val="auto"/>
          <w:sz w:val="24"/>
          <w:szCs w:val="24"/>
          <w:u w:val="single"/>
        </w:rPr>
        <w:t xml:space="preserve">全称）  </w:t>
      </w:r>
      <w:r>
        <w:rPr>
          <w:rFonts w:hAnsi="宋体"/>
          <w:color w:val="auto"/>
          <w:sz w:val="24"/>
          <w:szCs w:val="24"/>
        </w:rPr>
        <w:t>法定代表人</w:t>
      </w:r>
      <w:r>
        <w:rPr>
          <w:rFonts w:hint="eastAsia" w:ascii="Arial" w:hAnsi="Arial" w:cs="Arial"/>
          <w:color w:val="auto"/>
          <w:sz w:val="24"/>
          <w:szCs w:val="24"/>
        </w:rPr>
        <w:t>（或营业执照中单位负责人）</w:t>
      </w:r>
      <w:r>
        <w:rPr>
          <w:rFonts w:hAnsi="宋体"/>
          <w:color w:val="auto"/>
          <w:sz w:val="24"/>
          <w:szCs w:val="24"/>
          <w:u w:val="single"/>
        </w:rPr>
        <w:tab/>
      </w:r>
      <w:r>
        <w:rPr>
          <w:rFonts w:hint="eastAsia" w:hAnsi="宋体"/>
          <w:color w:val="auto"/>
          <w:sz w:val="24"/>
          <w:szCs w:val="24"/>
          <w:u w:val="single"/>
          <w:lang w:val="en-US" w:eastAsia="zh-CN"/>
        </w:rPr>
        <w:t xml:space="preserve">     </w:t>
      </w:r>
      <w:r>
        <w:rPr>
          <w:rFonts w:hAnsi="宋体"/>
          <w:color w:val="auto"/>
          <w:sz w:val="24"/>
          <w:szCs w:val="24"/>
          <w:u w:val="single"/>
        </w:rPr>
        <w:t xml:space="preserve"> </w:t>
      </w:r>
      <w:r>
        <w:rPr>
          <w:rFonts w:hint="eastAsia" w:hAnsi="宋体"/>
          <w:color w:val="auto"/>
          <w:sz w:val="24"/>
          <w:szCs w:val="24"/>
          <w:u w:val="single"/>
          <w:lang w:val="en-US" w:eastAsia="zh-CN"/>
        </w:rPr>
        <w:t xml:space="preserve">              </w:t>
      </w:r>
      <w:r>
        <w:rPr>
          <w:rFonts w:hint="eastAsia" w:ascii="宋体" w:hAnsi="宋体" w:eastAsia="宋体" w:cs="宋体"/>
          <w:color w:val="000000"/>
          <w:kern w:val="0"/>
          <w:sz w:val="24"/>
          <w:szCs w:val="24"/>
          <w:u w:val="none"/>
          <w:lang w:val="en-US" w:eastAsia="zh-CN"/>
        </w:rPr>
        <w:t>组成</w:t>
      </w:r>
      <w:r>
        <w:rPr>
          <w:rFonts w:hint="eastAsia" w:hAnsi="宋体" w:eastAsia="宋体" w:cs="宋体"/>
          <w:color w:val="000000"/>
          <w:kern w:val="0"/>
          <w:sz w:val="24"/>
          <w:szCs w:val="24"/>
          <w:u w:val="none"/>
          <w:lang w:val="en-US" w:eastAsia="zh-CN"/>
        </w:rPr>
        <w:t>的</w:t>
      </w:r>
      <w:r>
        <w:rPr>
          <w:rFonts w:hint="eastAsia" w:ascii="宋体" w:hAnsi="宋体" w:eastAsia="宋体" w:cs="宋体"/>
          <w:color w:val="000000"/>
          <w:kern w:val="0"/>
          <w:sz w:val="24"/>
          <w:szCs w:val="24"/>
          <w:u w:val="none"/>
          <w:lang w:val="en-US" w:eastAsia="zh-CN"/>
        </w:rPr>
        <w:t>联合体</w:t>
      </w:r>
      <w:r>
        <w:rPr>
          <w:rFonts w:hint="eastAsia" w:hAnsi="宋体"/>
          <w:color w:val="auto"/>
          <w:sz w:val="24"/>
          <w:szCs w:val="24"/>
          <w:u w:val="none"/>
          <w:lang w:val="en-US" w:eastAsia="zh-CN"/>
        </w:rPr>
        <w:t>，现共同</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Ansi="宋体"/>
          <w:color w:val="auto"/>
          <w:sz w:val="24"/>
          <w:szCs w:val="24"/>
        </w:rPr>
        <w:t>的采购活动，</w:t>
      </w:r>
      <w:r>
        <w:rPr>
          <w:rFonts w:hAnsi="宋体"/>
          <w:sz w:val="24"/>
          <w:szCs w:val="24"/>
        </w:rPr>
        <w:t>并代表我方全权办理针对上述项目的投标、开标、评标、签约等具体事务和签署相关文件。</w:t>
      </w:r>
      <w:r>
        <w:rPr>
          <w:rFonts w:hint="eastAsia" w:hAnsi="宋体"/>
          <w:sz w:val="24"/>
          <w:szCs w:val="24"/>
        </w:rPr>
        <w:t>我方对全权代表的签字事项负全部责任。</w:t>
      </w:r>
    </w:p>
    <w:p>
      <w:pPr>
        <w:pStyle w:val="13"/>
        <w:spacing w:line="500" w:lineRule="exact"/>
        <w:ind w:left="139" w:leftChars="66"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pPr>
        <w:pStyle w:val="13"/>
        <w:spacing w:line="500" w:lineRule="exact"/>
        <w:ind w:left="139" w:leftChars="66" w:firstLine="480" w:firstLineChars="200"/>
        <w:rPr>
          <w:rFonts w:hAnsi="宋体"/>
          <w:color w:val="auto"/>
          <w:sz w:val="24"/>
        </w:rPr>
      </w:pPr>
      <w:r>
        <w:rPr>
          <w:rFonts w:hint="eastAsia" w:hAnsi="宋体"/>
          <w:color w:val="auto"/>
          <w:sz w:val="24"/>
        </w:rPr>
        <w:t>全权代表无转委托权，特此委托。</w:t>
      </w:r>
    </w:p>
    <w:p>
      <w:pPr>
        <w:spacing w:line="360" w:lineRule="auto"/>
        <w:rPr>
          <w:color w:val="auto"/>
          <w:sz w:val="24"/>
        </w:rPr>
      </w:pPr>
    </w:p>
    <w:p>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rPr>
        <w:t xml:space="preserve">全称（公章）： </w:t>
      </w:r>
    </w:p>
    <w:p>
      <w:pPr>
        <w:spacing w:line="360" w:lineRule="auto"/>
        <w:rPr>
          <w:rFonts w:hint="eastAsia" w:ascii="宋体"/>
          <w:color w:val="auto"/>
          <w:sz w:val="24"/>
        </w:rPr>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p>
    <w:p>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sz w:val="24"/>
        </w:rPr>
        <w:t xml:space="preserve">全称（公章）： </w:t>
      </w:r>
    </w:p>
    <w:p>
      <w:pPr>
        <w:spacing w:line="360" w:lineRule="auto"/>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p>
    <w:p>
      <w:pPr>
        <w:spacing w:line="360" w:lineRule="auto"/>
        <w:rPr>
          <w:rFonts w:hint="eastAsia" w:ascii="宋体"/>
          <w:sz w:val="24"/>
        </w:rPr>
      </w:pPr>
      <w:r>
        <w:rPr>
          <w:rFonts w:hint="eastAsia" w:ascii="宋体"/>
          <w:sz w:val="24"/>
        </w:rPr>
        <w:t xml:space="preserve">                           </w:t>
      </w:r>
      <w:r>
        <w:rPr>
          <w:rFonts w:hint="eastAsia" w:ascii="宋体" w:eastAsia="宋体"/>
          <w:sz w:val="24"/>
          <w:lang w:val="en-US" w:eastAsia="zh-CN"/>
        </w:rPr>
        <w:t xml:space="preserve"> </w:t>
      </w:r>
      <w:r>
        <w:rPr>
          <w:rFonts w:hint="eastAsia" w:ascii="宋体"/>
          <w:sz w:val="24"/>
        </w:rPr>
        <w:t xml:space="preserve">  </w:t>
      </w:r>
      <w:r>
        <w:rPr>
          <w:rFonts w:hint="eastAsia" w:ascii="宋体"/>
          <w:sz w:val="24"/>
          <w:lang w:val="en-US" w:eastAsia="zh-CN"/>
        </w:rPr>
        <w:t xml:space="preserve">                         </w:t>
      </w:r>
      <w:r>
        <w:rPr>
          <w:rFonts w:hint="eastAsia" w:ascii="宋体"/>
          <w:sz w:val="24"/>
        </w:rPr>
        <w:t>日期：</w:t>
      </w:r>
    </w:p>
    <w:p>
      <w:pPr>
        <w:pStyle w:val="2"/>
        <w:numPr>
          <w:ilvl w:val="0"/>
          <w:numId w:val="0"/>
        </w:numPr>
        <w:jc w:val="both"/>
      </w:pPr>
    </w:p>
    <w:p>
      <w:pPr>
        <w:spacing w:line="360" w:lineRule="auto"/>
        <w:rPr>
          <w:b/>
          <w:sz w:val="24"/>
        </w:rPr>
      </w:pPr>
      <w:r>
        <w:rPr>
          <w:rFonts w:hint="eastAsia" w:ascii="宋体"/>
          <w:b/>
          <w:sz w:val="24"/>
        </w:rPr>
        <w:t>附：</w:t>
      </w: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int="eastAsia" w:hAnsi="宋体"/>
          <w:color w:val="auto"/>
          <w:sz w:val="24"/>
          <w:u w:val="none"/>
          <w:lang w:eastAsia="zh-CN"/>
        </w:rPr>
      </w:pPr>
    </w:p>
    <w:p>
      <w:pPr>
        <w:spacing w:line="360" w:lineRule="auto"/>
        <w:rPr>
          <w:rFonts w:hint="eastAsia" w:hAnsi="宋体"/>
          <w:color w:val="auto"/>
          <w:sz w:val="24"/>
          <w:u w:val="none"/>
          <w:lang w:eastAsia="zh-CN"/>
        </w:rPr>
      </w:pPr>
    </w:p>
    <w:p>
      <w:pPr>
        <w:spacing w:line="360" w:lineRule="auto"/>
        <w:rPr>
          <w:rFonts w:hint="eastAsia" w:hAnsi="宋体"/>
          <w:color w:val="auto"/>
          <w:sz w:val="24"/>
          <w:u w:val="none"/>
          <w:lang w:eastAsia="zh-CN"/>
        </w:rPr>
      </w:pPr>
    </w:p>
    <w:tbl>
      <w:tblPr>
        <w:tblStyle w:val="22"/>
        <w:tblpPr w:leftFromText="180" w:rightFromText="180" w:vertAnchor="text" w:horzAnchor="page" w:tblpX="5940" w:tblpY="-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int="eastAsia" w:hAnsi="宋体"/>
          <w:color w:val="auto"/>
          <w:sz w:val="24"/>
          <w:u w:val="none"/>
          <w:lang w:eastAsia="zh-CN"/>
        </w:rPr>
      </w:pPr>
    </w:p>
    <w:p>
      <w:pPr>
        <w:spacing w:line="360" w:lineRule="auto"/>
        <w:rPr>
          <w:rFonts w:hint="eastAsia" w:ascii="宋体"/>
          <w:sz w:val="24"/>
        </w:rPr>
      </w:pPr>
    </w:p>
    <w:tbl>
      <w:tblPr>
        <w:tblStyle w:val="22"/>
        <w:tblpPr w:leftFromText="180" w:rightFromText="180" w:vertAnchor="text" w:horzAnchor="page" w:tblpX="5940" w:tblpY="4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全权代表身份证复印件粘帖处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jc w:val="center"/>
        <w:rPr>
          <w:rFonts w:hint="eastAsia" w:ascii="宋体" w:hAnsi="宋体" w:eastAsia="宋体" w:cs="宋体"/>
          <w:b/>
          <w:bCs/>
          <w:sz w:val="36"/>
          <w:szCs w:val="36"/>
          <w:lang w:eastAsia="zh-CN"/>
        </w:rPr>
      </w:pPr>
    </w:p>
    <w:p>
      <w:pPr>
        <w:pStyle w:val="8"/>
        <w:rPr>
          <w:rFonts w:hint="eastAsia" w:ascii="宋体" w:hAnsi="宋体" w:eastAsia="宋体" w:cs="宋体"/>
          <w:b/>
          <w:bCs/>
          <w:sz w:val="36"/>
          <w:szCs w:val="36"/>
          <w:lang w:eastAsia="zh-CN"/>
        </w:rPr>
      </w:pPr>
    </w:p>
    <w:p>
      <w:pPr>
        <w:pStyle w:val="8"/>
        <w:rPr>
          <w:rFonts w:hint="eastAsia" w:ascii="宋体" w:hAnsi="宋体" w:eastAsia="宋体" w:cs="宋体"/>
          <w:b/>
          <w:bCs/>
          <w:sz w:val="36"/>
          <w:szCs w:val="36"/>
          <w:lang w:eastAsia="zh-CN"/>
        </w:rPr>
      </w:pPr>
    </w:p>
    <w:p>
      <w:pPr>
        <w:pStyle w:val="8"/>
        <w:rPr>
          <w:rFonts w:hint="eastAsia" w:ascii="宋体" w:hAnsi="宋体" w:eastAsia="宋体" w:cs="宋体"/>
          <w:b/>
          <w:bCs/>
          <w:sz w:val="36"/>
          <w:szCs w:val="36"/>
          <w:lang w:eastAsia="zh-CN"/>
        </w:rPr>
      </w:pPr>
    </w:p>
    <w:p>
      <w:pPr>
        <w:pStyle w:val="8"/>
        <w:rPr>
          <w:rFonts w:hint="eastAsia" w:ascii="宋体" w:hAnsi="宋体" w:eastAsia="宋体" w:cs="宋体"/>
          <w:b/>
          <w:bCs/>
          <w:sz w:val="36"/>
          <w:szCs w:val="36"/>
          <w:lang w:eastAsia="zh-CN"/>
        </w:rPr>
      </w:pPr>
    </w:p>
    <w:p>
      <w:pPr>
        <w:pStyle w:val="8"/>
        <w:rPr>
          <w:rFonts w:hint="eastAsia" w:ascii="宋体" w:hAnsi="宋体" w:eastAsia="宋体" w:cs="宋体"/>
          <w:b/>
          <w:bCs/>
          <w:sz w:val="36"/>
          <w:szCs w:val="36"/>
          <w:lang w:eastAsia="zh-CN"/>
        </w:rPr>
      </w:pPr>
    </w:p>
    <w:p>
      <w:pPr>
        <w:pStyle w:val="8"/>
        <w:rPr>
          <w:rFonts w:hint="eastAsia" w:ascii="宋体" w:hAnsi="宋体" w:eastAsia="宋体" w:cs="宋体"/>
          <w:b/>
          <w:bCs/>
          <w:sz w:val="36"/>
          <w:szCs w:val="36"/>
          <w:lang w:eastAsia="zh-CN"/>
        </w:rPr>
      </w:pPr>
    </w:p>
    <w:p>
      <w:pPr>
        <w:pStyle w:val="8"/>
        <w:rPr>
          <w:rFonts w:hint="eastAsia" w:ascii="宋体" w:hAnsi="宋体" w:eastAsia="宋体" w:cs="宋体"/>
          <w:b/>
          <w:bCs/>
          <w:sz w:val="36"/>
          <w:szCs w:val="36"/>
          <w:lang w:eastAsia="zh-CN"/>
        </w:rPr>
      </w:pPr>
    </w:p>
    <w:p>
      <w:pPr>
        <w:pStyle w:val="8"/>
        <w:rPr>
          <w:rFonts w:hint="eastAsia" w:ascii="宋体" w:hAnsi="宋体" w:eastAsia="宋体" w:cs="宋体"/>
          <w:b/>
          <w:bCs/>
          <w:sz w:val="36"/>
          <w:szCs w:val="36"/>
          <w:lang w:eastAsia="zh-CN"/>
        </w:rPr>
      </w:pPr>
    </w:p>
    <w:p>
      <w:pPr>
        <w:pStyle w:val="8"/>
        <w:rPr>
          <w:rFonts w:hint="eastAsia" w:ascii="宋体" w:hAnsi="宋体" w:eastAsia="宋体" w:cs="宋体"/>
          <w:b/>
          <w:bCs/>
          <w:sz w:val="36"/>
          <w:szCs w:val="36"/>
          <w:lang w:eastAsia="zh-CN"/>
        </w:rPr>
      </w:pPr>
    </w:p>
    <w:p>
      <w:r>
        <w:br w:type="page"/>
      </w:r>
    </w:p>
    <w:p>
      <w:pPr>
        <w:adjustRightInd w:val="0"/>
        <w:snapToGrid w:val="0"/>
        <w:spacing w:line="360" w:lineRule="auto"/>
        <w:ind w:right="480"/>
        <w:rPr>
          <w:rFonts w:hint="default" w:ascii="宋体" w:hAnsi="宋体"/>
          <w:b/>
          <w:sz w:val="28"/>
          <w:lang w:val="en-US" w:eastAsia="zh-CN"/>
        </w:rPr>
      </w:pPr>
      <w:r>
        <w:rPr>
          <w:rFonts w:hint="eastAsia" w:ascii="宋体" w:hAnsi="宋体"/>
          <w:b/>
          <w:sz w:val="28"/>
          <w:lang w:val="en-US" w:eastAsia="zh-CN"/>
        </w:rPr>
        <w:t>附件3</w:t>
      </w:r>
    </w:p>
    <w:p>
      <w:pPr>
        <w:spacing w:line="480" w:lineRule="auto"/>
        <w:ind w:firstLine="321" w:firstLineChars="100"/>
        <w:jc w:val="center"/>
        <w:rPr>
          <w:bCs/>
          <w:sz w:val="24"/>
          <w:szCs w:val="24"/>
        </w:rPr>
      </w:pPr>
      <w:r>
        <w:rPr>
          <w:rFonts w:hint="eastAsia" w:ascii="宋体" w:hAnsi="宋体" w:eastAsia="宋体" w:cs="宋体"/>
          <w:b/>
          <w:bCs/>
          <w:color w:val="auto"/>
          <w:sz w:val="32"/>
          <w:szCs w:val="32"/>
          <w:u w:val="none"/>
          <w:lang w:eastAsia="zh-CN"/>
        </w:rPr>
        <w:t>联合</w:t>
      </w:r>
      <w:r>
        <w:rPr>
          <w:rFonts w:hint="eastAsia" w:ascii="宋体" w:hAnsi="宋体" w:eastAsia="宋体" w:cs="宋体"/>
          <w:b/>
          <w:bCs/>
          <w:color w:val="auto"/>
          <w:sz w:val="32"/>
          <w:szCs w:val="32"/>
          <w:u w:val="none"/>
          <w:lang w:val="en-US" w:eastAsia="zh-CN"/>
        </w:rPr>
        <w:t>体共同投标</w:t>
      </w:r>
      <w:r>
        <w:rPr>
          <w:rFonts w:hint="eastAsia" w:ascii="宋体" w:hAnsi="宋体" w:eastAsia="宋体" w:cs="宋体"/>
          <w:b/>
          <w:bCs/>
          <w:color w:val="auto"/>
          <w:sz w:val="32"/>
          <w:szCs w:val="32"/>
          <w:u w:val="none"/>
          <w:lang w:eastAsia="zh-CN"/>
        </w:rPr>
        <w:t>协议</w:t>
      </w:r>
      <w:r>
        <w:rPr>
          <w:rFonts w:hint="eastAsia" w:ascii="宋体" w:hAnsi="宋体" w:eastAsia="宋体" w:cs="宋体"/>
          <w:b/>
          <w:bCs/>
          <w:color w:val="auto"/>
          <w:sz w:val="32"/>
          <w:szCs w:val="32"/>
          <w:u w:val="none"/>
          <w:lang w:val="en-US" w:eastAsia="zh-CN"/>
        </w:rPr>
        <w:t>书</w:t>
      </w:r>
    </w:p>
    <w:p>
      <w:pPr>
        <w:snapToGrid w:val="0"/>
        <w:spacing w:line="360" w:lineRule="auto"/>
        <w:ind w:firstLine="576"/>
        <w:rPr>
          <w:kern w:val="0"/>
          <w:sz w:val="24"/>
          <w:szCs w:val="24"/>
          <w:lang w:val="zh-CN"/>
        </w:rPr>
      </w:pPr>
      <w:r>
        <w:rPr>
          <w:rFonts w:hint="eastAsia"/>
          <w:kern w:val="0"/>
          <w:sz w:val="24"/>
          <w:szCs w:val="24"/>
          <w:u w:val="single"/>
          <w:lang w:val="en-US" w:eastAsia="zh-CN"/>
        </w:rPr>
        <w:t xml:space="preserve"> </w:t>
      </w:r>
      <w:r>
        <w:rPr>
          <w:kern w:val="0"/>
          <w:sz w:val="24"/>
          <w:szCs w:val="24"/>
          <w:u w:val="single"/>
        </w:rPr>
        <w:t>（联合体所有成员名称）</w:t>
      </w:r>
      <w:r>
        <w:rPr>
          <w:rFonts w:hint="eastAsia"/>
          <w:kern w:val="0"/>
          <w:sz w:val="24"/>
          <w:szCs w:val="24"/>
          <w:u w:val="single"/>
          <w:lang w:val="en-US" w:eastAsia="zh-CN"/>
        </w:rPr>
        <w:t xml:space="preserve"> </w:t>
      </w:r>
      <w:r>
        <w:rPr>
          <w:kern w:val="0"/>
          <w:sz w:val="24"/>
          <w:szCs w:val="24"/>
        </w:rPr>
        <w:t>自愿</w:t>
      </w:r>
      <w:r>
        <w:rPr>
          <w:kern w:val="0"/>
          <w:sz w:val="24"/>
          <w:szCs w:val="24"/>
          <w:lang w:val="zh-CN"/>
        </w:rPr>
        <w:t>组成联合体，以一个投标人的身份</w:t>
      </w:r>
      <w:r>
        <w:rPr>
          <w:rFonts w:hint="eastAsia"/>
          <w:kern w:val="0"/>
          <w:sz w:val="24"/>
          <w:szCs w:val="24"/>
          <w:lang w:val="en-US" w:eastAsia="zh-CN"/>
        </w:rPr>
        <w:t>共同参加贵单位组织的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int="eastAsia"/>
          <w:sz w:val="24"/>
          <w:szCs w:val="24"/>
          <w:u w:val="none"/>
          <w:lang w:val="en-US" w:eastAsia="zh-CN"/>
        </w:rPr>
        <w:t>的</w:t>
      </w:r>
      <w:r>
        <w:rPr>
          <w:kern w:val="0"/>
          <w:sz w:val="24"/>
          <w:szCs w:val="24"/>
          <w:lang w:val="zh-CN"/>
        </w:rPr>
        <w:t>投标。</w:t>
      </w:r>
      <w:r>
        <w:rPr>
          <w:rFonts w:hint="eastAsia"/>
          <w:kern w:val="0"/>
          <w:sz w:val="24"/>
          <w:szCs w:val="24"/>
          <w:lang w:val="en-US" w:eastAsia="zh-CN"/>
        </w:rPr>
        <w:t>现就联合体投标事宜订立如下协议：</w:t>
      </w:r>
      <w:r>
        <w:rPr>
          <w:kern w:val="0"/>
          <w:sz w:val="24"/>
          <w:szCs w:val="24"/>
          <w:lang w:val="zh-CN"/>
        </w:rPr>
        <w:t xml:space="preserve"> </w:t>
      </w:r>
    </w:p>
    <w:p>
      <w:pPr>
        <w:numPr>
          <w:ilvl w:val="0"/>
          <w:numId w:val="16"/>
        </w:numPr>
        <w:snapToGrid w:val="0"/>
        <w:spacing w:line="360" w:lineRule="auto"/>
        <w:ind w:firstLine="576"/>
        <w:rPr>
          <w:rFonts w:hint="eastAsia"/>
          <w:kern w:val="0"/>
          <w:sz w:val="24"/>
          <w:szCs w:val="24"/>
          <w:u w:val="single"/>
          <w:lang w:val="en-US" w:eastAsia="zh-CN"/>
        </w:rPr>
      </w:pPr>
      <w:r>
        <w:rPr>
          <w:kern w:val="0"/>
          <w:sz w:val="24"/>
          <w:szCs w:val="24"/>
          <w:u w:val="single"/>
        </w:rPr>
        <w:t>（某联合体成员名称）</w:t>
      </w:r>
      <w:r>
        <w:rPr>
          <w:rFonts w:hint="eastAsia"/>
          <w:kern w:val="0"/>
          <w:sz w:val="24"/>
          <w:szCs w:val="24"/>
          <w:u w:val="single"/>
          <w:lang w:val="en-US" w:eastAsia="zh-CN"/>
        </w:rPr>
        <w:t xml:space="preserve"> 为联合体的牵头人。</w:t>
      </w:r>
    </w:p>
    <w:p>
      <w:pPr>
        <w:numPr>
          <w:ilvl w:val="0"/>
          <w:numId w:val="16"/>
        </w:numPr>
        <w:snapToGrid w:val="0"/>
        <w:spacing w:line="360" w:lineRule="auto"/>
        <w:ind w:firstLine="576"/>
        <w:rPr>
          <w:rFonts w:hint="default"/>
          <w:lang w:val="en-US" w:eastAsia="zh-CN"/>
        </w:rPr>
      </w:pPr>
      <w:r>
        <w:rPr>
          <w:rFonts w:hint="eastAsia"/>
          <w:kern w:val="0"/>
          <w:sz w:val="24"/>
          <w:szCs w:val="24"/>
          <w:u w:val="none"/>
          <w:lang w:val="en-US" w:eastAsia="zh-CN"/>
        </w:rPr>
        <w:t>联合体牵头人合法代表联合体各成员，负责本采购项目投标文件编制和合同谈判活动，并代表联合体提交和接受相关的资料、信息及指示，并处理与之有关的一切事物，负责合同实施阶段的主办、组织和协调工作。</w:t>
      </w:r>
    </w:p>
    <w:p>
      <w:pPr>
        <w:numPr>
          <w:ilvl w:val="0"/>
          <w:numId w:val="16"/>
        </w:numPr>
        <w:snapToGrid w:val="0"/>
        <w:spacing w:line="360" w:lineRule="auto"/>
        <w:ind w:firstLine="576"/>
        <w:rPr>
          <w:lang w:val="zh-CN"/>
        </w:rPr>
      </w:pPr>
      <w:r>
        <w:rPr>
          <w:rFonts w:hint="eastAsia"/>
          <w:kern w:val="0"/>
          <w:sz w:val="24"/>
          <w:szCs w:val="24"/>
          <w:lang w:val="en-US" w:eastAsia="zh-CN"/>
        </w:rPr>
        <w:t>联合体将严格按照招标文件的各项要求，递交投标文件，履行合同，并对外承担连带责任。</w:t>
      </w:r>
    </w:p>
    <w:p>
      <w:pPr>
        <w:numPr>
          <w:ilvl w:val="0"/>
          <w:numId w:val="16"/>
        </w:numPr>
        <w:snapToGrid w:val="0"/>
        <w:spacing w:line="360" w:lineRule="auto"/>
        <w:ind w:firstLine="576"/>
        <w:rPr>
          <w:kern w:val="0"/>
          <w:sz w:val="24"/>
          <w:szCs w:val="24"/>
          <w:u w:val="none"/>
          <w:lang w:val="zh-CN"/>
        </w:rPr>
      </w:pPr>
      <w:r>
        <w:rPr>
          <w:rFonts w:hint="eastAsia"/>
          <w:kern w:val="0"/>
          <w:sz w:val="24"/>
          <w:szCs w:val="24"/>
          <w:lang w:val="en-US" w:eastAsia="zh-CN"/>
        </w:rPr>
        <w:t>本次联合投标中，分工如下：</w:t>
      </w:r>
      <w:r>
        <w:rPr>
          <w:rFonts w:hint="eastAsia"/>
          <w:kern w:val="0"/>
          <w:sz w:val="24"/>
          <w:szCs w:val="24"/>
          <w:u w:val="single"/>
          <w:lang w:val="en-US" w:eastAsia="zh-CN"/>
        </w:rPr>
        <w:t>（</w:t>
      </w:r>
      <w:r>
        <w:rPr>
          <w:kern w:val="0"/>
          <w:sz w:val="24"/>
          <w:szCs w:val="24"/>
          <w:u w:val="single"/>
        </w:rPr>
        <w:t>联合体</w:t>
      </w:r>
      <w:r>
        <w:rPr>
          <w:rFonts w:hint="eastAsia"/>
          <w:kern w:val="0"/>
          <w:sz w:val="24"/>
          <w:szCs w:val="24"/>
          <w:u w:val="single"/>
          <w:lang w:val="en-US" w:eastAsia="zh-CN"/>
        </w:rPr>
        <w:t>牵头人</w:t>
      </w:r>
      <w:r>
        <w:rPr>
          <w:kern w:val="0"/>
          <w:sz w:val="24"/>
          <w:szCs w:val="24"/>
          <w:u w:val="single"/>
        </w:rPr>
        <w:t>名称）</w:t>
      </w:r>
      <w:r>
        <w:rPr>
          <w:kern w:val="0"/>
          <w:sz w:val="24"/>
          <w:szCs w:val="24"/>
          <w:lang w:val="zh-CN"/>
        </w:rPr>
        <w:t>承担的工</w:t>
      </w:r>
      <w:r>
        <w:rPr>
          <w:rFonts w:hint="eastAsia"/>
          <w:kern w:val="0"/>
          <w:sz w:val="24"/>
          <w:szCs w:val="24"/>
          <w:lang w:val="en-US" w:eastAsia="zh-CN"/>
        </w:rPr>
        <w:t>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kern w:val="0"/>
          <w:sz w:val="24"/>
          <w:szCs w:val="24"/>
          <w:lang w:val="zh-CN"/>
        </w:rPr>
        <w:t>；</w:t>
      </w:r>
      <w:r>
        <w:rPr>
          <w:kern w:val="0"/>
          <w:sz w:val="24"/>
          <w:szCs w:val="24"/>
          <w:u w:val="single"/>
        </w:rPr>
        <w:t>（联合体成员</w:t>
      </w:r>
      <w:r>
        <w:rPr>
          <w:rFonts w:hint="eastAsia"/>
          <w:kern w:val="0"/>
          <w:sz w:val="24"/>
          <w:szCs w:val="24"/>
          <w:u w:val="single"/>
          <w:lang w:val="en-US" w:eastAsia="zh-CN"/>
        </w:rPr>
        <w:t>1</w:t>
      </w:r>
      <w:r>
        <w:rPr>
          <w:kern w:val="0"/>
          <w:sz w:val="24"/>
          <w:szCs w:val="24"/>
          <w:u w:val="single"/>
        </w:rPr>
        <w:t>名称）</w:t>
      </w:r>
      <w:r>
        <w:rPr>
          <w:kern w:val="0"/>
          <w:sz w:val="24"/>
          <w:szCs w:val="24"/>
          <w:lang w:val="zh-CN"/>
        </w:rPr>
        <w:t>承担的工作</w:t>
      </w:r>
      <w:r>
        <w:rPr>
          <w:rFonts w:hint="eastAsia"/>
          <w:kern w:val="0"/>
          <w:sz w:val="24"/>
          <w:szCs w:val="24"/>
          <w:lang w:val="en-US" w:eastAsia="zh-CN"/>
        </w:rPr>
        <w:t>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rFonts w:hint="eastAsia"/>
          <w:sz w:val="24"/>
          <w:szCs w:val="24"/>
          <w:u w:val="none"/>
          <w:lang w:eastAsia="zh-CN"/>
        </w:rPr>
        <w:t>。</w:t>
      </w:r>
      <w:r>
        <w:rPr>
          <w:rFonts w:hint="eastAsia"/>
          <w:sz w:val="24"/>
          <w:szCs w:val="24"/>
          <w:u w:val="none"/>
          <w:lang w:val="en-US" w:eastAsia="zh-CN"/>
        </w:rPr>
        <w:t xml:space="preserve">  </w:t>
      </w:r>
      <w:r>
        <w:rPr>
          <w:rFonts w:hint="eastAsia"/>
          <w:sz w:val="24"/>
          <w:szCs w:val="24"/>
          <w:u w:val="none"/>
          <w:lang w:eastAsia="zh-CN"/>
        </w:rPr>
        <w:t>……</w:t>
      </w:r>
    </w:p>
    <w:p>
      <w:pPr>
        <w:numPr>
          <w:ilvl w:val="0"/>
          <w:numId w:val="16"/>
        </w:numPr>
        <w:snapToGrid w:val="0"/>
        <w:spacing w:line="360" w:lineRule="auto"/>
        <w:ind w:firstLine="576"/>
        <w:rPr>
          <w:rFonts w:hint="default" w:ascii="Times New Roman" w:hAnsi="Times New Roman" w:cs="Times New Roman"/>
          <w:kern w:val="0"/>
          <w:sz w:val="24"/>
          <w:szCs w:val="24"/>
          <w:lang w:val="en-US" w:eastAsia="zh-CN"/>
        </w:rPr>
      </w:pPr>
      <w:r>
        <w:rPr>
          <w:rFonts w:hint="eastAsia"/>
          <w:kern w:val="0"/>
          <w:sz w:val="24"/>
          <w:szCs w:val="24"/>
          <w:lang w:val="en-US" w:eastAsia="zh-CN"/>
        </w:rPr>
        <w:t>本次联合投标中，</w:t>
      </w:r>
      <w:r>
        <w:rPr>
          <w:rFonts w:hint="eastAsia" w:ascii="Times New Roman" w:hAnsi="Times New Roman" w:cs="Times New Roman"/>
          <w:kern w:val="0"/>
          <w:sz w:val="24"/>
          <w:szCs w:val="24"/>
          <w:lang w:val="en-US" w:eastAsia="zh-CN"/>
        </w:rPr>
        <w:t>各方对于分享项目成果和知识产权的约定为：</w:t>
      </w:r>
      <w:r>
        <w:rPr>
          <w:rFonts w:hint="eastAsia" w:ascii="Times New Roman" w:hAnsi="Times New Roman" w:cs="Times New Roman"/>
          <w:kern w:val="0"/>
          <w:sz w:val="24"/>
          <w:szCs w:val="24"/>
          <w:u w:val="single"/>
          <w:lang w:val="en-US" w:eastAsia="zh-CN"/>
        </w:rPr>
        <w:t xml:space="preserve">     </w:t>
      </w:r>
    </w:p>
    <w:p>
      <w:pPr>
        <w:numPr>
          <w:ilvl w:val="0"/>
          <w:numId w:val="0"/>
        </w:numPr>
        <w:snapToGrid w:val="0"/>
        <w:spacing w:line="360" w:lineRule="auto"/>
        <w:rPr>
          <w:rFonts w:hint="default" w:ascii="Times New Roman" w:hAnsi="Times New Roman" w:cs="Times New Roman"/>
          <w:kern w:val="0"/>
          <w:sz w:val="24"/>
          <w:szCs w:val="24"/>
          <w:u w:val="single"/>
          <w:lang w:val="en-US" w:eastAsia="zh-CN"/>
        </w:rPr>
      </w:pPr>
      <w:r>
        <w:rPr>
          <w:rFonts w:hint="eastAsia" w:ascii="Times New Roman" w:hAnsi="Times New Roman" w:cs="Times New Roman"/>
          <w:kern w:val="0"/>
          <w:sz w:val="24"/>
          <w:szCs w:val="24"/>
          <w:u w:val="single"/>
          <w:lang w:val="en-US" w:eastAsia="zh-CN"/>
        </w:rPr>
        <w:t xml:space="preserve">                                                                   。</w:t>
      </w:r>
    </w:p>
    <w:p>
      <w:pPr>
        <w:numPr>
          <w:ilvl w:val="0"/>
          <w:numId w:val="16"/>
        </w:numPr>
        <w:snapToGrid w:val="0"/>
        <w:spacing w:line="360" w:lineRule="auto"/>
        <w:ind w:firstLine="576"/>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各方具体的的责任、权利、义务，在中标后经各方协商后报采购人同意后在合同中明确。</w:t>
      </w:r>
    </w:p>
    <w:p>
      <w:pPr>
        <w:numPr>
          <w:ilvl w:val="0"/>
          <w:numId w:val="16"/>
        </w:numPr>
        <w:snapToGrid w:val="0"/>
        <w:spacing w:line="360" w:lineRule="auto"/>
        <w:ind w:firstLine="576"/>
        <w:rPr>
          <w:rFonts w:hint="default"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联合体各方不得再以自己的名义参加本项目的投标。联合投标的项目负责人不能作为其他联合体或单独投标单位的项目组成员。因发生上述问题导致联合体投标无效的，联合体的其他成员可追求违约行为。</w:t>
      </w:r>
    </w:p>
    <w:p>
      <w:pPr>
        <w:numPr>
          <w:ilvl w:val="0"/>
          <w:numId w:val="16"/>
        </w:numPr>
        <w:snapToGrid w:val="0"/>
        <w:spacing w:line="360" w:lineRule="auto"/>
        <w:ind w:firstLine="576"/>
        <w:rPr>
          <w:kern w:val="0"/>
          <w:sz w:val="24"/>
          <w:szCs w:val="24"/>
          <w:lang w:val="zh-CN"/>
        </w:rPr>
      </w:pPr>
      <w:r>
        <w:rPr>
          <w:rFonts w:hint="eastAsia" w:ascii="Times New Roman" w:hAnsi="Times New Roman" w:cs="Times New Roman"/>
          <w:kern w:val="0"/>
          <w:sz w:val="24"/>
          <w:szCs w:val="24"/>
          <w:lang w:val="en-US" w:eastAsia="zh-CN"/>
        </w:rPr>
        <w:t>未中标，本协议自动废止。</w:t>
      </w:r>
    </w:p>
    <w:p>
      <w:pPr>
        <w:pStyle w:val="8"/>
        <w:rPr>
          <w:lang w:val="zh-CN"/>
        </w:rPr>
      </w:pPr>
    </w:p>
    <w:p>
      <w:pPr>
        <w:snapToGrid w:val="0"/>
        <w:spacing w:line="360" w:lineRule="auto"/>
        <w:rPr>
          <w:rFonts w:ascii="Times New Roman" w:hAnsi="Times New Roman" w:cs="Times New Roman"/>
          <w:kern w:val="0"/>
          <w:sz w:val="24"/>
          <w:szCs w:val="24"/>
          <w:lang w:val="zh-CN"/>
        </w:rPr>
      </w:pPr>
      <w:r>
        <w:rPr>
          <w:kern w:val="0"/>
          <w:sz w:val="24"/>
          <w:szCs w:val="24"/>
          <w:lang w:val="zh-CN"/>
        </w:rPr>
        <w:t>联</w:t>
      </w:r>
      <w:r>
        <w:rPr>
          <w:rFonts w:ascii="Times New Roman" w:hAnsi="Times New Roman" w:cs="Times New Roman"/>
          <w:kern w:val="0"/>
          <w:sz w:val="24"/>
          <w:szCs w:val="24"/>
          <w:lang w:val="zh-CN"/>
        </w:rPr>
        <w:t>合体</w:t>
      </w:r>
      <w:r>
        <w:rPr>
          <w:rFonts w:hint="eastAsia" w:ascii="Times New Roman" w:hAnsi="Times New Roman" w:cs="Times New Roman"/>
          <w:kern w:val="0"/>
          <w:sz w:val="24"/>
          <w:szCs w:val="24"/>
          <w:lang w:val="en-US" w:eastAsia="zh-CN"/>
        </w:rPr>
        <w:t>牵头人</w:t>
      </w:r>
      <w:r>
        <w:rPr>
          <w:rFonts w:ascii="Times New Roman" w:hAnsi="Times New Roman" w:cs="Times New Roman"/>
          <w:kern w:val="0"/>
          <w:sz w:val="24"/>
          <w:szCs w:val="24"/>
          <w:lang w:val="zh-CN"/>
        </w:rPr>
        <w:t>名称（盖单位公章或电子签章）：</w:t>
      </w:r>
    </w:p>
    <w:p>
      <w:pPr>
        <w:snapToGrid w:val="0"/>
        <w:spacing w:line="360" w:lineRule="auto"/>
        <w:rPr>
          <w:rFonts w:ascii="Times New Roman" w:hAnsi="Times New Roman" w:cs="Times New Roman"/>
          <w:kern w:val="0"/>
          <w:sz w:val="24"/>
          <w:szCs w:val="24"/>
          <w:lang w:val="zh-CN"/>
        </w:rPr>
      </w:pPr>
      <w:r>
        <w:rPr>
          <w:rFonts w:hint="eastAsia" w:ascii="Times New Roman" w:hAnsi="Times New Roman" w:cs="Times New Roman"/>
          <w:kern w:val="0"/>
          <w:sz w:val="24"/>
          <w:szCs w:val="24"/>
          <w:lang w:val="zh-CN"/>
        </w:rPr>
        <w:t>法定代表人（签字）：</w:t>
      </w:r>
    </w:p>
    <w:p>
      <w:pPr>
        <w:snapToGrid w:val="0"/>
        <w:spacing w:line="360" w:lineRule="auto"/>
        <w:rPr>
          <w:rFonts w:ascii="Times New Roman" w:hAnsi="Times New Roman" w:cs="Times New Roman"/>
          <w:kern w:val="0"/>
          <w:sz w:val="24"/>
          <w:szCs w:val="24"/>
          <w:lang w:val="zh-CN"/>
        </w:rPr>
      </w:pPr>
      <w:r>
        <w:rPr>
          <w:rFonts w:ascii="Times New Roman" w:hAnsi="Times New Roman" w:cs="Times New Roman"/>
          <w:kern w:val="0"/>
          <w:sz w:val="24"/>
          <w:szCs w:val="24"/>
          <w:lang w:val="zh-CN"/>
        </w:rPr>
        <w:t>联合体成员</w:t>
      </w:r>
      <w:r>
        <w:rPr>
          <w:rFonts w:hint="eastAsia" w:ascii="Times New Roman" w:hAnsi="Times New Roman" w:cs="Times New Roman"/>
          <w:kern w:val="0"/>
          <w:sz w:val="24"/>
          <w:szCs w:val="24"/>
          <w:lang w:val="en-US" w:eastAsia="zh-CN"/>
        </w:rPr>
        <w:t>1</w:t>
      </w:r>
      <w:r>
        <w:rPr>
          <w:rFonts w:ascii="Times New Roman" w:hAnsi="Times New Roman" w:cs="Times New Roman"/>
          <w:kern w:val="0"/>
          <w:sz w:val="24"/>
          <w:szCs w:val="24"/>
          <w:lang w:val="zh-CN"/>
        </w:rPr>
        <w:t>名称（盖单位公章或电子签章）：</w:t>
      </w:r>
    </w:p>
    <w:p>
      <w:pPr>
        <w:snapToGrid w:val="0"/>
        <w:spacing w:line="360" w:lineRule="auto"/>
        <w:rPr>
          <w:lang w:val="zh-CN"/>
        </w:rPr>
      </w:pPr>
      <w:r>
        <w:rPr>
          <w:rFonts w:hint="eastAsia" w:ascii="Times New Roman" w:hAnsi="Times New Roman" w:cs="Times New Roman"/>
          <w:kern w:val="0"/>
          <w:sz w:val="24"/>
          <w:szCs w:val="24"/>
          <w:lang w:val="en-US" w:eastAsia="zh-CN"/>
        </w:rPr>
        <w:t>法定代表人（签字）：</w:t>
      </w:r>
    </w:p>
    <w:p>
      <w:pPr>
        <w:snapToGrid w:val="0"/>
        <w:spacing w:line="360" w:lineRule="auto"/>
        <w:rPr>
          <w:rFonts w:hint="eastAsia" w:ascii="Times New Roman" w:hAnsi="Times New Roman" w:cs="Times New Roman"/>
          <w:kern w:val="0"/>
          <w:sz w:val="24"/>
          <w:szCs w:val="24"/>
          <w:lang w:val="en-US" w:eastAsia="zh-CN"/>
        </w:rPr>
      </w:pPr>
      <w:r>
        <w:rPr>
          <w:rFonts w:ascii="Times New Roman" w:hAnsi="Times New Roman"/>
          <w:kern w:val="0"/>
          <w:sz w:val="24"/>
          <w:szCs w:val="24"/>
          <w:lang w:val="zh-CN"/>
        </w:rPr>
        <w:t xml:space="preserve">                                         </w:t>
      </w:r>
      <w:r>
        <w:rPr>
          <w:rFonts w:hint="eastAsia" w:ascii="Times New Roman" w:hAnsi="Times New Roman"/>
          <w:kern w:val="0"/>
          <w:sz w:val="24"/>
          <w:szCs w:val="24"/>
          <w:lang w:val="en-US" w:eastAsia="zh-CN"/>
        </w:rPr>
        <w:t xml:space="preserve">   </w:t>
      </w:r>
      <w:r>
        <w:rPr>
          <w:rFonts w:hint="eastAsia" w:ascii="Times New Roman" w:hAnsi="Times New Roman" w:cs="Times New Roman"/>
          <w:kern w:val="0"/>
          <w:sz w:val="24"/>
          <w:szCs w:val="24"/>
          <w:lang w:val="en-US" w:eastAsia="zh-CN"/>
        </w:rPr>
        <w:t>签订日期：   年   月   日</w:t>
      </w:r>
    </w:p>
    <w:p>
      <w:pPr>
        <w:snapToGrid w:val="0"/>
        <w:spacing w:line="360" w:lineRule="auto"/>
        <w:jc w:val="center"/>
        <w:sectPr>
          <w:pgSz w:w="11906" w:h="16838"/>
          <w:pgMar w:top="1701" w:right="1448" w:bottom="1531" w:left="1418" w:header="851" w:footer="851" w:gutter="0"/>
          <w:cols w:space="720" w:num="1"/>
          <w:docGrid w:linePitch="312" w:charSpace="0"/>
        </w:sectPr>
      </w:pPr>
      <w:r>
        <w:rPr>
          <w:rFonts w:hint="eastAsia" w:ascii="Times New Roman" w:hAnsi="Times New Roman" w:cs="Times New Roman"/>
          <w:kern w:val="0"/>
          <w:sz w:val="24"/>
          <w:szCs w:val="24"/>
          <w:lang w:val="en-US" w:eastAsia="zh-CN"/>
        </w:rPr>
        <w:t>（注：联合体各方成员应在本协议上共同盖章，不得分别签署协议书）</w:t>
      </w:r>
    </w:p>
    <w:p>
      <w:pPr>
        <w:jc w:val="both"/>
        <w:rPr>
          <w:rFonts w:hint="eastAsia"/>
          <w:sz w:val="52"/>
          <w:szCs w:val="52"/>
        </w:rPr>
      </w:pPr>
      <w:bookmarkStart w:id="70" w:name="_Toc16825_WPSOffice_Level1"/>
      <w:bookmarkStart w:id="71" w:name="_Toc26389_WPSOffice_Level1"/>
      <w:bookmarkStart w:id="72" w:name="_Toc12331_WPSOffice_Level1"/>
    </w:p>
    <w:p>
      <w:pPr>
        <w:jc w:val="center"/>
        <w:rPr>
          <w:rFonts w:hint="eastAsia"/>
          <w:sz w:val="52"/>
          <w:szCs w:val="52"/>
        </w:rPr>
      </w:pPr>
    </w:p>
    <w:p>
      <w:pPr>
        <w:jc w:val="center"/>
        <w:rPr>
          <w:sz w:val="52"/>
          <w:szCs w:val="52"/>
        </w:rPr>
      </w:pPr>
      <w:r>
        <w:rPr>
          <w:rFonts w:hint="eastAsia"/>
          <w:sz w:val="52"/>
          <w:szCs w:val="52"/>
        </w:rPr>
        <w:t>项目名称</w:t>
      </w:r>
      <w:bookmarkEnd w:id="70"/>
      <w:bookmarkEnd w:id="71"/>
      <w:bookmarkEnd w:id="72"/>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autoSpaceDE w:val="0"/>
        <w:autoSpaceDN w:val="0"/>
        <w:adjustRightInd w:val="0"/>
        <w:spacing w:line="360" w:lineRule="auto"/>
        <w:jc w:val="center"/>
        <w:rPr>
          <w:rFonts w:ascii="宋体" w:hAnsi="宋体" w:cs="宋体"/>
          <w:sz w:val="24"/>
          <w:lang w:val="zh-CN"/>
        </w:rPr>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4"/>
          <w:lang w:val="zh-CN"/>
        </w:rPr>
        <w:t>商务与技术文件）</w:t>
      </w:r>
    </w:p>
    <w:p>
      <w:pPr>
        <w:pStyle w:val="21"/>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rPr>
          <w:rFonts w:ascii="仿宋_GB2312" w:hAnsi="宋体" w:eastAsia="仿宋_GB2312"/>
          <w:b/>
          <w:sz w:val="36"/>
          <w:szCs w:val="36"/>
        </w:rPr>
      </w:pPr>
    </w:p>
    <w:p>
      <w:pPr>
        <w:pStyle w:val="8"/>
        <w:rPr>
          <w:rFonts w:ascii="仿宋_GB2312" w:hAnsi="宋体" w:eastAsia="仿宋_GB2312"/>
          <w:b/>
          <w:sz w:val="36"/>
          <w:szCs w:val="36"/>
        </w:rPr>
      </w:pPr>
    </w:p>
    <w:p>
      <w:pPr>
        <w:jc w:val="both"/>
        <w:rPr>
          <w:b/>
          <w:bCs/>
          <w:sz w:val="32"/>
          <w:szCs w:val="32"/>
          <w:lang w:val="zh-CN"/>
        </w:rPr>
      </w:pPr>
      <w:bookmarkStart w:id="73" w:name="_Toc5889_WPSOffice_Level1"/>
      <w:bookmarkStart w:id="74" w:name="_Toc11308_WPSOffice_Level1"/>
    </w:p>
    <w:p>
      <w:pPr>
        <w:rPr>
          <w:rFonts w:hint="eastAsia"/>
          <w:b/>
          <w:bCs/>
          <w:sz w:val="36"/>
          <w:szCs w:val="36"/>
          <w:lang w:val="zh-CN"/>
        </w:rPr>
      </w:pPr>
      <w:r>
        <w:rPr>
          <w:rFonts w:hint="eastAsia"/>
          <w:b/>
          <w:bCs/>
          <w:sz w:val="36"/>
          <w:szCs w:val="36"/>
          <w:lang w:val="zh-CN"/>
        </w:rPr>
        <w:br w:type="page"/>
      </w:r>
    </w:p>
    <w:p>
      <w:pPr>
        <w:jc w:val="center"/>
        <w:rPr>
          <w:b/>
          <w:bCs/>
          <w:sz w:val="36"/>
          <w:szCs w:val="36"/>
        </w:rPr>
      </w:pPr>
      <w:r>
        <w:rPr>
          <w:rFonts w:hint="eastAsia"/>
          <w:b/>
          <w:bCs/>
          <w:sz w:val="36"/>
          <w:szCs w:val="36"/>
          <w:lang w:val="zh-CN"/>
        </w:rPr>
        <w:t>商务与技术文件</w:t>
      </w:r>
      <w:r>
        <w:rPr>
          <w:rFonts w:hint="eastAsia"/>
          <w:b/>
          <w:bCs/>
          <w:sz w:val="36"/>
          <w:szCs w:val="36"/>
        </w:rPr>
        <w:t>目录</w:t>
      </w:r>
      <w:bookmarkEnd w:id="73"/>
      <w:bookmarkEnd w:id="74"/>
    </w:p>
    <w:p>
      <w:pPr>
        <w:spacing w:line="360" w:lineRule="auto"/>
        <w:rPr>
          <w:sz w:val="24"/>
          <w:szCs w:val="24"/>
        </w:rPr>
      </w:pPr>
    </w:p>
    <w:p>
      <w:pPr>
        <w:spacing w:line="360" w:lineRule="auto"/>
        <w:ind w:firstLine="562" w:firstLineChars="200"/>
        <w:rPr>
          <w:b/>
          <w:bCs/>
          <w:sz w:val="28"/>
          <w:szCs w:val="28"/>
        </w:rPr>
      </w:pPr>
      <w:bookmarkStart w:id="75" w:name="_Toc21250_WPSOffice_Level1"/>
      <w:bookmarkStart w:id="76" w:name="_Toc20529_WPSOffice_Level1"/>
      <w:r>
        <w:rPr>
          <w:rFonts w:hint="eastAsia"/>
          <w:b/>
          <w:bCs/>
          <w:sz w:val="28"/>
          <w:szCs w:val="28"/>
        </w:rPr>
        <w:t>第一部分  技术方案描述部分</w:t>
      </w:r>
      <w:bookmarkEnd w:id="75"/>
      <w:bookmarkEnd w:id="76"/>
    </w:p>
    <w:p>
      <w:pPr>
        <w:numPr>
          <w:ilvl w:val="0"/>
          <w:numId w:val="17"/>
        </w:numPr>
        <w:spacing w:line="360" w:lineRule="auto"/>
        <w:ind w:left="5" w:firstLine="415"/>
        <w:rPr>
          <w:sz w:val="28"/>
          <w:szCs w:val="28"/>
        </w:rPr>
      </w:pPr>
      <w:r>
        <w:rPr>
          <w:rFonts w:hint="eastAsia"/>
          <w:sz w:val="28"/>
          <w:szCs w:val="28"/>
        </w:rPr>
        <w:t>投标人情况介绍（附件</w:t>
      </w:r>
      <w:r>
        <w:rPr>
          <w:rFonts w:hint="eastAsia"/>
          <w:sz w:val="28"/>
          <w:szCs w:val="28"/>
          <w:lang w:val="en-US" w:eastAsia="zh-CN"/>
        </w:rPr>
        <w:t>4</w:t>
      </w:r>
      <w:r>
        <w:rPr>
          <w:rFonts w:hint="eastAsia"/>
          <w:sz w:val="28"/>
          <w:szCs w:val="28"/>
        </w:rPr>
        <w:t>）</w:t>
      </w:r>
    </w:p>
    <w:p>
      <w:pPr>
        <w:numPr>
          <w:ilvl w:val="0"/>
          <w:numId w:val="17"/>
        </w:numPr>
        <w:spacing w:line="360" w:lineRule="auto"/>
        <w:ind w:left="5" w:firstLine="415"/>
        <w:rPr>
          <w:sz w:val="28"/>
          <w:szCs w:val="28"/>
        </w:rPr>
      </w:pPr>
      <w:r>
        <w:rPr>
          <w:rFonts w:hint="eastAsia"/>
          <w:sz w:val="28"/>
          <w:szCs w:val="28"/>
        </w:rPr>
        <w:t>项目需求的理解与分析</w:t>
      </w:r>
    </w:p>
    <w:p>
      <w:pPr>
        <w:numPr>
          <w:ilvl w:val="0"/>
          <w:numId w:val="17"/>
        </w:numPr>
        <w:spacing w:line="360" w:lineRule="auto"/>
        <w:ind w:left="5" w:firstLine="415"/>
        <w:rPr>
          <w:sz w:val="28"/>
          <w:szCs w:val="28"/>
        </w:rPr>
      </w:pPr>
      <w:r>
        <w:rPr>
          <w:rFonts w:hint="eastAsia"/>
          <w:sz w:val="28"/>
          <w:szCs w:val="28"/>
        </w:rPr>
        <w:t>总体设计（技术、服务）方案</w:t>
      </w:r>
    </w:p>
    <w:p>
      <w:pPr>
        <w:numPr>
          <w:ilvl w:val="0"/>
          <w:numId w:val="17"/>
        </w:numPr>
        <w:spacing w:line="360" w:lineRule="auto"/>
        <w:ind w:left="5" w:firstLine="415"/>
        <w:rPr>
          <w:sz w:val="28"/>
          <w:szCs w:val="28"/>
        </w:rPr>
      </w:pPr>
      <w:r>
        <w:rPr>
          <w:rFonts w:hint="eastAsia"/>
          <w:sz w:val="28"/>
          <w:szCs w:val="28"/>
        </w:rPr>
        <w:t>功能设计方案</w:t>
      </w:r>
    </w:p>
    <w:p>
      <w:pPr>
        <w:numPr>
          <w:ilvl w:val="0"/>
          <w:numId w:val="17"/>
        </w:numPr>
        <w:spacing w:line="360" w:lineRule="auto"/>
        <w:ind w:left="5" w:firstLine="415"/>
        <w:rPr>
          <w:sz w:val="28"/>
          <w:szCs w:val="28"/>
        </w:rPr>
      </w:pPr>
      <w:r>
        <w:rPr>
          <w:rFonts w:hint="eastAsia"/>
          <w:sz w:val="28"/>
          <w:szCs w:val="28"/>
        </w:rPr>
        <w:t>质量保证方案</w:t>
      </w:r>
    </w:p>
    <w:p>
      <w:pPr>
        <w:numPr>
          <w:ilvl w:val="0"/>
          <w:numId w:val="17"/>
        </w:numPr>
        <w:spacing w:line="360" w:lineRule="auto"/>
        <w:ind w:left="5" w:firstLine="415"/>
        <w:rPr>
          <w:sz w:val="28"/>
          <w:szCs w:val="28"/>
        </w:rPr>
      </w:pPr>
      <w:r>
        <w:rPr>
          <w:rFonts w:hint="eastAsia"/>
          <w:sz w:val="28"/>
          <w:szCs w:val="28"/>
        </w:rPr>
        <w:t>项目实施方案</w:t>
      </w:r>
    </w:p>
    <w:p>
      <w:pPr>
        <w:numPr>
          <w:ilvl w:val="0"/>
          <w:numId w:val="17"/>
        </w:numPr>
        <w:spacing w:line="360" w:lineRule="auto"/>
        <w:ind w:left="5" w:firstLine="415"/>
        <w:rPr>
          <w:rFonts w:hint="eastAsia"/>
          <w:sz w:val="28"/>
          <w:szCs w:val="28"/>
        </w:rPr>
      </w:pPr>
      <w:r>
        <w:rPr>
          <w:rFonts w:hint="eastAsia"/>
          <w:sz w:val="28"/>
          <w:szCs w:val="28"/>
          <w:lang w:val="en-US" w:eastAsia="zh-CN"/>
        </w:rPr>
        <w:t>项目分包方案</w:t>
      </w:r>
    </w:p>
    <w:p>
      <w:pPr>
        <w:numPr>
          <w:ilvl w:val="0"/>
          <w:numId w:val="17"/>
        </w:numPr>
        <w:spacing w:line="360" w:lineRule="auto"/>
        <w:ind w:left="5" w:firstLine="415"/>
        <w:rPr>
          <w:sz w:val="28"/>
          <w:szCs w:val="28"/>
        </w:rPr>
      </w:pPr>
      <w:r>
        <w:rPr>
          <w:rFonts w:hint="eastAsia"/>
          <w:sz w:val="28"/>
          <w:szCs w:val="28"/>
        </w:rPr>
        <w:t>技术需求响应表（附件</w:t>
      </w:r>
      <w:r>
        <w:rPr>
          <w:rFonts w:hint="eastAsia"/>
          <w:sz w:val="28"/>
          <w:szCs w:val="28"/>
          <w:lang w:val="en-US" w:eastAsia="zh-CN"/>
        </w:rPr>
        <w:t>5</w:t>
      </w:r>
      <w:r>
        <w:rPr>
          <w:rFonts w:hint="eastAsia"/>
          <w:sz w:val="28"/>
          <w:szCs w:val="28"/>
        </w:rPr>
        <w:t>）</w:t>
      </w:r>
    </w:p>
    <w:p>
      <w:pPr>
        <w:numPr>
          <w:ilvl w:val="0"/>
          <w:numId w:val="17"/>
        </w:numPr>
        <w:spacing w:line="360" w:lineRule="auto"/>
        <w:ind w:left="5" w:firstLine="415"/>
        <w:rPr>
          <w:sz w:val="28"/>
          <w:szCs w:val="28"/>
        </w:rPr>
      </w:pPr>
      <w:r>
        <w:rPr>
          <w:rFonts w:hint="eastAsia"/>
          <w:sz w:val="28"/>
          <w:szCs w:val="28"/>
        </w:rPr>
        <w:t>项目实施人员一览表（附件</w:t>
      </w:r>
      <w:r>
        <w:rPr>
          <w:rFonts w:hint="eastAsia"/>
          <w:sz w:val="28"/>
          <w:szCs w:val="28"/>
          <w:lang w:val="en-US" w:eastAsia="zh-CN"/>
        </w:rPr>
        <w:t>6</w:t>
      </w:r>
      <w:r>
        <w:rPr>
          <w:rFonts w:hint="eastAsia"/>
          <w:sz w:val="28"/>
          <w:szCs w:val="28"/>
        </w:rPr>
        <w:t>）</w:t>
      </w:r>
    </w:p>
    <w:p>
      <w:pPr>
        <w:numPr>
          <w:ilvl w:val="0"/>
          <w:numId w:val="17"/>
        </w:numPr>
        <w:spacing w:line="360" w:lineRule="auto"/>
        <w:ind w:left="5" w:firstLine="415"/>
        <w:rPr>
          <w:sz w:val="28"/>
          <w:szCs w:val="28"/>
        </w:rPr>
      </w:pPr>
      <w:r>
        <w:rPr>
          <w:rFonts w:hint="eastAsia"/>
          <w:sz w:val="28"/>
          <w:szCs w:val="28"/>
        </w:rPr>
        <w:t>工程量/原材料、人工费清单（均不含报价）</w:t>
      </w:r>
    </w:p>
    <w:p>
      <w:pPr>
        <w:numPr>
          <w:ilvl w:val="0"/>
          <w:numId w:val="17"/>
        </w:numPr>
        <w:spacing w:line="360" w:lineRule="auto"/>
        <w:ind w:left="5" w:firstLine="415"/>
        <w:rPr>
          <w:sz w:val="28"/>
          <w:szCs w:val="28"/>
        </w:rPr>
      </w:pPr>
      <w:r>
        <w:rPr>
          <w:rFonts w:hint="eastAsia"/>
          <w:sz w:val="28"/>
          <w:szCs w:val="28"/>
        </w:rPr>
        <w:t>项目负责人资格情况表（附件</w:t>
      </w:r>
      <w:r>
        <w:rPr>
          <w:rFonts w:hint="eastAsia"/>
          <w:sz w:val="28"/>
          <w:szCs w:val="28"/>
          <w:lang w:val="en-US" w:eastAsia="zh-CN"/>
        </w:rPr>
        <w:t>7</w:t>
      </w:r>
      <w:r>
        <w:rPr>
          <w:rFonts w:hint="eastAsia"/>
          <w:sz w:val="28"/>
          <w:szCs w:val="28"/>
        </w:rPr>
        <w:t>）</w:t>
      </w:r>
    </w:p>
    <w:p>
      <w:pPr>
        <w:numPr>
          <w:ilvl w:val="0"/>
          <w:numId w:val="17"/>
        </w:numPr>
        <w:spacing w:line="360" w:lineRule="auto"/>
        <w:ind w:left="5" w:firstLine="415"/>
        <w:rPr>
          <w:sz w:val="28"/>
          <w:szCs w:val="28"/>
        </w:rPr>
      </w:pPr>
      <w:r>
        <w:rPr>
          <w:rFonts w:hint="eastAsia"/>
          <w:sz w:val="28"/>
          <w:szCs w:val="28"/>
        </w:rPr>
        <w:t>安装、调试及验收方案（包括项目验收标准和验收方法等）</w:t>
      </w:r>
    </w:p>
    <w:p>
      <w:pPr>
        <w:numPr>
          <w:ilvl w:val="0"/>
          <w:numId w:val="17"/>
        </w:numPr>
        <w:spacing w:line="360" w:lineRule="auto"/>
        <w:ind w:left="5" w:firstLine="415"/>
        <w:rPr>
          <w:sz w:val="28"/>
          <w:szCs w:val="28"/>
        </w:rPr>
      </w:pPr>
      <w:r>
        <w:rPr>
          <w:rFonts w:hint="eastAsia"/>
          <w:sz w:val="28"/>
          <w:szCs w:val="28"/>
        </w:rPr>
        <w:t>实施服务与保障的能力及方案（包括服务方式、服务网点、技术培训、实施期与运维期服务的内容和措施等）（附件</w:t>
      </w:r>
      <w:r>
        <w:rPr>
          <w:rFonts w:hint="eastAsia"/>
          <w:sz w:val="28"/>
          <w:szCs w:val="28"/>
          <w:lang w:val="en-US" w:eastAsia="zh-CN"/>
        </w:rPr>
        <w:t>8</w:t>
      </w:r>
      <w:r>
        <w:rPr>
          <w:rFonts w:hint="eastAsia"/>
          <w:sz w:val="28"/>
          <w:szCs w:val="28"/>
        </w:rPr>
        <w:t>）</w:t>
      </w:r>
    </w:p>
    <w:p>
      <w:pPr>
        <w:numPr>
          <w:ilvl w:val="0"/>
          <w:numId w:val="17"/>
        </w:numPr>
        <w:spacing w:line="360" w:lineRule="auto"/>
        <w:ind w:left="5" w:firstLine="415"/>
        <w:rPr>
          <w:rFonts w:hint="default"/>
          <w:sz w:val="28"/>
          <w:szCs w:val="28"/>
          <w:lang w:val="en-US" w:eastAsia="zh-CN"/>
        </w:rPr>
      </w:pPr>
      <w:r>
        <w:rPr>
          <w:rFonts w:hint="eastAsia"/>
          <w:sz w:val="28"/>
          <w:szCs w:val="28"/>
        </w:rPr>
        <w:t>投标人需要说明的其他内容（包括可能影响投标人技术性能评分项的各类证明材料）</w:t>
      </w:r>
    </w:p>
    <w:p>
      <w:pPr>
        <w:spacing w:line="360" w:lineRule="auto"/>
        <w:ind w:firstLine="562" w:firstLineChars="200"/>
        <w:rPr>
          <w:b/>
          <w:bCs/>
          <w:sz w:val="28"/>
          <w:szCs w:val="28"/>
        </w:rPr>
      </w:pPr>
      <w:bookmarkStart w:id="77" w:name="_Toc30029_WPSOffice_Level1"/>
      <w:bookmarkStart w:id="78" w:name="_Toc20986_WPSOffice_Level1"/>
      <w:r>
        <w:rPr>
          <w:rFonts w:hint="eastAsia"/>
          <w:b/>
          <w:bCs/>
          <w:sz w:val="28"/>
          <w:szCs w:val="28"/>
        </w:rPr>
        <w:t xml:space="preserve">第二部分  </w:t>
      </w:r>
      <w:bookmarkEnd w:id="77"/>
      <w:bookmarkEnd w:id="78"/>
      <w:r>
        <w:rPr>
          <w:rFonts w:hint="eastAsia"/>
          <w:b/>
          <w:bCs/>
          <w:sz w:val="28"/>
          <w:szCs w:val="28"/>
        </w:rPr>
        <w:t>商务响应及其他部分</w:t>
      </w:r>
    </w:p>
    <w:p>
      <w:pPr>
        <w:numPr>
          <w:ilvl w:val="0"/>
          <w:numId w:val="18"/>
        </w:numPr>
        <w:spacing w:line="360" w:lineRule="auto"/>
        <w:ind w:hanging="5"/>
        <w:rPr>
          <w:sz w:val="28"/>
          <w:szCs w:val="28"/>
        </w:rPr>
      </w:pPr>
      <w:r>
        <w:rPr>
          <w:rFonts w:hint="eastAsia"/>
          <w:sz w:val="28"/>
          <w:szCs w:val="28"/>
        </w:rPr>
        <w:t>证书一览表（附件</w:t>
      </w:r>
      <w:r>
        <w:rPr>
          <w:rFonts w:hint="eastAsia"/>
          <w:sz w:val="28"/>
          <w:szCs w:val="28"/>
          <w:lang w:val="en-US" w:eastAsia="zh-CN"/>
        </w:rPr>
        <w:t>9</w:t>
      </w:r>
      <w:r>
        <w:rPr>
          <w:rFonts w:hint="eastAsia"/>
          <w:sz w:val="28"/>
          <w:szCs w:val="28"/>
        </w:rPr>
        <w:t>）</w:t>
      </w:r>
    </w:p>
    <w:p>
      <w:pPr>
        <w:numPr>
          <w:ilvl w:val="0"/>
          <w:numId w:val="18"/>
        </w:numPr>
        <w:spacing w:line="360" w:lineRule="auto"/>
        <w:ind w:hanging="5"/>
        <w:rPr>
          <w:sz w:val="28"/>
          <w:szCs w:val="28"/>
        </w:rPr>
      </w:pPr>
      <w:r>
        <w:rPr>
          <w:rFonts w:hint="eastAsia"/>
          <w:sz w:val="28"/>
          <w:szCs w:val="28"/>
        </w:rPr>
        <w:t>近三年来类似项目的成功案例（附件</w:t>
      </w:r>
      <w:r>
        <w:rPr>
          <w:rFonts w:hint="eastAsia"/>
          <w:sz w:val="28"/>
          <w:szCs w:val="28"/>
          <w:lang w:val="en-US" w:eastAsia="zh-CN"/>
        </w:rPr>
        <w:t>10</w:t>
      </w:r>
      <w:r>
        <w:rPr>
          <w:rFonts w:hint="eastAsia"/>
          <w:sz w:val="28"/>
          <w:szCs w:val="28"/>
        </w:rPr>
        <w:t>）</w:t>
      </w:r>
    </w:p>
    <w:p>
      <w:pPr>
        <w:pStyle w:val="8"/>
        <w:numPr>
          <w:ilvl w:val="0"/>
          <w:numId w:val="18"/>
        </w:numPr>
        <w:spacing w:line="360" w:lineRule="auto"/>
        <w:ind w:hanging="5"/>
        <w:rPr>
          <w:sz w:val="28"/>
          <w:szCs w:val="28"/>
        </w:rPr>
      </w:pPr>
      <w:r>
        <w:rPr>
          <w:rFonts w:hint="eastAsia"/>
          <w:sz w:val="28"/>
          <w:szCs w:val="28"/>
        </w:rPr>
        <w:t>商务需求响应表（附件1</w:t>
      </w:r>
      <w:r>
        <w:rPr>
          <w:rFonts w:hint="eastAsia"/>
          <w:sz w:val="28"/>
          <w:szCs w:val="28"/>
          <w:lang w:val="en-US" w:eastAsia="zh-CN"/>
        </w:rPr>
        <w:t>1</w:t>
      </w:r>
      <w:r>
        <w:rPr>
          <w:rFonts w:hint="eastAsia"/>
          <w:sz w:val="28"/>
          <w:szCs w:val="28"/>
        </w:rPr>
        <w:t>）</w:t>
      </w:r>
    </w:p>
    <w:p>
      <w:pPr>
        <w:pStyle w:val="8"/>
        <w:spacing w:line="360" w:lineRule="auto"/>
        <w:ind w:firstLine="480" w:firstLineChars="200"/>
        <w:rPr>
          <w:sz w:val="24"/>
          <w:szCs w:val="24"/>
        </w:rPr>
      </w:pPr>
    </w:p>
    <w:p>
      <w:pPr>
        <w:pStyle w:val="8"/>
        <w:ind w:left="0" w:leftChars="0" w:firstLine="0" w:firstLineChars="0"/>
        <w:rPr>
          <w:sz w:val="28"/>
          <w:szCs w:val="28"/>
        </w:rPr>
      </w:pPr>
    </w:p>
    <w:p>
      <w:pPr>
        <w:rPr>
          <w:rFonts w:hint="eastAsia"/>
          <w:b/>
          <w:color w:val="auto"/>
          <w:sz w:val="28"/>
        </w:rPr>
      </w:pPr>
    </w:p>
    <w:p>
      <w:pPr>
        <w:pStyle w:val="32"/>
        <w:shd w:val="clear" w:color="auto" w:fill="FFFFFF"/>
        <w:spacing w:before="0" w:beforeAutospacing="0" w:after="0" w:afterAutospacing="0" w:line="360" w:lineRule="auto"/>
        <w:rPr>
          <w:rFonts w:hint="eastAsia" w:eastAsia="宋体"/>
          <w:b/>
          <w:color w:val="auto"/>
          <w:sz w:val="28"/>
          <w:lang w:eastAsia="zh-CN"/>
        </w:rPr>
      </w:pPr>
      <w:r>
        <w:rPr>
          <w:rFonts w:hint="eastAsia"/>
          <w:b/>
          <w:color w:val="auto"/>
          <w:sz w:val="28"/>
        </w:rPr>
        <w:t>附件</w:t>
      </w:r>
      <w:r>
        <w:rPr>
          <w:rFonts w:hint="eastAsia"/>
          <w:b/>
          <w:color w:val="auto"/>
          <w:sz w:val="28"/>
          <w:lang w:val="en-US" w:eastAsia="zh-CN"/>
        </w:rPr>
        <w:t>4</w:t>
      </w:r>
    </w:p>
    <w:p>
      <w:pPr>
        <w:pStyle w:val="32"/>
        <w:shd w:val="clear" w:color="auto" w:fill="FFFFFF"/>
        <w:spacing w:before="0" w:beforeAutospacing="0" w:after="0" w:afterAutospacing="0" w:line="360" w:lineRule="auto"/>
        <w:jc w:val="center"/>
        <w:rPr>
          <w:rFonts w:eastAsia="微软雅黑"/>
          <w:color w:val="auto"/>
          <w:sz w:val="36"/>
          <w:szCs w:val="36"/>
        </w:rPr>
      </w:pPr>
      <w:r>
        <w:rPr>
          <w:rFonts w:hint="eastAsia"/>
          <w:b/>
          <w:color w:val="auto"/>
          <w:sz w:val="32"/>
          <w:szCs w:val="32"/>
        </w:rPr>
        <w:t xml:space="preserve">  </w:t>
      </w:r>
      <w:bookmarkStart w:id="79" w:name="_Toc13307_WPSOffice_Level1"/>
      <w:bookmarkStart w:id="80" w:name="_Toc14261_WPSOffice_Level1"/>
      <w:r>
        <w:rPr>
          <w:rFonts w:hint="eastAsia"/>
          <w:b/>
          <w:color w:val="auto"/>
          <w:sz w:val="32"/>
          <w:szCs w:val="32"/>
        </w:rPr>
        <w:t>投标</w:t>
      </w:r>
      <w:r>
        <w:rPr>
          <w:rFonts w:hint="eastAsia"/>
          <w:b/>
          <w:bCs/>
          <w:color w:val="auto"/>
          <w:sz w:val="32"/>
          <w:szCs w:val="32"/>
        </w:rPr>
        <w:t>人基本情况表</w:t>
      </w:r>
      <w:bookmarkEnd w:id="79"/>
      <w:bookmarkEnd w:id="80"/>
    </w:p>
    <w:tbl>
      <w:tblPr>
        <w:tblStyle w:val="22"/>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法人代表</w:t>
            </w:r>
          </w:p>
        </w:tc>
        <w:tc>
          <w:tcPr>
            <w:tcW w:w="2151"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股东姓名</w:t>
            </w:r>
          </w:p>
        </w:tc>
        <w:tc>
          <w:tcPr>
            <w:tcW w:w="701" w:type="dxa"/>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32"/>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32"/>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bCs/>
              </w:rPr>
              <w:t>1</w:t>
            </w:r>
            <w:r>
              <w:rPr>
                <w:rFonts w:hint="eastAsia"/>
                <w:bCs/>
              </w:rPr>
              <w:t>.</w:t>
            </w:r>
          </w:p>
          <w:p>
            <w:pPr>
              <w:pStyle w:val="32"/>
              <w:shd w:val="clear" w:color="auto" w:fill="FFFFFF"/>
              <w:spacing w:before="0" w:beforeAutospacing="0" w:after="0" w:afterAutospacing="0"/>
              <w:jc w:val="center"/>
              <w:rPr>
                <w:bCs/>
              </w:rPr>
            </w:pPr>
            <w:r>
              <w:rPr>
                <w:rFonts w:hint="eastAsia"/>
                <w:bCs/>
              </w:rPr>
              <w:t>企</w:t>
            </w:r>
          </w:p>
          <w:p>
            <w:pPr>
              <w:pStyle w:val="32"/>
              <w:shd w:val="clear" w:color="auto" w:fill="FFFFFF"/>
              <w:spacing w:before="0" w:beforeAutospacing="0" w:after="0" w:afterAutospacing="0"/>
              <w:jc w:val="center"/>
              <w:rPr>
                <w:bCs/>
              </w:rPr>
            </w:pPr>
            <w:r>
              <w:rPr>
                <w:rFonts w:hint="eastAsia"/>
                <w:bCs/>
              </w:rPr>
              <w:t>业</w:t>
            </w:r>
          </w:p>
          <w:p>
            <w:pPr>
              <w:pStyle w:val="32"/>
              <w:shd w:val="clear" w:color="auto" w:fill="FFFFFF"/>
              <w:spacing w:before="0" w:beforeAutospacing="0" w:after="0" w:afterAutospacing="0"/>
              <w:jc w:val="center"/>
              <w:rPr>
                <w:bCs/>
              </w:rPr>
            </w:pPr>
            <w:r>
              <w:rPr>
                <w:rFonts w:hint="eastAsia"/>
                <w:bCs/>
              </w:rPr>
              <w:t>概</w:t>
            </w:r>
          </w:p>
          <w:p>
            <w:pPr>
              <w:pStyle w:val="32"/>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pPr>
              <w:widowControl/>
              <w:jc w:val="center"/>
              <w:rPr>
                <w:rFonts w:ascii="宋体" w:hAnsi="宋体" w:cs="宋体"/>
                <w:bCs/>
                <w:kern w:val="0"/>
                <w:sz w:val="24"/>
              </w:rPr>
            </w:pPr>
          </w:p>
          <w:p>
            <w:pPr>
              <w:widowControl/>
              <w:jc w:val="center"/>
              <w:rPr>
                <w:rFonts w:ascii="宋体" w:hAnsi="宋体" w:cs="宋体"/>
                <w:bCs/>
                <w:kern w:val="0"/>
                <w:sz w:val="24"/>
              </w:rPr>
            </w:pPr>
          </w:p>
          <w:p>
            <w:pPr>
              <w:pStyle w:val="32"/>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pPr>
              <w:widowControl/>
              <w:jc w:val="center"/>
              <w:rPr>
                <w:rFonts w:ascii="宋体" w:hAnsi="宋体" w:cs="宋体"/>
                <w:bCs/>
                <w:kern w:val="0"/>
                <w:sz w:val="24"/>
              </w:rPr>
            </w:pPr>
          </w:p>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平方米</w:t>
            </w:r>
          </w:p>
          <w:p>
            <w:pPr>
              <w:pStyle w:val="32"/>
              <w:shd w:val="clear" w:color="auto" w:fill="FFFFFF"/>
              <w:spacing w:before="0" w:beforeAutospacing="0" w:after="0" w:afterAutospacing="0"/>
              <w:jc w:val="center"/>
              <w:rPr>
                <w:bCs/>
              </w:rPr>
            </w:pPr>
            <w:r>
              <w:rPr>
                <w:rFonts w:hint="eastAsia"/>
                <w:bCs/>
              </w:rPr>
              <w:t>□自有</w:t>
            </w:r>
          </w:p>
          <w:p>
            <w:pPr>
              <w:pStyle w:val="32"/>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pPr>
              <w:widowControl/>
              <w:jc w:val="center"/>
              <w:rPr>
                <w:rFonts w:ascii="宋体" w:hAnsi="宋体" w:cs="宋体"/>
                <w:bCs/>
                <w:kern w:val="0"/>
                <w:sz w:val="24"/>
              </w:rPr>
            </w:pPr>
          </w:p>
          <w:p>
            <w:pPr>
              <w:pStyle w:val="32"/>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bCs/>
              </w:rPr>
              <w:t>2</w:t>
            </w:r>
            <w:r>
              <w:rPr>
                <w:rFonts w:hint="eastAsia"/>
                <w:bCs/>
              </w:rPr>
              <w:t>．</w:t>
            </w:r>
          </w:p>
          <w:p>
            <w:pPr>
              <w:pStyle w:val="32"/>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pPr>
              <w:pStyle w:val="32"/>
              <w:spacing w:before="0" w:beforeAutospacing="0" w:after="0" w:afterAutospacing="0"/>
              <w:jc w:val="center"/>
              <w:rPr>
                <w:bCs/>
              </w:rPr>
            </w:pPr>
          </w:p>
        </w:tc>
        <w:tc>
          <w:tcPr>
            <w:tcW w:w="1333" w:type="dxa"/>
            <w:gridSpan w:val="3"/>
            <w:tcMar>
              <w:top w:w="57" w:type="dxa"/>
              <w:left w:w="85" w:type="dxa"/>
              <w:bottom w:w="0" w:type="dxa"/>
              <w:right w:w="85" w:type="dxa"/>
            </w:tcMar>
            <w:vAlign w:val="center"/>
          </w:tcPr>
          <w:p>
            <w:pPr>
              <w:pStyle w:val="32"/>
              <w:spacing w:before="0" w:beforeAutospacing="0" w:after="0" w:afterAutospacing="0"/>
              <w:jc w:val="center"/>
              <w:rPr>
                <w:bCs/>
              </w:rPr>
            </w:pPr>
          </w:p>
        </w:tc>
        <w:tc>
          <w:tcPr>
            <w:tcW w:w="1418" w:type="dxa"/>
            <w:gridSpan w:val="2"/>
            <w:tcMar>
              <w:top w:w="57" w:type="dxa"/>
              <w:left w:w="85" w:type="dxa"/>
              <w:bottom w:w="0" w:type="dxa"/>
              <w:right w:w="85" w:type="dxa"/>
            </w:tcMar>
            <w:vAlign w:val="center"/>
          </w:tcPr>
          <w:p>
            <w:pPr>
              <w:pStyle w:val="32"/>
              <w:spacing w:before="0" w:beforeAutospacing="0" w:after="0" w:afterAutospacing="0"/>
              <w:jc w:val="center"/>
              <w:rPr>
                <w:bCs/>
              </w:rPr>
            </w:pPr>
          </w:p>
        </w:tc>
        <w:tc>
          <w:tcPr>
            <w:tcW w:w="1276" w:type="dxa"/>
            <w:tcMar>
              <w:top w:w="57" w:type="dxa"/>
              <w:left w:w="85" w:type="dxa"/>
              <w:bottom w:w="0" w:type="dxa"/>
              <w:right w:w="85" w:type="dxa"/>
            </w:tcMar>
            <w:vAlign w:val="center"/>
          </w:tcPr>
          <w:p>
            <w:pPr>
              <w:pStyle w:val="32"/>
              <w:spacing w:before="0" w:beforeAutospacing="0" w:after="0" w:afterAutospacing="0"/>
              <w:jc w:val="center"/>
              <w:rPr>
                <w:bCs/>
              </w:rPr>
            </w:pPr>
          </w:p>
        </w:tc>
        <w:tc>
          <w:tcPr>
            <w:tcW w:w="1618" w:type="dxa"/>
            <w:gridSpan w:val="2"/>
            <w:tcMar>
              <w:top w:w="57" w:type="dxa"/>
              <w:left w:w="85" w:type="dxa"/>
              <w:bottom w:w="0" w:type="dxa"/>
              <w:right w:w="85" w:type="dxa"/>
            </w:tcMar>
            <w:vAlign w:val="center"/>
          </w:tcPr>
          <w:p>
            <w:pPr>
              <w:pStyle w:val="32"/>
              <w:spacing w:before="0" w:beforeAutospacing="0" w:after="0" w:afterAutospacing="0"/>
              <w:jc w:val="center"/>
              <w:rPr>
                <w:bCs/>
              </w:rPr>
            </w:pPr>
          </w:p>
        </w:tc>
        <w:tc>
          <w:tcPr>
            <w:tcW w:w="933" w:type="dxa"/>
            <w:tcMar>
              <w:top w:w="57" w:type="dxa"/>
              <w:left w:w="85" w:type="dxa"/>
              <w:bottom w:w="0" w:type="dxa"/>
              <w:right w:w="85" w:type="dxa"/>
            </w:tcMar>
            <w:vAlign w:val="center"/>
          </w:tcPr>
          <w:p>
            <w:pPr>
              <w:pStyle w:val="32"/>
              <w:spacing w:before="0" w:beforeAutospacing="0" w:after="0" w:afterAutospacing="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bl>
    <w:p>
      <w:pPr>
        <w:pStyle w:val="32"/>
        <w:shd w:val="clear" w:color="auto" w:fill="FFFFFF"/>
        <w:spacing w:before="0" w:beforeAutospacing="0" w:after="0" w:afterAutospacing="0" w:line="360" w:lineRule="auto"/>
        <w:rPr>
          <w:b/>
          <w:sz w:val="21"/>
          <w:szCs w:val="21"/>
        </w:rPr>
      </w:pPr>
      <w:r>
        <w:rPr>
          <w:rFonts w:hint="eastAsia"/>
          <w:b/>
          <w:sz w:val="21"/>
          <w:szCs w:val="21"/>
        </w:rPr>
        <w:t>要求：</w:t>
      </w:r>
    </w:p>
    <w:p>
      <w:pPr>
        <w:pStyle w:val="32"/>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2"/>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4"/>
        </w:rPr>
      </w:pPr>
    </w:p>
    <w:p>
      <w:pPr>
        <w:spacing w:line="360" w:lineRule="auto"/>
        <w:rPr>
          <w:rFonts w:ascii="宋体" w:hAnsi="宋体"/>
          <w:b/>
          <w:sz w:val="28"/>
        </w:rPr>
      </w:pPr>
    </w:p>
    <w:p>
      <w:pPr>
        <w:pStyle w:val="21"/>
      </w:pPr>
    </w:p>
    <w:p>
      <w:pPr>
        <w:pStyle w:val="21"/>
      </w:pPr>
    </w:p>
    <w:p>
      <w:pPr>
        <w:pStyle w:val="21"/>
      </w:pPr>
    </w:p>
    <w:p>
      <w:pPr>
        <w:pStyle w:val="21"/>
      </w:pPr>
    </w:p>
    <w:p>
      <w:pPr>
        <w:pStyle w:val="21"/>
      </w:pPr>
    </w:p>
    <w:p>
      <w:pPr>
        <w:pStyle w:val="21"/>
      </w:pPr>
    </w:p>
    <w:p>
      <w:pPr>
        <w:pStyle w:val="21"/>
      </w:pPr>
    </w:p>
    <w:p>
      <w:pPr>
        <w:pStyle w:val="21"/>
        <w:ind w:left="0" w:leftChars="0" w:firstLine="0" w:firstLineChars="0"/>
      </w:pPr>
    </w:p>
    <w:p>
      <w:pPr>
        <w:rPr>
          <w:rFonts w:hint="eastAsia" w:ascii="宋体" w:hAnsi="宋体"/>
          <w:b/>
          <w:sz w:val="28"/>
        </w:rPr>
      </w:pPr>
      <w:r>
        <w:rPr>
          <w:rFonts w:hint="eastAsia" w:ascii="宋体" w:hAnsi="宋体"/>
          <w:b/>
          <w:sz w:val="28"/>
        </w:rPr>
        <w:br w:type="page"/>
      </w:r>
    </w:p>
    <w:p>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5</w:t>
      </w:r>
    </w:p>
    <w:p>
      <w:pPr>
        <w:spacing w:line="360" w:lineRule="auto"/>
        <w:jc w:val="center"/>
        <w:rPr>
          <w:rFonts w:ascii="宋体" w:hAnsi="宋体"/>
          <w:sz w:val="24"/>
        </w:rPr>
      </w:pPr>
      <w:bookmarkStart w:id="81" w:name="_Toc12856_WPSOffice_Level1"/>
      <w:bookmarkStart w:id="82" w:name="_Toc26601_WPSOffice_Level1"/>
      <w:r>
        <w:rPr>
          <w:rFonts w:ascii="宋体" w:hAnsi="宋体"/>
          <w:b/>
          <w:bCs/>
          <w:kern w:val="0"/>
          <w:sz w:val="32"/>
          <w:szCs w:val="32"/>
        </w:rPr>
        <w:t>技术</w:t>
      </w:r>
      <w:r>
        <w:rPr>
          <w:rFonts w:hint="eastAsia" w:ascii="宋体" w:hAnsi="宋体"/>
          <w:b/>
          <w:bCs/>
          <w:kern w:val="0"/>
          <w:sz w:val="32"/>
          <w:szCs w:val="32"/>
        </w:rPr>
        <w:t>需求</w:t>
      </w:r>
      <w:r>
        <w:rPr>
          <w:rFonts w:ascii="宋体" w:hAnsi="宋体"/>
          <w:b/>
          <w:bCs/>
          <w:kern w:val="0"/>
          <w:sz w:val="32"/>
          <w:szCs w:val="32"/>
        </w:rPr>
        <w:t>响应表</w:t>
      </w:r>
      <w:bookmarkEnd w:id="81"/>
      <w:bookmarkEnd w:id="82"/>
    </w:p>
    <w:tbl>
      <w:tblPr>
        <w:tblStyle w:val="22"/>
        <w:tblpPr w:leftFromText="181" w:rightFromText="181" w:bottomFromText="170" w:vertAnchor="text" w:tblpXSpec="lef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名称</w:t>
            </w:r>
          </w:p>
        </w:tc>
        <w:tc>
          <w:tcPr>
            <w:tcW w:w="1560" w:type="dxa"/>
            <w:tcMar>
              <w:top w:w="57" w:type="dxa"/>
              <w:left w:w="108" w:type="dxa"/>
              <w:bottom w:w="0" w:type="dxa"/>
              <w:right w:w="108" w:type="dxa"/>
            </w:tcMar>
            <w:vAlign w:val="center"/>
          </w:tcPr>
          <w:p>
            <w:pPr>
              <w:ind w:left="152"/>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招标参数</w:t>
            </w: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投标参数</w:t>
            </w: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偏离说明</w:t>
            </w: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bl>
    <w:p>
      <w:pPr>
        <w:pStyle w:val="34"/>
        <w:tabs>
          <w:tab w:val="left" w:pos="360"/>
        </w:tabs>
        <w:spacing w:line="360" w:lineRule="auto"/>
        <w:ind w:right="84" w:rightChars="40"/>
        <w:rPr>
          <w:rFonts w:ascii="宋体"/>
          <w:b/>
          <w:szCs w:val="21"/>
        </w:rPr>
      </w:pPr>
      <w:r>
        <w:rPr>
          <w:rFonts w:hint="eastAsia" w:ascii="宋体"/>
          <w:b/>
          <w:szCs w:val="21"/>
        </w:rPr>
        <w:t>要求：</w:t>
      </w:r>
    </w:p>
    <w:p>
      <w:pPr>
        <w:pStyle w:val="34"/>
        <w:tabs>
          <w:tab w:val="left" w:pos="360"/>
        </w:tabs>
        <w:spacing w:line="360" w:lineRule="auto"/>
        <w:ind w:right="84" w:rightChars="40" w:firstLine="420" w:firstLineChars="200"/>
        <w:rPr>
          <w:rFonts w:ascii="宋体"/>
          <w:szCs w:val="21"/>
        </w:rPr>
      </w:pPr>
      <w:r>
        <w:rPr>
          <w:rFonts w:hint="eastAsia" w:ascii="宋体"/>
          <w:szCs w:val="21"/>
        </w:rPr>
        <w:t>1. 本表的名称须与《报价明细表》一致。</w:t>
      </w:r>
    </w:p>
    <w:p>
      <w:pPr>
        <w:pStyle w:val="34"/>
        <w:spacing w:line="360" w:lineRule="auto"/>
        <w:ind w:right="84" w:rightChars="40" w:firstLine="420" w:firstLineChars="200"/>
        <w:rPr>
          <w:rFonts w:hint="eastAsia" w:ascii="宋体" w:eastAsia="宋体"/>
          <w:b/>
          <w:bCs/>
          <w:color w:val="FF0000"/>
          <w:szCs w:val="21"/>
          <w:lang w:val="en-US" w:eastAsia="zh-CN"/>
        </w:rPr>
      </w:pPr>
      <w:r>
        <w:rPr>
          <w:rFonts w:hint="eastAsia" w:ascii="宋体"/>
          <w:szCs w:val="21"/>
        </w:rPr>
        <w:t>2.本表参照本招标文件第二部分“招标需求”内第二条“具体技术需求”填制，投标人应根据投标设备的性能指标、服务指标，对照招标文件要求在“偏离情况”栏注明“正偏离”、“负偏离”或“无偏离”。</w:t>
      </w:r>
      <w:r>
        <w:rPr>
          <w:rFonts w:hint="eastAsia" w:ascii="宋体"/>
          <w:b/>
          <w:bCs/>
          <w:color w:val="FF0000"/>
          <w:szCs w:val="21"/>
          <w:lang w:eastAsia="zh-CN"/>
        </w:rPr>
        <w:t>（特别说明：由于本项目需求内容较多，此项只需列出存在偏离的内容，</w:t>
      </w:r>
      <w:r>
        <w:rPr>
          <w:rFonts w:hint="eastAsia" w:ascii="宋体"/>
          <w:b/>
          <w:bCs/>
          <w:color w:val="FF0000"/>
          <w:szCs w:val="21"/>
          <w:lang w:val="en-US" w:eastAsia="zh-CN"/>
        </w:rPr>
        <w:t>并承诺</w:t>
      </w:r>
      <w:r>
        <w:rPr>
          <w:rFonts w:hint="eastAsia" w:ascii="宋体"/>
          <w:b/>
          <w:bCs/>
          <w:color w:val="FF0000"/>
          <w:szCs w:val="21"/>
          <w:lang w:eastAsia="zh-CN"/>
        </w:rPr>
        <w:t>其余无偏离）</w:t>
      </w:r>
    </w:p>
    <w:p>
      <w:pPr>
        <w:pStyle w:val="34"/>
        <w:spacing w:line="360" w:lineRule="auto"/>
        <w:ind w:right="84" w:rightChars="40" w:firstLine="420" w:firstLineChars="200"/>
        <w:rPr>
          <w:rFonts w:ascii="宋体"/>
          <w:szCs w:val="21"/>
        </w:rPr>
      </w:pPr>
      <w:r>
        <w:rPr>
          <w:rFonts w:hint="eastAsia" w:ascii="宋体"/>
          <w:szCs w:val="21"/>
        </w:rPr>
        <w:t>3.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21"/>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hint="eastAsia" w:ascii="宋体" w:hAnsi="宋体"/>
          <w:b/>
          <w:sz w:val="28"/>
        </w:rPr>
      </w:pPr>
      <w:r>
        <w:rPr>
          <w:rFonts w:hint="eastAsia" w:ascii="宋体" w:hAnsi="宋体"/>
          <w:sz w:val="24"/>
        </w:rPr>
        <w:t>日        期：</w:t>
      </w:r>
    </w:p>
    <w:p>
      <w:pPr>
        <w:spacing w:line="360" w:lineRule="auto"/>
        <w:rPr>
          <w:rFonts w:hint="eastAsia" w:ascii="宋体" w:hAnsi="宋体" w:eastAsia="宋体"/>
          <w:sz w:val="24"/>
          <w:lang w:eastAsia="zh-CN"/>
        </w:rPr>
      </w:pPr>
      <w:r>
        <w:rPr>
          <w:rFonts w:hint="eastAsia" w:ascii="宋体" w:hAnsi="宋体"/>
          <w:b/>
          <w:sz w:val="28"/>
        </w:rPr>
        <w:t>附件</w:t>
      </w:r>
      <w:r>
        <w:rPr>
          <w:rFonts w:hint="eastAsia" w:ascii="宋体" w:hAnsi="宋体"/>
          <w:b/>
          <w:sz w:val="28"/>
          <w:lang w:val="en-US" w:eastAsia="zh-CN"/>
        </w:rPr>
        <w:t>6</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2"/>
          <w:szCs w:val="32"/>
        </w:rPr>
      </w:pPr>
      <w:bookmarkStart w:id="83" w:name="_Toc20569_WPSOffice_Level1"/>
      <w:bookmarkStart w:id="84" w:name="_Toc23671_WPSOffice_Level1"/>
      <w:r>
        <w:rPr>
          <w:rFonts w:hint="eastAsia" w:ascii="宋体" w:hAnsi="宋体"/>
          <w:b/>
          <w:sz w:val="32"/>
          <w:szCs w:val="32"/>
        </w:rPr>
        <w:t>项目实施人员一览表</w:t>
      </w:r>
      <w:bookmarkEnd w:id="83"/>
      <w:bookmarkEnd w:id="84"/>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sz w:val="24"/>
        </w:rPr>
      </w:pPr>
      <w:r>
        <w:rPr>
          <w:rFonts w:hint="eastAsia" w:ascii="宋体" w:hAnsi="宋体"/>
          <w:sz w:val="24"/>
        </w:rPr>
        <w:t>（主要从业人员及其技术资格）</w:t>
      </w:r>
    </w:p>
    <w:tbl>
      <w:tblPr>
        <w:tblStyle w:val="22"/>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 w:val="21"/>
                <w:szCs w:val="21"/>
              </w:rPr>
            </w:pPr>
            <w:r>
              <w:rPr>
                <w:rFonts w:hint="eastAsia" w:ascii="宋体" w:hAnsi="宋体"/>
                <w:b/>
                <w:bCs/>
                <w:sz w:val="21"/>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 w:val="21"/>
                <w:szCs w:val="21"/>
              </w:rPr>
            </w:pPr>
            <w:r>
              <w:rPr>
                <w:rFonts w:hint="eastAsia" w:ascii="宋体" w:hAnsi="宋体"/>
                <w:b/>
                <w:sz w:val="21"/>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宋体" w:hAnsi="宋体" w:eastAsia="宋体"/>
                <w:sz w:val="21"/>
                <w:szCs w:val="21"/>
                <w:lang w:eastAsia="zh-CN"/>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宋体" w:hAnsi="宋体" w:eastAsia="宋体"/>
                <w:b/>
                <w:kern w:val="44"/>
                <w:sz w:val="21"/>
                <w:szCs w:val="21"/>
                <w:lang w:eastAsia="zh-CN"/>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napToGrid w:val="0"/>
              <w:spacing w:beforeLines="50" w:after="50" w:line="360" w:lineRule="auto"/>
              <w:ind w:left="5250"/>
              <w:rPr>
                <w:rFonts w:ascii="宋体" w:hAnsi="宋体" w:eastAsia="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napToGrid w:val="0"/>
              <w:spacing w:beforeLines="50" w:after="50" w:line="360" w:lineRule="auto"/>
              <w:ind w:left="5250"/>
              <w:rPr>
                <w:rFonts w:ascii="宋体" w:hAnsi="宋体" w:eastAsia="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pacing w:line="360" w:lineRule="auto"/>
              <w:ind w:left="5250"/>
              <w:rPr>
                <w:rFonts w:ascii="宋体" w:hAnsi="宋体"/>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 w:val="0"/>
          <w:bCs/>
          <w:szCs w:val="21"/>
        </w:rPr>
        <w:t>1.在填</w:t>
      </w:r>
      <w:r>
        <w:rPr>
          <w:rFonts w:hint="eastAsia" w:ascii="宋体" w:hAnsi="宋体"/>
          <w:szCs w:val="21"/>
        </w:rPr>
        <w:t>写时，如本表格不适合投标单位的实际情况，可根据本表格式自行划表填写。</w:t>
      </w:r>
    </w:p>
    <w:p>
      <w:pPr>
        <w:pStyle w:val="33"/>
        <w:spacing w:line="360" w:lineRule="auto"/>
        <w:ind w:left="424" w:leftChars="202"/>
        <w:rPr>
          <w:rFonts w:ascii="宋体" w:hAnsi="宋体"/>
          <w:szCs w:val="21"/>
        </w:rPr>
      </w:pPr>
      <w:r>
        <w:rPr>
          <w:rFonts w:hint="eastAsia" w:ascii="宋体" w:hAnsi="宋体"/>
          <w:szCs w:val="21"/>
        </w:rPr>
        <w:t>2.附人员证书。</w:t>
      </w:r>
    </w:p>
    <w:p>
      <w:pPr>
        <w:pStyle w:val="33"/>
        <w:spacing w:line="360" w:lineRule="auto"/>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napToGrid w:val="0"/>
        <w:spacing w:before="5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ascii="宋体" w:hAnsi="宋体"/>
          <w:b/>
          <w:sz w:val="28"/>
        </w:rPr>
      </w:pPr>
    </w:p>
    <w:p>
      <w:pPr>
        <w:pStyle w:val="21"/>
      </w:pPr>
    </w:p>
    <w:p>
      <w:pPr>
        <w:spacing w:line="360" w:lineRule="auto"/>
        <w:rPr>
          <w:rFonts w:hint="eastAsia" w:ascii="宋体" w:hAnsi="宋体"/>
          <w:b/>
          <w:sz w:val="28"/>
        </w:rPr>
      </w:pPr>
    </w:p>
    <w:p>
      <w:pPr>
        <w:spacing w:line="360" w:lineRule="auto"/>
        <w:rPr>
          <w:rFonts w:hint="eastAsia" w:ascii="宋体" w:hAnsi="宋体" w:eastAsia="宋体"/>
          <w:lang w:eastAsia="zh-CN"/>
        </w:rPr>
      </w:pPr>
      <w:r>
        <w:rPr>
          <w:rFonts w:hint="eastAsia" w:ascii="宋体" w:hAnsi="宋体"/>
          <w:b/>
          <w:sz w:val="28"/>
        </w:rPr>
        <w:t>附件</w:t>
      </w:r>
      <w:r>
        <w:rPr>
          <w:rFonts w:hint="eastAsia" w:ascii="宋体" w:hAnsi="宋体"/>
          <w:b/>
          <w:sz w:val="28"/>
          <w:lang w:val="en-US" w:eastAsia="zh-CN"/>
        </w:rPr>
        <w:t>7</w:t>
      </w:r>
    </w:p>
    <w:p>
      <w:pPr>
        <w:spacing w:beforeLines="50" w:afterLines="50" w:line="360" w:lineRule="auto"/>
        <w:ind w:right="-10"/>
        <w:jc w:val="center"/>
        <w:rPr>
          <w:rFonts w:ascii="宋体" w:hAnsi="宋体"/>
          <w:b/>
          <w:bCs/>
          <w:sz w:val="32"/>
          <w:szCs w:val="32"/>
        </w:rPr>
      </w:pPr>
      <w:bookmarkStart w:id="85" w:name="_Toc12710_WPSOffice_Level1"/>
      <w:bookmarkStart w:id="86" w:name="_Toc23055_WPSOffice_Level1"/>
      <w:r>
        <w:rPr>
          <w:rFonts w:hint="eastAsia" w:ascii="宋体" w:hAnsi="宋体"/>
          <w:b/>
          <w:bCs/>
          <w:sz w:val="32"/>
          <w:szCs w:val="32"/>
        </w:rPr>
        <w:t>项目负责人资格情况表</w:t>
      </w:r>
      <w:bookmarkEnd w:id="85"/>
      <w:bookmarkEnd w:id="86"/>
    </w:p>
    <w:tbl>
      <w:tblPr>
        <w:tblStyle w:val="22"/>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hint="eastAsia" w:ascii="宋体" w:hAnsi="宋体"/>
          <w:b/>
          <w:sz w:val="28"/>
        </w:rPr>
      </w:pPr>
      <w:r>
        <w:rPr>
          <w:rFonts w:hint="eastAsia" w:ascii="宋体" w:hAnsi="宋体"/>
          <w:sz w:val="24"/>
        </w:rPr>
        <w:t>日        期：</w:t>
      </w:r>
    </w:p>
    <w:p>
      <w:pPr>
        <w:snapToGrid w:val="0"/>
        <w:spacing w:before="50" w:after="50" w:line="360" w:lineRule="auto"/>
        <w:rPr>
          <w:rFonts w:hint="eastAsia" w:ascii="宋体" w:hAnsi="宋体"/>
          <w:b/>
          <w:sz w:val="28"/>
        </w:rPr>
      </w:pPr>
    </w:p>
    <w:p>
      <w:pPr>
        <w:snapToGrid w:val="0"/>
        <w:spacing w:before="50" w:after="50"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8</w:t>
      </w:r>
    </w:p>
    <w:p>
      <w:pPr>
        <w:spacing w:line="360" w:lineRule="auto"/>
        <w:ind w:left="480"/>
        <w:jc w:val="center"/>
        <w:rPr>
          <w:rFonts w:ascii="宋体" w:hAnsi="宋体"/>
          <w:b/>
          <w:sz w:val="28"/>
        </w:rPr>
      </w:pPr>
      <w:r>
        <w:rPr>
          <w:rFonts w:hint="eastAsia" w:ascii="宋体" w:hAnsi="宋体"/>
          <w:b/>
          <w:sz w:val="32"/>
          <w:szCs w:val="32"/>
        </w:rPr>
        <w:t>服务实施情况表（视情制作）</w:t>
      </w:r>
    </w:p>
    <w:tbl>
      <w:tblPr>
        <w:tblStyle w:val="22"/>
        <w:tblpPr w:leftFromText="181" w:rightFromText="181" w:bottomFromText="170" w:vertAnchor="text" w:tblpXSpec="center" w:tblpY="1"/>
        <w:tblOverlap w:val="never"/>
        <w:tblW w:w="900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3159"/>
        <w:gridCol w:w="373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pPr>
              <w:pStyle w:val="37"/>
              <w:spacing w:line="360" w:lineRule="auto"/>
              <w:jc w:val="center"/>
              <w:rPr>
                <w:rFonts w:ascii="宋体" w:hAnsi="宋体" w:cs="Arial"/>
                <w:b/>
                <w:sz w:val="21"/>
                <w:szCs w:val="21"/>
              </w:rPr>
            </w:pPr>
            <w:r>
              <w:rPr>
                <w:rFonts w:hint="eastAsia" w:ascii="宋体" w:hAnsi="宋体" w:cs="Arial"/>
                <w:b/>
                <w:sz w:val="21"/>
                <w:szCs w:val="21"/>
              </w:rPr>
              <w:t>序号</w:t>
            </w:r>
          </w:p>
        </w:tc>
        <w:tc>
          <w:tcPr>
            <w:tcW w:w="3159" w:type="dxa"/>
            <w:tcMar>
              <w:top w:w="57" w:type="dxa"/>
              <w:left w:w="108" w:type="dxa"/>
              <w:bottom w:w="0" w:type="dxa"/>
              <w:right w:w="108" w:type="dxa"/>
            </w:tcMar>
            <w:vAlign w:val="center"/>
          </w:tcPr>
          <w:p>
            <w:pPr>
              <w:pStyle w:val="37"/>
              <w:spacing w:line="360" w:lineRule="auto"/>
              <w:jc w:val="center"/>
              <w:rPr>
                <w:rFonts w:ascii="宋体" w:hAnsi="宋体" w:cs="Arial"/>
                <w:b/>
                <w:sz w:val="21"/>
                <w:szCs w:val="21"/>
              </w:rPr>
            </w:pPr>
            <w:r>
              <w:rPr>
                <w:rFonts w:hint="eastAsia" w:ascii="宋体" w:hAnsi="宋体" w:cs="Arial"/>
                <w:b/>
                <w:sz w:val="21"/>
                <w:szCs w:val="21"/>
              </w:rPr>
              <w:t>项目</w:t>
            </w:r>
          </w:p>
        </w:tc>
        <w:tc>
          <w:tcPr>
            <w:tcW w:w="3731" w:type="dxa"/>
            <w:tcMar>
              <w:top w:w="57" w:type="dxa"/>
              <w:left w:w="108" w:type="dxa"/>
              <w:bottom w:w="0" w:type="dxa"/>
              <w:right w:w="108" w:type="dxa"/>
            </w:tcMar>
            <w:vAlign w:val="center"/>
          </w:tcPr>
          <w:p>
            <w:pPr>
              <w:pStyle w:val="37"/>
              <w:spacing w:line="360" w:lineRule="auto"/>
              <w:jc w:val="center"/>
              <w:rPr>
                <w:rFonts w:ascii="宋体" w:hAnsi="宋体" w:cs="Arial"/>
                <w:b/>
                <w:sz w:val="21"/>
                <w:szCs w:val="21"/>
              </w:rPr>
            </w:pPr>
            <w:r>
              <w:rPr>
                <w:rFonts w:hint="eastAsia" w:ascii="宋体" w:hAnsi="宋体" w:cs="Arial"/>
                <w:b/>
                <w:sz w:val="21"/>
                <w:szCs w:val="21"/>
              </w:rPr>
              <w:t>投标人承诺</w:t>
            </w:r>
          </w:p>
        </w:tc>
        <w:tc>
          <w:tcPr>
            <w:tcW w:w="1373" w:type="dxa"/>
            <w:tcMar>
              <w:top w:w="57" w:type="dxa"/>
              <w:left w:w="108" w:type="dxa"/>
              <w:bottom w:w="0" w:type="dxa"/>
              <w:right w:w="108" w:type="dxa"/>
            </w:tcMar>
            <w:vAlign w:val="center"/>
          </w:tcPr>
          <w:p>
            <w:pPr>
              <w:pStyle w:val="37"/>
              <w:spacing w:line="360" w:lineRule="auto"/>
              <w:jc w:val="center"/>
              <w:rPr>
                <w:rFonts w:ascii="宋体" w:hAnsi="宋体" w:cs="Arial"/>
                <w:b/>
                <w:sz w:val="21"/>
                <w:szCs w:val="21"/>
              </w:rPr>
            </w:pPr>
            <w:r>
              <w:rPr>
                <w:rFonts w:hint="eastAsia" w:ascii="宋体" w:hAnsi="宋体" w:cs="Arial"/>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pPr>
              <w:pStyle w:val="37"/>
              <w:spacing w:line="360" w:lineRule="auto"/>
              <w:jc w:val="center"/>
              <w:rPr>
                <w:rFonts w:ascii="宋体" w:hAnsi="宋体" w:cs="Arial"/>
                <w:bCs/>
                <w:sz w:val="21"/>
                <w:szCs w:val="21"/>
              </w:rPr>
            </w:pPr>
            <w:r>
              <w:rPr>
                <w:rFonts w:hint="eastAsia" w:ascii="宋体" w:hAnsi="宋体" w:cs="Arial"/>
                <w:bCs/>
                <w:sz w:val="21"/>
                <w:szCs w:val="21"/>
              </w:rPr>
              <w:t>1</w:t>
            </w:r>
          </w:p>
        </w:tc>
        <w:tc>
          <w:tcPr>
            <w:tcW w:w="3159" w:type="dxa"/>
            <w:vMerge w:val="restart"/>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hint="eastAsia" w:ascii="宋体" w:hAnsi="宋体" w:cs="Arial"/>
                <w:bCs/>
                <w:sz w:val="21"/>
                <w:szCs w:val="21"/>
              </w:rPr>
              <w:t>服务实施期内服务情况(</w:t>
            </w:r>
            <w:r>
              <w:rPr>
                <w:rFonts w:ascii="宋体" w:hAnsi="宋体" w:cs="Arial"/>
                <w:bCs/>
                <w:sz w:val="21"/>
                <w:szCs w:val="21"/>
              </w:rPr>
              <w:t>服务</w:t>
            </w:r>
            <w:r>
              <w:rPr>
                <w:rFonts w:hint="eastAsia" w:ascii="宋体" w:hAnsi="宋体" w:cs="Arial"/>
                <w:bCs/>
                <w:sz w:val="21"/>
                <w:szCs w:val="21"/>
              </w:rPr>
              <w:t>方式、</w:t>
            </w:r>
            <w:r>
              <w:rPr>
                <w:rFonts w:ascii="宋体" w:hAnsi="宋体" w:cs="Arial"/>
                <w:bCs/>
                <w:sz w:val="21"/>
                <w:szCs w:val="21"/>
              </w:rPr>
              <w:t>服务的内容和措施</w:t>
            </w:r>
            <w:r>
              <w:rPr>
                <w:rFonts w:hint="eastAsia" w:ascii="宋体" w:hAnsi="宋体" w:cs="Arial"/>
                <w:bCs/>
                <w:sz w:val="21"/>
                <w:szCs w:val="21"/>
              </w:rPr>
              <w:t>等等，可用附页和宣传材料)。</w:t>
            </w:r>
          </w:p>
        </w:tc>
        <w:tc>
          <w:tcPr>
            <w:tcW w:w="3731" w:type="dxa"/>
            <w:tcMar>
              <w:top w:w="57" w:type="dxa"/>
              <w:left w:w="108" w:type="dxa"/>
              <w:bottom w:w="0" w:type="dxa"/>
              <w:right w:w="108" w:type="dxa"/>
            </w:tcMar>
          </w:tcPr>
          <w:p>
            <w:pPr>
              <w:pStyle w:val="37"/>
              <w:spacing w:line="360" w:lineRule="auto"/>
              <w:rPr>
                <w:rFonts w:ascii="宋体" w:hAnsi="宋体" w:cs="Arial"/>
                <w:bCs/>
                <w:sz w:val="21"/>
                <w:szCs w:val="21"/>
              </w:rPr>
            </w:pPr>
            <w:r>
              <w:rPr>
                <w:rFonts w:hint="eastAsia" w:ascii="宋体" w:hAnsi="宋体" w:cs="Arial"/>
                <w:bCs/>
                <w:sz w:val="21"/>
                <w:szCs w:val="21"/>
              </w:rPr>
              <w:t>生产厂商售后服务情况：</w:t>
            </w:r>
          </w:p>
        </w:tc>
        <w:tc>
          <w:tcPr>
            <w:tcW w:w="1373" w:type="dxa"/>
            <w:tcMar>
              <w:top w:w="57" w:type="dxa"/>
              <w:left w:w="108" w:type="dxa"/>
              <w:bottom w:w="0" w:type="dxa"/>
              <w:right w:w="108" w:type="dxa"/>
            </w:tcMar>
          </w:tcPr>
          <w:p>
            <w:pPr>
              <w:pStyle w:val="37"/>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70" w:hRule="atLeast"/>
          <w:jc w:val="center"/>
        </w:trPr>
        <w:tc>
          <w:tcPr>
            <w:tcW w:w="739" w:type="dxa"/>
            <w:vMerge w:val="continue"/>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p>
        </w:tc>
        <w:tc>
          <w:tcPr>
            <w:tcW w:w="3159" w:type="dxa"/>
            <w:vMerge w:val="continue"/>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p>
        </w:tc>
        <w:tc>
          <w:tcPr>
            <w:tcW w:w="3731" w:type="dxa"/>
            <w:tcMar>
              <w:top w:w="57" w:type="dxa"/>
              <w:left w:w="108" w:type="dxa"/>
              <w:bottom w:w="0" w:type="dxa"/>
              <w:right w:w="108" w:type="dxa"/>
            </w:tcMar>
          </w:tcPr>
          <w:p>
            <w:pPr>
              <w:pStyle w:val="37"/>
              <w:spacing w:line="360" w:lineRule="auto"/>
              <w:rPr>
                <w:rFonts w:ascii="宋体" w:hAnsi="宋体" w:cs="Arial"/>
                <w:bCs/>
                <w:sz w:val="21"/>
                <w:szCs w:val="21"/>
              </w:rPr>
            </w:pPr>
            <w:r>
              <w:rPr>
                <w:rFonts w:hint="eastAsia" w:ascii="宋体" w:hAnsi="宋体" w:cs="Arial"/>
                <w:bCs/>
                <w:sz w:val="21"/>
                <w:szCs w:val="21"/>
              </w:rPr>
              <w:t>投标人售后服务情况：</w:t>
            </w:r>
          </w:p>
        </w:tc>
        <w:tc>
          <w:tcPr>
            <w:tcW w:w="1373" w:type="dxa"/>
            <w:tcMar>
              <w:top w:w="57" w:type="dxa"/>
              <w:left w:w="108" w:type="dxa"/>
              <w:bottom w:w="0" w:type="dxa"/>
              <w:right w:w="108" w:type="dxa"/>
            </w:tcMar>
          </w:tcPr>
          <w:p>
            <w:pPr>
              <w:pStyle w:val="37"/>
              <w:spacing w:line="360" w:lineRule="auto"/>
              <w:jc w:val="left"/>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739" w:type="dxa"/>
            <w:tcMar>
              <w:top w:w="57" w:type="dxa"/>
              <w:left w:w="108" w:type="dxa"/>
              <w:bottom w:w="0" w:type="dxa"/>
              <w:right w:w="108" w:type="dxa"/>
            </w:tcMar>
            <w:vAlign w:val="center"/>
          </w:tcPr>
          <w:p>
            <w:pPr>
              <w:pStyle w:val="37"/>
              <w:spacing w:line="360" w:lineRule="auto"/>
              <w:jc w:val="center"/>
              <w:rPr>
                <w:rFonts w:ascii="宋体" w:hAnsi="宋体" w:cs="Arial"/>
                <w:bCs/>
                <w:sz w:val="21"/>
                <w:szCs w:val="21"/>
              </w:rPr>
            </w:pPr>
            <w:r>
              <w:rPr>
                <w:rFonts w:hint="eastAsia" w:ascii="宋体" w:hAnsi="宋体" w:cs="Arial"/>
                <w:bCs/>
                <w:sz w:val="21"/>
                <w:szCs w:val="21"/>
              </w:rPr>
              <w:t>2</w:t>
            </w:r>
          </w:p>
        </w:tc>
        <w:tc>
          <w:tcPr>
            <w:tcW w:w="3159" w:type="dxa"/>
            <w:tcMar>
              <w:top w:w="57" w:type="dxa"/>
              <w:left w:w="108" w:type="dxa"/>
              <w:bottom w:w="0" w:type="dxa"/>
              <w:right w:w="108" w:type="dxa"/>
            </w:tcMar>
            <w:vAlign w:val="center"/>
          </w:tcPr>
          <w:p>
            <w:pPr>
              <w:pStyle w:val="37"/>
              <w:spacing w:line="360" w:lineRule="auto"/>
              <w:rPr>
                <w:rFonts w:ascii="宋体" w:hAnsi="宋体" w:cs="Arial"/>
                <w:bCs/>
                <w:sz w:val="21"/>
                <w:szCs w:val="21"/>
              </w:rPr>
            </w:pPr>
            <w:r>
              <w:rPr>
                <w:rFonts w:hint="eastAsia" w:ascii="宋体" w:hAnsi="宋体" w:cs="Arial"/>
                <w:bCs/>
                <w:sz w:val="21"/>
                <w:szCs w:val="21"/>
              </w:rPr>
              <w:t>运维期服务情况(</w:t>
            </w:r>
            <w:r>
              <w:rPr>
                <w:rFonts w:ascii="宋体" w:hAnsi="宋体" w:cs="Arial"/>
                <w:bCs/>
                <w:sz w:val="21"/>
                <w:szCs w:val="21"/>
              </w:rPr>
              <w:t>服务</w:t>
            </w:r>
            <w:r>
              <w:rPr>
                <w:rFonts w:hint="eastAsia" w:ascii="宋体" w:hAnsi="宋体" w:cs="Arial"/>
                <w:bCs/>
                <w:sz w:val="21"/>
                <w:szCs w:val="21"/>
              </w:rPr>
              <w:t>方式、服务网点</w:t>
            </w:r>
            <w:r>
              <w:rPr>
                <w:rFonts w:ascii="宋体" w:hAnsi="宋体" w:cs="Arial"/>
                <w:bCs/>
                <w:sz w:val="21"/>
                <w:szCs w:val="21"/>
              </w:rPr>
              <w:t>、服务的内容和措施</w:t>
            </w:r>
            <w:r>
              <w:rPr>
                <w:rFonts w:hint="eastAsia" w:ascii="宋体" w:hAnsi="宋体" w:cs="Arial"/>
                <w:bCs/>
                <w:sz w:val="21"/>
                <w:szCs w:val="21"/>
              </w:rPr>
              <w:t>等等，可用附页和宣传材料)。</w:t>
            </w:r>
          </w:p>
        </w:tc>
        <w:tc>
          <w:tcPr>
            <w:tcW w:w="3731" w:type="dxa"/>
            <w:tcMar>
              <w:top w:w="57" w:type="dxa"/>
              <w:left w:w="108" w:type="dxa"/>
              <w:bottom w:w="0" w:type="dxa"/>
              <w:right w:w="108" w:type="dxa"/>
            </w:tcMar>
          </w:tcPr>
          <w:p>
            <w:pPr>
              <w:pStyle w:val="37"/>
              <w:widowControl/>
              <w:spacing w:line="360" w:lineRule="auto"/>
              <w:jc w:val="left"/>
              <w:rPr>
                <w:rFonts w:ascii="宋体" w:hAnsi="宋体" w:cs="Arial"/>
                <w:bCs/>
                <w:sz w:val="21"/>
                <w:szCs w:val="21"/>
              </w:rPr>
            </w:pPr>
          </w:p>
          <w:p>
            <w:pPr>
              <w:pStyle w:val="37"/>
              <w:widowControl/>
              <w:spacing w:line="360" w:lineRule="auto"/>
              <w:jc w:val="left"/>
              <w:rPr>
                <w:rFonts w:ascii="宋体" w:hAnsi="宋体" w:cs="Arial"/>
                <w:bCs/>
                <w:sz w:val="21"/>
                <w:szCs w:val="21"/>
              </w:rPr>
            </w:pPr>
          </w:p>
          <w:p>
            <w:pPr>
              <w:pStyle w:val="37"/>
              <w:spacing w:line="360" w:lineRule="auto"/>
              <w:rPr>
                <w:rFonts w:ascii="宋体" w:hAnsi="宋体" w:cs="Arial"/>
                <w:bCs/>
                <w:sz w:val="21"/>
                <w:szCs w:val="21"/>
              </w:rPr>
            </w:pPr>
          </w:p>
        </w:tc>
        <w:tc>
          <w:tcPr>
            <w:tcW w:w="1373" w:type="dxa"/>
            <w:tcMar>
              <w:top w:w="57" w:type="dxa"/>
              <w:left w:w="108" w:type="dxa"/>
              <w:bottom w:w="0" w:type="dxa"/>
              <w:right w:w="108" w:type="dxa"/>
            </w:tcMar>
          </w:tcPr>
          <w:p>
            <w:pPr>
              <w:pStyle w:val="37"/>
              <w:widowControl/>
              <w:spacing w:line="360" w:lineRule="auto"/>
              <w:jc w:val="left"/>
              <w:rPr>
                <w:rFonts w:ascii="宋体" w:hAnsi="宋体" w:cs="Arial"/>
                <w:bCs/>
                <w:sz w:val="21"/>
                <w:szCs w:val="21"/>
              </w:rPr>
            </w:pPr>
          </w:p>
          <w:p>
            <w:pPr>
              <w:pStyle w:val="37"/>
              <w:widowControl/>
              <w:spacing w:line="360" w:lineRule="auto"/>
              <w:jc w:val="left"/>
              <w:rPr>
                <w:rFonts w:ascii="宋体" w:hAnsi="宋体" w:cs="Arial"/>
                <w:bCs/>
                <w:sz w:val="21"/>
                <w:szCs w:val="21"/>
              </w:rPr>
            </w:pPr>
          </w:p>
          <w:p>
            <w:pPr>
              <w:pStyle w:val="37"/>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1215" w:hRule="exact"/>
          <w:jc w:val="center"/>
        </w:trPr>
        <w:tc>
          <w:tcPr>
            <w:tcW w:w="739" w:type="dxa"/>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hint="eastAsia" w:ascii="宋体" w:hAnsi="宋体" w:cs="Arial"/>
                <w:bCs/>
                <w:sz w:val="21"/>
                <w:szCs w:val="21"/>
              </w:rPr>
              <w:t xml:space="preserve"> 3</w:t>
            </w:r>
          </w:p>
        </w:tc>
        <w:tc>
          <w:tcPr>
            <w:tcW w:w="3159" w:type="dxa"/>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hint="eastAsia" w:ascii="宋体" w:hAnsi="宋体" w:cs="Arial"/>
                <w:bCs/>
                <w:sz w:val="21"/>
                <w:szCs w:val="21"/>
              </w:rPr>
              <w:t>培训方案（可用附页）。</w:t>
            </w:r>
          </w:p>
        </w:tc>
        <w:tc>
          <w:tcPr>
            <w:tcW w:w="3731" w:type="dxa"/>
            <w:tcMar>
              <w:top w:w="57" w:type="dxa"/>
              <w:left w:w="108" w:type="dxa"/>
              <w:bottom w:w="0" w:type="dxa"/>
              <w:right w:w="108" w:type="dxa"/>
            </w:tcMar>
          </w:tcPr>
          <w:p>
            <w:pPr>
              <w:pStyle w:val="37"/>
              <w:widowControl/>
              <w:spacing w:line="360" w:lineRule="auto"/>
              <w:jc w:val="left"/>
              <w:rPr>
                <w:rFonts w:ascii="宋体" w:hAnsi="宋体" w:cs="Arial"/>
                <w:bCs/>
                <w:i/>
                <w:sz w:val="21"/>
                <w:szCs w:val="21"/>
              </w:rPr>
            </w:pPr>
          </w:p>
          <w:p>
            <w:pPr>
              <w:pStyle w:val="37"/>
              <w:widowControl/>
              <w:spacing w:line="360" w:lineRule="auto"/>
              <w:jc w:val="left"/>
              <w:rPr>
                <w:rFonts w:ascii="宋体" w:hAnsi="宋体" w:cs="Arial"/>
                <w:bCs/>
                <w:i/>
                <w:sz w:val="21"/>
                <w:szCs w:val="21"/>
              </w:rPr>
            </w:pPr>
          </w:p>
        </w:tc>
        <w:tc>
          <w:tcPr>
            <w:tcW w:w="1373" w:type="dxa"/>
            <w:tcMar>
              <w:top w:w="57" w:type="dxa"/>
              <w:left w:w="108" w:type="dxa"/>
              <w:bottom w:w="0" w:type="dxa"/>
              <w:right w:w="108" w:type="dxa"/>
            </w:tcMar>
          </w:tcPr>
          <w:p>
            <w:pPr>
              <w:pStyle w:val="37"/>
              <w:widowControl/>
              <w:spacing w:line="360" w:lineRule="auto"/>
              <w:jc w:val="left"/>
              <w:rPr>
                <w:rFonts w:ascii="宋体" w:hAnsi="宋体" w:cs="Arial"/>
                <w:bCs/>
                <w:i/>
                <w:sz w:val="21"/>
                <w:szCs w:val="21"/>
              </w:rPr>
            </w:pPr>
          </w:p>
          <w:p>
            <w:pPr>
              <w:pStyle w:val="37"/>
              <w:widowControl/>
              <w:spacing w:line="360" w:lineRule="auto"/>
              <w:jc w:val="left"/>
              <w:rPr>
                <w:rFonts w:ascii="宋体" w:hAnsi="宋体" w:cs="Arial"/>
                <w:bCs/>
                <w:i/>
                <w:sz w:val="21"/>
                <w:szCs w:val="21"/>
              </w:rPr>
            </w:pPr>
          </w:p>
          <w:p>
            <w:pPr>
              <w:pStyle w:val="37"/>
              <w:widowControl/>
              <w:spacing w:line="360" w:lineRule="auto"/>
              <w:jc w:val="left"/>
              <w:rPr>
                <w:rFonts w:ascii="宋体" w:hAnsi="宋体" w:cs="Arial"/>
                <w:bCs/>
                <w:i/>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ascii="宋体" w:hAnsi="宋体" w:cs="Arial"/>
                <w:bCs/>
                <w:sz w:val="21"/>
                <w:szCs w:val="21"/>
              </w:rPr>
              <w:t>……</w:t>
            </w:r>
          </w:p>
        </w:tc>
        <w:tc>
          <w:tcPr>
            <w:tcW w:w="3159" w:type="dxa"/>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ascii="宋体" w:hAnsi="宋体" w:cs="Arial"/>
                <w:bCs/>
                <w:sz w:val="21"/>
                <w:szCs w:val="21"/>
              </w:rPr>
              <w:t>……</w:t>
            </w:r>
          </w:p>
        </w:tc>
        <w:tc>
          <w:tcPr>
            <w:tcW w:w="3731" w:type="dxa"/>
            <w:tcMar>
              <w:top w:w="57" w:type="dxa"/>
              <w:left w:w="108" w:type="dxa"/>
              <w:bottom w:w="0" w:type="dxa"/>
              <w:right w:w="108" w:type="dxa"/>
            </w:tcMar>
          </w:tcPr>
          <w:p>
            <w:pPr>
              <w:pStyle w:val="37"/>
              <w:widowControl/>
              <w:spacing w:line="360" w:lineRule="auto"/>
              <w:jc w:val="left"/>
              <w:rPr>
                <w:rFonts w:ascii="宋体" w:hAnsi="宋体" w:cs="Arial"/>
                <w:bCs/>
                <w:sz w:val="21"/>
                <w:szCs w:val="21"/>
              </w:rPr>
            </w:pPr>
          </w:p>
        </w:tc>
        <w:tc>
          <w:tcPr>
            <w:tcW w:w="1373" w:type="dxa"/>
            <w:tcMar>
              <w:top w:w="57" w:type="dxa"/>
              <w:left w:w="108" w:type="dxa"/>
              <w:bottom w:w="0" w:type="dxa"/>
              <w:right w:w="108" w:type="dxa"/>
            </w:tcMar>
          </w:tcPr>
          <w:p>
            <w:pPr>
              <w:pStyle w:val="37"/>
              <w:widowControl/>
              <w:spacing w:line="360" w:lineRule="auto"/>
              <w:jc w:val="left"/>
              <w:rPr>
                <w:rFonts w:ascii="宋体" w:hAnsi="宋体" w:cs="Arial"/>
                <w:bCs/>
                <w:sz w:val="21"/>
                <w:szCs w:val="21"/>
              </w:rPr>
            </w:pPr>
          </w:p>
        </w:tc>
      </w:tr>
    </w:tbl>
    <w:p>
      <w:pPr>
        <w:spacing w:line="360" w:lineRule="auto"/>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r>
        <w:rPr>
          <w:rFonts w:hint="eastAsia" w:ascii="宋体" w:hAnsi="宋体"/>
          <w:sz w:val="24"/>
        </w:rPr>
        <w:t xml:space="preserve"> </w:t>
      </w: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b/>
          <w:sz w:val="28"/>
        </w:rPr>
      </w:pPr>
      <w:r>
        <w:rPr>
          <w:rFonts w:hint="eastAsia" w:ascii="宋体" w:hAnsi="宋体"/>
          <w:sz w:val="24"/>
        </w:rPr>
        <w:t>日        期：</w:t>
      </w:r>
    </w:p>
    <w:p>
      <w:pPr>
        <w:pStyle w:val="35"/>
        <w:spacing w:line="360" w:lineRule="auto"/>
        <w:jc w:val="left"/>
        <w:rPr>
          <w:rFonts w:hint="eastAsia" w:ascii="宋体" w:hAnsi="宋体"/>
          <w:b/>
          <w:sz w:val="28"/>
        </w:rPr>
      </w:pPr>
    </w:p>
    <w:p>
      <w:pPr>
        <w:pStyle w:val="35"/>
        <w:spacing w:line="360" w:lineRule="auto"/>
        <w:jc w:val="left"/>
        <w:rPr>
          <w:rFonts w:hint="eastAsia" w:ascii="宋体" w:hAnsi="宋体"/>
          <w:b/>
          <w:sz w:val="28"/>
        </w:rPr>
      </w:pPr>
    </w:p>
    <w:p>
      <w:pPr>
        <w:pStyle w:val="35"/>
        <w:spacing w:line="360" w:lineRule="auto"/>
        <w:jc w:val="left"/>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9</w:t>
      </w:r>
    </w:p>
    <w:p>
      <w:pPr>
        <w:pStyle w:val="36"/>
        <w:spacing w:line="360" w:lineRule="auto"/>
        <w:jc w:val="center"/>
        <w:rPr>
          <w:rFonts w:ascii="宋体" w:hAnsi="宋体" w:cs="Arial"/>
          <w:sz w:val="28"/>
          <w:szCs w:val="28"/>
        </w:rPr>
      </w:pPr>
      <w:bookmarkStart w:id="87" w:name="_Toc17604_WPSOffice_Level1"/>
      <w:bookmarkStart w:id="88" w:name="_Toc11030_WPSOffice_Level1"/>
      <w:r>
        <w:rPr>
          <w:rFonts w:hint="eastAsia" w:ascii="宋体" w:hAnsi="宋体"/>
          <w:b/>
          <w:sz w:val="32"/>
          <w:szCs w:val="32"/>
        </w:rPr>
        <w:t>证书一览表</w:t>
      </w:r>
      <w:bookmarkEnd w:id="87"/>
      <w:bookmarkEnd w:id="88"/>
    </w:p>
    <w:tbl>
      <w:tblPr>
        <w:tblStyle w:val="22"/>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b/>
                <w:bCs/>
                <w:sz w:val="21"/>
                <w:szCs w:val="21"/>
              </w:rPr>
            </w:pPr>
            <w:r>
              <w:rPr>
                <w:rFonts w:hint="eastAsia" w:ascii="宋体" w:hAnsi="宋体" w:cs="Arial"/>
                <w:b/>
                <w:bCs/>
                <w:sz w:val="21"/>
                <w:szCs w:val="21"/>
              </w:rPr>
              <w:t>证书名称</w:t>
            </w:r>
          </w:p>
        </w:tc>
        <w:tc>
          <w:tcPr>
            <w:tcW w:w="2258" w:type="dxa"/>
            <w:tcBorders>
              <w:top w:val="single" w:color="auto" w:sz="4" w:space="0"/>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b/>
                <w:bCs/>
                <w:sz w:val="21"/>
                <w:szCs w:val="21"/>
              </w:rPr>
            </w:pPr>
            <w:r>
              <w:rPr>
                <w:rFonts w:hint="eastAsia" w:ascii="宋体" w:hAnsi="宋体" w:cs="Arial"/>
                <w:b/>
                <w:bCs/>
                <w:sz w:val="21"/>
                <w:szCs w:val="21"/>
              </w:rPr>
              <w:t>发证单位</w:t>
            </w:r>
          </w:p>
        </w:tc>
        <w:tc>
          <w:tcPr>
            <w:tcW w:w="2260" w:type="dxa"/>
            <w:tcBorders>
              <w:top w:val="single" w:color="auto" w:sz="4" w:space="0"/>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b/>
                <w:bCs/>
                <w:sz w:val="21"/>
                <w:szCs w:val="21"/>
              </w:rPr>
            </w:pPr>
            <w:r>
              <w:rPr>
                <w:rFonts w:hint="eastAsia" w:ascii="宋体" w:hAnsi="宋体" w:cs="Arial"/>
                <w:b/>
                <w:bCs/>
                <w:sz w:val="21"/>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b/>
                <w:bCs/>
                <w:sz w:val="21"/>
                <w:szCs w:val="21"/>
              </w:rPr>
            </w:pPr>
            <w:r>
              <w:rPr>
                <w:rFonts w:hint="eastAsia" w:ascii="宋体" w:hAnsi="宋体" w:cs="Arial"/>
                <w:b/>
                <w:bCs/>
                <w:sz w:val="21"/>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Borders>
              <w:top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Borders>
              <w:top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top w:val="single" w:color="auto" w:sz="4" w:space="0"/>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Borders>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Borders>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bottom w:val="single" w:color="auto" w:sz="4" w:space="0"/>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bl>
    <w:p>
      <w:pPr>
        <w:pStyle w:val="36"/>
        <w:tabs>
          <w:tab w:val="left" w:pos="1050"/>
        </w:tabs>
        <w:spacing w:line="360" w:lineRule="auto"/>
        <w:rPr>
          <w:rFonts w:ascii="宋体" w:hAnsi="宋体"/>
          <w:szCs w:val="21"/>
        </w:rPr>
      </w:pPr>
      <w:r>
        <w:rPr>
          <w:rFonts w:hint="eastAsia" w:ascii="宋体" w:hAnsi="宋体"/>
          <w:b/>
          <w:szCs w:val="21"/>
        </w:rPr>
        <w:t>要求：</w:t>
      </w:r>
    </w:p>
    <w:p>
      <w:pPr>
        <w:pStyle w:val="36"/>
        <w:tabs>
          <w:tab w:val="left" w:pos="1050"/>
        </w:tabs>
        <w:spacing w:line="360" w:lineRule="auto"/>
        <w:ind w:firstLine="424" w:firstLineChars="202"/>
        <w:rPr>
          <w:rFonts w:ascii="宋体" w:hAnsi="宋体"/>
          <w:szCs w:val="21"/>
        </w:rPr>
      </w:pPr>
      <w:r>
        <w:rPr>
          <w:rFonts w:hint="eastAsia" w:ascii="宋体" w:hAnsi="宋体"/>
          <w:szCs w:val="21"/>
        </w:rPr>
        <w:t>1.填写投标人获得资质、认证或企业信誉证书。</w:t>
      </w:r>
    </w:p>
    <w:p>
      <w:pPr>
        <w:pStyle w:val="36"/>
        <w:tabs>
          <w:tab w:val="left" w:pos="1050"/>
        </w:tabs>
        <w:spacing w:line="360" w:lineRule="auto"/>
        <w:ind w:firstLine="424" w:firstLineChars="202"/>
        <w:rPr>
          <w:rFonts w:ascii="宋体" w:hAnsi="宋体"/>
          <w:szCs w:val="21"/>
        </w:rPr>
      </w:pPr>
      <w:r>
        <w:rPr>
          <w:rFonts w:hint="eastAsia" w:ascii="宋体" w:hAnsi="宋体"/>
          <w:szCs w:val="21"/>
        </w:rPr>
        <w:t>2.附所列证书或其他证明材料。</w:t>
      </w:r>
    </w:p>
    <w:p>
      <w:pPr>
        <w:pStyle w:val="36"/>
        <w:tabs>
          <w:tab w:val="left" w:pos="1050"/>
        </w:tabs>
        <w:spacing w:line="360" w:lineRule="auto"/>
        <w:rPr>
          <w:rFonts w:ascii="仿宋_GB2312" w:hAnsi="宋体" w:eastAsia="仿宋_GB2312"/>
          <w:sz w:val="24"/>
        </w:rPr>
      </w:pPr>
    </w:p>
    <w:p>
      <w:pPr>
        <w:pStyle w:val="36"/>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2"/>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pStyle w:val="21"/>
        <w:rPr>
          <w:rFonts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10</w:t>
      </w:r>
    </w:p>
    <w:p>
      <w:pPr>
        <w:spacing w:line="360" w:lineRule="auto"/>
        <w:jc w:val="center"/>
        <w:rPr>
          <w:rFonts w:hint="eastAsia" w:ascii="宋体" w:hAnsi="宋体"/>
          <w:b/>
          <w:bCs/>
          <w:kern w:val="0"/>
          <w:sz w:val="32"/>
          <w:szCs w:val="32"/>
        </w:rPr>
      </w:pPr>
      <w:bookmarkStart w:id="89" w:name="_Toc19231_WPSOffice_Level1"/>
      <w:bookmarkStart w:id="90" w:name="_Toc7134_WPSOffice_Level1"/>
      <w:r>
        <w:rPr>
          <w:rFonts w:hint="eastAsia" w:ascii="宋体" w:hAnsi="宋体"/>
          <w:b/>
          <w:bCs/>
          <w:kern w:val="0"/>
          <w:sz w:val="32"/>
          <w:szCs w:val="32"/>
        </w:rPr>
        <w:t>投标人类似项目实施情况一览表</w:t>
      </w:r>
      <w:bookmarkEnd w:id="89"/>
      <w:bookmarkEnd w:id="90"/>
    </w:p>
    <w:tbl>
      <w:tblPr>
        <w:tblStyle w:val="22"/>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bl>
    <w:p>
      <w:pPr>
        <w:autoSpaceDE w:val="0"/>
        <w:autoSpaceDN w:val="0"/>
        <w:adjustRightInd w:val="0"/>
        <w:spacing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Lines="50" w:line="360" w:lineRule="auto"/>
        <w:ind w:firstLine="420" w:firstLineChars="200"/>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可只提供首页、含金额页、盖章页并加盖投标人公章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pStyle w:val="21"/>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pStyle w:val="36"/>
        <w:tabs>
          <w:tab w:val="left" w:pos="1050"/>
        </w:tabs>
        <w:spacing w:line="360" w:lineRule="auto"/>
        <w:rPr>
          <w:rFonts w:ascii="宋体" w:hAnsi="宋体"/>
          <w:b/>
          <w:sz w:val="28"/>
        </w:rPr>
      </w:pPr>
    </w:p>
    <w:p>
      <w:pPr>
        <w:pStyle w:val="36"/>
        <w:tabs>
          <w:tab w:val="left" w:pos="1050"/>
        </w:tabs>
        <w:spacing w:line="360" w:lineRule="auto"/>
        <w:rPr>
          <w:rFonts w:hint="eastAsia" w:ascii="宋体" w:hAnsi="宋体"/>
          <w:b/>
          <w:sz w:val="28"/>
        </w:rPr>
      </w:pPr>
    </w:p>
    <w:p>
      <w:pPr>
        <w:pStyle w:val="36"/>
        <w:tabs>
          <w:tab w:val="left" w:pos="1050"/>
        </w:tabs>
        <w:spacing w:line="360" w:lineRule="auto"/>
        <w:rPr>
          <w:rFonts w:hint="eastAsia" w:ascii="宋体" w:hAnsi="宋体"/>
          <w:b/>
          <w:sz w:val="28"/>
        </w:rPr>
      </w:pPr>
    </w:p>
    <w:p>
      <w:pPr>
        <w:pStyle w:val="36"/>
        <w:tabs>
          <w:tab w:val="left" w:pos="1050"/>
        </w:tabs>
        <w:spacing w:line="360" w:lineRule="auto"/>
        <w:rPr>
          <w:rFonts w:hint="default" w:ascii="仿宋_GB2312" w:hAnsi="宋体" w:eastAsia="宋体"/>
          <w:sz w:val="24"/>
          <w:lang w:val="en-US" w:eastAsia="zh-CN"/>
        </w:rPr>
      </w:pPr>
      <w:r>
        <w:rPr>
          <w:rFonts w:hint="eastAsia" w:ascii="宋体" w:hAnsi="宋体"/>
          <w:b/>
          <w:sz w:val="28"/>
        </w:rPr>
        <w:t>附件</w:t>
      </w:r>
      <w:r>
        <w:rPr>
          <w:rFonts w:hint="eastAsia" w:ascii="宋体" w:hAnsi="宋体"/>
          <w:b/>
          <w:sz w:val="28"/>
          <w:lang w:val="en-US" w:eastAsia="zh-CN"/>
        </w:rPr>
        <w:t>11</w:t>
      </w:r>
    </w:p>
    <w:p>
      <w:pPr>
        <w:spacing w:line="360" w:lineRule="auto"/>
        <w:ind w:left="549" w:hanging="549" w:hangingChars="171"/>
        <w:jc w:val="center"/>
        <w:rPr>
          <w:rFonts w:ascii="宋体" w:hAnsi="宋体"/>
          <w:b/>
          <w:sz w:val="18"/>
          <w:szCs w:val="18"/>
        </w:rPr>
      </w:pPr>
      <w:bookmarkStart w:id="91" w:name="_Toc3068_WPSOffice_Level1"/>
      <w:bookmarkStart w:id="92" w:name="_Toc21582_WPSOffice_Level1"/>
      <w:r>
        <w:rPr>
          <w:rFonts w:hint="eastAsia" w:ascii="宋体" w:hAnsi="宋体"/>
          <w:b/>
          <w:sz w:val="32"/>
          <w:szCs w:val="32"/>
        </w:rPr>
        <w:t>商务需求响应表(第 标)</w:t>
      </w:r>
      <w:bookmarkEnd w:id="91"/>
      <w:bookmarkEnd w:id="92"/>
    </w:p>
    <w:tbl>
      <w:tblPr>
        <w:tblStyle w:val="22"/>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 w:val="21"/>
                <w:szCs w:val="21"/>
              </w:rPr>
            </w:pPr>
            <w:r>
              <w:rPr>
                <w:rFonts w:hint="eastAsia" w:ascii="宋体" w:hAnsi="宋体"/>
                <w:b/>
                <w:sz w:val="21"/>
                <w:szCs w:val="21"/>
              </w:rPr>
              <w:t>序号</w:t>
            </w:r>
          </w:p>
        </w:tc>
        <w:tc>
          <w:tcPr>
            <w:tcW w:w="2534" w:type="dxa"/>
            <w:tcMar>
              <w:top w:w="57" w:type="dxa"/>
              <w:left w:w="108" w:type="dxa"/>
              <w:bottom w:w="0" w:type="dxa"/>
              <w:right w:w="108" w:type="dxa"/>
            </w:tcMar>
            <w:vAlign w:val="center"/>
          </w:tcPr>
          <w:p>
            <w:pPr>
              <w:rPr>
                <w:rFonts w:ascii="宋体" w:hAnsi="宋体"/>
                <w:b/>
                <w:sz w:val="21"/>
                <w:szCs w:val="21"/>
              </w:rPr>
            </w:pPr>
            <w:r>
              <w:rPr>
                <w:rFonts w:hint="eastAsia" w:ascii="宋体" w:hAnsi="宋体"/>
                <w:b/>
                <w:sz w:val="21"/>
                <w:szCs w:val="21"/>
              </w:rPr>
              <w:t xml:space="preserve">   内容</w:t>
            </w:r>
          </w:p>
        </w:tc>
        <w:tc>
          <w:tcPr>
            <w:tcW w:w="1785" w:type="dxa"/>
            <w:tcMar>
              <w:top w:w="57" w:type="dxa"/>
              <w:left w:w="108" w:type="dxa"/>
              <w:bottom w:w="0" w:type="dxa"/>
              <w:right w:w="108" w:type="dxa"/>
            </w:tcMar>
            <w:vAlign w:val="center"/>
          </w:tcPr>
          <w:p>
            <w:pPr>
              <w:ind w:left="53" w:leftChars="25" w:firstLine="211" w:firstLineChars="100"/>
              <w:rPr>
                <w:rFonts w:ascii="宋体" w:hAnsi="宋体"/>
                <w:b/>
                <w:sz w:val="21"/>
                <w:szCs w:val="21"/>
              </w:rPr>
            </w:pPr>
            <w:r>
              <w:rPr>
                <w:rFonts w:hint="eastAsia" w:ascii="宋体" w:hAnsi="宋体"/>
                <w:b/>
                <w:sz w:val="21"/>
                <w:szCs w:val="21"/>
              </w:rPr>
              <w:t>招标需求</w:t>
            </w:r>
          </w:p>
        </w:tc>
        <w:tc>
          <w:tcPr>
            <w:tcW w:w="1365" w:type="dxa"/>
            <w:tcMar>
              <w:top w:w="57" w:type="dxa"/>
              <w:left w:w="108" w:type="dxa"/>
              <w:bottom w:w="0" w:type="dxa"/>
              <w:right w:w="108" w:type="dxa"/>
            </w:tcMar>
            <w:vAlign w:val="center"/>
          </w:tcPr>
          <w:p>
            <w:pPr>
              <w:ind w:left="152"/>
              <w:rPr>
                <w:rFonts w:ascii="宋体" w:hAnsi="宋体"/>
                <w:b/>
                <w:sz w:val="21"/>
                <w:szCs w:val="21"/>
              </w:rPr>
            </w:pPr>
            <w:r>
              <w:rPr>
                <w:rFonts w:hint="eastAsia" w:ascii="宋体" w:hAnsi="宋体"/>
                <w:b/>
                <w:sz w:val="21"/>
                <w:szCs w:val="21"/>
              </w:rPr>
              <w:t>是否响应</w:t>
            </w:r>
          </w:p>
        </w:tc>
        <w:tc>
          <w:tcPr>
            <w:tcW w:w="2625" w:type="dxa"/>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sz w:val="21"/>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维保期</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服务时间及地点</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付款条件</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备品备件及耗材等要求</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bl>
    <w:p>
      <w:pPr>
        <w:spacing w:line="360" w:lineRule="auto"/>
        <w:rPr>
          <w:rFonts w:ascii="宋体" w:hAnsi="宋体"/>
          <w:sz w:val="24"/>
        </w:rPr>
      </w:pPr>
    </w:p>
    <w:p>
      <w:pPr>
        <w:spacing w:line="360" w:lineRule="auto"/>
        <w:rPr>
          <w:rFonts w:hint="eastAsia"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jc w:val="center"/>
        <w:rPr>
          <w:rFonts w:hint="eastAsia"/>
          <w:sz w:val="52"/>
          <w:szCs w:val="52"/>
        </w:rPr>
      </w:pPr>
      <w:bookmarkStart w:id="93" w:name="_Toc30468_WPSOffice_Level1"/>
      <w:bookmarkStart w:id="94" w:name="_Toc4615_WPSOffice_Level1"/>
      <w:bookmarkStart w:id="95" w:name="_Toc21322_WPSOffice_Level1"/>
    </w:p>
    <w:p>
      <w:pPr>
        <w:rPr>
          <w:rFonts w:hint="eastAsia"/>
          <w:sz w:val="52"/>
          <w:szCs w:val="52"/>
        </w:rPr>
      </w:pPr>
      <w:r>
        <w:rPr>
          <w:rFonts w:hint="eastAsia"/>
          <w:sz w:val="52"/>
          <w:szCs w:val="52"/>
        </w:rPr>
        <w:br w:type="page"/>
      </w:r>
    </w:p>
    <w:p>
      <w:pPr>
        <w:jc w:val="center"/>
        <w:rPr>
          <w:sz w:val="52"/>
          <w:szCs w:val="52"/>
        </w:rPr>
      </w:pPr>
      <w:r>
        <w:rPr>
          <w:rFonts w:hint="eastAsia"/>
          <w:sz w:val="52"/>
          <w:szCs w:val="52"/>
        </w:rPr>
        <w:t>项目名称</w:t>
      </w:r>
      <w:bookmarkEnd w:id="93"/>
      <w:bookmarkEnd w:id="94"/>
      <w:bookmarkEnd w:id="95"/>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1"/>
      </w:pPr>
    </w:p>
    <w:p>
      <w:pPr>
        <w:jc w:val="center"/>
        <w:rPr>
          <w:sz w:val="84"/>
          <w:szCs w:val="84"/>
        </w:rPr>
      </w:pPr>
      <w:bookmarkStart w:id="96" w:name="_Toc9453_WPSOffice_Level1"/>
      <w:bookmarkStart w:id="97" w:name="_Toc8885_WPSOffice_Level1"/>
      <w:r>
        <w:rPr>
          <w:rFonts w:hint="eastAsia"/>
          <w:sz w:val="84"/>
          <w:szCs w:val="84"/>
        </w:rPr>
        <w:t>报</w:t>
      </w:r>
      <w:bookmarkEnd w:id="96"/>
      <w:bookmarkEnd w:id="97"/>
    </w:p>
    <w:p>
      <w:pPr>
        <w:jc w:val="center"/>
        <w:rPr>
          <w:sz w:val="84"/>
          <w:szCs w:val="84"/>
        </w:rPr>
      </w:pPr>
      <w:bookmarkStart w:id="98" w:name="_Toc10910_WPSOffice_Level1"/>
      <w:bookmarkStart w:id="99" w:name="_Toc7485_WPSOffice_Level1"/>
      <w:r>
        <w:rPr>
          <w:rFonts w:hint="eastAsia"/>
          <w:sz w:val="84"/>
          <w:szCs w:val="84"/>
        </w:rPr>
        <w:t>价</w:t>
      </w:r>
      <w:bookmarkEnd w:id="98"/>
      <w:bookmarkEnd w:id="99"/>
    </w:p>
    <w:p>
      <w:pPr>
        <w:jc w:val="center"/>
        <w:rPr>
          <w:sz w:val="84"/>
          <w:szCs w:val="84"/>
        </w:rPr>
      </w:pPr>
      <w:bookmarkStart w:id="100" w:name="_Toc3932_WPSOffice_Level1"/>
      <w:bookmarkStart w:id="101" w:name="_Toc14572_WPSOffice_Level1"/>
      <w:r>
        <w:rPr>
          <w:rFonts w:hint="eastAsia"/>
          <w:sz w:val="84"/>
          <w:szCs w:val="84"/>
        </w:rPr>
        <w:t>文</w:t>
      </w:r>
      <w:bookmarkEnd w:id="100"/>
      <w:bookmarkEnd w:id="101"/>
    </w:p>
    <w:p>
      <w:pPr>
        <w:jc w:val="center"/>
        <w:rPr>
          <w:sz w:val="84"/>
          <w:szCs w:val="84"/>
        </w:rPr>
      </w:pPr>
      <w:bookmarkStart w:id="102" w:name="_Toc16973_WPSOffice_Level1"/>
      <w:bookmarkStart w:id="103" w:name="_Toc7562_WPSOffice_Level1"/>
      <w:r>
        <w:rPr>
          <w:rFonts w:hint="eastAsia"/>
          <w:sz w:val="84"/>
          <w:szCs w:val="84"/>
        </w:rPr>
        <w:t>件</w:t>
      </w:r>
      <w:bookmarkEnd w:id="102"/>
      <w:bookmarkEnd w:id="103"/>
    </w:p>
    <w:p>
      <w:pPr>
        <w:spacing w:line="360" w:lineRule="auto"/>
        <w:ind w:right="532"/>
        <w:rPr>
          <w:rFonts w:ascii="宋体" w:hAnsi="宋体"/>
          <w:sz w:val="36"/>
          <w:szCs w:val="36"/>
        </w:rPr>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104" w:name="_Toc26700_WPSOffice_Level1"/>
      <w:bookmarkStart w:id="105" w:name="_Toc4603_WPSOffice_Level1"/>
      <w:r>
        <w:rPr>
          <w:rFonts w:hint="eastAsia" w:ascii="宋体" w:hAnsi="宋体"/>
          <w:sz w:val="36"/>
          <w:szCs w:val="36"/>
        </w:rPr>
        <w:t>投标人全称（公章）：</w:t>
      </w:r>
      <w:bookmarkEnd w:id="104"/>
      <w:bookmarkEnd w:id="105"/>
    </w:p>
    <w:p>
      <w:pPr>
        <w:spacing w:line="360" w:lineRule="auto"/>
        <w:ind w:right="-108" w:firstLine="720" w:firstLineChars="200"/>
        <w:rPr>
          <w:rFonts w:ascii="宋体" w:hAnsi="宋体"/>
          <w:sz w:val="36"/>
          <w:szCs w:val="36"/>
        </w:rPr>
      </w:pPr>
      <w:bookmarkStart w:id="106" w:name="_Toc32593_WPSOffice_Level1"/>
      <w:bookmarkStart w:id="107" w:name="_Toc1391_WPSOffice_Level1"/>
      <w:r>
        <w:rPr>
          <w:rFonts w:hint="eastAsia" w:ascii="宋体" w:hAnsi="宋体"/>
          <w:sz w:val="36"/>
          <w:szCs w:val="36"/>
        </w:rPr>
        <w:t>地    址：</w:t>
      </w:r>
      <w:bookmarkEnd w:id="106"/>
      <w:bookmarkEnd w:id="107"/>
    </w:p>
    <w:p>
      <w:pPr>
        <w:spacing w:line="360" w:lineRule="auto"/>
        <w:ind w:right="-108" w:firstLine="720" w:firstLineChars="200"/>
        <w:rPr>
          <w:rFonts w:ascii="宋体" w:hAnsi="宋体"/>
          <w:sz w:val="36"/>
          <w:szCs w:val="36"/>
        </w:rPr>
      </w:pPr>
      <w:bookmarkStart w:id="108" w:name="_Toc3791_WPSOffice_Level1"/>
      <w:bookmarkStart w:id="109" w:name="_Toc20938_WPSOffice_Level1"/>
      <w:r>
        <w:rPr>
          <w:rFonts w:hint="eastAsia" w:ascii="宋体" w:hAnsi="宋体"/>
          <w:sz w:val="36"/>
          <w:szCs w:val="36"/>
        </w:rPr>
        <w:t>时    间：</w:t>
      </w:r>
      <w:bookmarkEnd w:id="108"/>
      <w:bookmarkEnd w:id="109"/>
    </w:p>
    <w:p>
      <w:pPr>
        <w:spacing w:line="360" w:lineRule="auto"/>
        <w:ind w:right="-108"/>
        <w:jc w:val="center"/>
        <w:rPr>
          <w:rFonts w:ascii="仿宋_GB2312" w:hAnsi="宋体" w:eastAsia="仿宋_GB2312"/>
          <w:b/>
          <w:sz w:val="36"/>
          <w:szCs w:val="36"/>
        </w:rPr>
      </w:pPr>
    </w:p>
    <w:p>
      <w:pPr>
        <w:pStyle w:val="21"/>
      </w:pPr>
    </w:p>
    <w:p>
      <w:pPr>
        <w:pStyle w:val="21"/>
      </w:pPr>
    </w:p>
    <w:p>
      <w:pPr>
        <w:pStyle w:val="21"/>
      </w:pPr>
    </w:p>
    <w:p>
      <w:pPr>
        <w:pStyle w:val="21"/>
      </w:pPr>
    </w:p>
    <w:p>
      <w:pPr>
        <w:pStyle w:val="21"/>
      </w:pPr>
    </w:p>
    <w:p>
      <w:pPr>
        <w:pStyle w:val="21"/>
      </w:pPr>
    </w:p>
    <w:p>
      <w:pPr>
        <w:pStyle w:val="21"/>
      </w:pPr>
    </w:p>
    <w:p>
      <w:pPr>
        <w:pStyle w:val="8"/>
        <w:rPr>
          <w:rFonts w:ascii="仿宋_GB2312" w:hAnsi="宋体" w:eastAsia="仿宋_GB2312"/>
          <w:b/>
          <w:sz w:val="36"/>
          <w:szCs w:val="36"/>
        </w:rPr>
      </w:pPr>
    </w:p>
    <w:p>
      <w:pPr>
        <w:spacing w:line="480" w:lineRule="auto"/>
        <w:jc w:val="center"/>
        <w:rPr>
          <w:rFonts w:hint="eastAsia" w:ascii="宋体" w:hAnsi="宋体"/>
          <w:b/>
          <w:bCs/>
          <w:sz w:val="36"/>
          <w:szCs w:val="36"/>
        </w:rPr>
      </w:pPr>
      <w:bookmarkStart w:id="110" w:name="_Toc29537_WPSOffice_Level1"/>
      <w:bookmarkStart w:id="111" w:name="_Toc19972_WPSOffice_Level1"/>
      <w:r>
        <w:rPr>
          <w:rFonts w:hint="eastAsia" w:ascii="宋体" w:hAnsi="宋体"/>
          <w:b/>
          <w:bCs/>
          <w:sz w:val="36"/>
          <w:szCs w:val="36"/>
        </w:rPr>
        <w:t>报价文件目录</w:t>
      </w:r>
      <w:bookmarkEnd w:id="110"/>
      <w:bookmarkEnd w:id="111"/>
    </w:p>
    <w:p>
      <w:pPr>
        <w:pStyle w:val="21"/>
      </w:pPr>
    </w:p>
    <w:p>
      <w:pPr>
        <w:rPr>
          <w:rFonts w:hint="eastAsia" w:asciiTheme="minorEastAsia" w:hAnsiTheme="minorEastAsia" w:eastAsiaTheme="minorEastAsia" w:cstheme="minorEastAsia"/>
          <w:sz w:val="28"/>
          <w:szCs w:val="28"/>
        </w:rPr>
      </w:pPr>
    </w:p>
    <w:p>
      <w:pPr>
        <w:spacing w:line="360" w:lineRule="auto"/>
        <w:jc w:val="both"/>
        <w:rPr>
          <w:rFonts w:hint="eastAsia" w:asciiTheme="minorEastAsia" w:hAnsiTheme="minorEastAsia" w:eastAsiaTheme="minorEastAsia" w:cstheme="minorEastAsia"/>
          <w:sz w:val="28"/>
          <w:szCs w:val="28"/>
        </w:rPr>
      </w:pPr>
      <w:bookmarkStart w:id="112" w:name="_Toc29988_WPSOffice_Level1"/>
      <w:bookmarkStart w:id="113" w:name="_Toc6778_WPSOffice_Level1"/>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开标一览表（附件1</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w:t>
      </w:r>
      <w:bookmarkEnd w:id="112"/>
      <w:bookmarkEnd w:id="113"/>
    </w:p>
    <w:p>
      <w:pPr>
        <w:spacing w:line="360" w:lineRule="auto"/>
        <w:jc w:val="both"/>
        <w:rPr>
          <w:rFonts w:hint="eastAsia" w:asciiTheme="minorEastAsia" w:hAnsiTheme="minorEastAsia" w:eastAsiaTheme="minorEastAsia" w:cstheme="minorEastAsia"/>
          <w:kern w:val="2"/>
          <w:sz w:val="28"/>
          <w:szCs w:val="28"/>
          <w:lang w:val="en-US" w:eastAsia="zh-CN" w:bidi="ar-SA"/>
        </w:rPr>
      </w:pPr>
      <w:bookmarkStart w:id="114" w:name="_Toc15601_WPSOffice_Level1"/>
      <w:bookmarkStart w:id="115" w:name="_Toc11601_WPSOffice_Level1"/>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报价明细表（附件1</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w:t>
      </w:r>
      <w:bookmarkEnd w:id="114"/>
      <w:bookmarkEnd w:id="115"/>
    </w:p>
    <w:p>
      <w:pPr>
        <w:pStyle w:val="13"/>
        <w:spacing w:line="360" w:lineRule="auto"/>
        <w:jc w:val="both"/>
        <w:outlineLvl w:val="1"/>
        <w:rPr>
          <w:rFonts w:hint="eastAsia" w:asciiTheme="minorEastAsia" w:hAnsiTheme="minorEastAsia" w:eastAsiaTheme="minorEastAsia" w:cstheme="minorEastAsia"/>
          <w:sz w:val="28"/>
          <w:szCs w:val="28"/>
        </w:rPr>
      </w:pPr>
      <w:bookmarkStart w:id="116" w:name="_Toc17543_WPSOffice_Level1"/>
      <w:bookmarkStart w:id="117" w:name="_Toc45_WPSOffice_Level1"/>
      <w:r>
        <w:rPr>
          <w:rFonts w:hint="eastAsia" w:asciiTheme="minorEastAsia" w:hAnsiTheme="minorEastAsia" w:eastAsiaTheme="minorEastAsia" w:cstheme="minorEastAsia"/>
          <w:kern w:val="2"/>
          <w:sz w:val="28"/>
          <w:szCs w:val="28"/>
          <w:lang w:val="en-US" w:eastAsia="zh-CN" w:bidi="ar-SA"/>
        </w:rPr>
        <w:t>3.中小企业声明函、</w:t>
      </w:r>
      <w:r>
        <w:rPr>
          <w:rFonts w:hint="eastAsia" w:asciiTheme="minorEastAsia" w:hAnsiTheme="minorEastAsia" w:eastAsiaTheme="minorEastAsia" w:cstheme="minorEastAsia"/>
          <w:kern w:val="2"/>
          <w:sz w:val="28"/>
          <w:szCs w:val="28"/>
          <w:lang w:val="en-GB" w:eastAsia="zh-CN" w:bidi="ar-SA"/>
        </w:rPr>
        <w:t>残疾人福利性单位声明函</w:t>
      </w:r>
      <w:r>
        <w:rPr>
          <w:rFonts w:hint="eastAsia" w:asciiTheme="minorEastAsia" w:hAnsiTheme="minorEastAsia" w:eastAsiaTheme="minorEastAsia" w:cstheme="minorEastAsia"/>
          <w:sz w:val="28"/>
          <w:szCs w:val="28"/>
        </w:rPr>
        <w:t>（附件1</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w:t>
      </w:r>
      <w:bookmarkEnd w:id="116"/>
      <w:bookmarkEnd w:id="117"/>
    </w:p>
    <w:p>
      <w:pPr>
        <w:spacing w:line="360" w:lineRule="auto"/>
        <w:jc w:val="both"/>
        <w:rPr>
          <w:rFonts w:hint="eastAsia" w:asciiTheme="minorEastAsia" w:hAnsiTheme="minorEastAsia" w:eastAsiaTheme="minorEastAsia" w:cstheme="minorEastAsia"/>
          <w:sz w:val="28"/>
          <w:szCs w:val="28"/>
        </w:rPr>
      </w:pPr>
      <w:bookmarkStart w:id="118" w:name="_Toc3001_WPSOffice_Level1"/>
      <w:bookmarkStart w:id="119" w:name="_Toc14672_WPSOffice_Level1"/>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针对报价投标人认为其他需要说明的</w:t>
      </w:r>
      <w:bookmarkEnd w:id="118"/>
      <w:bookmarkEnd w:id="119"/>
    </w:p>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rPr>
          <w:rFonts w:hint="eastAsia" w:ascii="宋体" w:hAnsi="宋体"/>
          <w:b/>
          <w:sz w:val="28"/>
        </w:rPr>
      </w:pPr>
      <w:r>
        <w:rPr>
          <w:rFonts w:hint="eastAsia" w:ascii="宋体" w:hAnsi="宋体"/>
          <w:b/>
          <w:sz w:val="28"/>
        </w:rPr>
        <w:br w:type="page"/>
      </w:r>
    </w:p>
    <w:p>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2</w:t>
      </w:r>
    </w:p>
    <w:p>
      <w:pPr>
        <w:spacing w:line="360" w:lineRule="auto"/>
        <w:ind w:left="-2" w:hanging="2"/>
        <w:jc w:val="center"/>
        <w:rPr>
          <w:rFonts w:ascii="宋体" w:hAnsi="宋体"/>
          <w:b/>
          <w:sz w:val="32"/>
          <w:szCs w:val="32"/>
        </w:rPr>
      </w:pPr>
      <w:bookmarkStart w:id="120" w:name="_Toc30363_WPSOffice_Level1"/>
      <w:bookmarkStart w:id="121" w:name="_Toc16144_WPSOffice_Level1"/>
      <w:r>
        <w:rPr>
          <w:rFonts w:hint="eastAsia" w:ascii="宋体" w:hAnsi="宋体"/>
          <w:b/>
          <w:sz w:val="32"/>
          <w:szCs w:val="32"/>
        </w:rPr>
        <w:t xml:space="preserve">开标一览表 </w:t>
      </w:r>
      <w:bookmarkEnd w:id="120"/>
      <w:bookmarkEnd w:id="121"/>
    </w:p>
    <w:p>
      <w:pPr>
        <w:pStyle w:val="13"/>
        <w:spacing w:line="360" w:lineRule="auto"/>
        <w:ind w:firstLine="482" w:firstLineChars="200"/>
        <w:rPr>
          <w:rFonts w:hAnsi="宋体"/>
          <w:b/>
          <w:sz w:val="24"/>
        </w:rPr>
      </w:pPr>
      <w:r>
        <w:rPr>
          <w:rFonts w:hAnsi="宋体"/>
          <w:b/>
          <w:sz w:val="24"/>
        </w:rPr>
        <w:t>项目编号：</w:t>
      </w:r>
    </w:p>
    <w:p>
      <w:pPr>
        <w:pStyle w:val="41"/>
        <w:spacing w:line="360" w:lineRule="auto"/>
        <w:ind w:right="480" w:firstLine="482" w:firstLineChars="200"/>
        <w:jc w:val="left"/>
        <w:rPr>
          <w:rFonts w:hint="eastAsia" w:ascii="宋体" w:hAnsi="宋体"/>
          <w:sz w:val="24"/>
        </w:rPr>
      </w:pPr>
      <w:r>
        <w:rPr>
          <w:rFonts w:hAnsi="宋体"/>
          <w:b/>
          <w:sz w:val="24"/>
        </w:rPr>
        <w:t>项目名称：</w:t>
      </w:r>
      <w:r>
        <w:rPr>
          <w:rFonts w:hint="eastAsia" w:ascii="宋体" w:hAnsi="宋体"/>
          <w:sz w:val="24"/>
        </w:rPr>
        <w:t xml:space="preserve">                                     [货币单位：人民币元]</w:t>
      </w:r>
    </w:p>
    <w:tbl>
      <w:tblPr>
        <w:tblStyle w:val="22"/>
        <w:tblpPr w:leftFromText="181" w:rightFromText="181" w:bottomFromText="170" w:vertAnchor="text" w:tblpXSpec="center" w:tblpY="1"/>
        <w:tblOverlap w:val="never"/>
        <w:tblW w:w="9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2220"/>
        <w:gridCol w:w="1995"/>
        <w:gridCol w:w="1065"/>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663" w:type="dxa"/>
            <w:tcMar>
              <w:top w:w="57" w:type="dxa"/>
              <w:left w:w="108" w:type="dxa"/>
              <w:bottom w:w="0" w:type="dxa"/>
              <w:right w:w="108"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序号</w:t>
            </w:r>
          </w:p>
        </w:tc>
        <w:tc>
          <w:tcPr>
            <w:tcW w:w="2220" w:type="dxa"/>
            <w:tcMar>
              <w:top w:w="57" w:type="dxa"/>
              <w:left w:w="108" w:type="dxa"/>
              <w:bottom w:w="0" w:type="dxa"/>
              <w:right w:w="108"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2"/>
                <w:sz w:val="24"/>
                <w:szCs w:val="24"/>
                <w:u w:val="none"/>
                <w:lang w:val="en-US" w:eastAsia="zh-CN" w:bidi="ar-SA"/>
              </w:rPr>
            </w:pPr>
            <w:r>
              <w:rPr>
                <w:rFonts w:hint="eastAsia" w:ascii="宋体" w:hAnsi="宋体" w:cs="宋体"/>
                <w:b/>
                <w:bCs/>
                <w:i w:val="0"/>
                <w:iCs w:val="0"/>
                <w:color w:val="auto"/>
                <w:kern w:val="0"/>
                <w:sz w:val="24"/>
                <w:szCs w:val="24"/>
                <w:u w:val="none"/>
                <w:lang w:val="en-US" w:eastAsia="zh-CN" w:bidi="ar"/>
              </w:rPr>
              <w:t>模块</w:t>
            </w:r>
            <w:r>
              <w:rPr>
                <w:rFonts w:hint="eastAsia" w:ascii="宋体" w:hAnsi="宋体" w:eastAsia="宋体" w:cs="宋体"/>
                <w:b/>
                <w:bCs/>
                <w:i w:val="0"/>
                <w:iCs w:val="0"/>
                <w:color w:val="auto"/>
                <w:kern w:val="0"/>
                <w:sz w:val="24"/>
                <w:szCs w:val="24"/>
                <w:u w:val="none"/>
                <w:lang w:val="en-US" w:eastAsia="zh-CN" w:bidi="ar"/>
              </w:rPr>
              <w:t>名称</w:t>
            </w:r>
          </w:p>
        </w:tc>
        <w:tc>
          <w:tcPr>
            <w:tcW w:w="1995" w:type="dxa"/>
            <w:tcMar>
              <w:top w:w="57" w:type="dxa"/>
              <w:left w:w="108" w:type="dxa"/>
              <w:bottom w:w="0" w:type="dxa"/>
              <w:right w:w="108" w:type="dxa"/>
            </w:tcMar>
            <w:vAlign w:val="center"/>
          </w:tcPr>
          <w:p>
            <w:pPr>
              <w:spacing w:line="240" w:lineRule="auto"/>
              <w:jc w:val="center"/>
              <w:rPr>
                <w:rFonts w:hint="eastAsia" w:ascii="宋体" w:hAnsi="宋体"/>
                <w:b/>
                <w:color w:val="auto"/>
                <w:sz w:val="24"/>
                <w:szCs w:val="24"/>
              </w:rPr>
            </w:pPr>
            <w:r>
              <w:rPr>
                <w:rFonts w:hint="eastAsia" w:ascii="宋体" w:hAnsi="宋体" w:cs="宋体"/>
                <w:b/>
                <w:bCs/>
                <w:i w:val="0"/>
                <w:iCs w:val="0"/>
                <w:color w:val="auto"/>
                <w:kern w:val="0"/>
                <w:sz w:val="24"/>
                <w:szCs w:val="24"/>
                <w:u w:val="none"/>
                <w:lang w:val="en-US" w:eastAsia="zh-CN" w:bidi="ar"/>
              </w:rPr>
              <w:t>各模块报价一览（元）</w:t>
            </w:r>
          </w:p>
        </w:tc>
        <w:tc>
          <w:tcPr>
            <w:tcW w:w="4350" w:type="dxa"/>
            <w:gridSpan w:val="2"/>
            <w:tcMar>
              <w:top w:w="57" w:type="dxa"/>
              <w:left w:w="108" w:type="dxa"/>
              <w:bottom w:w="0" w:type="dxa"/>
              <w:right w:w="108" w:type="dxa"/>
            </w:tcMar>
            <w:vAlign w:val="center"/>
          </w:tcPr>
          <w:p>
            <w:pPr>
              <w:spacing w:line="240" w:lineRule="auto"/>
              <w:jc w:val="center"/>
              <w:rPr>
                <w:rFonts w:hint="eastAsia" w:ascii="宋体" w:hAnsi="宋体"/>
                <w:b/>
                <w:bCs/>
                <w:color w:val="auto"/>
                <w:sz w:val="24"/>
                <w:szCs w:val="24"/>
              </w:rPr>
            </w:pPr>
            <w:r>
              <w:rPr>
                <w:rFonts w:hint="eastAsia" w:ascii="宋体" w:hAnsi="宋体"/>
                <w:b/>
                <w:bCs/>
                <w:color w:val="auto"/>
                <w:sz w:val="24"/>
                <w:szCs w:val="24"/>
              </w:rPr>
              <w:t>投标总报价</w:t>
            </w:r>
            <w:r>
              <w:rPr>
                <w:rFonts w:hint="eastAsia" w:ascii="宋体" w:hAnsi="宋体" w:cs="宋体"/>
                <w:b/>
                <w:bCs/>
                <w:i w:val="0"/>
                <w:iCs w:val="0"/>
                <w:color w:val="auto"/>
                <w:kern w:val="0"/>
                <w:sz w:val="24"/>
                <w:szCs w:val="24"/>
                <w:u w:val="none"/>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3" w:type="dxa"/>
            <w:tcMar>
              <w:top w:w="57" w:type="dxa"/>
              <w:left w:w="108" w:type="dxa"/>
              <w:bottom w:w="0" w:type="dxa"/>
              <w:right w:w="108" w:type="dxa"/>
            </w:tcMar>
            <w:vAlign w:val="center"/>
          </w:tcPr>
          <w:p>
            <w:pPr>
              <w:spacing w:line="240" w:lineRule="auto"/>
              <w:jc w:val="center"/>
              <w:rPr>
                <w:rFonts w:hint="eastAsia" w:ascii="宋体" w:hAnsi="宋体" w:eastAsia="宋体"/>
                <w:b w:val="0"/>
                <w:bCs/>
                <w:color w:val="auto"/>
                <w:sz w:val="21"/>
                <w:szCs w:val="21"/>
                <w:lang w:val="en-US" w:eastAsia="zh-CN"/>
              </w:rPr>
            </w:pPr>
            <w:r>
              <w:rPr>
                <w:rFonts w:hint="eastAsia" w:ascii="宋体" w:hAnsi="宋体"/>
                <w:b w:val="0"/>
                <w:bCs/>
                <w:color w:val="auto"/>
                <w:sz w:val="21"/>
                <w:szCs w:val="21"/>
                <w:lang w:val="en-US" w:eastAsia="zh-CN"/>
              </w:rPr>
              <w:t>1</w:t>
            </w:r>
          </w:p>
        </w:tc>
        <w:tc>
          <w:tcPr>
            <w:tcW w:w="2220" w:type="dxa"/>
            <w:tcMar>
              <w:top w:w="57"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应用融合管理模块</w:t>
            </w:r>
          </w:p>
        </w:tc>
        <w:tc>
          <w:tcPr>
            <w:tcW w:w="1995" w:type="dxa"/>
            <w:tcMar>
              <w:top w:w="57" w:type="dxa"/>
              <w:left w:w="108" w:type="dxa"/>
              <w:bottom w:w="0" w:type="dxa"/>
              <w:right w:w="108" w:type="dxa"/>
            </w:tcMar>
            <w:vAlign w:val="center"/>
          </w:tcPr>
          <w:p>
            <w:pPr>
              <w:spacing w:line="240" w:lineRule="auto"/>
              <w:jc w:val="center"/>
              <w:rPr>
                <w:rFonts w:hint="eastAsia" w:ascii="宋体" w:hAnsi="宋体"/>
                <w:b/>
                <w:color w:val="auto"/>
                <w:sz w:val="21"/>
                <w:szCs w:val="21"/>
              </w:rPr>
            </w:pPr>
          </w:p>
        </w:tc>
        <w:tc>
          <w:tcPr>
            <w:tcW w:w="1065" w:type="dxa"/>
            <w:vMerge w:val="restart"/>
            <w:tcMar>
              <w:top w:w="57" w:type="dxa"/>
              <w:left w:w="108" w:type="dxa"/>
              <w:bottom w:w="0" w:type="dxa"/>
              <w:right w:w="108" w:type="dxa"/>
            </w:tcMar>
            <w:vAlign w:val="center"/>
          </w:tcPr>
          <w:p>
            <w:pPr>
              <w:spacing w:line="240" w:lineRule="auto"/>
              <w:jc w:val="center"/>
              <w:rPr>
                <w:rFonts w:hint="default" w:ascii="宋体" w:hAnsi="宋体" w:eastAsia="宋体"/>
                <w:b/>
                <w:color w:val="auto"/>
                <w:sz w:val="21"/>
                <w:szCs w:val="21"/>
                <w:lang w:val="en-US" w:eastAsia="zh-CN"/>
              </w:rPr>
            </w:pPr>
            <w:r>
              <w:rPr>
                <w:rFonts w:hint="eastAsia" w:ascii="宋体" w:hAnsi="宋体"/>
                <w:b/>
                <w:color w:val="auto"/>
                <w:sz w:val="21"/>
                <w:szCs w:val="21"/>
                <w:lang w:val="en-US" w:eastAsia="zh-CN"/>
              </w:rPr>
              <w:t>大写</w:t>
            </w:r>
          </w:p>
        </w:tc>
        <w:tc>
          <w:tcPr>
            <w:tcW w:w="3285" w:type="dxa"/>
            <w:vMerge w:val="restart"/>
            <w:tcMar>
              <w:top w:w="57" w:type="dxa"/>
              <w:left w:w="108" w:type="dxa"/>
              <w:bottom w:w="0" w:type="dxa"/>
              <w:right w:w="108" w:type="dxa"/>
            </w:tcMar>
            <w:vAlign w:val="center"/>
          </w:tcPr>
          <w:p>
            <w:pPr>
              <w:spacing w:line="240" w:lineRule="auto"/>
              <w:jc w:val="center"/>
              <w:rPr>
                <w:rFonts w:hint="eastAsia" w:ascii="宋体" w:hAnsi="宋体"/>
                <w:b/>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3" w:type="dxa"/>
            <w:tcMar>
              <w:top w:w="57" w:type="dxa"/>
              <w:left w:w="108" w:type="dxa"/>
              <w:bottom w:w="0" w:type="dxa"/>
              <w:right w:w="108" w:type="dxa"/>
            </w:tcMar>
            <w:vAlign w:val="center"/>
          </w:tcPr>
          <w:p>
            <w:pPr>
              <w:spacing w:line="240" w:lineRule="auto"/>
              <w:jc w:val="center"/>
              <w:rPr>
                <w:rFonts w:hint="eastAsia" w:ascii="宋体" w:hAnsi="宋体" w:eastAsia="宋体"/>
                <w:b w:val="0"/>
                <w:bCs/>
                <w:color w:val="auto"/>
                <w:sz w:val="21"/>
                <w:szCs w:val="21"/>
                <w:lang w:val="en-US" w:eastAsia="zh-CN"/>
              </w:rPr>
            </w:pPr>
            <w:r>
              <w:rPr>
                <w:rFonts w:hint="eastAsia" w:ascii="宋体" w:hAnsi="宋体"/>
                <w:b w:val="0"/>
                <w:bCs/>
                <w:color w:val="auto"/>
                <w:sz w:val="21"/>
                <w:szCs w:val="21"/>
                <w:lang w:val="en-US" w:eastAsia="zh-CN"/>
              </w:rPr>
              <w:t>2</w:t>
            </w:r>
          </w:p>
        </w:tc>
        <w:tc>
          <w:tcPr>
            <w:tcW w:w="2220" w:type="dxa"/>
            <w:tcMar>
              <w:top w:w="57"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数智实战模块</w:t>
            </w:r>
          </w:p>
        </w:tc>
        <w:tc>
          <w:tcPr>
            <w:tcW w:w="1995" w:type="dxa"/>
            <w:tcMar>
              <w:top w:w="57" w:type="dxa"/>
              <w:left w:w="108" w:type="dxa"/>
              <w:bottom w:w="0" w:type="dxa"/>
              <w:right w:w="108" w:type="dxa"/>
            </w:tcMar>
            <w:vAlign w:val="center"/>
          </w:tcPr>
          <w:p>
            <w:pPr>
              <w:spacing w:line="240" w:lineRule="auto"/>
              <w:jc w:val="center"/>
              <w:rPr>
                <w:rFonts w:hint="eastAsia" w:ascii="宋体" w:hAnsi="宋体"/>
                <w:b/>
                <w:color w:val="auto"/>
                <w:sz w:val="21"/>
                <w:szCs w:val="21"/>
              </w:rPr>
            </w:pPr>
          </w:p>
        </w:tc>
        <w:tc>
          <w:tcPr>
            <w:tcW w:w="1065" w:type="dxa"/>
            <w:vMerge w:val="continue"/>
            <w:tcMar>
              <w:top w:w="57" w:type="dxa"/>
              <w:left w:w="108" w:type="dxa"/>
              <w:bottom w:w="0" w:type="dxa"/>
              <w:right w:w="108" w:type="dxa"/>
            </w:tcMar>
            <w:vAlign w:val="center"/>
          </w:tcPr>
          <w:p>
            <w:pPr>
              <w:spacing w:line="240" w:lineRule="auto"/>
              <w:jc w:val="center"/>
              <w:rPr>
                <w:rFonts w:hint="eastAsia" w:ascii="宋体" w:hAnsi="宋体"/>
                <w:b/>
                <w:color w:val="auto"/>
                <w:sz w:val="21"/>
                <w:szCs w:val="21"/>
              </w:rPr>
            </w:pPr>
          </w:p>
        </w:tc>
        <w:tc>
          <w:tcPr>
            <w:tcW w:w="3285" w:type="dxa"/>
            <w:vMerge w:val="continue"/>
            <w:tcMar>
              <w:top w:w="57" w:type="dxa"/>
              <w:left w:w="108" w:type="dxa"/>
              <w:bottom w:w="0" w:type="dxa"/>
              <w:right w:w="108" w:type="dxa"/>
            </w:tcMar>
            <w:vAlign w:val="center"/>
          </w:tcPr>
          <w:p>
            <w:pPr>
              <w:spacing w:line="240" w:lineRule="auto"/>
              <w:jc w:val="center"/>
              <w:rPr>
                <w:rFonts w:hint="eastAsia"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3" w:type="dxa"/>
            <w:tcMar>
              <w:top w:w="57" w:type="dxa"/>
              <w:left w:w="108" w:type="dxa"/>
              <w:bottom w:w="0" w:type="dxa"/>
              <w:right w:w="108" w:type="dxa"/>
            </w:tcMar>
            <w:vAlign w:val="center"/>
          </w:tcPr>
          <w:p>
            <w:pPr>
              <w:spacing w:line="240" w:lineRule="auto"/>
              <w:jc w:val="center"/>
              <w:rPr>
                <w:rFonts w:hint="eastAsia" w:ascii="宋体" w:hAnsi="宋体" w:eastAsia="宋体"/>
                <w:b w:val="0"/>
                <w:bCs/>
                <w:color w:val="auto"/>
                <w:sz w:val="21"/>
                <w:szCs w:val="21"/>
                <w:lang w:val="en-US" w:eastAsia="zh-CN"/>
              </w:rPr>
            </w:pPr>
            <w:r>
              <w:rPr>
                <w:rFonts w:hint="eastAsia" w:ascii="宋体" w:hAnsi="宋体"/>
                <w:b w:val="0"/>
                <w:bCs/>
                <w:color w:val="auto"/>
                <w:sz w:val="21"/>
                <w:szCs w:val="21"/>
                <w:lang w:val="en-US" w:eastAsia="zh-CN"/>
              </w:rPr>
              <w:t>3</w:t>
            </w:r>
          </w:p>
        </w:tc>
        <w:tc>
          <w:tcPr>
            <w:tcW w:w="2220" w:type="dxa"/>
            <w:tcMar>
              <w:top w:w="57"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数智决策模块</w:t>
            </w:r>
          </w:p>
        </w:tc>
        <w:tc>
          <w:tcPr>
            <w:tcW w:w="1995" w:type="dxa"/>
            <w:tcMar>
              <w:top w:w="57" w:type="dxa"/>
              <w:left w:w="108" w:type="dxa"/>
              <w:bottom w:w="0" w:type="dxa"/>
              <w:right w:w="108" w:type="dxa"/>
            </w:tcMar>
            <w:vAlign w:val="center"/>
          </w:tcPr>
          <w:p>
            <w:pPr>
              <w:spacing w:line="240" w:lineRule="auto"/>
              <w:jc w:val="center"/>
              <w:rPr>
                <w:rFonts w:hint="eastAsia" w:ascii="宋体" w:hAnsi="宋体"/>
                <w:b/>
                <w:color w:val="auto"/>
                <w:sz w:val="21"/>
                <w:szCs w:val="21"/>
              </w:rPr>
            </w:pPr>
          </w:p>
        </w:tc>
        <w:tc>
          <w:tcPr>
            <w:tcW w:w="1065" w:type="dxa"/>
            <w:vMerge w:val="continue"/>
            <w:tcMar>
              <w:top w:w="57" w:type="dxa"/>
              <w:left w:w="108" w:type="dxa"/>
              <w:bottom w:w="0" w:type="dxa"/>
              <w:right w:w="108" w:type="dxa"/>
            </w:tcMar>
            <w:vAlign w:val="center"/>
          </w:tcPr>
          <w:p>
            <w:pPr>
              <w:spacing w:line="240" w:lineRule="auto"/>
              <w:jc w:val="center"/>
              <w:rPr>
                <w:rFonts w:hint="eastAsia" w:ascii="宋体" w:hAnsi="宋体"/>
                <w:b/>
                <w:color w:val="auto"/>
                <w:sz w:val="21"/>
                <w:szCs w:val="21"/>
              </w:rPr>
            </w:pPr>
          </w:p>
        </w:tc>
        <w:tc>
          <w:tcPr>
            <w:tcW w:w="3285" w:type="dxa"/>
            <w:vMerge w:val="continue"/>
            <w:tcMar>
              <w:top w:w="57" w:type="dxa"/>
              <w:left w:w="108" w:type="dxa"/>
              <w:bottom w:w="0" w:type="dxa"/>
              <w:right w:w="108" w:type="dxa"/>
            </w:tcMar>
            <w:vAlign w:val="center"/>
          </w:tcPr>
          <w:p>
            <w:pPr>
              <w:spacing w:line="240" w:lineRule="auto"/>
              <w:jc w:val="center"/>
              <w:rPr>
                <w:rFonts w:hint="eastAsia"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3" w:type="dxa"/>
            <w:tcMar>
              <w:top w:w="57" w:type="dxa"/>
              <w:left w:w="108" w:type="dxa"/>
              <w:bottom w:w="0" w:type="dxa"/>
              <w:right w:w="108" w:type="dxa"/>
            </w:tcMar>
            <w:vAlign w:val="center"/>
          </w:tcPr>
          <w:p>
            <w:pPr>
              <w:spacing w:line="240" w:lineRule="auto"/>
              <w:jc w:val="center"/>
              <w:rPr>
                <w:rFonts w:hint="eastAsia" w:ascii="宋体" w:hAnsi="宋体" w:eastAsia="宋体"/>
                <w:b w:val="0"/>
                <w:bCs/>
                <w:color w:val="auto"/>
                <w:sz w:val="21"/>
                <w:szCs w:val="21"/>
                <w:lang w:val="en-US" w:eastAsia="zh-CN"/>
              </w:rPr>
            </w:pPr>
            <w:r>
              <w:rPr>
                <w:rFonts w:hint="eastAsia" w:ascii="宋体" w:hAnsi="宋体"/>
                <w:b w:val="0"/>
                <w:bCs/>
                <w:color w:val="auto"/>
                <w:sz w:val="21"/>
                <w:szCs w:val="21"/>
                <w:lang w:val="en-US" w:eastAsia="zh-CN"/>
              </w:rPr>
              <w:t>4</w:t>
            </w:r>
          </w:p>
        </w:tc>
        <w:tc>
          <w:tcPr>
            <w:tcW w:w="2220" w:type="dxa"/>
            <w:tcMar>
              <w:top w:w="57"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高地一体化模块</w:t>
            </w:r>
          </w:p>
        </w:tc>
        <w:tc>
          <w:tcPr>
            <w:tcW w:w="1995" w:type="dxa"/>
            <w:tcMar>
              <w:top w:w="57" w:type="dxa"/>
              <w:left w:w="108" w:type="dxa"/>
              <w:bottom w:w="0" w:type="dxa"/>
              <w:right w:w="108" w:type="dxa"/>
            </w:tcMar>
            <w:vAlign w:val="center"/>
          </w:tcPr>
          <w:p>
            <w:pPr>
              <w:spacing w:line="240" w:lineRule="auto"/>
              <w:jc w:val="center"/>
              <w:rPr>
                <w:rFonts w:hint="eastAsia" w:ascii="宋体" w:hAnsi="宋体"/>
                <w:b/>
                <w:color w:val="auto"/>
                <w:sz w:val="21"/>
                <w:szCs w:val="21"/>
              </w:rPr>
            </w:pPr>
          </w:p>
        </w:tc>
        <w:tc>
          <w:tcPr>
            <w:tcW w:w="1065" w:type="dxa"/>
            <w:vMerge w:val="continue"/>
            <w:tcMar>
              <w:top w:w="57" w:type="dxa"/>
              <w:left w:w="108" w:type="dxa"/>
              <w:bottom w:w="0" w:type="dxa"/>
              <w:right w:w="108" w:type="dxa"/>
            </w:tcMar>
            <w:vAlign w:val="center"/>
          </w:tcPr>
          <w:p>
            <w:pPr>
              <w:spacing w:line="240" w:lineRule="auto"/>
              <w:jc w:val="center"/>
              <w:rPr>
                <w:rFonts w:hint="eastAsia" w:ascii="宋体" w:hAnsi="宋体"/>
                <w:b/>
                <w:color w:val="auto"/>
                <w:sz w:val="21"/>
                <w:szCs w:val="21"/>
              </w:rPr>
            </w:pPr>
          </w:p>
        </w:tc>
        <w:tc>
          <w:tcPr>
            <w:tcW w:w="3285" w:type="dxa"/>
            <w:vMerge w:val="continue"/>
            <w:tcMar>
              <w:top w:w="57" w:type="dxa"/>
              <w:left w:w="108" w:type="dxa"/>
              <w:bottom w:w="0" w:type="dxa"/>
              <w:right w:w="108" w:type="dxa"/>
            </w:tcMar>
            <w:vAlign w:val="center"/>
          </w:tcPr>
          <w:p>
            <w:pPr>
              <w:spacing w:line="240" w:lineRule="auto"/>
              <w:jc w:val="center"/>
              <w:rPr>
                <w:rFonts w:hint="eastAsia"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3" w:type="dxa"/>
            <w:tcMar>
              <w:top w:w="57" w:type="dxa"/>
              <w:left w:w="108" w:type="dxa"/>
              <w:bottom w:w="0" w:type="dxa"/>
              <w:right w:w="108" w:type="dxa"/>
            </w:tcMar>
            <w:vAlign w:val="center"/>
          </w:tcPr>
          <w:p>
            <w:pPr>
              <w:spacing w:line="240" w:lineRule="auto"/>
              <w:jc w:val="center"/>
              <w:rPr>
                <w:rFonts w:hint="eastAsia" w:ascii="宋体" w:hAnsi="宋体" w:eastAsia="宋体"/>
                <w:b w:val="0"/>
                <w:bCs/>
                <w:color w:val="auto"/>
                <w:sz w:val="21"/>
                <w:szCs w:val="21"/>
                <w:lang w:val="en-US" w:eastAsia="zh-CN"/>
              </w:rPr>
            </w:pPr>
            <w:r>
              <w:rPr>
                <w:rFonts w:hint="eastAsia" w:ascii="宋体" w:hAnsi="宋体"/>
                <w:b w:val="0"/>
                <w:bCs/>
                <w:color w:val="auto"/>
                <w:sz w:val="21"/>
                <w:szCs w:val="21"/>
                <w:lang w:val="en-US" w:eastAsia="zh-CN"/>
              </w:rPr>
              <w:t>5</w:t>
            </w:r>
          </w:p>
        </w:tc>
        <w:tc>
          <w:tcPr>
            <w:tcW w:w="2220" w:type="dxa"/>
            <w:tcMar>
              <w:top w:w="57"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信号控制提升模块</w:t>
            </w:r>
          </w:p>
        </w:tc>
        <w:tc>
          <w:tcPr>
            <w:tcW w:w="1995" w:type="dxa"/>
            <w:tcMar>
              <w:top w:w="57" w:type="dxa"/>
              <w:left w:w="108" w:type="dxa"/>
              <w:bottom w:w="0" w:type="dxa"/>
              <w:right w:w="108" w:type="dxa"/>
            </w:tcMar>
            <w:vAlign w:val="center"/>
          </w:tcPr>
          <w:p>
            <w:pPr>
              <w:spacing w:line="240" w:lineRule="auto"/>
              <w:jc w:val="center"/>
              <w:rPr>
                <w:rFonts w:hint="eastAsia" w:ascii="宋体" w:hAnsi="宋体"/>
                <w:b/>
                <w:color w:val="auto"/>
                <w:sz w:val="21"/>
                <w:szCs w:val="21"/>
              </w:rPr>
            </w:pPr>
          </w:p>
        </w:tc>
        <w:tc>
          <w:tcPr>
            <w:tcW w:w="1065" w:type="dxa"/>
            <w:vMerge w:val="continue"/>
            <w:tcMar>
              <w:top w:w="57" w:type="dxa"/>
              <w:left w:w="108" w:type="dxa"/>
              <w:bottom w:w="0" w:type="dxa"/>
              <w:right w:w="108" w:type="dxa"/>
            </w:tcMar>
            <w:vAlign w:val="center"/>
          </w:tcPr>
          <w:p>
            <w:pPr>
              <w:spacing w:line="240" w:lineRule="auto"/>
              <w:jc w:val="center"/>
              <w:rPr>
                <w:rFonts w:hint="eastAsia" w:ascii="宋体" w:hAnsi="宋体"/>
                <w:b/>
                <w:color w:val="auto"/>
                <w:sz w:val="21"/>
                <w:szCs w:val="21"/>
              </w:rPr>
            </w:pPr>
          </w:p>
        </w:tc>
        <w:tc>
          <w:tcPr>
            <w:tcW w:w="3285" w:type="dxa"/>
            <w:vMerge w:val="continue"/>
            <w:tcMar>
              <w:top w:w="57" w:type="dxa"/>
              <w:left w:w="108" w:type="dxa"/>
              <w:bottom w:w="0" w:type="dxa"/>
              <w:right w:w="108" w:type="dxa"/>
            </w:tcMar>
            <w:vAlign w:val="center"/>
          </w:tcPr>
          <w:p>
            <w:pPr>
              <w:spacing w:line="240" w:lineRule="auto"/>
              <w:jc w:val="center"/>
              <w:rPr>
                <w:rFonts w:hint="eastAsia"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3" w:type="dxa"/>
            <w:tcMar>
              <w:top w:w="57" w:type="dxa"/>
              <w:left w:w="108" w:type="dxa"/>
              <w:bottom w:w="0" w:type="dxa"/>
              <w:right w:w="108" w:type="dxa"/>
            </w:tcMar>
            <w:vAlign w:val="center"/>
          </w:tcPr>
          <w:p>
            <w:pPr>
              <w:spacing w:line="240" w:lineRule="auto"/>
              <w:jc w:val="center"/>
              <w:rPr>
                <w:rFonts w:hint="eastAsia" w:ascii="宋体" w:hAnsi="宋体" w:eastAsia="宋体"/>
                <w:b w:val="0"/>
                <w:bCs/>
                <w:color w:val="auto"/>
                <w:sz w:val="21"/>
                <w:szCs w:val="21"/>
                <w:lang w:val="en-US" w:eastAsia="zh-CN"/>
              </w:rPr>
            </w:pPr>
            <w:r>
              <w:rPr>
                <w:rFonts w:hint="eastAsia" w:ascii="宋体" w:hAnsi="宋体"/>
                <w:b w:val="0"/>
                <w:bCs/>
                <w:color w:val="auto"/>
                <w:sz w:val="21"/>
                <w:szCs w:val="21"/>
                <w:lang w:val="en-US" w:eastAsia="zh-CN"/>
              </w:rPr>
              <w:t>6</w:t>
            </w:r>
          </w:p>
        </w:tc>
        <w:tc>
          <w:tcPr>
            <w:tcW w:w="2220" w:type="dxa"/>
            <w:tcMar>
              <w:top w:w="57"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交通态势分析模块</w:t>
            </w:r>
          </w:p>
        </w:tc>
        <w:tc>
          <w:tcPr>
            <w:tcW w:w="1995" w:type="dxa"/>
            <w:tcMar>
              <w:top w:w="57" w:type="dxa"/>
              <w:left w:w="108" w:type="dxa"/>
              <w:bottom w:w="0" w:type="dxa"/>
              <w:right w:w="108" w:type="dxa"/>
            </w:tcMar>
            <w:vAlign w:val="center"/>
          </w:tcPr>
          <w:p>
            <w:pPr>
              <w:spacing w:line="240" w:lineRule="auto"/>
              <w:jc w:val="center"/>
              <w:rPr>
                <w:rFonts w:hint="eastAsia" w:ascii="宋体" w:hAnsi="宋体"/>
                <w:b/>
                <w:color w:val="auto"/>
                <w:sz w:val="21"/>
                <w:szCs w:val="21"/>
              </w:rPr>
            </w:pPr>
          </w:p>
        </w:tc>
        <w:tc>
          <w:tcPr>
            <w:tcW w:w="1065" w:type="dxa"/>
            <w:vMerge w:val="continue"/>
            <w:tcMar>
              <w:top w:w="57" w:type="dxa"/>
              <w:left w:w="108" w:type="dxa"/>
              <w:bottom w:w="0" w:type="dxa"/>
              <w:right w:w="108" w:type="dxa"/>
            </w:tcMar>
            <w:vAlign w:val="center"/>
          </w:tcPr>
          <w:p>
            <w:pPr>
              <w:spacing w:line="240" w:lineRule="auto"/>
              <w:jc w:val="center"/>
              <w:rPr>
                <w:rFonts w:hint="eastAsia" w:ascii="宋体" w:hAnsi="宋体"/>
                <w:b/>
                <w:color w:val="auto"/>
                <w:sz w:val="21"/>
                <w:szCs w:val="21"/>
              </w:rPr>
            </w:pPr>
          </w:p>
        </w:tc>
        <w:tc>
          <w:tcPr>
            <w:tcW w:w="3285" w:type="dxa"/>
            <w:vMerge w:val="continue"/>
            <w:tcMar>
              <w:top w:w="57" w:type="dxa"/>
              <w:left w:w="108" w:type="dxa"/>
              <w:bottom w:w="0" w:type="dxa"/>
              <w:right w:w="108" w:type="dxa"/>
            </w:tcMar>
            <w:vAlign w:val="center"/>
          </w:tcPr>
          <w:p>
            <w:pPr>
              <w:spacing w:line="240" w:lineRule="auto"/>
              <w:jc w:val="center"/>
              <w:rPr>
                <w:rFonts w:hint="eastAsia"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3" w:type="dxa"/>
            <w:tcMar>
              <w:top w:w="57" w:type="dxa"/>
              <w:left w:w="108" w:type="dxa"/>
              <w:bottom w:w="0" w:type="dxa"/>
              <w:right w:w="108" w:type="dxa"/>
            </w:tcMar>
            <w:vAlign w:val="center"/>
          </w:tcPr>
          <w:p>
            <w:pPr>
              <w:spacing w:line="240" w:lineRule="auto"/>
              <w:jc w:val="center"/>
              <w:rPr>
                <w:rFonts w:hint="eastAsia" w:ascii="宋体" w:hAnsi="宋体" w:eastAsia="宋体"/>
                <w:b w:val="0"/>
                <w:bCs/>
                <w:color w:val="auto"/>
                <w:sz w:val="21"/>
                <w:szCs w:val="21"/>
                <w:lang w:val="en-US" w:eastAsia="zh-CN"/>
              </w:rPr>
            </w:pPr>
            <w:r>
              <w:rPr>
                <w:rFonts w:hint="eastAsia" w:ascii="宋体" w:hAnsi="宋体"/>
                <w:b w:val="0"/>
                <w:bCs/>
                <w:color w:val="auto"/>
                <w:sz w:val="21"/>
                <w:szCs w:val="21"/>
                <w:lang w:val="en-US" w:eastAsia="zh-CN"/>
              </w:rPr>
              <w:t>7</w:t>
            </w:r>
          </w:p>
        </w:tc>
        <w:tc>
          <w:tcPr>
            <w:tcW w:w="2220" w:type="dxa"/>
            <w:tcMar>
              <w:top w:w="57"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驾驶人学习防范模块</w:t>
            </w:r>
          </w:p>
        </w:tc>
        <w:tc>
          <w:tcPr>
            <w:tcW w:w="1995" w:type="dxa"/>
            <w:tcMar>
              <w:top w:w="57" w:type="dxa"/>
              <w:left w:w="108" w:type="dxa"/>
              <w:bottom w:w="0" w:type="dxa"/>
              <w:right w:w="108" w:type="dxa"/>
            </w:tcMar>
            <w:vAlign w:val="center"/>
          </w:tcPr>
          <w:p>
            <w:pPr>
              <w:spacing w:line="240" w:lineRule="auto"/>
              <w:jc w:val="center"/>
              <w:rPr>
                <w:rFonts w:hint="eastAsia" w:ascii="宋体" w:hAnsi="宋体"/>
                <w:b/>
                <w:color w:val="auto"/>
                <w:sz w:val="21"/>
                <w:szCs w:val="21"/>
              </w:rPr>
            </w:pPr>
          </w:p>
        </w:tc>
        <w:tc>
          <w:tcPr>
            <w:tcW w:w="1065" w:type="dxa"/>
            <w:vMerge w:val="continue"/>
            <w:tcMar>
              <w:top w:w="57" w:type="dxa"/>
              <w:left w:w="108" w:type="dxa"/>
              <w:bottom w:w="0" w:type="dxa"/>
              <w:right w:w="108" w:type="dxa"/>
            </w:tcMar>
            <w:vAlign w:val="center"/>
          </w:tcPr>
          <w:p>
            <w:pPr>
              <w:spacing w:line="240" w:lineRule="auto"/>
              <w:jc w:val="center"/>
              <w:rPr>
                <w:rFonts w:hint="eastAsia" w:ascii="宋体" w:hAnsi="宋体"/>
                <w:b/>
                <w:color w:val="auto"/>
                <w:sz w:val="21"/>
                <w:szCs w:val="21"/>
              </w:rPr>
            </w:pPr>
          </w:p>
        </w:tc>
        <w:tc>
          <w:tcPr>
            <w:tcW w:w="3285" w:type="dxa"/>
            <w:vMerge w:val="continue"/>
            <w:tcMar>
              <w:top w:w="57" w:type="dxa"/>
              <w:left w:w="108" w:type="dxa"/>
              <w:bottom w:w="0" w:type="dxa"/>
              <w:right w:w="108" w:type="dxa"/>
            </w:tcMar>
            <w:vAlign w:val="center"/>
          </w:tcPr>
          <w:p>
            <w:pPr>
              <w:spacing w:line="240" w:lineRule="auto"/>
              <w:jc w:val="center"/>
              <w:rPr>
                <w:rFonts w:hint="eastAsia"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3" w:type="dxa"/>
            <w:tcMar>
              <w:top w:w="57" w:type="dxa"/>
              <w:left w:w="108" w:type="dxa"/>
              <w:bottom w:w="0" w:type="dxa"/>
              <w:right w:w="108" w:type="dxa"/>
            </w:tcMar>
            <w:vAlign w:val="center"/>
          </w:tcPr>
          <w:p>
            <w:pPr>
              <w:spacing w:line="240" w:lineRule="auto"/>
              <w:jc w:val="center"/>
              <w:rPr>
                <w:rFonts w:hint="eastAsia" w:ascii="宋体" w:hAnsi="宋体" w:eastAsia="宋体"/>
                <w:b w:val="0"/>
                <w:bCs/>
                <w:color w:val="auto"/>
                <w:sz w:val="21"/>
                <w:szCs w:val="21"/>
                <w:lang w:val="en-US" w:eastAsia="zh-CN"/>
              </w:rPr>
            </w:pPr>
            <w:r>
              <w:rPr>
                <w:rFonts w:hint="eastAsia" w:ascii="宋体" w:hAnsi="宋体"/>
                <w:b w:val="0"/>
                <w:bCs/>
                <w:color w:val="auto"/>
                <w:sz w:val="21"/>
                <w:szCs w:val="21"/>
                <w:lang w:val="en-US" w:eastAsia="zh-CN"/>
              </w:rPr>
              <w:t>8</w:t>
            </w:r>
          </w:p>
        </w:tc>
        <w:tc>
          <w:tcPr>
            <w:tcW w:w="2220" w:type="dxa"/>
            <w:tcMar>
              <w:top w:w="57"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运维管理模块</w:t>
            </w:r>
          </w:p>
        </w:tc>
        <w:tc>
          <w:tcPr>
            <w:tcW w:w="1995" w:type="dxa"/>
            <w:tcMar>
              <w:top w:w="57" w:type="dxa"/>
              <w:left w:w="108" w:type="dxa"/>
              <w:bottom w:w="0" w:type="dxa"/>
              <w:right w:w="108" w:type="dxa"/>
            </w:tcMar>
            <w:vAlign w:val="center"/>
          </w:tcPr>
          <w:p>
            <w:pPr>
              <w:spacing w:line="240" w:lineRule="auto"/>
              <w:jc w:val="center"/>
              <w:rPr>
                <w:rFonts w:hint="eastAsia" w:ascii="宋体" w:hAnsi="宋体"/>
                <w:b/>
                <w:color w:val="auto"/>
                <w:sz w:val="21"/>
                <w:szCs w:val="21"/>
              </w:rPr>
            </w:pPr>
          </w:p>
        </w:tc>
        <w:tc>
          <w:tcPr>
            <w:tcW w:w="1065" w:type="dxa"/>
            <w:vMerge w:val="restart"/>
            <w:tcMar>
              <w:top w:w="57" w:type="dxa"/>
              <w:left w:w="108" w:type="dxa"/>
              <w:bottom w:w="0" w:type="dxa"/>
              <w:right w:w="108" w:type="dxa"/>
            </w:tcMar>
            <w:vAlign w:val="center"/>
          </w:tcPr>
          <w:p>
            <w:pPr>
              <w:spacing w:line="240" w:lineRule="auto"/>
              <w:jc w:val="center"/>
              <w:rPr>
                <w:rFonts w:hint="default" w:ascii="宋体" w:hAnsi="宋体" w:eastAsia="宋体"/>
                <w:b/>
                <w:color w:val="auto"/>
                <w:sz w:val="21"/>
                <w:szCs w:val="21"/>
                <w:lang w:val="en-US" w:eastAsia="zh-CN"/>
              </w:rPr>
            </w:pPr>
            <w:r>
              <w:rPr>
                <w:rFonts w:hint="eastAsia" w:ascii="宋体" w:hAnsi="宋体"/>
                <w:b/>
                <w:color w:val="auto"/>
                <w:sz w:val="21"/>
                <w:szCs w:val="21"/>
                <w:lang w:val="en-US" w:eastAsia="zh-CN"/>
              </w:rPr>
              <w:t>小写</w:t>
            </w:r>
          </w:p>
        </w:tc>
        <w:tc>
          <w:tcPr>
            <w:tcW w:w="3285" w:type="dxa"/>
            <w:vMerge w:val="restart"/>
            <w:tcMar>
              <w:top w:w="57" w:type="dxa"/>
              <w:left w:w="108" w:type="dxa"/>
              <w:bottom w:w="0" w:type="dxa"/>
              <w:right w:w="108" w:type="dxa"/>
            </w:tcMar>
            <w:vAlign w:val="center"/>
          </w:tcPr>
          <w:p>
            <w:pPr>
              <w:spacing w:line="240" w:lineRule="auto"/>
              <w:jc w:val="center"/>
              <w:rPr>
                <w:rFonts w:hint="eastAsia" w:ascii="宋体" w:hAnsi="宋体"/>
                <w:b/>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3" w:type="dxa"/>
            <w:tcMar>
              <w:top w:w="57" w:type="dxa"/>
              <w:left w:w="108" w:type="dxa"/>
              <w:bottom w:w="0" w:type="dxa"/>
              <w:right w:w="108" w:type="dxa"/>
            </w:tcMar>
            <w:vAlign w:val="center"/>
          </w:tcPr>
          <w:p>
            <w:pPr>
              <w:spacing w:line="240" w:lineRule="auto"/>
              <w:jc w:val="center"/>
              <w:rPr>
                <w:rFonts w:hint="eastAsia" w:ascii="宋体" w:hAnsi="宋体" w:eastAsia="宋体"/>
                <w:b w:val="0"/>
                <w:bCs/>
                <w:color w:val="auto"/>
                <w:sz w:val="21"/>
                <w:szCs w:val="21"/>
                <w:lang w:val="en-US" w:eastAsia="zh-CN"/>
              </w:rPr>
            </w:pPr>
            <w:r>
              <w:rPr>
                <w:rFonts w:hint="eastAsia" w:ascii="宋体" w:hAnsi="宋体"/>
                <w:b w:val="0"/>
                <w:bCs/>
                <w:color w:val="auto"/>
                <w:sz w:val="21"/>
                <w:szCs w:val="21"/>
                <w:lang w:val="en-US" w:eastAsia="zh-CN"/>
              </w:rPr>
              <w:t>9</w:t>
            </w:r>
          </w:p>
        </w:tc>
        <w:tc>
          <w:tcPr>
            <w:tcW w:w="2220" w:type="dxa"/>
            <w:tcMar>
              <w:top w:w="57"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移动应用模块</w:t>
            </w:r>
          </w:p>
        </w:tc>
        <w:tc>
          <w:tcPr>
            <w:tcW w:w="1995" w:type="dxa"/>
            <w:tcMar>
              <w:top w:w="57" w:type="dxa"/>
              <w:left w:w="108" w:type="dxa"/>
              <w:bottom w:w="0" w:type="dxa"/>
              <w:right w:w="108" w:type="dxa"/>
            </w:tcMar>
            <w:vAlign w:val="center"/>
          </w:tcPr>
          <w:p>
            <w:pPr>
              <w:spacing w:line="240" w:lineRule="auto"/>
              <w:jc w:val="center"/>
              <w:rPr>
                <w:rFonts w:hint="eastAsia" w:ascii="宋体" w:hAnsi="宋体"/>
                <w:b/>
                <w:color w:val="auto"/>
                <w:sz w:val="21"/>
                <w:szCs w:val="21"/>
              </w:rPr>
            </w:pPr>
          </w:p>
        </w:tc>
        <w:tc>
          <w:tcPr>
            <w:tcW w:w="1065" w:type="dxa"/>
            <w:vMerge w:val="continue"/>
            <w:tcMar>
              <w:top w:w="57" w:type="dxa"/>
              <w:left w:w="108" w:type="dxa"/>
              <w:bottom w:w="0" w:type="dxa"/>
              <w:right w:w="108" w:type="dxa"/>
            </w:tcMar>
            <w:vAlign w:val="center"/>
          </w:tcPr>
          <w:p>
            <w:pPr>
              <w:spacing w:line="240" w:lineRule="auto"/>
              <w:jc w:val="center"/>
              <w:rPr>
                <w:rFonts w:hint="eastAsia" w:ascii="宋体" w:hAnsi="宋体"/>
                <w:b/>
                <w:color w:val="auto"/>
                <w:sz w:val="21"/>
                <w:szCs w:val="21"/>
              </w:rPr>
            </w:pPr>
          </w:p>
        </w:tc>
        <w:tc>
          <w:tcPr>
            <w:tcW w:w="3285" w:type="dxa"/>
            <w:vMerge w:val="continue"/>
            <w:tcMar>
              <w:top w:w="57" w:type="dxa"/>
              <w:left w:w="108" w:type="dxa"/>
              <w:bottom w:w="0" w:type="dxa"/>
              <w:right w:w="108" w:type="dxa"/>
            </w:tcMar>
            <w:vAlign w:val="center"/>
          </w:tcPr>
          <w:p>
            <w:pPr>
              <w:spacing w:line="240" w:lineRule="auto"/>
              <w:jc w:val="center"/>
              <w:rPr>
                <w:rFonts w:hint="eastAsia"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3" w:type="dxa"/>
            <w:tcMar>
              <w:top w:w="57" w:type="dxa"/>
              <w:left w:w="108" w:type="dxa"/>
              <w:bottom w:w="0" w:type="dxa"/>
              <w:right w:w="108" w:type="dxa"/>
            </w:tcMar>
            <w:vAlign w:val="center"/>
          </w:tcPr>
          <w:p>
            <w:pPr>
              <w:spacing w:line="240" w:lineRule="auto"/>
              <w:jc w:val="center"/>
              <w:rPr>
                <w:rFonts w:hint="default" w:ascii="宋体" w:hAnsi="宋体" w:eastAsia="宋体"/>
                <w:b w:val="0"/>
                <w:bCs/>
                <w:color w:val="auto"/>
                <w:sz w:val="21"/>
                <w:szCs w:val="21"/>
                <w:lang w:val="en-US" w:eastAsia="zh-CN"/>
              </w:rPr>
            </w:pPr>
            <w:r>
              <w:rPr>
                <w:rFonts w:hint="eastAsia" w:ascii="宋体" w:hAnsi="宋体"/>
                <w:b w:val="0"/>
                <w:bCs/>
                <w:color w:val="auto"/>
                <w:sz w:val="21"/>
                <w:szCs w:val="21"/>
                <w:lang w:val="en-US" w:eastAsia="zh-CN"/>
              </w:rPr>
              <w:t>10</w:t>
            </w:r>
          </w:p>
        </w:tc>
        <w:tc>
          <w:tcPr>
            <w:tcW w:w="2220" w:type="dxa"/>
            <w:tcMar>
              <w:top w:w="57"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事故可视化模块</w:t>
            </w:r>
          </w:p>
        </w:tc>
        <w:tc>
          <w:tcPr>
            <w:tcW w:w="1995" w:type="dxa"/>
            <w:tcMar>
              <w:top w:w="57" w:type="dxa"/>
              <w:left w:w="108" w:type="dxa"/>
              <w:bottom w:w="0" w:type="dxa"/>
              <w:right w:w="108" w:type="dxa"/>
            </w:tcMar>
            <w:vAlign w:val="center"/>
          </w:tcPr>
          <w:p>
            <w:pPr>
              <w:spacing w:line="240" w:lineRule="auto"/>
              <w:jc w:val="center"/>
              <w:rPr>
                <w:rFonts w:hint="eastAsia" w:ascii="宋体" w:hAnsi="宋体"/>
                <w:b/>
                <w:color w:val="auto"/>
                <w:sz w:val="21"/>
                <w:szCs w:val="21"/>
              </w:rPr>
            </w:pPr>
          </w:p>
        </w:tc>
        <w:tc>
          <w:tcPr>
            <w:tcW w:w="1065" w:type="dxa"/>
            <w:vMerge w:val="continue"/>
            <w:tcMar>
              <w:top w:w="57" w:type="dxa"/>
              <w:left w:w="108" w:type="dxa"/>
              <w:bottom w:w="0" w:type="dxa"/>
              <w:right w:w="108" w:type="dxa"/>
            </w:tcMar>
            <w:vAlign w:val="center"/>
          </w:tcPr>
          <w:p>
            <w:pPr>
              <w:spacing w:line="240" w:lineRule="auto"/>
              <w:jc w:val="center"/>
              <w:rPr>
                <w:rFonts w:hint="eastAsia" w:ascii="宋体" w:hAnsi="宋体"/>
                <w:b/>
                <w:color w:val="auto"/>
                <w:sz w:val="21"/>
                <w:szCs w:val="21"/>
              </w:rPr>
            </w:pPr>
          </w:p>
        </w:tc>
        <w:tc>
          <w:tcPr>
            <w:tcW w:w="3285" w:type="dxa"/>
            <w:vMerge w:val="continue"/>
            <w:tcMar>
              <w:top w:w="57" w:type="dxa"/>
              <w:left w:w="108" w:type="dxa"/>
              <w:bottom w:w="0" w:type="dxa"/>
              <w:right w:w="108" w:type="dxa"/>
            </w:tcMar>
            <w:vAlign w:val="center"/>
          </w:tcPr>
          <w:p>
            <w:pPr>
              <w:spacing w:line="240" w:lineRule="auto"/>
              <w:jc w:val="center"/>
              <w:rPr>
                <w:rFonts w:hint="eastAsia"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3" w:type="dxa"/>
            <w:tcMar>
              <w:top w:w="57" w:type="dxa"/>
              <w:left w:w="108" w:type="dxa"/>
              <w:bottom w:w="0" w:type="dxa"/>
              <w:right w:w="108" w:type="dxa"/>
            </w:tcMar>
            <w:vAlign w:val="center"/>
          </w:tcPr>
          <w:p>
            <w:pPr>
              <w:spacing w:line="240" w:lineRule="auto"/>
              <w:jc w:val="center"/>
              <w:rPr>
                <w:rFonts w:hint="default" w:ascii="宋体" w:hAnsi="宋体" w:eastAsia="宋体"/>
                <w:b w:val="0"/>
                <w:bCs/>
                <w:color w:val="auto"/>
                <w:sz w:val="21"/>
                <w:szCs w:val="21"/>
                <w:lang w:val="en-US" w:eastAsia="zh-CN"/>
              </w:rPr>
            </w:pPr>
            <w:r>
              <w:rPr>
                <w:rFonts w:hint="eastAsia" w:ascii="宋体" w:hAnsi="宋体"/>
                <w:b w:val="0"/>
                <w:bCs/>
                <w:color w:val="auto"/>
                <w:sz w:val="21"/>
                <w:szCs w:val="21"/>
                <w:lang w:val="en-US" w:eastAsia="zh-CN"/>
              </w:rPr>
              <w:t>11</w:t>
            </w:r>
          </w:p>
        </w:tc>
        <w:tc>
          <w:tcPr>
            <w:tcW w:w="2220" w:type="dxa"/>
            <w:tcMar>
              <w:top w:w="57"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赋能中心</w:t>
            </w:r>
          </w:p>
        </w:tc>
        <w:tc>
          <w:tcPr>
            <w:tcW w:w="1995" w:type="dxa"/>
            <w:tcMar>
              <w:top w:w="57" w:type="dxa"/>
              <w:left w:w="108" w:type="dxa"/>
              <w:bottom w:w="0" w:type="dxa"/>
              <w:right w:w="108" w:type="dxa"/>
            </w:tcMar>
            <w:vAlign w:val="center"/>
          </w:tcPr>
          <w:p>
            <w:pPr>
              <w:spacing w:line="240" w:lineRule="auto"/>
              <w:jc w:val="center"/>
              <w:rPr>
                <w:rFonts w:hint="eastAsia" w:ascii="宋体" w:hAnsi="宋体"/>
                <w:b/>
                <w:color w:val="auto"/>
                <w:sz w:val="21"/>
                <w:szCs w:val="21"/>
              </w:rPr>
            </w:pPr>
          </w:p>
        </w:tc>
        <w:tc>
          <w:tcPr>
            <w:tcW w:w="1065" w:type="dxa"/>
            <w:vMerge w:val="continue"/>
            <w:tcMar>
              <w:top w:w="57" w:type="dxa"/>
              <w:left w:w="108" w:type="dxa"/>
              <w:bottom w:w="0" w:type="dxa"/>
              <w:right w:w="108" w:type="dxa"/>
            </w:tcMar>
            <w:vAlign w:val="center"/>
          </w:tcPr>
          <w:p>
            <w:pPr>
              <w:spacing w:line="240" w:lineRule="auto"/>
              <w:jc w:val="center"/>
              <w:rPr>
                <w:rFonts w:hint="eastAsia" w:ascii="宋体" w:hAnsi="宋体"/>
                <w:b/>
                <w:color w:val="auto"/>
                <w:sz w:val="21"/>
                <w:szCs w:val="21"/>
              </w:rPr>
            </w:pPr>
          </w:p>
        </w:tc>
        <w:tc>
          <w:tcPr>
            <w:tcW w:w="3285" w:type="dxa"/>
            <w:vMerge w:val="continue"/>
            <w:tcMar>
              <w:top w:w="57" w:type="dxa"/>
              <w:left w:w="108" w:type="dxa"/>
              <w:bottom w:w="0" w:type="dxa"/>
              <w:right w:w="108" w:type="dxa"/>
            </w:tcMar>
            <w:vAlign w:val="center"/>
          </w:tcPr>
          <w:p>
            <w:pPr>
              <w:spacing w:line="240" w:lineRule="auto"/>
              <w:jc w:val="center"/>
              <w:rPr>
                <w:rFonts w:hint="eastAsia"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3" w:type="dxa"/>
            <w:tcMar>
              <w:top w:w="57" w:type="dxa"/>
              <w:left w:w="108" w:type="dxa"/>
              <w:bottom w:w="0" w:type="dxa"/>
              <w:right w:w="108" w:type="dxa"/>
            </w:tcMar>
            <w:vAlign w:val="center"/>
          </w:tcPr>
          <w:p>
            <w:pPr>
              <w:spacing w:line="240" w:lineRule="auto"/>
              <w:jc w:val="center"/>
              <w:rPr>
                <w:rFonts w:hint="default" w:ascii="宋体" w:hAnsi="宋体" w:eastAsia="宋体"/>
                <w:b w:val="0"/>
                <w:bCs/>
                <w:color w:val="auto"/>
                <w:sz w:val="21"/>
                <w:szCs w:val="21"/>
                <w:lang w:val="en-US" w:eastAsia="zh-CN"/>
              </w:rPr>
            </w:pPr>
            <w:r>
              <w:rPr>
                <w:rFonts w:hint="eastAsia" w:ascii="宋体" w:hAnsi="宋体"/>
                <w:b w:val="0"/>
                <w:bCs/>
                <w:color w:val="auto"/>
                <w:sz w:val="21"/>
                <w:szCs w:val="21"/>
                <w:lang w:val="en-US" w:eastAsia="zh-CN"/>
              </w:rPr>
              <w:t>12</w:t>
            </w:r>
          </w:p>
        </w:tc>
        <w:tc>
          <w:tcPr>
            <w:tcW w:w="2220" w:type="dxa"/>
            <w:tcMar>
              <w:top w:w="57"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数据中心</w:t>
            </w:r>
          </w:p>
        </w:tc>
        <w:tc>
          <w:tcPr>
            <w:tcW w:w="1995" w:type="dxa"/>
            <w:tcMar>
              <w:top w:w="57" w:type="dxa"/>
              <w:left w:w="108" w:type="dxa"/>
              <w:bottom w:w="0" w:type="dxa"/>
              <w:right w:w="108" w:type="dxa"/>
            </w:tcMar>
            <w:vAlign w:val="center"/>
          </w:tcPr>
          <w:p>
            <w:pPr>
              <w:spacing w:line="240" w:lineRule="auto"/>
              <w:jc w:val="center"/>
              <w:rPr>
                <w:rFonts w:hint="eastAsia" w:ascii="宋体" w:hAnsi="宋体"/>
                <w:b/>
                <w:color w:val="auto"/>
                <w:sz w:val="21"/>
                <w:szCs w:val="21"/>
              </w:rPr>
            </w:pPr>
          </w:p>
        </w:tc>
        <w:tc>
          <w:tcPr>
            <w:tcW w:w="1065" w:type="dxa"/>
            <w:vMerge w:val="continue"/>
            <w:tcMar>
              <w:top w:w="57" w:type="dxa"/>
              <w:left w:w="108" w:type="dxa"/>
              <w:bottom w:w="0" w:type="dxa"/>
              <w:right w:w="108" w:type="dxa"/>
            </w:tcMar>
            <w:vAlign w:val="center"/>
          </w:tcPr>
          <w:p>
            <w:pPr>
              <w:spacing w:line="240" w:lineRule="auto"/>
              <w:jc w:val="center"/>
              <w:rPr>
                <w:rFonts w:hint="eastAsia" w:ascii="宋体" w:hAnsi="宋体"/>
                <w:b/>
                <w:color w:val="auto"/>
                <w:sz w:val="21"/>
                <w:szCs w:val="21"/>
              </w:rPr>
            </w:pPr>
          </w:p>
        </w:tc>
        <w:tc>
          <w:tcPr>
            <w:tcW w:w="3285" w:type="dxa"/>
            <w:vMerge w:val="continue"/>
            <w:tcMar>
              <w:top w:w="57" w:type="dxa"/>
              <w:left w:w="108" w:type="dxa"/>
              <w:bottom w:w="0" w:type="dxa"/>
              <w:right w:w="108" w:type="dxa"/>
            </w:tcMar>
            <w:vAlign w:val="center"/>
          </w:tcPr>
          <w:p>
            <w:pPr>
              <w:spacing w:line="240" w:lineRule="auto"/>
              <w:jc w:val="center"/>
              <w:rPr>
                <w:rFonts w:hint="eastAsia"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3" w:type="dxa"/>
            <w:tcMar>
              <w:top w:w="57" w:type="dxa"/>
              <w:left w:w="108" w:type="dxa"/>
              <w:bottom w:w="0" w:type="dxa"/>
              <w:right w:w="108" w:type="dxa"/>
            </w:tcMar>
            <w:vAlign w:val="center"/>
          </w:tcPr>
          <w:p>
            <w:pPr>
              <w:spacing w:line="240" w:lineRule="auto"/>
              <w:jc w:val="center"/>
              <w:rPr>
                <w:rFonts w:hint="default" w:ascii="宋体" w:hAnsi="宋体" w:eastAsia="宋体"/>
                <w:b w:val="0"/>
                <w:bCs/>
                <w:color w:val="auto"/>
                <w:sz w:val="21"/>
                <w:szCs w:val="21"/>
                <w:lang w:val="en-US" w:eastAsia="zh-CN"/>
              </w:rPr>
            </w:pPr>
            <w:r>
              <w:rPr>
                <w:rFonts w:hint="eastAsia" w:ascii="宋体" w:hAnsi="宋体"/>
                <w:b w:val="0"/>
                <w:bCs/>
                <w:color w:val="auto"/>
                <w:sz w:val="21"/>
                <w:szCs w:val="21"/>
                <w:lang w:val="en-US" w:eastAsia="zh-CN"/>
              </w:rPr>
              <w:t>13</w:t>
            </w:r>
          </w:p>
        </w:tc>
        <w:tc>
          <w:tcPr>
            <w:tcW w:w="2220" w:type="dxa"/>
            <w:tcMar>
              <w:top w:w="57"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系统集成</w:t>
            </w:r>
          </w:p>
        </w:tc>
        <w:tc>
          <w:tcPr>
            <w:tcW w:w="1995" w:type="dxa"/>
            <w:tcMar>
              <w:top w:w="57" w:type="dxa"/>
              <w:left w:w="108" w:type="dxa"/>
              <w:bottom w:w="0" w:type="dxa"/>
              <w:right w:w="108" w:type="dxa"/>
            </w:tcMar>
            <w:vAlign w:val="center"/>
          </w:tcPr>
          <w:p>
            <w:pPr>
              <w:spacing w:line="240" w:lineRule="auto"/>
              <w:jc w:val="center"/>
              <w:rPr>
                <w:rFonts w:hint="eastAsia" w:ascii="宋体" w:hAnsi="宋体"/>
                <w:b/>
                <w:color w:val="auto"/>
                <w:sz w:val="21"/>
                <w:szCs w:val="21"/>
              </w:rPr>
            </w:pPr>
          </w:p>
        </w:tc>
        <w:tc>
          <w:tcPr>
            <w:tcW w:w="1065" w:type="dxa"/>
            <w:vMerge w:val="continue"/>
            <w:tcMar>
              <w:top w:w="57" w:type="dxa"/>
              <w:left w:w="108" w:type="dxa"/>
              <w:bottom w:w="0" w:type="dxa"/>
              <w:right w:w="108" w:type="dxa"/>
            </w:tcMar>
            <w:vAlign w:val="center"/>
          </w:tcPr>
          <w:p>
            <w:pPr>
              <w:spacing w:line="240" w:lineRule="auto"/>
              <w:jc w:val="center"/>
              <w:rPr>
                <w:rFonts w:hint="eastAsia" w:ascii="宋体" w:hAnsi="宋体"/>
                <w:b/>
                <w:color w:val="auto"/>
                <w:sz w:val="21"/>
                <w:szCs w:val="21"/>
              </w:rPr>
            </w:pPr>
          </w:p>
        </w:tc>
        <w:tc>
          <w:tcPr>
            <w:tcW w:w="3285" w:type="dxa"/>
            <w:vMerge w:val="continue"/>
            <w:tcMar>
              <w:top w:w="57" w:type="dxa"/>
              <w:left w:w="108" w:type="dxa"/>
              <w:bottom w:w="0" w:type="dxa"/>
              <w:right w:w="108" w:type="dxa"/>
            </w:tcMar>
            <w:vAlign w:val="center"/>
          </w:tcPr>
          <w:p>
            <w:pPr>
              <w:spacing w:line="240" w:lineRule="auto"/>
              <w:jc w:val="center"/>
              <w:rPr>
                <w:rFonts w:hint="eastAsia"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3" w:type="dxa"/>
            <w:tcMar>
              <w:top w:w="57" w:type="dxa"/>
              <w:left w:w="108" w:type="dxa"/>
              <w:bottom w:w="0" w:type="dxa"/>
              <w:right w:w="108" w:type="dxa"/>
            </w:tcMar>
            <w:vAlign w:val="center"/>
          </w:tcPr>
          <w:p>
            <w:pPr>
              <w:spacing w:line="240" w:lineRule="auto"/>
              <w:jc w:val="center"/>
              <w:rPr>
                <w:rFonts w:hint="default" w:ascii="宋体" w:hAnsi="宋体" w:eastAsia="宋体"/>
                <w:b w:val="0"/>
                <w:bCs/>
                <w:color w:val="auto"/>
                <w:sz w:val="21"/>
                <w:szCs w:val="21"/>
                <w:lang w:val="en-US" w:eastAsia="zh-CN"/>
              </w:rPr>
            </w:pPr>
            <w:r>
              <w:rPr>
                <w:rFonts w:hint="eastAsia" w:ascii="宋体" w:hAnsi="宋体"/>
                <w:b w:val="0"/>
                <w:bCs/>
                <w:color w:val="auto"/>
                <w:sz w:val="21"/>
                <w:szCs w:val="21"/>
                <w:lang w:val="en-US" w:eastAsia="zh-CN"/>
              </w:rPr>
              <w:t>14</w:t>
            </w:r>
          </w:p>
        </w:tc>
        <w:tc>
          <w:tcPr>
            <w:tcW w:w="2220" w:type="dxa"/>
            <w:tcMar>
              <w:top w:w="57"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10人驻场运维</w:t>
            </w:r>
          </w:p>
        </w:tc>
        <w:tc>
          <w:tcPr>
            <w:tcW w:w="1995" w:type="dxa"/>
            <w:tcMar>
              <w:top w:w="57" w:type="dxa"/>
              <w:left w:w="108" w:type="dxa"/>
              <w:bottom w:w="0" w:type="dxa"/>
              <w:right w:w="108" w:type="dxa"/>
            </w:tcMar>
            <w:vAlign w:val="center"/>
          </w:tcPr>
          <w:p>
            <w:pPr>
              <w:spacing w:line="240" w:lineRule="auto"/>
              <w:jc w:val="center"/>
              <w:rPr>
                <w:rFonts w:hint="eastAsia" w:ascii="宋体" w:hAnsi="宋体"/>
                <w:b/>
                <w:color w:val="auto"/>
                <w:sz w:val="21"/>
                <w:szCs w:val="21"/>
              </w:rPr>
            </w:pPr>
          </w:p>
        </w:tc>
        <w:tc>
          <w:tcPr>
            <w:tcW w:w="1065" w:type="dxa"/>
            <w:vMerge w:val="continue"/>
            <w:tcMar>
              <w:top w:w="57" w:type="dxa"/>
              <w:left w:w="108" w:type="dxa"/>
              <w:bottom w:w="0" w:type="dxa"/>
              <w:right w:w="108" w:type="dxa"/>
            </w:tcMar>
            <w:vAlign w:val="center"/>
          </w:tcPr>
          <w:p>
            <w:pPr>
              <w:spacing w:line="240" w:lineRule="auto"/>
              <w:jc w:val="center"/>
              <w:rPr>
                <w:rFonts w:hint="eastAsia" w:ascii="宋体" w:hAnsi="宋体"/>
                <w:b/>
                <w:color w:val="auto"/>
                <w:sz w:val="21"/>
                <w:szCs w:val="21"/>
              </w:rPr>
            </w:pPr>
          </w:p>
        </w:tc>
        <w:tc>
          <w:tcPr>
            <w:tcW w:w="3285" w:type="dxa"/>
            <w:vMerge w:val="continue"/>
            <w:tcMar>
              <w:top w:w="57" w:type="dxa"/>
              <w:left w:w="108" w:type="dxa"/>
              <w:bottom w:w="0" w:type="dxa"/>
              <w:right w:w="108" w:type="dxa"/>
            </w:tcMar>
            <w:vAlign w:val="center"/>
          </w:tcPr>
          <w:p>
            <w:pPr>
              <w:spacing w:line="240" w:lineRule="auto"/>
              <w:jc w:val="center"/>
              <w:rPr>
                <w:rFonts w:hint="eastAsia" w:ascii="宋体" w:hAnsi="宋体"/>
                <w:b/>
                <w:color w:val="auto"/>
                <w:sz w:val="21"/>
                <w:szCs w:val="21"/>
              </w:rPr>
            </w:pPr>
          </w:p>
        </w:tc>
      </w:tr>
    </w:tbl>
    <w:p>
      <w:pPr>
        <w:spacing w:line="360" w:lineRule="auto"/>
        <w:rPr>
          <w:rFonts w:hint="eastAsia" w:ascii="宋体" w:hAnsi="宋体"/>
          <w:b/>
          <w:szCs w:val="21"/>
        </w:rPr>
      </w:pPr>
      <w:r>
        <w:rPr>
          <w:rFonts w:hint="eastAsia" w:ascii="宋体" w:hAnsi="宋体"/>
          <w:b/>
          <w:szCs w:val="21"/>
        </w:rPr>
        <w:t>填报要求：</w:t>
      </w:r>
    </w:p>
    <w:p>
      <w:pPr>
        <w:spacing w:line="360" w:lineRule="auto"/>
        <w:ind w:firstLine="420" w:firstLineChars="200"/>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投标报价包括本项目采购需求和投入使用的所有费用，包括但不限于主件、标准附件、备品备件、施工、服务、专用工具、安装、调试、检验、培训、运输、保险、税款等。</w:t>
      </w:r>
    </w:p>
    <w:p>
      <w:pPr>
        <w:spacing w:line="360" w:lineRule="auto"/>
        <w:ind w:firstLine="420" w:firstLineChars="200"/>
        <w:rPr>
          <w:rFonts w:hint="eastAsia" w:ascii="宋体" w:hAnsi="宋体"/>
          <w:sz w:val="24"/>
        </w:rPr>
      </w:pPr>
      <w:r>
        <w:rPr>
          <w:rFonts w:hint="eastAsia" w:ascii="宋体" w:hAnsi="宋体"/>
          <w:sz w:val="21"/>
          <w:szCs w:val="21"/>
          <w:lang w:val="en-US" w:eastAsia="zh-CN"/>
        </w:rPr>
        <w:t>▲2.各模块、系统集成和运维费用，在投标报价时不得超过“第三章 招标需求”中</w:t>
      </w:r>
      <w:r>
        <w:rPr>
          <w:rFonts w:hint="eastAsia" w:ascii="宋体" w:hAnsi="宋体"/>
          <w:sz w:val="21"/>
          <w:szCs w:val="21"/>
          <w:u w:val="single"/>
          <w:lang w:val="en-US" w:eastAsia="zh-CN"/>
        </w:rPr>
        <w:t>“附1 各模块预算清单”的各项价格。</w:t>
      </w:r>
    </w:p>
    <w:p>
      <w:pPr>
        <w:pStyle w:val="21"/>
        <w:ind w:left="0" w:leftChars="0" w:firstLine="0" w:firstLineChars="0"/>
        <w:rPr>
          <w:rFonts w:hint="eastAsia" w:ascii="宋体" w:hAnsi="宋体"/>
          <w:sz w:val="24"/>
        </w:rPr>
      </w:pPr>
    </w:p>
    <w:p>
      <w:pPr>
        <w:spacing w:line="360" w:lineRule="auto"/>
        <w:ind w:left="420"/>
        <w:rPr>
          <w:rFonts w:ascii="宋体" w:hAnsi="宋体"/>
          <w:sz w:val="24"/>
        </w:rPr>
      </w:pPr>
      <w:r>
        <w:rPr>
          <w:rFonts w:hint="eastAsia" w:ascii="宋体" w:hAnsi="宋体"/>
          <w:sz w:val="24"/>
        </w:rPr>
        <w:t>投标人名称（公章）：</w:t>
      </w: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hint="eastAsia" w:ascii="宋体" w:hAnsi="宋体" w:eastAsia="宋体"/>
          <w:sz w:val="24"/>
          <w:lang w:eastAsia="zh-CN"/>
        </w:rPr>
      </w:pPr>
      <w:r>
        <w:rPr>
          <w:rFonts w:hint="eastAsia" w:ascii="宋体" w:hAnsi="宋体"/>
          <w:sz w:val="24"/>
        </w:rPr>
        <w:t>职        务</w:t>
      </w:r>
      <w:r>
        <w:rPr>
          <w:rFonts w:hint="eastAsia" w:ascii="宋体" w:hAnsi="宋体"/>
          <w:sz w:val="24"/>
          <w:lang w:eastAsia="zh-CN"/>
        </w:rPr>
        <w:t>：</w:t>
      </w:r>
    </w:p>
    <w:p>
      <w:pPr>
        <w:spacing w:line="360" w:lineRule="auto"/>
        <w:ind w:firstLine="435"/>
        <w:rPr>
          <w:rFonts w:ascii="宋体" w:hAnsi="宋体"/>
          <w:sz w:val="24"/>
        </w:rPr>
      </w:pPr>
      <w:r>
        <w:rPr>
          <w:rFonts w:hint="eastAsia" w:ascii="宋体" w:hAnsi="宋体"/>
          <w:sz w:val="24"/>
        </w:rPr>
        <w:t>日        期：</w:t>
      </w:r>
    </w:p>
    <w:p>
      <w:pPr>
        <w:rPr>
          <w:rFonts w:hint="eastAsia" w:ascii="宋体" w:hAnsi="宋体"/>
          <w:b/>
          <w:sz w:val="28"/>
        </w:rPr>
      </w:pPr>
    </w:p>
    <w:p>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13</w:t>
      </w:r>
    </w:p>
    <w:p>
      <w:pPr>
        <w:spacing w:line="360" w:lineRule="auto"/>
        <w:ind w:left="480"/>
        <w:jc w:val="center"/>
        <w:rPr>
          <w:rFonts w:ascii="宋体" w:hAnsi="宋体"/>
        </w:rPr>
      </w:pPr>
      <w:r>
        <w:rPr>
          <w:rFonts w:hint="eastAsia" w:ascii="宋体" w:hAnsi="宋体"/>
          <w:b/>
          <w:sz w:val="32"/>
          <w:szCs w:val="32"/>
        </w:rPr>
        <w:t xml:space="preserve">报价明细表 </w:t>
      </w:r>
      <w:r>
        <w:rPr>
          <w:rFonts w:hint="eastAsia" w:ascii="宋体" w:hAnsi="宋体"/>
          <w:sz w:val="24"/>
        </w:rPr>
        <w:t xml:space="preserve">                                                                                                                                     </w:t>
      </w:r>
    </w:p>
    <w:p>
      <w:pPr>
        <w:pStyle w:val="13"/>
        <w:spacing w:line="360" w:lineRule="auto"/>
        <w:ind w:firstLine="482" w:firstLineChars="200"/>
        <w:rPr>
          <w:rFonts w:hAnsi="宋体"/>
          <w:b/>
          <w:sz w:val="24"/>
        </w:rPr>
      </w:pPr>
      <w:r>
        <w:rPr>
          <w:rFonts w:hAnsi="宋体"/>
          <w:b/>
          <w:sz w:val="24"/>
        </w:rPr>
        <w:t>项目编号：</w:t>
      </w:r>
    </w:p>
    <w:p>
      <w:pPr>
        <w:pStyle w:val="41"/>
        <w:spacing w:line="360" w:lineRule="auto"/>
        <w:ind w:right="480" w:firstLine="482" w:firstLineChars="200"/>
        <w:jc w:val="left"/>
        <w:rPr>
          <w:rFonts w:hint="eastAsia" w:ascii="宋体" w:hAnsi="宋体"/>
          <w:sz w:val="24"/>
          <w:lang w:eastAsia="zh-CN"/>
        </w:rPr>
      </w:pPr>
      <w:r>
        <w:rPr>
          <w:rFonts w:hAnsi="宋体"/>
          <w:b/>
          <w:sz w:val="24"/>
        </w:rPr>
        <w:t>项目名称：</w:t>
      </w:r>
      <w:r>
        <w:rPr>
          <w:rFonts w:hint="eastAsia" w:ascii="宋体" w:hAnsi="宋体"/>
          <w:sz w:val="24"/>
        </w:rPr>
        <w:t xml:space="preserve">                                     [货币单位：人民币元]</w:t>
      </w:r>
    </w:p>
    <w:p/>
    <w:tbl>
      <w:tblPr>
        <w:tblStyle w:val="22"/>
        <w:tblpPr w:leftFromText="181" w:rightFromText="181" w:bottomFromText="170" w:vertAnchor="text" w:tblpXSpec="center" w:tblpY="1"/>
        <w:tblOverlap w:val="never"/>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92"/>
        <w:gridCol w:w="1313"/>
        <w:gridCol w:w="1312"/>
        <w:gridCol w:w="1233"/>
        <w:gridCol w:w="612"/>
        <w:gridCol w:w="878"/>
        <w:gridCol w:w="760"/>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734" w:type="dxa"/>
            <w:vMerge w:val="restart"/>
            <w:tcMar>
              <w:top w:w="57" w:type="dxa"/>
              <w:left w:w="108" w:type="dxa"/>
              <w:bottom w:w="0" w:type="dxa"/>
              <w:right w:w="108" w:type="dxa"/>
            </w:tcMar>
            <w:vAlign w:val="center"/>
          </w:tcPr>
          <w:p>
            <w:pPr>
              <w:spacing w:line="360" w:lineRule="auto"/>
              <w:jc w:val="center"/>
              <w:rPr>
                <w:rFonts w:ascii="宋体" w:hAnsi="宋体"/>
                <w:b/>
                <w:color w:val="auto"/>
                <w:sz w:val="21"/>
                <w:szCs w:val="21"/>
              </w:rPr>
            </w:pPr>
            <w:r>
              <w:rPr>
                <w:rFonts w:hint="eastAsia" w:ascii="宋体" w:hAnsi="宋体"/>
                <w:b/>
                <w:color w:val="auto"/>
                <w:sz w:val="21"/>
                <w:szCs w:val="21"/>
              </w:rPr>
              <w:t>序号</w:t>
            </w:r>
          </w:p>
        </w:tc>
        <w:tc>
          <w:tcPr>
            <w:tcW w:w="4650" w:type="dxa"/>
            <w:gridSpan w:val="4"/>
            <w:tcMar>
              <w:top w:w="57" w:type="dxa"/>
              <w:left w:w="108" w:type="dxa"/>
              <w:bottom w:w="0" w:type="dxa"/>
              <w:right w:w="108" w:type="dxa"/>
            </w:tcMar>
            <w:vAlign w:val="center"/>
          </w:tcPr>
          <w:p>
            <w:pPr>
              <w:spacing w:line="360" w:lineRule="auto"/>
              <w:jc w:val="center"/>
              <w:rPr>
                <w:rFonts w:ascii="宋体" w:hAnsi="宋体"/>
                <w:b/>
                <w:color w:val="auto"/>
                <w:sz w:val="21"/>
                <w:szCs w:val="21"/>
              </w:rPr>
            </w:pPr>
            <w:r>
              <w:rPr>
                <w:rFonts w:hint="eastAsia" w:ascii="宋体" w:hAnsi="宋体"/>
                <w:b/>
                <w:color w:val="auto"/>
                <w:sz w:val="21"/>
                <w:szCs w:val="21"/>
              </w:rPr>
              <w:t>报价名称（成本组成内容）</w:t>
            </w:r>
          </w:p>
        </w:tc>
        <w:tc>
          <w:tcPr>
            <w:tcW w:w="612" w:type="dxa"/>
            <w:vMerge w:val="restart"/>
            <w:tcMar>
              <w:top w:w="57" w:type="dxa"/>
              <w:left w:w="108" w:type="dxa"/>
              <w:bottom w:w="0" w:type="dxa"/>
              <w:right w:w="108" w:type="dxa"/>
            </w:tcMar>
            <w:vAlign w:val="center"/>
          </w:tcPr>
          <w:p>
            <w:pPr>
              <w:spacing w:line="360" w:lineRule="auto"/>
              <w:ind w:left="152"/>
              <w:jc w:val="both"/>
              <w:rPr>
                <w:rFonts w:ascii="宋体" w:hAnsi="宋体"/>
                <w:b/>
                <w:color w:val="auto"/>
                <w:sz w:val="21"/>
                <w:szCs w:val="21"/>
              </w:rPr>
            </w:pPr>
            <w:r>
              <w:rPr>
                <w:rFonts w:hint="eastAsia" w:ascii="宋体" w:hAnsi="宋体"/>
                <w:b/>
                <w:color w:val="auto"/>
                <w:sz w:val="21"/>
                <w:szCs w:val="21"/>
              </w:rPr>
              <w:t>人员数量</w:t>
            </w:r>
          </w:p>
        </w:tc>
        <w:tc>
          <w:tcPr>
            <w:tcW w:w="878" w:type="dxa"/>
            <w:vMerge w:val="restart"/>
            <w:tcMar>
              <w:top w:w="57" w:type="dxa"/>
              <w:left w:w="108" w:type="dxa"/>
              <w:bottom w:w="0" w:type="dxa"/>
              <w:right w:w="108" w:type="dxa"/>
            </w:tcMar>
            <w:vAlign w:val="center"/>
          </w:tcPr>
          <w:p>
            <w:pPr>
              <w:spacing w:line="360" w:lineRule="auto"/>
              <w:jc w:val="center"/>
              <w:rPr>
                <w:rFonts w:ascii="宋体" w:hAnsi="宋体"/>
                <w:b/>
                <w:color w:val="auto"/>
                <w:sz w:val="21"/>
                <w:szCs w:val="21"/>
              </w:rPr>
            </w:pPr>
            <w:r>
              <w:rPr>
                <w:rFonts w:hint="eastAsia" w:ascii="宋体" w:hAnsi="宋体"/>
                <w:b/>
                <w:color w:val="auto"/>
                <w:sz w:val="21"/>
                <w:szCs w:val="21"/>
              </w:rPr>
              <w:t>单价（元/人/月）</w:t>
            </w:r>
          </w:p>
        </w:tc>
        <w:tc>
          <w:tcPr>
            <w:tcW w:w="760" w:type="dxa"/>
            <w:vMerge w:val="restart"/>
            <w:tcMar>
              <w:top w:w="57" w:type="dxa"/>
              <w:left w:w="108" w:type="dxa"/>
              <w:bottom w:w="0" w:type="dxa"/>
              <w:right w:w="108" w:type="dxa"/>
            </w:tcMar>
            <w:vAlign w:val="center"/>
          </w:tcPr>
          <w:p>
            <w:pPr>
              <w:spacing w:line="360" w:lineRule="auto"/>
              <w:jc w:val="center"/>
              <w:rPr>
                <w:rFonts w:ascii="宋体" w:hAnsi="宋体"/>
                <w:b/>
                <w:color w:val="auto"/>
                <w:sz w:val="21"/>
                <w:szCs w:val="21"/>
              </w:rPr>
            </w:pPr>
            <w:r>
              <w:rPr>
                <w:rFonts w:hint="eastAsia" w:ascii="宋体" w:hAnsi="宋体"/>
                <w:b/>
                <w:color w:val="auto"/>
                <w:sz w:val="21"/>
                <w:szCs w:val="21"/>
              </w:rPr>
              <w:t>小计</w:t>
            </w:r>
          </w:p>
        </w:tc>
        <w:tc>
          <w:tcPr>
            <w:tcW w:w="1266" w:type="dxa"/>
            <w:vMerge w:val="restart"/>
            <w:tcMar>
              <w:top w:w="57" w:type="dxa"/>
              <w:left w:w="108" w:type="dxa"/>
              <w:bottom w:w="0" w:type="dxa"/>
              <w:right w:w="108" w:type="dxa"/>
            </w:tcMar>
            <w:vAlign w:val="center"/>
          </w:tcPr>
          <w:p>
            <w:pPr>
              <w:spacing w:line="360" w:lineRule="auto"/>
              <w:jc w:val="center"/>
              <w:rPr>
                <w:rFonts w:ascii="宋体" w:hAnsi="宋体"/>
                <w:b/>
                <w:color w:val="auto"/>
                <w:sz w:val="21"/>
                <w:szCs w:val="21"/>
              </w:rPr>
            </w:pPr>
            <w:r>
              <w:rPr>
                <w:rFonts w:hint="eastAsia" w:ascii="宋体" w:hAnsi="宋体"/>
                <w:b/>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34" w:type="dxa"/>
            <w:vMerge w:val="continue"/>
            <w:tcMar>
              <w:top w:w="57" w:type="dxa"/>
              <w:left w:w="108" w:type="dxa"/>
              <w:bottom w:w="0" w:type="dxa"/>
              <w:right w:w="108" w:type="dxa"/>
            </w:tcMar>
            <w:vAlign w:val="center"/>
          </w:tcPr>
          <w:p>
            <w:pPr>
              <w:spacing w:line="360" w:lineRule="auto"/>
              <w:jc w:val="center"/>
              <w:rPr>
                <w:rFonts w:hint="eastAsia" w:ascii="宋体" w:hAnsi="宋体"/>
                <w:b/>
                <w:color w:val="auto"/>
                <w:sz w:val="21"/>
                <w:szCs w:val="21"/>
              </w:rPr>
            </w:pPr>
          </w:p>
        </w:tc>
        <w:tc>
          <w:tcPr>
            <w:tcW w:w="792" w:type="dxa"/>
            <w:tcMar>
              <w:top w:w="57" w:type="dxa"/>
              <w:left w:w="108" w:type="dxa"/>
              <w:bottom w:w="0" w:type="dxa"/>
              <w:right w:w="108" w:type="dxa"/>
            </w:tcMar>
            <w:vAlign w:val="center"/>
          </w:tcPr>
          <w:p>
            <w:pPr>
              <w:spacing w:line="360" w:lineRule="auto"/>
              <w:jc w:val="center"/>
              <w:rPr>
                <w:rFonts w:hint="eastAsia" w:ascii="宋体" w:hAnsi="宋体" w:eastAsia="宋体"/>
                <w:b/>
                <w:color w:val="auto"/>
                <w:sz w:val="21"/>
                <w:szCs w:val="21"/>
                <w:lang w:eastAsia="zh-CN"/>
              </w:rPr>
            </w:pPr>
            <w:r>
              <w:rPr>
                <w:rFonts w:hint="eastAsia" w:ascii="宋体" w:hAnsi="宋体"/>
                <w:b/>
                <w:color w:val="auto"/>
                <w:sz w:val="21"/>
                <w:szCs w:val="21"/>
                <w:lang w:eastAsia="zh-CN"/>
              </w:rPr>
              <w:t>模块名称</w:t>
            </w:r>
          </w:p>
        </w:tc>
        <w:tc>
          <w:tcPr>
            <w:tcW w:w="1313" w:type="dxa"/>
            <w:tcMar>
              <w:top w:w="57" w:type="dxa"/>
              <w:left w:w="108" w:type="dxa"/>
              <w:bottom w:w="0" w:type="dxa"/>
              <w:right w:w="108" w:type="dxa"/>
            </w:tcMar>
            <w:vAlign w:val="center"/>
          </w:tcPr>
          <w:p>
            <w:pPr>
              <w:spacing w:line="360" w:lineRule="auto"/>
              <w:jc w:val="center"/>
              <w:rPr>
                <w:rFonts w:hint="eastAsia" w:ascii="宋体" w:hAnsi="宋体" w:eastAsia="宋体"/>
                <w:b/>
                <w:color w:val="auto"/>
                <w:sz w:val="21"/>
                <w:szCs w:val="21"/>
                <w:lang w:eastAsia="zh-CN"/>
              </w:rPr>
            </w:pPr>
            <w:r>
              <w:rPr>
                <w:rFonts w:hint="eastAsia" w:ascii="宋体" w:hAnsi="宋体"/>
                <w:b/>
                <w:color w:val="auto"/>
                <w:sz w:val="21"/>
                <w:szCs w:val="21"/>
                <w:lang w:eastAsia="zh-CN"/>
              </w:rPr>
              <w:t>一级功能</w:t>
            </w:r>
          </w:p>
        </w:tc>
        <w:tc>
          <w:tcPr>
            <w:tcW w:w="1312" w:type="dxa"/>
            <w:tcMar>
              <w:top w:w="57" w:type="dxa"/>
              <w:left w:w="108" w:type="dxa"/>
              <w:bottom w:w="0" w:type="dxa"/>
              <w:right w:w="108" w:type="dxa"/>
            </w:tcMar>
            <w:vAlign w:val="center"/>
          </w:tcPr>
          <w:p>
            <w:pPr>
              <w:spacing w:line="360" w:lineRule="auto"/>
              <w:jc w:val="center"/>
              <w:rPr>
                <w:rFonts w:hint="eastAsia" w:ascii="宋体" w:hAnsi="宋体" w:eastAsia="宋体"/>
                <w:b/>
                <w:color w:val="auto"/>
                <w:sz w:val="21"/>
                <w:szCs w:val="21"/>
                <w:lang w:eastAsia="zh-CN"/>
              </w:rPr>
            </w:pPr>
            <w:r>
              <w:rPr>
                <w:rFonts w:hint="eastAsia" w:ascii="宋体" w:hAnsi="宋体"/>
                <w:b/>
                <w:color w:val="auto"/>
                <w:sz w:val="21"/>
                <w:szCs w:val="21"/>
                <w:lang w:eastAsia="zh-CN"/>
              </w:rPr>
              <w:t>二级功能</w:t>
            </w:r>
          </w:p>
        </w:tc>
        <w:tc>
          <w:tcPr>
            <w:tcW w:w="1233" w:type="dxa"/>
            <w:tcMar>
              <w:top w:w="57" w:type="dxa"/>
              <w:left w:w="108" w:type="dxa"/>
              <w:bottom w:w="0" w:type="dxa"/>
              <w:right w:w="108" w:type="dxa"/>
            </w:tcMar>
            <w:vAlign w:val="center"/>
          </w:tcPr>
          <w:p>
            <w:pPr>
              <w:spacing w:line="360" w:lineRule="auto"/>
              <w:jc w:val="center"/>
              <w:rPr>
                <w:rFonts w:hint="eastAsia" w:ascii="宋体" w:hAnsi="宋体" w:eastAsia="宋体"/>
                <w:b/>
                <w:color w:val="auto"/>
                <w:sz w:val="21"/>
                <w:szCs w:val="21"/>
                <w:lang w:eastAsia="zh-CN"/>
              </w:rPr>
            </w:pPr>
            <w:r>
              <w:rPr>
                <w:rFonts w:hint="eastAsia" w:ascii="宋体" w:hAnsi="宋体"/>
                <w:b/>
                <w:color w:val="auto"/>
                <w:sz w:val="21"/>
                <w:szCs w:val="21"/>
                <w:lang w:eastAsia="zh-CN"/>
              </w:rPr>
              <w:t>三级功能</w:t>
            </w:r>
          </w:p>
        </w:tc>
        <w:tc>
          <w:tcPr>
            <w:tcW w:w="612" w:type="dxa"/>
            <w:vMerge w:val="continue"/>
            <w:tcMar>
              <w:top w:w="57" w:type="dxa"/>
              <w:left w:w="108" w:type="dxa"/>
              <w:bottom w:w="0" w:type="dxa"/>
              <w:right w:w="108" w:type="dxa"/>
            </w:tcMar>
            <w:vAlign w:val="center"/>
          </w:tcPr>
          <w:p>
            <w:pPr>
              <w:spacing w:line="360" w:lineRule="auto"/>
              <w:ind w:left="152"/>
              <w:jc w:val="both"/>
              <w:rPr>
                <w:rFonts w:hint="eastAsia" w:ascii="宋体" w:hAnsi="宋体"/>
                <w:b/>
                <w:color w:val="auto"/>
                <w:sz w:val="21"/>
                <w:szCs w:val="21"/>
              </w:rPr>
            </w:pPr>
          </w:p>
        </w:tc>
        <w:tc>
          <w:tcPr>
            <w:tcW w:w="878" w:type="dxa"/>
            <w:vMerge w:val="continue"/>
            <w:tcMar>
              <w:top w:w="57" w:type="dxa"/>
              <w:left w:w="108" w:type="dxa"/>
              <w:bottom w:w="0" w:type="dxa"/>
              <w:right w:w="108" w:type="dxa"/>
            </w:tcMar>
            <w:vAlign w:val="center"/>
          </w:tcPr>
          <w:p>
            <w:pPr>
              <w:spacing w:line="360" w:lineRule="auto"/>
              <w:jc w:val="center"/>
              <w:rPr>
                <w:rFonts w:hint="eastAsia" w:ascii="宋体" w:hAnsi="宋体"/>
                <w:b/>
                <w:color w:val="auto"/>
                <w:sz w:val="21"/>
                <w:szCs w:val="21"/>
              </w:rPr>
            </w:pPr>
          </w:p>
        </w:tc>
        <w:tc>
          <w:tcPr>
            <w:tcW w:w="760" w:type="dxa"/>
            <w:vMerge w:val="continue"/>
            <w:tcMar>
              <w:top w:w="57" w:type="dxa"/>
              <w:left w:w="108" w:type="dxa"/>
              <w:bottom w:w="0" w:type="dxa"/>
              <w:right w:w="108" w:type="dxa"/>
            </w:tcMar>
            <w:vAlign w:val="center"/>
          </w:tcPr>
          <w:p>
            <w:pPr>
              <w:spacing w:line="360" w:lineRule="auto"/>
              <w:jc w:val="center"/>
              <w:rPr>
                <w:rFonts w:hint="eastAsia" w:ascii="宋体" w:hAnsi="宋体"/>
                <w:b/>
                <w:color w:val="auto"/>
                <w:sz w:val="21"/>
                <w:szCs w:val="21"/>
              </w:rPr>
            </w:pPr>
          </w:p>
        </w:tc>
        <w:tc>
          <w:tcPr>
            <w:tcW w:w="1266" w:type="dxa"/>
            <w:vMerge w:val="continue"/>
            <w:tcMar>
              <w:top w:w="57" w:type="dxa"/>
              <w:left w:w="108" w:type="dxa"/>
              <w:bottom w:w="0" w:type="dxa"/>
              <w:right w:w="108" w:type="dxa"/>
            </w:tcMar>
            <w:vAlign w:val="center"/>
          </w:tcPr>
          <w:p>
            <w:pPr>
              <w:spacing w:line="360" w:lineRule="auto"/>
              <w:jc w:val="center"/>
              <w:rPr>
                <w:rFonts w:hint="eastAsia"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734" w:type="dxa"/>
            <w:tcMar>
              <w:top w:w="57" w:type="dxa"/>
              <w:left w:w="108" w:type="dxa"/>
              <w:bottom w:w="0" w:type="dxa"/>
              <w:right w:w="108" w:type="dxa"/>
            </w:tcMar>
          </w:tcPr>
          <w:p>
            <w:pPr>
              <w:pStyle w:val="57"/>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792"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color w:val="auto"/>
                <w:sz w:val="21"/>
                <w:szCs w:val="21"/>
              </w:rPr>
            </w:pPr>
          </w:p>
        </w:tc>
        <w:tc>
          <w:tcPr>
            <w:tcW w:w="131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color w:val="auto"/>
                <w:sz w:val="21"/>
                <w:szCs w:val="21"/>
              </w:rPr>
            </w:pPr>
          </w:p>
        </w:tc>
        <w:tc>
          <w:tcPr>
            <w:tcW w:w="1312"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color w:val="auto"/>
                <w:sz w:val="21"/>
                <w:szCs w:val="21"/>
              </w:rPr>
            </w:pPr>
          </w:p>
        </w:tc>
        <w:tc>
          <w:tcPr>
            <w:tcW w:w="123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color w:val="auto"/>
                <w:sz w:val="21"/>
                <w:szCs w:val="21"/>
              </w:rPr>
            </w:pPr>
          </w:p>
        </w:tc>
        <w:tc>
          <w:tcPr>
            <w:tcW w:w="612"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color w:val="auto"/>
                <w:sz w:val="21"/>
                <w:szCs w:val="21"/>
              </w:rPr>
            </w:pPr>
          </w:p>
        </w:tc>
        <w:tc>
          <w:tcPr>
            <w:tcW w:w="878" w:type="dxa"/>
            <w:tcMar>
              <w:top w:w="57" w:type="dxa"/>
              <w:left w:w="108" w:type="dxa"/>
              <w:bottom w:w="0" w:type="dxa"/>
              <w:right w:w="108" w:type="dxa"/>
            </w:tcMar>
            <w:vAlign w:val="center"/>
          </w:tcPr>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0"/>
                <w:szCs w:val="20"/>
              </w:rPr>
              <w:t>人员费用（不含加班补贴）</w:t>
            </w:r>
          </w:p>
        </w:tc>
        <w:tc>
          <w:tcPr>
            <w:tcW w:w="76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color w:val="auto"/>
                <w:sz w:val="21"/>
                <w:szCs w:val="21"/>
              </w:rPr>
            </w:pPr>
          </w:p>
        </w:tc>
        <w:tc>
          <w:tcPr>
            <w:tcW w:w="1266"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734" w:type="dxa"/>
            <w:tcMar>
              <w:top w:w="57" w:type="dxa"/>
              <w:left w:w="108" w:type="dxa"/>
              <w:bottom w:w="0" w:type="dxa"/>
              <w:right w:w="108" w:type="dxa"/>
            </w:tcMar>
          </w:tcPr>
          <w:p>
            <w:pPr>
              <w:pStyle w:val="57"/>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792"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color w:val="auto"/>
                <w:sz w:val="21"/>
                <w:szCs w:val="21"/>
              </w:rPr>
            </w:pPr>
          </w:p>
        </w:tc>
        <w:tc>
          <w:tcPr>
            <w:tcW w:w="131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color w:val="auto"/>
                <w:sz w:val="21"/>
                <w:szCs w:val="21"/>
              </w:rPr>
            </w:pPr>
          </w:p>
        </w:tc>
        <w:tc>
          <w:tcPr>
            <w:tcW w:w="1312"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color w:val="auto"/>
                <w:sz w:val="21"/>
                <w:szCs w:val="21"/>
              </w:rPr>
            </w:pPr>
          </w:p>
        </w:tc>
        <w:tc>
          <w:tcPr>
            <w:tcW w:w="123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color w:val="auto"/>
                <w:sz w:val="21"/>
                <w:szCs w:val="21"/>
              </w:rPr>
            </w:pPr>
          </w:p>
        </w:tc>
        <w:tc>
          <w:tcPr>
            <w:tcW w:w="612"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color w:val="auto"/>
                <w:sz w:val="21"/>
                <w:szCs w:val="21"/>
              </w:rPr>
            </w:pPr>
          </w:p>
        </w:tc>
        <w:tc>
          <w:tcPr>
            <w:tcW w:w="878"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color w:val="auto"/>
                <w:sz w:val="21"/>
                <w:szCs w:val="21"/>
              </w:rPr>
            </w:pPr>
          </w:p>
        </w:tc>
        <w:tc>
          <w:tcPr>
            <w:tcW w:w="76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color w:val="auto"/>
                <w:sz w:val="21"/>
                <w:szCs w:val="21"/>
              </w:rPr>
            </w:pPr>
          </w:p>
        </w:tc>
        <w:tc>
          <w:tcPr>
            <w:tcW w:w="1266"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34" w:type="dxa"/>
            <w:tcMar>
              <w:top w:w="57" w:type="dxa"/>
              <w:left w:w="108" w:type="dxa"/>
              <w:bottom w:w="0" w:type="dxa"/>
              <w:right w:w="108" w:type="dxa"/>
            </w:tcMar>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792"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color w:val="auto"/>
                <w:sz w:val="21"/>
                <w:szCs w:val="21"/>
              </w:rPr>
            </w:pPr>
          </w:p>
        </w:tc>
        <w:tc>
          <w:tcPr>
            <w:tcW w:w="131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color w:val="auto"/>
                <w:sz w:val="21"/>
                <w:szCs w:val="21"/>
              </w:rPr>
            </w:pPr>
          </w:p>
        </w:tc>
        <w:tc>
          <w:tcPr>
            <w:tcW w:w="1312"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color w:val="auto"/>
                <w:sz w:val="21"/>
                <w:szCs w:val="21"/>
              </w:rPr>
            </w:pPr>
          </w:p>
        </w:tc>
        <w:tc>
          <w:tcPr>
            <w:tcW w:w="123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color w:val="auto"/>
                <w:sz w:val="21"/>
                <w:szCs w:val="21"/>
              </w:rPr>
            </w:pPr>
          </w:p>
        </w:tc>
        <w:tc>
          <w:tcPr>
            <w:tcW w:w="612"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color w:val="auto"/>
                <w:sz w:val="21"/>
                <w:szCs w:val="21"/>
              </w:rPr>
            </w:pPr>
          </w:p>
        </w:tc>
        <w:tc>
          <w:tcPr>
            <w:tcW w:w="878"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color w:val="auto"/>
                <w:sz w:val="21"/>
                <w:szCs w:val="21"/>
              </w:rPr>
            </w:pPr>
          </w:p>
        </w:tc>
        <w:tc>
          <w:tcPr>
            <w:tcW w:w="76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color w:val="auto"/>
                <w:sz w:val="21"/>
                <w:szCs w:val="21"/>
              </w:rPr>
            </w:pPr>
          </w:p>
        </w:tc>
        <w:tc>
          <w:tcPr>
            <w:tcW w:w="1266"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tc>
        <w:tc>
          <w:tcPr>
            <w:tcW w:w="792"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color w:val="auto"/>
                <w:sz w:val="21"/>
                <w:szCs w:val="21"/>
              </w:rPr>
            </w:pPr>
          </w:p>
        </w:tc>
        <w:tc>
          <w:tcPr>
            <w:tcW w:w="3858" w:type="dxa"/>
            <w:gridSpan w:val="3"/>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color w:val="auto"/>
                <w:sz w:val="21"/>
                <w:szCs w:val="21"/>
              </w:rPr>
            </w:pPr>
          </w:p>
        </w:tc>
        <w:tc>
          <w:tcPr>
            <w:tcW w:w="612"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color w:val="auto"/>
                <w:sz w:val="21"/>
                <w:szCs w:val="21"/>
              </w:rPr>
            </w:pPr>
          </w:p>
        </w:tc>
        <w:tc>
          <w:tcPr>
            <w:tcW w:w="878"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color w:val="auto"/>
                <w:sz w:val="21"/>
                <w:szCs w:val="21"/>
              </w:rPr>
            </w:pPr>
          </w:p>
        </w:tc>
        <w:tc>
          <w:tcPr>
            <w:tcW w:w="76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color w:val="auto"/>
                <w:sz w:val="21"/>
                <w:szCs w:val="21"/>
              </w:rPr>
            </w:pPr>
          </w:p>
        </w:tc>
        <w:tc>
          <w:tcPr>
            <w:tcW w:w="1266"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900" w:type="dxa"/>
            <w:gridSpan w:val="9"/>
            <w:tcMar>
              <w:top w:w="57" w:type="dxa"/>
              <w:left w:w="108" w:type="dxa"/>
              <w:bottom w:w="0" w:type="dxa"/>
              <w:right w:w="108" w:type="dxa"/>
            </w:tcMar>
            <w:vAlign w:val="center"/>
          </w:tcPr>
          <w:p>
            <w:pPr>
              <w:spacing w:line="360" w:lineRule="auto"/>
              <w:rPr>
                <w:rFonts w:ascii="宋体" w:hAnsi="宋体"/>
                <w:color w:val="auto"/>
                <w:sz w:val="24"/>
              </w:rPr>
            </w:pPr>
            <w:r>
              <w:rPr>
                <w:rFonts w:hint="eastAsia" w:ascii="宋体" w:hAnsi="宋体"/>
                <w:b/>
                <w:color w:val="auto"/>
                <w:sz w:val="21"/>
                <w:szCs w:val="21"/>
              </w:rPr>
              <w:t>合计人民币：大写                              小写</w:t>
            </w:r>
          </w:p>
        </w:tc>
      </w:tr>
    </w:tbl>
    <w:p>
      <w:pPr>
        <w:spacing w:line="360" w:lineRule="auto"/>
        <w:rPr>
          <w:rFonts w:ascii="宋体" w:hAnsi="宋体"/>
          <w:b/>
          <w:szCs w:val="21"/>
        </w:rPr>
      </w:pPr>
      <w:r>
        <w:rPr>
          <w:rFonts w:hint="eastAsia" w:ascii="宋体" w:hAnsi="宋体"/>
          <w:b/>
          <w:szCs w:val="21"/>
        </w:rPr>
        <w:t>要求：</w:t>
      </w:r>
    </w:p>
    <w:p>
      <w:pPr>
        <w:spacing w:line="360" w:lineRule="auto"/>
        <w:ind w:left="15" w:leftChars="0" w:firstLine="420" w:firstLineChars="200"/>
        <w:rPr>
          <w:rFonts w:ascii="宋体" w:hAnsi="宋体"/>
          <w:szCs w:val="21"/>
        </w:rPr>
      </w:pPr>
      <w:r>
        <w:rPr>
          <w:rFonts w:hint="eastAsia" w:ascii="宋体" w:hAnsi="宋体"/>
          <w:szCs w:val="21"/>
        </w:rPr>
        <w:t>1.本表为《开标一览表》的报价明细表，如有缺项、漏项，视为投标报价中已包含相关费用，采购人无需另外支付任何费用。</w:t>
      </w:r>
    </w:p>
    <w:p>
      <w:pPr>
        <w:spacing w:line="360" w:lineRule="auto"/>
        <w:ind w:left="15" w:leftChars="0" w:firstLine="420" w:firstLineChars="200"/>
        <w:rPr>
          <w:rFonts w:ascii="宋体" w:hAnsi="宋体" w:cs="宋体"/>
          <w:kern w:val="0"/>
          <w:sz w:val="24"/>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hint="eastAsia" w:ascii="宋体" w:hAnsi="宋体"/>
          <w:b/>
          <w:sz w:val="28"/>
        </w:rPr>
      </w:pPr>
      <w:r>
        <w:rPr>
          <w:rFonts w:hint="eastAsia" w:ascii="宋体" w:hAnsi="宋体"/>
          <w:b/>
          <w:sz w:val="28"/>
        </w:rPr>
        <w:br w:type="page"/>
      </w:r>
    </w:p>
    <w:p>
      <w:pPr>
        <w:snapToGrid w:val="0"/>
        <w:spacing w:beforeLines="50" w:after="50" w:line="360" w:lineRule="auto"/>
        <w:rPr>
          <w:rFonts w:hint="eastAsia" w:ascii="宋体" w:hAnsi="宋体" w:eastAsia="宋体"/>
          <w:b/>
          <w:sz w:val="28"/>
          <w:szCs w:val="28"/>
          <w:lang w:eastAsia="zh-CN"/>
        </w:rPr>
      </w:pPr>
      <w:r>
        <w:rPr>
          <w:rFonts w:hint="eastAsia" w:ascii="宋体" w:hAnsi="宋体"/>
          <w:b/>
          <w:sz w:val="28"/>
        </w:rPr>
        <w:t>附件1</w:t>
      </w:r>
      <w:r>
        <w:rPr>
          <w:rFonts w:hint="eastAsia" w:ascii="宋体" w:hAnsi="宋体"/>
          <w:b/>
          <w:sz w:val="28"/>
          <w:lang w:val="en-US" w:eastAsia="zh-CN"/>
        </w:rPr>
        <w:t>4</w:t>
      </w:r>
    </w:p>
    <w:p>
      <w:pPr>
        <w:pStyle w:val="42"/>
        <w:spacing w:line="360" w:lineRule="auto"/>
        <w:jc w:val="center"/>
        <w:rPr>
          <w:rFonts w:ascii="宋体" w:hAnsi="宋体"/>
          <w:b/>
          <w:sz w:val="32"/>
          <w:szCs w:val="32"/>
          <w:lang w:val="en-GB"/>
        </w:rPr>
      </w:pPr>
      <w:r>
        <w:rPr>
          <w:rFonts w:hint="eastAsia" w:ascii="宋体" w:hAnsi="宋体"/>
          <w:b/>
          <w:sz w:val="32"/>
          <w:szCs w:val="32"/>
          <w:lang w:val="en-GB"/>
        </w:rPr>
        <w:t>中小企业声明函</w:t>
      </w:r>
    </w:p>
    <w:p>
      <w:pPr>
        <w:pStyle w:val="42"/>
        <w:spacing w:line="360" w:lineRule="auto"/>
        <w:jc w:val="center"/>
        <w:rPr>
          <w:rFonts w:ascii="宋体" w:hAnsi="宋体"/>
          <w:b/>
          <w:sz w:val="24"/>
          <w:lang w:val="en-GB"/>
        </w:rPr>
      </w:pPr>
    </w:p>
    <w:p>
      <w:pPr>
        <w:pStyle w:val="42"/>
        <w:spacing w:line="360" w:lineRule="auto"/>
        <w:ind w:firstLine="480" w:firstLineChars="200"/>
        <w:rPr>
          <w:rFonts w:ascii="宋体" w:hAnsi="宋体"/>
          <w:sz w:val="24"/>
        </w:rPr>
      </w:pPr>
      <w:r>
        <w:rPr>
          <w:rFonts w:hint="eastAsia" w:ascii="宋体" w:hAnsi="宋体"/>
          <w:sz w:val="24"/>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pStyle w:val="42"/>
        <w:numPr>
          <w:ilvl w:val="0"/>
          <w:numId w:val="19"/>
        </w:numPr>
        <w:spacing w:line="360" w:lineRule="auto"/>
        <w:ind w:firstLine="480" w:firstLineChars="200"/>
        <w:rPr>
          <w:rFonts w:ascii="宋体" w:hAnsi="宋体"/>
          <w:sz w:val="24"/>
        </w:rPr>
      </w:pP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sz w:val="24"/>
        </w:rPr>
        <w:t>，属于（中型企业、小型企业、微型企业）；</w:t>
      </w:r>
    </w:p>
    <w:p>
      <w:pPr>
        <w:pStyle w:val="42"/>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万元，属于（中型企业、小型企业、微型企业）；</w:t>
      </w:r>
    </w:p>
    <w:p>
      <w:pPr>
        <w:pStyle w:val="42"/>
        <w:spacing w:line="360" w:lineRule="auto"/>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pStyle w:val="42"/>
        <w:spacing w:line="360" w:lineRule="auto"/>
        <w:ind w:firstLine="480" w:firstLineChars="200"/>
        <w:rPr>
          <w:rFonts w:ascii="宋体" w:hAnsi="宋体"/>
          <w:sz w:val="24"/>
        </w:rPr>
      </w:pPr>
      <w:r>
        <w:rPr>
          <w:rFonts w:hint="eastAsia" w:ascii="宋体" w:hAnsi="宋体"/>
          <w:sz w:val="24"/>
        </w:rPr>
        <w:t>本企业对上述声明内容的真实性负责。如有虚假，将依法承担相应责任。</w:t>
      </w:r>
    </w:p>
    <w:p>
      <w:pPr>
        <w:pStyle w:val="42"/>
        <w:spacing w:line="360" w:lineRule="auto"/>
        <w:ind w:firstLine="480" w:firstLineChars="200"/>
        <w:rPr>
          <w:rFonts w:ascii="宋体" w:hAnsi="宋体" w:cs="Arial"/>
          <w:bCs/>
          <w:sz w:val="24"/>
        </w:rPr>
      </w:pPr>
      <w:r>
        <w:rPr>
          <w:rFonts w:ascii="宋体" w:hAnsi="宋体" w:cs="Arial"/>
          <w:bCs/>
          <w:sz w:val="24"/>
        </w:rPr>
        <w:t>信息查询</w:t>
      </w:r>
      <w:r>
        <w:rPr>
          <w:rFonts w:hint="eastAsia" w:ascii="宋体" w:hAnsi="宋体" w:cs="Arial"/>
          <w:bCs/>
          <w:sz w:val="24"/>
        </w:rPr>
        <w:t>网址为：</w:t>
      </w:r>
    </w:p>
    <w:p>
      <w:pPr>
        <w:spacing w:line="360" w:lineRule="auto"/>
        <w:rPr>
          <w:rFonts w:ascii="宋体" w:hAnsi="宋体"/>
          <w:spacing w:val="6"/>
          <w:sz w:val="24"/>
        </w:rPr>
      </w:pPr>
    </w:p>
    <w:p>
      <w:pPr>
        <w:pStyle w:val="42"/>
        <w:spacing w:line="360" w:lineRule="auto"/>
        <w:ind w:firstLine="480" w:firstLineChars="200"/>
        <w:rPr>
          <w:rFonts w:ascii="宋体" w:hAnsi="宋体" w:cs="Arial"/>
          <w:bCs/>
          <w:sz w:val="24"/>
        </w:rPr>
      </w:pPr>
    </w:p>
    <w:p>
      <w:pPr>
        <w:pStyle w:val="42"/>
        <w:spacing w:line="360" w:lineRule="auto"/>
        <w:rPr>
          <w:rFonts w:ascii="宋体" w:hAnsi="宋体"/>
          <w:sz w:val="24"/>
        </w:rPr>
      </w:pPr>
    </w:p>
    <w:p>
      <w:pPr>
        <w:pStyle w:val="42"/>
        <w:spacing w:line="360" w:lineRule="auto"/>
        <w:ind w:firstLine="4800" w:firstLineChars="2000"/>
        <w:rPr>
          <w:rFonts w:hint="eastAsia" w:ascii="宋体" w:hAnsi="宋体" w:eastAsia="宋体"/>
          <w:sz w:val="24"/>
          <w:lang w:val="en-US" w:eastAsia="zh-CN"/>
        </w:rPr>
      </w:pPr>
      <w:r>
        <w:rPr>
          <w:rFonts w:hint="eastAsia" w:ascii="宋体" w:hAnsi="宋体"/>
          <w:sz w:val="24"/>
        </w:rPr>
        <w:t>企业名称（盖章）：</w:t>
      </w:r>
      <w:r>
        <w:rPr>
          <w:rFonts w:hint="eastAsia" w:ascii="宋体" w:hAnsi="宋体"/>
          <w:sz w:val="24"/>
          <w:lang w:val="en-US" w:eastAsia="zh-CN"/>
        </w:rPr>
        <w:t xml:space="preserve">              </w:t>
      </w:r>
    </w:p>
    <w:p>
      <w:pPr>
        <w:pStyle w:val="42"/>
        <w:spacing w:line="360" w:lineRule="auto"/>
        <w:ind w:firstLine="4800" w:firstLineChars="2000"/>
        <w:rPr>
          <w:rFonts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w:t>
      </w:r>
    </w:p>
    <w:p>
      <w:pPr>
        <w:pStyle w:val="8"/>
        <w:rPr>
          <w:rFonts w:ascii="宋体" w:hAnsi="宋体" w:cs="宋体"/>
          <w:sz w:val="24"/>
          <w:szCs w:val="24"/>
        </w:rPr>
      </w:pPr>
    </w:p>
    <w:p>
      <w:pPr>
        <w:pStyle w:val="8"/>
        <w:rPr>
          <w:rFonts w:ascii="宋体" w:hAnsi="宋体" w:cs="宋体"/>
          <w:sz w:val="24"/>
          <w:szCs w:val="24"/>
        </w:rPr>
      </w:pP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 AQAADwAAAGRycy9kb3ducmV2LnhtbE2PwU7DMBBE70j8g7VI3KgdCgWlcSqBhAQXJNIeOG6TbRJq r6PYbcPfs4hDOc7MauZtsZq8U0caYx/YQjYzoIjr0PTcWtisX24eQcWE3KALTBa+KcKqvLwoMG/C iT/oWKVWSQnHHC10KQ251rHuyGOchYFYsl0YPSaRY6ubEU9S7p2+NWahPfYsCx0O9NxRva8O3sJ7 tdm/6Wy6/4ru84kXmK3Nq7P2+iozS1CJpnQ+hl98QYdSmLbhwE1UzoJwJwvzuTwk6d2DEWP7Z+iy 0P/xyx9QSwMEFAAAAAgAh07iQG8SiXD2AQAA1AMAAA4AAABkcnMvZTJvRG9jLnhtbK1TzW4TMRC+ I/EOlu9k07SlYZVND43KBUEkygNMvXbWkv/kcbPJS/ACSNzgxJE7b0N5DMbebQjl0gM5OGOP55v5 Pn+7uNxZw7Yyovau4SeTKWfSCd9qt2n4h5vrF3POMIFrwXgnG76XyC+Xz58t+lDLme+8aWVkBOKw 7kPDu5RCXVUoOmkBJz5IR0nlo4VE27ip2gg9oVtTzabTl1XvYxuiFxKRTldDko+I8SmAXikt5MqL OytdGlCjNJCIEnY6IF+WaZWSIr1TCmVipuHENJWVmlB8m9dquYB6EyF0WowjwFNGeMTJgnbU9AC1 ggTsLup/oKwW0aNXaSK8rQYiRRFicTJ9pM37DoIsXEhqDAfR8f/BirfbdWS6bfgpZw4sPfj9p+8/ P3759eMzrfffvrLTLFIfsKa7V24dxx2GdcyMdyra/E9c2K4Iuz8IK3eJCTqcvZqfXZyR5uIhV/0p DBHTa+kty0HDjXaZM9SwfYOJmtHVhyv52PlrbUx5N+NYTxY+n1+cEzSQGRWZgEIbiBC6DWdgNuRy kWKBRG90m8szEO7xykS2BbIG+bP1/Q3Ny5kBTJQgEuWX2dMIf5XmeVaA3VBcUoOTrE70cRhtGz4/ rjYud5TFkCOrrOigYY5ufbsv0lZ5R49dmo7GzG463lN8/DEufwN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BiBAAAW0NvbnRlbnRfVHlwZXNdLnht bFBLAQIUAAoAAAAAAIdO4kAAAAAAAAAAAAAAAAAGAAAAAAAAAAAAEAAAAEQDAABfcmVscy9QSwEC FAAUAAAACACHTuJAihRmPNEAAACUAQAACwAAAAAAAAABACAAAABoAwAAX3JlbHMvLnJlbHNQSwEC FAAKAAAAAACHTuJAAAAAAAAAAAAAAAAABAAAAAAAAAAAABAAAAAAAAAAZHJzL1BLAQIUABQAAAAI AIdO4kDNFKqV0wAAAAYBAAAPAAAAAAAAAAEAIAAAACIAAABkcnMvZG93bnJldi54bWxQSwECFAAU AAAACACHTuJAbxKJcPYBAADUAwAADgAAAAAAAAABACAAAAAiAQAAZHJzL2Uyb0RvYy54bWxQSwUG AAAAAAYABgBZAQAAigUAAAAA ">
                <v:fill on="f" focussize="0,0"/>
                <v:stroke weight="1.25pt" color="#000000" miterlimit="8" joinstyle="miter"/>
                <v:imagedata o:title=""/>
                <o:lock v:ext="edit" aspectratio="f"/>
              </v:line>
            </w:pict>
          </mc:Fallback>
        </mc:AlternateContent>
      </w:r>
    </w:p>
    <w:p>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rPr>
          <w:rFonts w:ascii="宋体" w:hAnsi="宋体" w:cs="宋体"/>
          <w:sz w:val="24"/>
        </w:rPr>
        <w:sectPr>
          <w:pgSz w:w="11906" w:h="16838"/>
          <w:pgMar w:top="1701" w:right="1448" w:bottom="1531" w:left="1418" w:header="851" w:footer="851" w:gutter="0"/>
          <w:cols w:space="720" w:num="1"/>
          <w:docGrid w:linePitch="312" w:charSpace="0"/>
        </w:sectPr>
      </w:pPr>
      <w:r>
        <w:rPr>
          <w:rFonts w:hint="eastAsia" w:ascii="宋体" w:hAnsi="宋体" w:cs="宋体"/>
          <w:sz w:val="24"/>
        </w:rPr>
        <w:t>②本声明函将随中标结果公开，接受社会监督。</w:t>
      </w:r>
    </w:p>
    <w:p>
      <w:pPr>
        <w:pStyle w:val="13"/>
        <w:spacing w:line="360" w:lineRule="auto"/>
        <w:jc w:val="center"/>
        <w:outlineLvl w:val="1"/>
        <w:rPr>
          <w:rFonts w:hAnsi="宋体" w:cs="宋体"/>
          <w:b/>
          <w:sz w:val="32"/>
          <w:szCs w:val="32"/>
          <w:lang w:val="en-GB"/>
        </w:rPr>
      </w:pPr>
      <w:bookmarkStart w:id="122" w:name="_Toc17646_WPSOffice_Level1"/>
      <w:bookmarkStart w:id="123" w:name="_Toc27483_WPSOffice_Level1"/>
      <w:r>
        <w:rPr>
          <w:rFonts w:hint="eastAsia" w:hAnsi="宋体" w:cs="宋体"/>
          <w:b/>
          <w:sz w:val="32"/>
          <w:szCs w:val="32"/>
          <w:lang w:val="en-GB"/>
        </w:rPr>
        <w:t>残疾人福利性单位声明函</w:t>
      </w:r>
      <w:bookmarkEnd w:id="122"/>
      <w:bookmarkEnd w:id="123"/>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pPr>
        <w:pStyle w:val="21"/>
      </w:pP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42"/>
        <w:spacing w:line="360" w:lineRule="auto"/>
        <w:ind w:left="4788" w:leftChars="2280" w:firstLine="0" w:firstLineChars="0"/>
        <w:rPr>
          <w:rFonts w:hint="eastAsia" w:ascii="宋体" w:hAnsi="宋体" w:cs="宋体"/>
          <w:sz w:val="24"/>
        </w:rPr>
      </w:pPr>
      <w:r>
        <w:rPr>
          <w:rFonts w:hint="eastAsia" w:ascii="宋体" w:hAnsi="宋体" w:cs="宋体"/>
          <w:sz w:val="24"/>
        </w:rPr>
        <w:t xml:space="preserve">       </w:t>
      </w:r>
    </w:p>
    <w:p>
      <w:pPr>
        <w:pStyle w:val="42"/>
        <w:spacing w:line="360" w:lineRule="auto"/>
        <w:ind w:left="4788" w:leftChars="2280" w:firstLine="0" w:firstLineChars="0"/>
        <w:rPr>
          <w:rFonts w:hint="eastAsia" w:ascii="宋体" w:hAnsi="宋体"/>
          <w:sz w:val="24"/>
        </w:rPr>
      </w:pPr>
      <w:r>
        <w:rPr>
          <w:rFonts w:hint="eastAsia" w:ascii="宋体" w:hAnsi="宋体"/>
          <w:sz w:val="24"/>
        </w:rPr>
        <w:t>单位名称（盖章）：</w:t>
      </w:r>
    </w:p>
    <w:p>
      <w:pPr>
        <w:pStyle w:val="42"/>
        <w:spacing w:line="360" w:lineRule="auto"/>
        <w:ind w:left="3591" w:leftChars="1710" w:firstLine="1200" w:firstLineChars="500"/>
        <w:rPr>
          <w:rFonts w:hint="eastAsia"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  ：</w:t>
      </w:r>
    </w:p>
    <w:p>
      <w:pPr>
        <w:spacing w:line="360" w:lineRule="auto"/>
      </w:pPr>
    </w:p>
    <w:p/>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8366916"/>
    </w:sdtPr>
    <w:sdtContent>
      <w:sdt>
        <w:sdtPr>
          <w:id w:val="464167228"/>
        </w:sdtPr>
        <w:sdtContent>
          <w:p>
            <w:pPr>
              <w:pStyle w:val="16"/>
              <w:jc w:val="center"/>
            </w:pPr>
            <w:r>
              <w:rPr>
                <w:lang w:val="zh-CN"/>
              </w:rPr>
              <w:t xml:space="preserve"> </w:t>
            </w:r>
            <w:r>
              <w:rPr>
                <w:b/>
                <w:bCs/>
                <w:sz w:val="24"/>
              </w:rPr>
              <w:fldChar w:fldCharType="begin"/>
            </w:r>
            <w:r>
              <w:rPr>
                <w:b/>
                <w:bCs/>
              </w:rPr>
              <w:instrText xml:space="preserve">PAGE</w:instrText>
            </w:r>
            <w:r>
              <w:rPr>
                <w:b/>
                <w:bCs/>
                <w:sz w:val="24"/>
              </w:rPr>
              <w:fldChar w:fldCharType="separate"/>
            </w:r>
            <w:r>
              <w:rPr>
                <w:b/>
                <w:bCs/>
              </w:rPr>
              <w:t>32</w:t>
            </w:r>
            <w:r>
              <w:rPr>
                <w:b/>
                <w:bCs/>
                <w:sz w:val="24"/>
              </w:rPr>
              <w:fldChar w:fldCharType="end"/>
            </w:r>
            <w:r>
              <w:rPr>
                <w:lang w:val="zh-CN"/>
              </w:rPr>
              <w:t xml:space="preserve"> / </w:t>
            </w:r>
            <w:r>
              <w:rPr>
                <w:b/>
                <w:bCs/>
                <w:sz w:val="24"/>
              </w:rPr>
              <w:fldChar w:fldCharType="begin"/>
            </w:r>
            <w:r>
              <w:rPr>
                <w:b/>
                <w:bCs/>
              </w:rPr>
              <w:instrText xml:space="preserve">NUMPAGES</w:instrText>
            </w:r>
            <w:r>
              <w:rPr>
                <w:b/>
                <w:bCs/>
                <w:sz w:val="24"/>
              </w:rPr>
              <w:fldChar w:fldCharType="separate"/>
            </w:r>
            <w:r>
              <w:rPr>
                <w:b/>
                <w:bCs/>
              </w:rPr>
              <w:t>150</w:t>
            </w:r>
            <w:r>
              <w:rPr>
                <w:b/>
                <w:bCs/>
                <w:sz w:val="24"/>
              </w:rPr>
              <w:fldChar w:fldCharType="end"/>
            </w:r>
          </w:p>
        </w:sdtContent>
      </w:sdt>
    </w:sdtContent>
  </w:sdt>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8711853"/>
    </w:sdtPr>
    <w:sdtContent>
      <w:sdt>
        <w:sdtPr>
          <w:id w:val="1293878501"/>
        </w:sdtPr>
        <w:sdtContent>
          <w:p>
            <w:pPr>
              <w:pStyle w:val="16"/>
              <w:jc w:val="center"/>
            </w:pPr>
            <w:r>
              <w:rPr>
                <w:lang w:val="zh-CN"/>
              </w:rPr>
              <w:t xml:space="preserve"> </w:t>
            </w:r>
            <w:r>
              <w:rPr>
                <w:b/>
                <w:bCs/>
                <w:sz w:val="24"/>
              </w:rPr>
              <w:fldChar w:fldCharType="begin"/>
            </w:r>
            <w:r>
              <w:rPr>
                <w:b/>
                <w:bCs/>
              </w:rPr>
              <w:instrText xml:space="preserve">PAGE</w:instrText>
            </w:r>
            <w:r>
              <w:rPr>
                <w:b/>
                <w:bCs/>
                <w:sz w:val="24"/>
              </w:rPr>
              <w:fldChar w:fldCharType="separate"/>
            </w:r>
            <w:r>
              <w:rPr>
                <w:b/>
                <w:bCs/>
              </w:rPr>
              <w:t>87</w:t>
            </w:r>
            <w:r>
              <w:rPr>
                <w:b/>
                <w:bCs/>
                <w:sz w:val="24"/>
              </w:rPr>
              <w:fldChar w:fldCharType="end"/>
            </w:r>
            <w:r>
              <w:rPr>
                <w:lang w:val="zh-CN"/>
              </w:rPr>
              <w:t xml:space="preserve"> / </w:t>
            </w:r>
            <w:r>
              <w:rPr>
                <w:b/>
                <w:bCs/>
                <w:sz w:val="24"/>
              </w:rPr>
              <w:fldChar w:fldCharType="begin"/>
            </w:r>
            <w:r>
              <w:rPr>
                <w:b/>
                <w:bCs/>
              </w:rPr>
              <w:instrText xml:space="preserve">NUMPAGES</w:instrText>
            </w:r>
            <w:r>
              <w:rPr>
                <w:b/>
                <w:bCs/>
                <w:sz w:val="24"/>
              </w:rPr>
              <w:fldChar w:fldCharType="separate"/>
            </w:r>
            <w:r>
              <w:rPr>
                <w:b/>
                <w:bCs/>
              </w:rPr>
              <w:t>150</w:t>
            </w:r>
            <w:r>
              <w:rPr>
                <w:b/>
                <w:bCs/>
                <w:sz w:val="24"/>
              </w:rPr>
              <w:fldChar w:fldCharType="end"/>
            </w:r>
          </w:p>
        </w:sdtContent>
      </w:sdt>
    </w:sdtContent>
  </w:sdt>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HupMyU4AgAAbwQAAA4AAABkcnMvZTJvRG9jLnhtbK1UzY7TMBC+I/EO lu80aRG7VdV0VbYqQqrYlRbE2XWcJpL/ZLtNygPAG3Diwp3n6nPw2Wm6aOGwBy7p2DP+Zr5vZjq/ 6ZQkB+F8Y3RBx6OcEqG5KRu9K+inj+tXU0p8YLpk0mhR0KPw9Gbx8sW8tTMxMbWRpXAEINrPWlvQ OgQ7yzLPa6GYHxkrNJyVcYoFHN0uKx1rga5kNsnzq6w1rrTOcOE9ble9k54R3XMATVU1XKwM3yuh Q4/qhGQBlHzdWE8XqdqqEjzcVZUXgciCgmlIXySBvY3fbDFns51jtm74uQT2nBKecFKs0Uh6gVqx wMjeNX9BqYY7400VRtyorCeSFAGLcf5Em4eaWZG4QGpvL6L7/wfLPxzuHWnKgl5ToplCw0/fv51+ /Dr9/Equozyt9TNEPVjEhe6t6TA0w73HZWTdVU7FX/Ah8EPc40Vc0QXC46PpZDrN4eLwDQfgZ4/P rfPhnTCKRKOgDt1LorLDxoc+dAiJ2bRZN1KmDkpN2oJevX6TpwcXD8CljrEizcIZJlLqS49W6Lbd mefWlEfQdKafE2/5ukEpG+bDPXMYDJSP1Ql3+FTSIKU5W5TUxn35132MR7/gpaTFoBVUY68oke81 +gjAMBhuMLaDoffq1mByx1hJy5OJBy7IwaycUZ+xT8uYAy6mOTIVNAzmbeiHHfvIxXKZgvbWNbu6 f4AptCxs9IPlMU2UytvlPkDapHgUqFcFnYoHzGHq2Xln4qD/eU5Rj/8Ti99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ChBAAAW0NvbnRlbnRfVHlw ZXNdLnhtbFBLAQIUAAoAAAAAAIdO4kAAAAAAAAAAAAAAAAAGAAAAAAAAAAAAEAAAAIMDAABfcmVs cy9QSwECFAAUAAAACACHTuJAihRmPNEAAACUAQAACwAAAAAAAAABACAAAACnAwAAX3JlbHMvLnJl bHNQSwECFAAKAAAAAACHTuJAAAAAAAAAAAAAAAAABAAAAAAAAAAAABAAAAAAAAAAZHJzL1BLAQIU ABQAAAAIAIdO4kCzSVju0AAAAAUBAAAPAAAAAAAAAAEAIAAAACIAAABkcnMvZG93bnJldi54bWxQ SwECFAAUAAAACACHTuJAe6kzJTgCAABvBAAADgAAAAAAAAABACAAAAAfAQAAZHJzL2Uyb0RvYy54 bWxQSwUGAAAAAAYABgBZAQAAyQUAAAAA ">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BR89qo3AgAAbwQAAA4AAABkcnMvZTJvRG9jLnhtbK1UzY7TMBC+I/EO lu80bRGrqmq6KlsVIVXsSgVxdh2nieQ/2W6T8gDwBpy4cOe5+hx8dpIuWjjsgUs69oy/me+bmS5u WyXJSThfG53TyWhMidDcFLU+5PTTx82rGSU+MF0wabTI6Vl4ert8+WLR2LmYmsrIQjgCEO3njc1p FYKdZ5nnlVDMj4wVGs7SOMUCju6QFY41QFcym47HN1ljXGGd4cJ73K47J+0R3XMATVnWXKwNPyqh Q4fqhGQBlHxVW0+XqdqyFDzcl6UXgcicgmlIXySBvY/fbLlg84Njtqp5XwJ7TglPOClWayS9Qq1Z YOTo6r+gVM2d8aYMI25U1hFJioDFZPxEm13FrEhcILW3V9H9/4PlH04PjtRFTtF2zRQafvn+7fLj 1+XnVzKL8jTWzxG1s4gL7VvTYmiGe4/LyLotnYq/4EPgh7jnq7iiDYTHR7PpbDaGi8M3HICfPT63 zod3wigSjZw6dC+Jyk5bH7rQISRm02ZTS5k6KDVpcnrz+s04Pbh6AC51jBVpFnqYSKkrPVqh3bc9 z70pzqDpTDcn3vJNjVK2zIcH5jAYKB+rE+7xKaVBStNblFTGffnXfYxHv+ClpMGg5VRjryiR7zX6 CMAwGG4w9oOhj+rOYHInWEnLk4kHLsjBLJ1Rn7FPq5gDLqY5MuU0DOZd6IYd+8jFapWCjtbVh6p7 gCm0LGz1zvKYJkrl7eoYIG1SPArUqYJOxQPmMPWs35k46H+eU9Tj/8TyN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LNJWO7QAAAABQEAAA8AAAAAAAAAAQAgAAAAIgAAAGRycy9kb3ducmV2LnhtbFBL AQIUABQAAAAIAIdO4kAUfPaqNwIAAG8EAAAOAAAAAAAAAAEAIAAAAB8BAABkcnMvZTJvRG9jLnht bFBLBQYAAAAABgAGAFkBAADIBQAAAAA= ">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jc w:val="left"/>
      <w:rPr>
        <w:b/>
        <w:color w:val="000000" w:themeColor="text1"/>
        <w:sz w:val="10"/>
        <w14:textFill>
          <w14:solidFill>
            <w14:schemeClr w14:val="tx1"/>
          </w14:solidFill>
        </w14:textFill>
      </w:rPr>
    </w:pPr>
    <w:r>
      <w:rPr>
        <w:rFonts w:hint="eastAsia"/>
        <w:b/>
        <w:i/>
        <w:color w:val="000000" w:themeColor="text1"/>
        <w:kern w:val="0"/>
        <w:sz w:val="18"/>
        <w14:textFill>
          <w14:solidFill>
            <w14:schemeClr w14:val="tx1"/>
          </w14:solidFill>
        </w14:textFill>
      </w:rPr>
      <w:t xml:space="preserve">台州市政府采购招标文件 </w:t>
    </w:r>
    <w:r>
      <w:rPr>
        <w:b/>
        <w:i/>
        <w:color w:val="000000" w:themeColor="text1"/>
        <w:kern w:val="0"/>
        <w:sz w:val="18"/>
        <w14:textFill>
          <w14:solidFill>
            <w14:schemeClr w14:val="tx1"/>
          </w14:solidFill>
        </w14:textFill>
      </w:rPr>
      <w:t xml:space="preserve">                                                                                                                      </w:t>
    </w:r>
  </w:p>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jc w:val="left"/>
      <w:rPr>
        <w:b/>
        <w:color w:val="000000" w:themeColor="text1"/>
        <w:sz w:val="10"/>
        <w14:textFill>
          <w14:solidFill>
            <w14:schemeClr w14:val="tx1"/>
          </w14:solidFill>
        </w14:textFill>
      </w:rPr>
    </w:pPr>
    <w:r>
      <w:rPr>
        <w:rFonts w:hint="eastAsia"/>
        <w:b/>
        <w:i/>
        <w:color w:val="000000" w:themeColor="text1"/>
        <w:kern w:val="0"/>
        <w:sz w:val="18"/>
        <w14:textFill>
          <w14:solidFill>
            <w14:schemeClr w14:val="tx1"/>
          </w14:solidFill>
        </w14:textFill>
      </w:rPr>
      <w:t xml:space="preserve">台州市政府采购招标文件 </w:t>
    </w:r>
    <w:r>
      <w:rPr>
        <w:b/>
        <w:i/>
        <w:color w:val="000000" w:themeColor="text1"/>
        <w:kern w:val="0"/>
        <w:sz w:val="18"/>
        <w14:textFill>
          <w14:solidFill>
            <w14:schemeClr w14:val="tx1"/>
          </w14:solidFill>
        </w14:textFill>
      </w:rPr>
      <w:t xml:space="preserve">                                                                                                                      </w:t>
    </w:r>
  </w:p>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lang w:eastAsia="zh-CN"/>
        <w14:textFill>
          <w14:solidFill>
            <w14:schemeClr w14:val="tx1"/>
          </w14:solidFill>
        </w14:textFill>
      </w:rPr>
      <w:t>政府采购文件公开招标服务类示范文本</w:t>
    </w:r>
    <w:r>
      <w:rPr>
        <w:rFonts w:hint="eastAsia"/>
        <w:b/>
        <w:i/>
        <w:color w:val="000000" w:themeColor="text1"/>
        <w:kern w:val="0"/>
        <w:sz w:val="18"/>
        <w:u w:val="single"/>
        <w:lang w:val="en-US" w:eastAsia="zh-CN"/>
        <w14:textFill>
          <w14:solidFill>
            <w14:schemeClr w14:val="tx1"/>
          </w14:solidFill>
        </w14:textFill>
      </w:rPr>
      <w:t>（试行）</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31</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p>
    <w:pPr>
      <w:pStyle w:val="1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lang w:val="en-US" w:eastAsia="zh-CN"/>
        <w14:textFill>
          <w14:solidFill>
            <w14:schemeClr w14:val="tx1"/>
          </w14:solidFill>
        </w14:textFill>
      </w:rPr>
      <w:t>台州市</w:t>
    </w:r>
    <w:r>
      <w:rPr>
        <w:rFonts w:hint="eastAsia"/>
        <w:b/>
        <w:i/>
        <w:color w:val="000000" w:themeColor="text1"/>
        <w:kern w:val="0"/>
        <w:sz w:val="18"/>
        <w:u w:val="single"/>
        <w:lang w:eastAsia="zh-CN"/>
        <w14:textFill>
          <w14:solidFill>
            <w14:schemeClr w14:val="tx1"/>
          </w14:solidFill>
        </w14:textFill>
      </w:rPr>
      <w:t>政府采购招标</w:t>
    </w:r>
    <w:r>
      <w:rPr>
        <w:rFonts w:hint="eastAsia"/>
        <w:b/>
        <w:i/>
        <w:color w:val="000000" w:themeColor="text1"/>
        <w:kern w:val="0"/>
        <w:sz w:val="18"/>
        <w:u w:val="single"/>
        <w:lang w:val="en-US" w:eastAsia="zh-CN"/>
        <w14:textFill>
          <w14:solidFill>
            <w14:schemeClr w14:val="tx1"/>
          </w14:solidFill>
        </w14:textFill>
      </w:rPr>
      <w:t>文件</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8AB44E3A"/>
    <w:multiLevelType w:val="singleLevel"/>
    <w:tmpl w:val="8AB44E3A"/>
    <w:lvl w:ilvl="0" w:tentative="0">
      <w:start w:val="1"/>
      <w:numFmt w:val="decimal"/>
      <w:suff w:val="nothing"/>
      <w:lvlText w:val="%1、"/>
      <w:lvlJc w:val="left"/>
      <w:rPr>
        <w:rFonts w:hint="default" w:ascii="宋体" w:hAnsi="宋体" w:eastAsia="宋体" w:cs="宋体"/>
        <w:sz w:val="24"/>
        <w:szCs w:val="24"/>
      </w:rPr>
    </w:lvl>
  </w:abstractNum>
  <w:abstractNum w:abstractNumId="2">
    <w:nsid w:val="8ABD96A5"/>
    <w:multiLevelType w:val="singleLevel"/>
    <w:tmpl w:val="8ABD96A5"/>
    <w:lvl w:ilvl="0" w:tentative="0">
      <w:start w:val="2"/>
      <w:numFmt w:val="chineseCounting"/>
      <w:suff w:val="nothing"/>
      <w:lvlText w:val="%1、"/>
      <w:lvlJc w:val="left"/>
      <w:rPr>
        <w:rFonts w:hint="eastAsia"/>
      </w:rPr>
    </w:lvl>
  </w:abstractNum>
  <w:abstractNum w:abstractNumId="3">
    <w:nsid w:val="C8F99F11"/>
    <w:multiLevelType w:val="singleLevel"/>
    <w:tmpl w:val="C8F99F11"/>
    <w:lvl w:ilvl="0" w:tentative="0">
      <w:start w:val="1"/>
      <w:numFmt w:val="decimal"/>
      <w:lvlText w:val="%1."/>
      <w:lvlJc w:val="left"/>
      <w:pPr>
        <w:ind w:left="425" w:hanging="425"/>
      </w:pPr>
      <w:rPr>
        <w:rFonts w:hint="default"/>
      </w:rPr>
    </w:lvl>
  </w:abstractNum>
  <w:abstractNum w:abstractNumId="4">
    <w:nsid w:val="DB9645F2"/>
    <w:multiLevelType w:val="singleLevel"/>
    <w:tmpl w:val="DB9645F2"/>
    <w:lvl w:ilvl="0" w:tentative="0">
      <w:start w:val="2"/>
      <w:numFmt w:val="chineseCounting"/>
      <w:suff w:val="nothing"/>
      <w:lvlText w:val="（%1）"/>
      <w:lvlJc w:val="left"/>
      <w:rPr>
        <w:rFonts w:hint="eastAsia"/>
      </w:rPr>
    </w:lvl>
  </w:abstractNum>
  <w:abstractNum w:abstractNumId="5">
    <w:nsid w:val="E5436C65"/>
    <w:multiLevelType w:val="singleLevel"/>
    <w:tmpl w:val="E5436C65"/>
    <w:lvl w:ilvl="0" w:tentative="0">
      <w:start w:val="1"/>
      <w:numFmt w:val="decimal"/>
      <w:suff w:val="nothing"/>
      <w:lvlText w:val="%1、"/>
      <w:lvlJc w:val="left"/>
    </w:lvl>
  </w:abstractNum>
  <w:abstractNum w:abstractNumId="6">
    <w:nsid w:val="EDA2AED9"/>
    <w:multiLevelType w:val="singleLevel"/>
    <w:tmpl w:val="EDA2AED9"/>
    <w:lvl w:ilvl="0" w:tentative="0">
      <w:start w:val="1"/>
      <w:numFmt w:val="decimalEnclosedCircleChinese"/>
      <w:suff w:val="nothing"/>
      <w:lvlText w:val="%1　"/>
      <w:lvlJc w:val="left"/>
      <w:pPr>
        <w:ind w:left="0" w:firstLine="403"/>
      </w:pPr>
      <w:rPr>
        <w:rFonts w:hint="eastAsia"/>
      </w:rPr>
    </w:lvl>
  </w:abstractNum>
  <w:abstractNum w:abstractNumId="7">
    <w:nsid w:val="F41E3C25"/>
    <w:multiLevelType w:val="singleLevel"/>
    <w:tmpl w:val="F41E3C25"/>
    <w:lvl w:ilvl="0" w:tentative="0">
      <w:start w:val="1"/>
      <w:numFmt w:val="decimal"/>
      <w:suff w:val="nothing"/>
      <w:lvlText w:val="%1、"/>
      <w:lvlJc w:val="left"/>
    </w:lvl>
  </w:abstractNum>
  <w:abstractNum w:abstractNumId="8">
    <w:nsid w:val="0C5E5456"/>
    <w:multiLevelType w:val="multilevel"/>
    <w:tmpl w:val="0C5E5456"/>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rPr>
        <w:rFonts w:hint="eastAsia" w:ascii="Times New Roman" w:hAnsi="Times New Roman" w:cs="Times New Roman"/>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9">
    <w:nsid w:val="0E4CEDE1"/>
    <w:multiLevelType w:val="singleLevel"/>
    <w:tmpl w:val="0E4CEDE1"/>
    <w:lvl w:ilvl="0" w:tentative="0">
      <w:start w:val="1"/>
      <w:numFmt w:val="decimalEnclosedCircleChinese"/>
      <w:suff w:val="nothing"/>
      <w:lvlText w:val="%1　"/>
      <w:lvlJc w:val="left"/>
      <w:pPr>
        <w:ind w:left="0" w:firstLine="400"/>
      </w:pPr>
      <w:rPr>
        <w:rFonts w:hint="eastAsia"/>
      </w:rPr>
    </w:lvl>
  </w:abstractNum>
  <w:abstractNum w:abstractNumId="10">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11">
    <w:nsid w:val="337906AA"/>
    <w:multiLevelType w:val="singleLevel"/>
    <w:tmpl w:val="337906AA"/>
    <w:lvl w:ilvl="0" w:tentative="0">
      <w:start w:val="1"/>
      <w:numFmt w:val="decimal"/>
      <w:suff w:val="nothing"/>
      <w:lvlText w:val="%1、"/>
      <w:lvlJc w:val="left"/>
    </w:lvl>
  </w:abstractNum>
  <w:abstractNum w:abstractNumId="12">
    <w:nsid w:val="461E5E94"/>
    <w:multiLevelType w:val="singleLevel"/>
    <w:tmpl w:val="461E5E94"/>
    <w:lvl w:ilvl="0" w:tentative="0">
      <w:start w:val="2"/>
      <w:numFmt w:val="chineseCounting"/>
      <w:suff w:val="space"/>
      <w:lvlText w:val="第%1章"/>
      <w:lvlJc w:val="left"/>
      <w:rPr>
        <w:rFonts w:hint="eastAsia"/>
      </w:rPr>
    </w:lvl>
  </w:abstractNum>
  <w:abstractNum w:abstractNumId="13">
    <w:nsid w:val="53F985B4"/>
    <w:multiLevelType w:val="singleLevel"/>
    <w:tmpl w:val="53F985B4"/>
    <w:lvl w:ilvl="0" w:tentative="0">
      <w:start w:val="1"/>
      <w:numFmt w:val="decimal"/>
      <w:lvlText w:val="%1."/>
      <w:lvlJc w:val="left"/>
      <w:pPr>
        <w:tabs>
          <w:tab w:val="left" w:pos="312"/>
        </w:tabs>
      </w:pPr>
    </w:lvl>
  </w:abstractNum>
  <w:abstractNum w:abstractNumId="14">
    <w:nsid w:val="5BE338C7"/>
    <w:multiLevelType w:val="singleLevel"/>
    <w:tmpl w:val="5BE338C7"/>
    <w:lvl w:ilvl="0" w:tentative="0">
      <w:start w:val="1"/>
      <w:numFmt w:val="decimal"/>
      <w:lvlText w:val="%1."/>
      <w:lvlJc w:val="left"/>
      <w:pPr>
        <w:ind w:left="425" w:hanging="425"/>
      </w:pPr>
      <w:rPr>
        <w:rFonts w:hint="default"/>
      </w:rPr>
    </w:lvl>
  </w:abstractNum>
  <w:abstractNum w:abstractNumId="15">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6">
    <w:nsid w:val="63C5C08C"/>
    <w:multiLevelType w:val="singleLevel"/>
    <w:tmpl w:val="63C5C08C"/>
    <w:lvl w:ilvl="0" w:tentative="0">
      <w:start w:val="1"/>
      <w:numFmt w:val="decimal"/>
      <w:suff w:val="nothing"/>
      <w:lvlText w:val="%1、"/>
      <w:lvlJc w:val="left"/>
    </w:lvl>
  </w:abstractNum>
  <w:abstractNum w:abstractNumId="17">
    <w:nsid w:val="66DDD653"/>
    <w:multiLevelType w:val="singleLevel"/>
    <w:tmpl w:val="66DDD653"/>
    <w:lvl w:ilvl="0" w:tentative="0">
      <w:start w:val="1"/>
      <w:numFmt w:val="chineseCounting"/>
      <w:suff w:val="space"/>
      <w:lvlText w:val="第%1章"/>
      <w:lvlJc w:val="left"/>
      <w:rPr>
        <w:rFonts w:hint="eastAsia"/>
      </w:rPr>
    </w:lvl>
  </w:abstractNum>
  <w:abstractNum w:abstractNumId="18">
    <w:nsid w:val="7488A27B"/>
    <w:multiLevelType w:val="singleLevel"/>
    <w:tmpl w:val="7488A27B"/>
    <w:lvl w:ilvl="0" w:tentative="0">
      <w:start w:val="1"/>
      <w:numFmt w:val="decimal"/>
      <w:lvlText w:val="%1."/>
      <w:lvlJc w:val="left"/>
      <w:pPr>
        <w:ind w:left="425" w:hanging="425"/>
      </w:pPr>
      <w:rPr>
        <w:rFonts w:hint="default"/>
      </w:rPr>
    </w:lvl>
  </w:abstractNum>
  <w:num w:numId="1">
    <w:abstractNumId w:val="15"/>
  </w:num>
  <w:num w:numId="2">
    <w:abstractNumId w:val="8"/>
  </w:num>
  <w:num w:numId="3">
    <w:abstractNumId w:val="10"/>
  </w:num>
  <w:num w:numId="4">
    <w:abstractNumId w:val="17"/>
  </w:num>
  <w:num w:numId="5">
    <w:abstractNumId w:val="12"/>
  </w:num>
  <w:num w:numId="6">
    <w:abstractNumId w:val="6"/>
  </w:num>
  <w:num w:numId="7">
    <w:abstractNumId w:val="9"/>
  </w:num>
  <w:num w:numId="8">
    <w:abstractNumId w:val="4"/>
  </w:num>
  <w:num w:numId="9">
    <w:abstractNumId w:val="2"/>
  </w:num>
  <w:num w:numId="10">
    <w:abstractNumId w:val="5"/>
  </w:num>
  <w:num w:numId="11">
    <w:abstractNumId w:val="7"/>
  </w:num>
  <w:num w:numId="12">
    <w:abstractNumId w:val="16"/>
  </w:num>
  <w:num w:numId="13">
    <w:abstractNumId w:val="11"/>
  </w:num>
  <w:num w:numId="14">
    <w:abstractNumId w:val="0"/>
  </w:num>
  <w:num w:numId="15">
    <w:abstractNumId w:val="14"/>
  </w:num>
  <w:num w:numId="16">
    <w:abstractNumId w:val="1"/>
  </w:num>
  <w:num w:numId="17">
    <w:abstractNumId w:val="18"/>
  </w:num>
  <w:num w:numId="18">
    <w:abstractNumId w:val="3"/>
  </w:num>
  <w:num w:numId="1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ebra">
    <w15:presenceInfo w15:providerId="WPS Office" w15:userId="29645103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OWFiN2RiMzkzNDk5ZGMwZjViNzVlYjhkMzAwMmUifQ=="/>
  </w:docVars>
  <w:rsids>
    <w:rsidRoot w:val="00172A27"/>
    <w:rsid w:val="0002799D"/>
    <w:rsid w:val="00032DC5"/>
    <w:rsid w:val="00037F4A"/>
    <w:rsid w:val="00072A3F"/>
    <w:rsid w:val="000E538F"/>
    <w:rsid w:val="001136A2"/>
    <w:rsid w:val="001B51C8"/>
    <w:rsid w:val="001C4F91"/>
    <w:rsid w:val="001E6CF9"/>
    <w:rsid w:val="00242A20"/>
    <w:rsid w:val="002A4418"/>
    <w:rsid w:val="00312C7C"/>
    <w:rsid w:val="00315916"/>
    <w:rsid w:val="003201FA"/>
    <w:rsid w:val="00330F75"/>
    <w:rsid w:val="003C4BB8"/>
    <w:rsid w:val="003E7404"/>
    <w:rsid w:val="00401AC8"/>
    <w:rsid w:val="00494691"/>
    <w:rsid w:val="005240D4"/>
    <w:rsid w:val="00565F77"/>
    <w:rsid w:val="005B7FA6"/>
    <w:rsid w:val="00623A21"/>
    <w:rsid w:val="00627077"/>
    <w:rsid w:val="00627D71"/>
    <w:rsid w:val="0066350B"/>
    <w:rsid w:val="006F24A9"/>
    <w:rsid w:val="006F679D"/>
    <w:rsid w:val="0072317A"/>
    <w:rsid w:val="007E4962"/>
    <w:rsid w:val="0093255C"/>
    <w:rsid w:val="00987EDA"/>
    <w:rsid w:val="00A921FD"/>
    <w:rsid w:val="00A97E75"/>
    <w:rsid w:val="00AA020C"/>
    <w:rsid w:val="00AB49B7"/>
    <w:rsid w:val="00B023A2"/>
    <w:rsid w:val="00B44061"/>
    <w:rsid w:val="00BD378A"/>
    <w:rsid w:val="00C4791F"/>
    <w:rsid w:val="00CF3329"/>
    <w:rsid w:val="00D00C48"/>
    <w:rsid w:val="00D0546E"/>
    <w:rsid w:val="00D07E9B"/>
    <w:rsid w:val="00DB1E3F"/>
    <w:rsid w:val="00DC1336"/>
    <w:rsid w:val="00E32B23"/>
    <w:rsid w:val="00E41EBA"/>
    <w:rsid w:val="00E448AC"/>
    <w:rsid w:val="00E66CDC"/>
    <w:rsid w:val="00EC04A9"/>
    <w:rsid w:val="00EF43FF"/>
    <w:rsid w:val="00F26F1C"/>
    <w:rsid w:val="010742D5"/>
    <w:rsid w:val="01077B6C"/>
    <w:rsid w:val="011C2867"/>
    <w:rsid w:val="011E4134"/>
    <w:rsid w:val="012355F0"/>
    <w:rsid w:val="012B6D61"/>
    <w:rsid w:val="015C2A86"/>
    <w:rsid w:val="015F789E"/>
    <w:rsid w:val="01851778"/>
    <w:rsid w:val="01877B5A"/>
    <w:rsid w:val="018A3D3F"/>
    <w:rsid w:val="01AE11E6"/>
    <w:rsid w:val="01B70CE3"/>
    <w:rsid w:val="01D10A61"/>
    <w:rsid w:val="01D61DCE"/>
    <w:rsid w:val="01F170ED"/>
    <w:rsid w:val="01F53A09"/>
    <w:rsid w:val="01F916C8"/>
    <w:rsid w:val="02040004"/>
    <w:rsid w:val="022115FB"/>
    <w:rsid w:val="02292E42"/>
    <w:rsid w:val="02375009"/>
    <w:rsid w:val="02536BAE"/>
    <w:rsid w:val="0277756A"/>
    <w:rsid w:val="0294584C"/>
    <w:rsid w:val="029A4E8A"/>
    <w:rsid w:val="02BD7D6C"/>
    <w:rsid w:val="02C73731"/>
    <w:rsid w:val="032A675A"/>
    <w:rsid w:val="032C58C3"/>
    <w:rsid w:val="036059A4"/>
    <w:rsid w:val="037628ED"/>
    <w:rsid w:val="03804F1D"/>
    <w:rsid w:val="038D5F87"/>
    <w:rsid w:val="03996F9E"/>
    <w:rsid w:val="03A92BAF"/>
    <w:rsid w:val="03AD4EC4"/>
    <w:rsid w:val="03DC5B25"/>
    <w:rsid w:val="041155D0"/>
    <w:rsid w:val="04315D2A"/>
    <w:rsid w:val="04431C4F"/>
    <w:rsid w:val="044D523C"/>
    <w:rsid w:val="04604D98"/>
    <w:rsid w:val="046212F9"/>
    <w:rsid w:val="04663F34"/>
    <w:rsid w:val="04686D1E"/>
    <w:rsid w:val="04C20C5E"/>
    <w:rsid w:val="04E746F0"/>
    <w:rsid w:val="04E87471"/>
    <w:rsid w:val="050A0D5B"/>
    <w:rsid w:val="050D23B9"/>
    <w:rsid w:val="05162537"/>
    <w:rsid w:val="051E7487"/>
    <w:rsid w:val="053E2DA0"/>
    <w:rsid w:val="053F0EAC"/>
    <w:rsid w:val="053F23D3"/>
    <w:rsid w:val="056B3DBF"/>
    <w:rsid w:val="057D6BFC"/>
    <w:rsid w:val="057E41A9"/>
    <w:rsid w:val="05B01B1D"/>
    <w:rsid w:val="05B226DF"/>
    <w:rsid w:val="05BC5BB6"/>
    <w:rsid w:val="05CB2372"/>
    <w:rsid w:val="05F31C88"/>
    <w:rsid w:val="05FD1629"/>
    <w:rsid w:val="06221E50"/>
    <w:rsid w:val="064B5558"/>
    <w:rsid w:val="06653309"/>
    <w:rsid w:val="06653EC4"/>
    <w:rsid w:val="067544C8"/>
    <w:rsid w:val="0699402C"/>
    <w:rsid w:val="069C64C8"/>
    <w:rsid w:val="06A0112C"/>
    <w:rsid w:val="06AD7687"/>
    <w:rsid w:val="06B864B2"/>
    <w:rsid w:val="06D372D6"/>
    <w:rsid w:val="06D64E56"/>
    <w:rsid w:val="06F061D6"/>
    <w:rsid w:val="0703081A"/>
    <w:rsid w:val="070C5153"/>
    <w:rsid w:val="070E765D"/>
    <w:rsid w:val="07157529"/>
    <w:rsid w:val="071747A0"/>
    <w:rsid w:val="071E2C8A"/>
    <w:rsid w:val="07347410"/>
    <w:rsid w:val="07425FC3"/>
    <w:rsid w:val="074273EB"/>
    <w:rsid w:val="07463A3E"/>
    <w:rsid w:val="074E4D14"/>
    <w:rsid w:val="079F3EE7"/>
    <w:rsid w:val="07AE41DE"/>
    <w:rsid w:val="07D85507"/>
    <w:rsid w:val="07DF5164"/>
    <w:rsid w:val="07E50580"/>
    <w:rsid w:val="07F46C10"/>
    <w:rsid w:val="07F520AE"/>
    <w:rsid w:val="07F9224F"/>
    <w:rsid w:val="07FA589D"/>
    <w:rsid w:val="082E5DF2"/>
    <w:rsid w:val="085403A4"/>
    <w:rsid w:val="085E020A"/>
    <w:rsid w:val="086951C1"/>
    <w:rsid w:val="08696EDC"/>
    <w:rsid w:val="087075EB"/>
    <w:rsid w:val="088D6A54"/>
    <w:rsid w:val="08941B48"/>
    <w:rsid w:val="08BD6586"/>
    <w:rsid w:val="08C60C4A"/>
    <w:rsid w:val="08C72312"/>
    <w:rsid w:val="08DC3175"/>
    <w:rsid w:val="08F0261B"/>
    <w:rsid w:val="08F81693"/>
    <w:rsid w:val="08FC23B7"/>
    <w:rsid w:val="09060203"/>
    <w:rsid w:val="090A0832"/>
    <w:rsid w:val="095406F9"/>
    <w:rsid w:val="0955362C"/>
    <w:rsid w:val="09566590"/>
    <w:rsid w:val="09583EB5"/>
    <w:rsid w:val="095D7A37"/>
    <w:rsid w:val="09875848"/>
    <w:rsid w:val="09B565E4"/>
    <w:rsid w:val="09BB0BBA"/>
    <w:rsid w:val="09BB6CF7"/>
    <w:rsid w:val="09C77B1C"/>
    <w:rsid w:val="09E70A54"/>
    <w:rsid w:val="09E77E14"/>
    <w:rsid w:val="09E9749A"/>
    <w:rsid w:val="09F232F3"/>
    <w:rsid w:val="09F46495"/>
    <w:rsid w:val="09F623EB"/>
    <w:rsid w:val="09FF3A0A"/>
    <w:rsid w:val="0A082AE0"/>
    <w:rsid w:val="0A0D5A3B"/>
    <w:rsid w:val="0A172426"/>
    <w:rsid w:val="0A2355D9"/>
    <w:rsid w:val="0A3432A2"/>
    <w:rsid w:val="0A4573B3"/>
    <w:rsid w:val="0A53599E"/>
    <w:rsid w:val="0A6767AA"/>
    <w:rsid w:val="0A744A82"/>
    <w:rsid w:val="0A8528D5"/>
    <w:rsid w:val="0A903A5E"/>
    <w:rsid w:val="0A904AA4"/>
    <w:rsid w:val="0A93374C"/>
    <w:rsid w:val="0A972E8D"/>
    <w:rsid w:val="0AAA5EAC"/>
    <w:rsid w:val="0AB40849"/>
    <w:rsid w:val="0ABB2280"/>
    <w:rsid w:val="0AD56F1F"/>
    <w:rsid w:val="0AE30D6F"/>
    <w:rsid w:val="0AE946CC"/>
    <w:rsid w:val="0AEA3C8C"/>
    <w:rsid w:val="0AEE0D1E"/>
    <w:rsid w:val="0AFC0782"/>
    <w:rsid w:val="0B1701D0"/>
    <w:rsid w:val="0B1E0CF0"/>
    <w:rsid w:val="0B556C34"/>
    <w:rsid w:val="0B6C389D"/>
    <w:rsid w:val="0B760351"/>
    <w:rsid w:val="0B846791"/>
    <w:rsid w:val="0B8B536A"/>
    <w:rsid w:val="0BCC7711"/>
    <w:rsid w:val="0BCD0049"/>
    <w:rsid w:val="0BE83010"/>
    <w:rsid w:val="0BEA0DB9"/>
    <w:rsid w:val="0C061D9D"/>
    <w:rsid w:val="0C0F3325"/>
    <w:rsid w:val="0C1358B4"/>
    <w:rsid w:val="0C35472E"/>
    <w:rsid w:val="0C4551B9"/>
    <w:rsid w:val="0C480F3E"/>
    <w:rsid w:val="0C4813D5"/>
    <w:rsid w:val="0C585BE0"/>
    <w:rsid w:val="0C7E2237"/>
    <w:rsid w:val="0C9F1CEA"/>
    <w:rsid w:val="0CBE1DF9"/>
    <w:rsid w:val="0CC9599A"/>
    <w:rsid w:val="0CE0341A"/>
    <w:rsid w:val="0D10283C"/>
    <w:rsid w:val="0D3F7F2E"/>
    <w:rsid w:val="0D494870"/>
    <w:rsid w:val="0D5456F5"/>
    <w:rsid w:val="0D5955C7"/>
    <w:rsid w:val="0D705EC6"/>
    <w:rsid w:val="0D7C5049"/>
    <w:rsid w:val="0D83675C"/>
    <w:rsid w:val="0D8C75B3"/>
    <w:rsid w:val="0D9E0018"/>
    <w:rsid w:val="0DB757B9"/>
    <w:rsid w:val="0DE7555E"/>
    <w:rsid w:val="0DF06351"/>
    <w:rsid w:val="0E0979BF"/>
    <w:rsid w:val="0E2F5189"/>
    <w:rsid w:val="0E5A014C"/>
    <w:rsid w:val="0E5E4DB8"/>
    <w:rsid w:val="0E5F6E07"/>
    <w:rsid w:val="0E607B1B"/>
    <w:rsid w:val="0E6126CF"/>
    <w:rsid w:val="0E635AF2"/>
    <w:rsid w:val="0E7F77A7"/>
    <w:rsid w:val="0E8405CA"/>
    <w:rsid w:val="0E8D5133"/>
    <w:rsid w:val="0EB1236A"/>
    <w:rsid w:val="0F197C6F"/>
    <w:rsid w:val="0F270991"/>
    <w:rsid w:val="0F3E6F11"/>
    <w:rsid w:val="0F6F7789"/>
    <w:rsid w:val="0FC27645"/>
    <w:rsid w:val="101F02CE"/>
    <w:rsid w:val="105C5738"/>
    <w:rsid w:val="107907CC"/>
    <w:rsid w:val="10843C5D"/>
    <w:rsid w:val="109909D1"/>
    <w:rsid w:val="10B73F1D"/>
    <w:rsid w:val="10BE1B05"/>
    <w:rsid w:val="10C84882"/>
    <w:rsid w:val="10D1178C"/>
    <w:rsid w:val="10E07EE2"/>
    <w:rsid w:val="10F630E0"/>
    <w:rsid w:val="11112CBE"/>
    <w:rsid w:val="11163418"/>
    <w:rsid w:val="111818B8"/>
    <w:rsid w:val="113B439C"/>
    <w:rsid w:val="11537715"/>
    <w:rsid w:val="11565610"/>
    <w:rsid w:val="11674F62"/>
    <w:rsid w:val="1171000D"/>
    <w:rsid w:val="118A244C"/>
    <w:rsid w:val="11950BDB"/>
    <w:rsid w:val="119C5B20"/>
    <w:rsid w:val="11A0203A"/>
    <w:rsid w:val="11A2124C"/>
    <w:rsid w:val="11AC592C"/>
    <w:rsid w:val="11AD389E"/>
    <w:rsid w:val="11C20C82"/>
    <w:rsid w:val="11C768FF"/>
    <w:rsid w:val="11D675CB"/>
    <w:rsid w:val="11E52A91"/>
    <w:rsid w:val="12063740"/>
    <w:rsid w:val="12101447"/>
    <w:rsid w:val="12275F24"/>
    <w:rsid w:val="12300982"/>
    <w:rsid w:val="123756C9"/>
    <w:rsid w:val="125F1817"/>
    <w:rsid w:val="12631B42"/>
    <w:rsid w:val="12655569"/>
    <w:rsid w:val="12695551"/>
    <w:rsid w:val="127F2662"/>
    <w:rsid w:val="128435EC"/>
    <w:rsid w:val="129643EF"/>
    <w:rsid w:val="12B83A98"/>
    <w:rsid w:val="12BB4641"/>
    <w:rsid w:val="12BF6231"/>
    <w:rsid w:val="12CD4F26"/>
    <w:rsid w:val="12CE1F8E"/>
    <w:rsid w:val="13024F62"/>
    <w:rsid w:val="1307442E"/>
    <w:rsid w:val="130B3F40"/>
    <w:rsid w:val="13244721"/>
    <w:rsid w:val="13285985"/>
    <w:rsid w:val="133A1A09"/>
    <w:rsid w:val="133C703D"/>
    <w:rsid w:val="13494163"/>
    <w:rsid w:val="134C77A5"/>
    <w:rsid w:val="134D2BB6"/>
    <w:rsid w:val="135D3F89"/>
    <w:rsid w:val="135E6A8D"/>
    <w:rsid w:val="13731B39"/>
    <w:rsid w:val="1381791C"/>
    <w:rsid w:val="13A11F77"/>
    <w:rsid w:val="13A75515"/>
    <w:rsid w:val="13C30E6E"/>
    <w:rsid w:val="140769BE"/>
    <w:rsid w:val="1413430F"/>
    <w:rsid w:val="141613F9"/>
    <w:rsid w:val="14203CB8"/>
    <w:rsid w:val="143A0B7C"/>
    <w:rsid w:val="143C354F"/>
    <w:rsid w:val="144646A7"/>
    <w:rsid w:val="14545F32"/>
    <w:rsid w:val="14596F4E"/>
    <w:rsid w:val="146F011F"/>
    <w:rsid w:val="147632A2"/>
    <w:rsid w:val="14872049"/>
    <w:rsid w:val="14936552"/>
    <w:rsid w:val="149D6433"/>
    <w:rsid w:val="14C272D2"/>
    <w:rsid w:val="14E463A0"/>
    <w:rsid w:val="14EA3450"/>
    <w:rsid w:val="14F767B6"/>
    <w:rsid w:val="14FB222F"/>
    <w:rsid w:val="14FF79DA"/>
    <w:rsid w:val="150F0D42"/>
    <w:rsid w:val="151C2838"/>
    <w:rsid w:val="153E582F"/>
    <w:rsid w:val="159016BB"/>
    <w:rsid w:val="15E5000F"/>
    <w:rsid w:val="16031113"/>
    <w:rsid w:val="16213B9C"/>
    <w:rsid w:val="165F0C7D"/>
    <w:rsid w:val="16674FC6"/>
    <w:rsid w:val="16692CA6"/>
    <w:rsid w:val="16725D01"/>
    <w:rsid w:val="168F227C"/>
    <w:rsid w:val="16F45F36"/>
    <w:rsid w:val="16F64319"/>
    <w:rsid w:val="16FC1D97"/>
    <w:rsid w:val="171F0861"/>
    <w:rsid w:val="17372639"/>
    <w:rsid w:val="173D243C"/>
    <w:rsid w:val="17534ECF"/>
    <w:rsid w:val="175F0E7A"/>
    <w:rsid w:val="1767434D"/>
    <w:rsid w:val="178B2122"/>
    <w:rsid w:val="17BA77C8"/>
    <w:rsid w:val="17C93C3F"/>
    <w:rsid w:val="17D71645"/>
    <w:rsid w:val="17DD1E28"/>
    <w:rsid w:val="17E01BB1"/>
    <w:rsid w:val="17E21891"/>
    <w:rsid w:val="181011F1"/>
    <w:rsid w:val="181C38B0"/>
    <w:rsid w:val="181E053B"/>
    <w:rsid w:val="18205336"/>
    <w:rsid w:val="184F29B3"/>
    <w:rsid w:val="185751B3"/>
    <w:rsid w:val="18810539"/>
    <w:rsid w:val="18AA0A18"/>
    <w:rsid w:val="18C732E0"/>
    <w:rsid w:val="18DF40DC"/>
    <w:rsid w:val="18F45107"/>
    <w:rsid w:val="18F47AF6"/>
    <w:rsid w:val="190A522C"/>
    <w:rsid w:val="191C0124"/>
    <w:rsid w:val="192349BD"/>
    <w:rsid w:val="19297C63"/>
    <w:rsid w:val="192A06DB"/>
    <w:rsid w:val="192C0B58"/>
    <w:rsid w:val="192D288C"/>
    <w:rsid w:val="194335B5"/>
    <w:rsid w:val="197467ED"/>
    <w:rsid w:val="198218DD"/>
    <w:rsid w:val="19A01ECA"/>
    <w:rsid w:val="19BF2F9E"/>
    <w:rsid w:val="19C56581"/>
    <w:rsid w:val="19EE41FA"/>
    <w:rsid w:val="1A002E3D"/>
    <w:rsid w:val="1A0E78C9"/>
    <w:rsid w:val="1A5A6066"/>
    <w:rsid w:val="1A777345"/>
    <w:rsid w:val="1A7A4184"/>
    <w:rsid w:val="1A8D59A2"/>
    <w:rsid w:val="1A8E3BCD"/>
    <w:rsid w:val="1A937E07"/>
    <w:rsid w:val="1AD15B84"/>
    <w:rsid w:val="1AD75407"/>
    <w:rsid w:val="1ADA6CD0"/>
    <w:rsid w:val="1AF47380"/>
    <w:rsid w:val="1B0C0005"/>
    <w:rsid w:val="1B251F48"/>
    <w:rsid w:val="1B3833FF"/>
    <w:rsid w:val="1B396BED"/>
    <w:rsid w:val="1B4C6CA1"/>
    <w:rsid w:val="1B52759D"/>
    <w:rsid w:val="1B612ED3"/>
    <w:rsid w:val="1B6A011C"/>
    <w:rsid w:val="1B705E15"/>
    <w:rsid w:val="1B8C6B7B"/>
    <w:rsid w:val="1BA0571E"/>
    <w:rsid w:val="1BA72C10"/>
    <w:rsid w:val="1BB91038"/>
    <w:rsid w:val="1BBF65FB"/>
    <w:rsid w:val="1BD162E3"/>
    <w:rsid w:val="1BDE64F1"/>
    <w:rsid w:val="1BEA1EEC"/>
    <w:rsid w:val="1BF657FB"/>
    <w:rsid w:val="1BF765A0"/>
    <w:rsid w:val="1BF868AD"/>
    <w:rsid w:val="1C0503E8"/>
    <w:rsid w:val="1C126363"/>
    <w:rsid w:val="1C2023D8"/>
    <w:rsid w:val="1C38518D"/>
    <w:rsid w:val="1C766429"/>
    <w:rsid w:val="1C771298"/>
    <w:rsid w:val="1C786858"/>
    <w:rsid w:val="1C800114"/>
    <w:rsid w:val="1C9A155D"/>
    <w:rsid w:val="1CAB69CA"/>
    <w:rsid w:val="1CB15134"/>
    <w:rsid w:val="1CC92F95"/>
    <w:rsid w:val="1CE5165E"/>
    <w:rsid w:val="1CFA7EEF"/>
    <w:rsid w:val="1CFB1146"/>
    <w:rsid w:val="1D077978"/>
    <w:rsid w:val="1D0E75B6"/>
    <w:rsid w:val="1D2331DE"/>
    <w:rsid w:val="1D312AFC"/>
    <w:rsid w:val="1D325ED3"/>
    <w:rsid w:val="1D37062D"/>
    <w:rsid w:val="1D4105A8"/>
    <w:rsid w:val="1D487EB6"/>
    <w:rsid w:val="1D7B204C"/>
    <w:rsid w:val="1DB72E7F"/>
    <w:rsid w:val="1E317170"/>
    <w:rsid w:val="1E331E3B"/>
    <w:rsid w:val="1E3C1C1F"/>
    <w:rsid w:val="1E4914EC"/>
    <w:rsid w:val="1E561B49"/>
    <w:rsid w:val="1E5B5B74"/>
    <w:rsid w:val="1E925E44"/>
    <w:rsid w:val="1EDB21B2"/>
    <w:rsid w:val="1EE21D29"/>
    <w:rsid w:val="1F0B37C8"/>
    <w:rsid w:val="1F280F4B"/>
    <w:rsid w:val="1F3E1D5D"/>
    <w:rsid w:val="1F441C9D"/>
    <w:rsid w:val="1F6E3177"/>
    <w:rsid w:val="1F6F04BA"/>
    <w:rsid w:val="1F6F7A87"/>
    <w:rsid w:val="1F7742A1"/>
    <w:rsid w:val="1F832B7E"/>
    <w:rsid w:val="1F8C15A6"/>
    <w:rsid w:val="1F986F45"/>
    <w:rsid w:val="1F9F6666"/>
    <w:rsid w:val="1FBA5A84"/>
    <w:rsid w:val="1FC40F5C"/>
    <w:rsid w:val="1FCD6552"/>
    <w:rsid w:val="1FE07634"/>
    <w:rsid w:val="1FF829ED"/>
    <w:rsid w:val="20027E74"/>
    <w:rsid w:val="201047BC"/>
    <w:rsid w:val="2019412B"/>
    <w:rsid w:val="2024650C"/>
    <w:rsid w:val="204E5FD2"/>
    <w:rsid w:val="20703E6E"/>
    <w:rsid w:val="207A428C"/>
    <w:rsid w:val="20835E3C"/>
    <w:rsid w:val="208A0C45"/>
    <w:rsid w:val="208F1332"/>
    <w:rsid w:val="209C08EE"/>
    <w:rsid w:val="20AA71C2"/>
    <w:rsid w:val="20B10A0D"/>
    <w:rsid w:val="20B9166B"/>
    <w:rsid w:val="20D02ECC"/>
    <w:rsid w:val="20DC2970"/>
    <w:rsid w:val="20E04669"/>
    <w:rsid w:val="20FA7410"/>
    <w:rsid w:val="21076B87"/>
    <w:rsid w:val="21094E07"/>
    <w:rsid w:val="21113681"/>
    <w:rsid w:val="21250156"/>
    <w:rsid w:val="212B3666"/>
    <w:rsid w:val="21523AD1"/>
    <w:rsid w:val="215C6880"/>
    <w:rsid w:val="216D19EE"/>
    <w:rsid w:val="21860B2C"/>
    <w:rsid w:val="218F0080"/>
    <w:rsid w:val="21DE79E0"/>
    <w:rsid w:val="21E13F03"/>
    <w:rsid w:val="22084595"/>
    <w:rsid w:val="2225605D"/>
    <w:rsid w:val="222A72A4"/>
    <w:rsid w:val="222F2404"/>
    <w:rsid w:val="22423882"/>
    <w:rsid w:val="226C1BBE"/>
    <w:rsid w:val="227334E7"/>
    <w:rsid w:val="22734646"/>
    <w:rsid w:val="228B5E91"/>
    <w:rsid w:val="22AE1EDE"/>
    <w:rsid w:val="22C23296"/>
    <w:rsid w:val="22DD6CC1"/>
    <w:rsid w:val="2307360A"/>
    <w:rsid w:val="230F0CC5"/>
    <w:rsid w:val="231E1E30"/>
    <w:rsid w:val="23223517"/>
    <w:rsid w:val="23243D93"/>
    <w:rsid w:val="232931CF"/>
    <w:rsid w:val="233E3FBC"/>
    <w:rsid w:val="23444415"/>
    <w:rsid w:val="234D2AE9"/>
    <w:rsid w:val="23505F5A"/>
    <w:rsid w:val="235F3612"/>
    <w:rsid w:val="23666663"/>
    <w:rsid w:val="23693289"/>
    <w:rsid w:val="23757B5B"/>
    <w:rsid w:val="237B0E89"/>
    <w:rsid w:val="238732D2"/>
    <w:rsid w:val="23887728"/>
    <w:rsid w:val="239147E1"/>
    <w:rsid w:val="23920DB7"/>
    <w:rsid w:val="239C1E68"/>
    <w:rsid w:val="23BB34F7"/>
    <w:rsid w:val="23D167C1"/>
    <w:rsid w:val="23FE2934"/>
    <w:rsid w:val="24105169"/>
    <w:rsid w:val="24145543"/>
    <w:rsid w:val="2415164D"/>
    <w:rsid w:val="242853E9"/>
    <w:rsid w:val="24372605"/>
    <w:rsid w:val="24426206"/>
    <w:rsid w:val="247921D2"/>
    <w:rsid w:val="24D40FD8"/>
    <w:rsid w:val="24DE5C48"/>
    <w:rsid w:val="24E51E80"/>
    <w:rsid w:val="24F64777"/>
    <w:rsid w:val="24FB1C59"/>
    <w:rsid w:val="24FE0E05"/>
    <w:rsid w:val="25517809"/>
    <w:rsid w:val="256C1BBD"/>
    <w:rsid w:val="256F2571"/>
    <w:rsid w:val="2576124C"/>
    <w:rsid w:val="258130F7"/>
    <w:rsid w:val="259402E7"/>
    <w:rsid w:val="25AF3989"/>
    <w:rsid w:val="25B82D92"/>
    <w:rsid w:val="25C73339"/>
    <w:rsid w:val="25C772BF"/>
    <w:rsid w:val="25D05B49"/>
    <w:rsid w:val="25D62822"/>
    <w:rsid w:val="25F82554"/>
    <w:rsid w:val="25FD1357"/>
    <w:rsid w:val="260B3061"/>
    <w:rsid w:val="26205FC9"/>
    <w:rsid w:val="262931EB"/>
    <w:rsid w:val="262E591A"/>
    <w:rsid w:val="263771C4"/>
    <w:rsid w:val="26400EA4"/>
    <w:rsid w:val="265B4748"/>
    <w:rsid w:val="26622CD9"/>
    <w:rsid w:val="266372C2"/>
    <w:rsid w:val="267961DB"/>
    <w:rsid w:val="268C7D4E"/>
    <w:rsid w:val="26A60A07"/>
    <w:rsid w:val="26B424FB"/>
    <w:rsid w:val="26CC1B59"/>
    <w:rsid w:val="26D10703"/>
    <w:rsid w:val="26D10ECC"/>
    <w:rsid w:val="26EF57DC"/>
    <w:rsid w:val="27083115"/>
    <w:rsid w:val="27142A2D"/>
    <w:rsid w:val="271B4881"/>
    <w:rsid w:val="271F6195"/>
    <w:rsid w:val="27214C90"/>
    <w:rsid w:val="272414C7"/>
    <w:rsid w:val="272A2ED5"/>
    <w:rsid w:val="273E547E"/>
    <w:rsid w:val="27685524"/>
    <w:rsid w:val="276959E0"/>
    <w:rsid w:val="276F555C"/>
    <w:rsid w:val="27702C8E"/>
    <w:rsid w:val="27827E3D"/>
    <w:rsid w:val="27A028B7"/>
    <w:rsid w:val="27AB6605"/>
    <w:rsid w:val="27BF3604"/>
    <w:rsid w:val="27D26786"/>
    <w:rsid w:val="27EA6257"/>
    <w:rsid w:val="27FD3CE9"/>
    <w:rsid w:val="2831638E"/>
    <w:rsid w:val="284F457A"/>
    <w:rsid w:val="28503B39"/>
    <w:rsid w:val="285117F8"/>
    <w:rsid w:val="28583EAA"/>
    <w:rsid w:val="288445F5"/>
    <w:rsid w:val="28883EBB"/>
    <w:rsid w:val="28885F5E"/>
    <w:rsid w:val="28901CD3"/>
    <w:rsid w:val="28907627"/>
    <w:rsid w:val="28A908AA"/>
    <w:rsid w:val="28C3120E"/>
    <w:rsid w:val="28D9203E"/>
    <w:rsid w:val="290A1459"/>
    <w:rsid w:val="290D2770"/>
    <w:rsid w:val="2927239E"/>
    <w:rsid w:val="293430C2"/>
    <w:rsid w:val="29394DC3"/>
    <w:rsid w:val="294D3F3D"/>
    <w:rsid w:val="296A69AB"/>
    <w:rsid w:val="296E2E4C"/>
    <w:rsid w:val="297A28A9"/>
    <w:rsid w:val="29871168"/>
    <w:rsid w:val="299C3570"/>
    <w:rsid w:val="299C610E"/>
    <w:rsid w:val="299F7580"/>
    <w:rsid w:val="29B24934"/>
    <w:rsid w:val="29B661A7"/>
    <w:rsid w:val="29C25DAC"/>
    <w:rsid w:val="29EF59E7"/>
    <w:rsid w:val="29F869C7"/>
    <w:rsid w:val="29FA460F"/>
    <w:rsid w:val="2A081208"/>
    <w:rsid w:val="2A19132F"/>
    <w:rsid w:val="2A1E3A2B"/>
    <w:rsid w:val="2A3714C4"/>
    <w:rsid w:val="2A4E1459"/>
    <w:rsid w:val="2A5E24DB"/>
    <w:rsid w:val="2A926984"/>
    <w:rsid w:val="2AA908E7"/>
    <w:rsid w:val="2AC017A8"/>
    <w:rsid w:val="2AC36155"/>
    <w:rsid w:val="2AF2488D"/>
    <w:rsid w:val="2B1C1A99"/>
    <w:rsid w:val="2B334F71"/>
    <w:rsid w:val="2B50394A"/>
    <w:rsid w:val="2B753191"/>
    <w:rsid w:val="2B7D6E07"/>
    <w:rsid w:val="2B9444D2"/>
    <w:rsid w:val="2BE340CE"/>
    <w:rsid w:val="2BFC3479"/>
    <w:rsid w:val="2BFD1056"/>
    <w:rsid w:val="2C1E1CA1"/>
    <w:rsid w:val="2C214447"/>
    <w:rsid w:val="2C232160"/>
    <w:rsid w:val="2C4D6F1B"/>
    <w:rsid w:val="2C587217"/>
    <w:rsid w:val="2C825683"/>
    <w:rsid w:val="2C8D63B1"/>
    <w:rsid w:val="2CBB44E5"/>
    <w:rsid w:val="2CBC77F6"/>
    <w:rsid w:val="2CDB55D6"/>
    <w:rsid w:val="2D1D236A"/>
    <w:rsid w:val="2D292626"/>
    <w:rsid w:val="2D7A0C46"/>
    <w:rsid w:val="2DAB174B"/>
    <w:rsid w:val="2DAC3053"/>
    <w:rsid w:val="2DB21AB3"/>
    <w:rsid w:val="2DC70AE2"/>
    <w:rsid w:val="2DCA6026"/>
    <w:rsid w:val="2DCD4928"/>
    <w:rsid w:val="2DE96603"/>
    <w:rsid w:val="2E096E66"/>
    <w:rsid w:val="2E1729D6"/>
    <w:rsid w:val="2E1A0C6A"/>
    <w:rsid w:val="2E347EE6"/>
    <w:rsid w:val="2E374A38"/>
    <w:rsid w:val="2E3A1850"/>
    <w:rsid w:val="2E3C5510"/>
    <w:rsid w:val="2E4A61BB"/>
    <w:rsid w:val="2E6305D7"/>
    <w:rsid w:val="2E690638"/>
    <w:rsid w:val="2E875B98"/>
    <w:rsid w:val="2EA37EAA"/>
    <w:rsid w:val="2EBD7031"/>
    <w:rsid w:val="2EF73B32"/>
    <w:rsid w:val="2F011E82"/>
    <w:rsid w:val="2F240791"/>
    <w:rsid w:val="2F492921"/>
    <w:rsid w:val="2F4C7446"/>
    <w:rsid w:val="2F6858EF"/>
    <w:rsid w:val="2F6A0B1E"/>
    <w:rsid w:val="2F784161"/>
    <w:rsid w:val="2F7B48B5"/>
    <w:rsid w:val="2F853233"/>
    <w:rsid w:val="2FAF333B"/>
    <w:rsid w:val="2FC27E67"/>
    <w:rsid w:val="2FCD2C96"/>
    <w:rsid w:val="2FE66FC1"/>
    <w:rsid w:val="30160CDB"/>
    <w:rsid w:val="301B2075"/>
    <w:rsid w:val="30243B4E"/>
    <w:rsid w:val="30287A71"/>
    <w:rsid w:val="3046030C"/>
    <w:rsid w:val="30613F93"/>
    <w:rsid w:val="306162D4"/>
    <w:rsid w:val="30635A86"/>
    <w:rsid w:val="30640592"/>
    <w:rsid w:val="30797BE5"/>
    <w:rsid w:val="308146B4"/>
    <w:rsid w:val="309F27BB"/>
    <w:rsid w:val="30A9101A"/>
    <w:rsid w:val="30C01081"/>
    <w:rsid w:val="30C81567"/>
    <w:rsid w:val="30CD46BC"/>
    <w:rsid w:val="31013135"/>
    <w:rsid w:val="311763B6"/>
    <w:rsid w:val="31257A15"/>
    <w:rsid w:val="31452A71"/>
    <w:rsid w:val="31527289"/>
    <w:rsid w:val="31834561"/>
    <w:rsid w:val="318F2514"/>
    <w:rsid w:val="31AC658F"/>
    <w:rsid w:val="31B2519D"/>
    <w:rsid w:val="31B37BA1"/>
    <w:rsid w:val="31BA1E9E"/>
    <w:rsid w:val="31EE6D68"/>
    <w:rsid w:val="31F241E6"/>
    <w:rsid w:val="31FD2600"/>
    <w:rsid w:val="32114B98"/>
    <w:rsid w:val="32127E75"/>
    <w:rsid w:val="32210BD1"/>
    <w:rsid w:val="322658D9"/>
    <w:rsid w:val="32361B53"/>
    <w:rsid w:val="32400891"/>
    <w:rsid w:val="32493248"/>
    <w:rsid w:val="324C0B81"/>
    <w:rsid w:val="3272558C"/>
    <w:rsid w:val="327403EA"/>
    <w:rsid w:val="328B3A46"/>
    <w:rsid w:val="3299612B"/>
    <w:rsid w:val="32C25872"/>
    <w:rsid w:val="32CB1F44"/>
    <w:rsid w:val="32D473D1"/>
    <w:rsid w:val="32DA51AD"/>
    <w:rsid w:val="32DC671C"/>
    <w:rsid w:val="33091096"/>
    <w:rsid w:val="33232830"/>
    <w:rsid w:val="33247F6A"/>
    <w:rsid w:val="33442827"/>
    <w:rsid w:val="33462AFF"/>
    <w:rsid w:val="337E52FC"/>
    <w:rsid w:val="33843CA1"/>
    <w:rsid w:val="338604C2"/>
    <w:rsid w:val="338F2A0F"/>
    <w:rsid w:val="33996246"/>
    <w:rsid w:val="33DC7649"/>
    <w:rsid w:val="340639D6"/>
    <w:rsid w:val="34105AD1"/>
    <w:rsid w:val="34731AFC"/>
    <w:rsid w:val="347728F4"/>
    <w:rsid w:val="348B54C8"/>
    <w:rsid w:val="34915550"/>
    <w:rsid w:val="349D56AC"/>
    <w:rsid w:val="349D6BA5"/>
    <w:rsid w:val="34A11B7B"/>
    <w:rsid w:val="34A6697A"/>
    <w:rsid w:val="34AF7E71"/>
    <w:rsid w:val="34B33A72"/>
    <w:rsid w:val="34BF1760"/>
    <w:rsid w:val="34D5280E"/>
    <w:rsid w:val="34E20D20"/>
    <w:rsid w:val="350C7DB7"/>
    <w:rsid w:val="354445B6"/>
    <w:rsid w:val="3562042D"/>
    <w:rsid w:val="356608C9"/>
    <w:rsid w:val="35850AE6"/>
    <w:rsid w:val="35DE1818"/>
    <w:rsid w:val="35E06871"/>
    <w:rsid w:val="35E6061B"/>
    <w:rsid w:val="36146F55"/>
    <w:rsid w:val="362C64F3"/>
    <w:rsid w:val="36787E34"/>
    <w:rsid w:val="36BC0067"/>
    <w:rsid w:val="36CE5C77"/>
    <w:rsid w:val="36D40786"/>
    <w:rsid w:val="36D974F7"/>
    <w:rsid w:val="36E03CF2"/>
    <w:rsid w:val="36E05B33"/>
    <w:rsid w:val="36E77649"/>
    <w:rsid w:val="36EB68C6"/>
    <w:rsid w:val="36FC06E4"/>
    <w:rsid w:val="37002BA5"/>
    <w:rsid w:val="372A57D1"/>
    <w:rsid w:val="373006D6"/>
    <w:rsid w:val="373215AF"/>
    <w:rsid w:val="37395AAC"/>
    <w:rsid w:val="374A6DB2"/>
    <w:rsid w:val="37533A9C"/>
    <w:rsid w:val="37554C2A"/>
    <w:rsid w:val="376C2F8C"/>
    <w:rsid w:val="37733C45"/>
    <w:rsid w:val="37EA244F"/>
    <w:rsid w:val="3801691A"/>
    <w:rsid w:val="38022911"/>
    <w:rsid w:val="38053C44"/>
    <w:rsid w:val="3816564C"/>
    <w:rsid w:val="382A2A0E"/>
    <w:rsid w:val="383C5D00"/>
    <w:rsid w:val="383F5E4A"/>
    <w:rsid w:val="38622194"/>
    <w:rsid w:val="38684F32"/>
    <w:rsid w:val="387A7CA5"/>
    <w:rsid w:val="387E3BF1"/>
    <w:rsid w:val="388E0F50"/>
    <w:rsid w:val="388E2941"/>
    <w:rsid w:val="38941E98"/>
    <w:rsid w:val="38983F5E"/>
    <w:rsid w:val="38EC1118"/>
    <w:rsid w:val="38F96580"/>
    <w:rsid w:val="38FD1A72"/>
    <w:rsid w:val="39056352"/>
    <w:rsid w:val="392F5095"/>
    <w:rsid w:val="3938092E"/>
    <w:rsid w:val="39413193"/>
    <w:rsid w:val="39465433"/>
    <w:rsid w:val="395B6912"/>
    <w:rsid w:val="39667865"/>
    <w:rsid w:val="39750ACE"/>
    <w:rsid w:val="398A61BC"/>
    <w:rsid w:val="399510E7"/>
    <w:rsid w:val="399B683C"/>
    <w:rsid w:val="399D3FE9"/>
    <w:rsid w:val="39A3139D"/>
    <w:rsid w:val="39B51F60"/>
    <w:rsid w:val="39BD1693"/>
    <w:rsid w:val="39BE3B67"/>
    <w:rsid w:val="39E932D4"/>
    <w:rsid w:val="39EA0C0C"/>
    <w:rsid w:val="39FB25CF"/>
    <w:rsid w:val="3A1C6D85"/>
    <w:rsid w:val="3A3F6C87"/>
    <w:rsid w:val="3A531373"/>
    <w:rsid w:val="3A5B021A"/>
    <w:rsid w:val="3A772970"/>
    <w:rsid w:val="3A7D6D38"/>
    <w:rsid w:val="3AB971E4"/>
    <w:rsid w:val="3ADF78F0"/>
    <w:rsid w:val="3AE00107"/>
    <w:rsid w:val="3AE428CE"/>
    <w:rsid w:val="3B023CD3"/>
    <w:rsid w:val="3B140F58"/>
    <w:rsid w:val="3B170940"/>
    <w:rsid w:val="3B2A2C19"/>
    <w:rsid w:val="3B376B70"/>
    <w:rsid w:val="3B7A7129"/>
    <w:rsid w:val="3B7D7576"/>
    <w:rsid w:val="3B7F1E8C"/>
    <w:rsid w:val="3B890DAC"/>
    <w:rsid w:val="3BA25DBC"/>
    <w:rsid w:val="3BC76E9C"/>
    <w:rsid w:val="3BCB467A"/>
    <w:rsid w:val="3BE90506"/>
    <w:rsid w:val="3BEB6832"/>
    <w:rsid w:val="3BF45DB6"/>
    <w:rsid w:val="3BFA06DC"/>
    <w:rsid w:val="3C2E5ED4"/>
    <w:rsid w:val="3C3B6FA3"/>
    <w:rsid w:val="3C40766B"/>
    <w:rsid w:val="3C424805"/>
    <w:rsid w:val="3C7F621D"/>
    <w:rsid w:val="3C8B47EB"/>
    <w:rsid w:val="3CB57E54"/>
    <w:rsid w:val="3CB94393"/>
    <w:rsid w:val="3CBB6AC9"/>
    <w:rsid w:val="3CBD35C8"/>
    <w:rsid w:val="3D0E3E15"/>
    <w:rsid w:val="3D1456AE"/>
    <w:rsid w:val="3D145DCC"/>
    <w:rsid w:val="3D1C0002"/>
    <w:rsid w:val="3D2962ED"/>
    <w:rsid w:val="3D2D7B94"/>
    <w:rsid w:val="3D340B81"/>
    <w:rsid w:val="3D4E706F"/>
    <w:rsid w:val="3D6D5435"/>
    <w:rsid w:val="3D8311E9"/>
    <w:rsid w:val="3DAA319C"/>
    <w:rsid w:val="3DC27AF5"/>
    <w:rsid w:val="3E036111"/>
    <w:rsid w:val="3E512635"/>
    <w:rsid w:val="3E5D6B5C"/>
    <w:rsid w:val="3E7E4756"/>
    <w:rsid w:val="3E8106B7"/>
    <w:rsid w:val="3E845265"/>
    <w:rsid w:val="3E9A3719"/>
    <w:rsid w:val="3EC254C0"/>
    <w:rsid w:val="3ED07987"/>
    <w:rsid w:val="3EED10F8"/>
    <w:rsid w:val="3EFE25BA"/>
    <w:rsid w:val="3F310FA6"/>
    <w:rsid w:val="3F337D20"/>
    <w:rsid w:val="3F394E7F"/>
    <w:rsid w:val="3F3E3D7D"/>
    <w:rsid w:val="3F506818"/>
    <w:rsid w:val="3F684E6E"/>
    <w:rsid w:val="3F6A3676"/>
    <w:rsid w:val="3F710A6F"/>
    <w:rsid w:val="3F7E1F67"/>
    <w:rsid w:val="3F83420A"/>
    <w:rsid w:val="3F8F7315"/>
    <w:rsid w:val="3F9A203F"/>
    <w:rsid w:val="3FA67005"/>
    <w:rsid w:val="3FAE6184"/>
    <w:rsid w:val="3FE36C1C"/>
    <w:rsid w:val="3FE72AEA"/>
    <w:rsid w:val="3FEB19D5"/>
    <w:rsid w:val="3FFDE5B1"/>
    <w:rsid w:val="403B55F7"/>
    <w:rsid w:val="403D5505"/>
    <w:rsid w:val="404C5FC4"/>
    <w:rsid w:val="40632B44"/>
    <w:rsid w:val="408853C4"/>
    <w:rsid w:val="40D75E60"/>
    <w:rsid w:val="40DA0CED"/>
    <w:rsid w:val="40F2437B"/>
    <w:rsid w:val="40FD48E0"/>
    <w:rsid w:val="40FE1BCF"/>
    <w:rsid w:val="40FE520F"/>
    <w:rsid w:val="41353E3C"/>
    <w:rsid w:val="414562FD"/>
    <w:rsid w:val="414C3B30"/>
    <w:rsid w:val="41563B9A"/>
    <w:rsid w:val="41731331"/>
    <w:rsid w:val="417B7161"/>
    <w:rsid w:val="418579D7"/>
    <w:rsid w:val="418C6B85"/>
    <w:rsid w:val="4196095F"/>
    <w:rsid w:val="41961CCB"/>
    <w:rsid w:val="419D72A2"/>
    <w:rsid w:val="419E2D19"/>
    <w:rsid w:val="41A0236E"/>
    <w:rsid w:val="41A36E47"/>
    <w:rsid w:val="41A96728"/>
    <w:rsid w:val="41AB6899"/>
    <w:rsid w:val="41F95353"/>
    <w:rsid w:val="42076836"/>
    <w:rsid w:val="420F1D94"/>
    <w:rsid w:val="423B1FA8"/>
    <w:rsid w:val="424E4424"/>
    <w:rsid w:val="42520C0B"/>
    <w:rsid w:val="42666B2A"/>
    <w:rsid w:val="429325D1"/>
    <w:rsid w:val="429B53DF"/>
    <w:rsid w:val="429E3CF8"/>
    <w:rsid w:val="42BC7452"/>
    <w:rsid w:val="42D12138"/>
    <w:rsid w:val="42F7079D"/>
    <w:rsid w:val="430D4AC0"/>
    <w:rsid w:val="431E047F"/>
    <w:rsid w:val="431E65EF"/>
    <w:rsid w:val="43522956"/>
    <w:rsid w:val="43624EAD"/>
    <w:rsid w:val="437750CA"/>
    <w:rsid w:val="438D45B9"/>
    <w:rsid w:val="43985D00"/>
    <w:rsid w:val="43986BA3"/>
    <w:rsid w:val="43AB2F4E"/>
    <w:rsid w:val="43AC3F44"/>
    <w:rsid w:val="43B1210D"/>
    <w:rsid w:val="43DE77F3"/>
    <w:rsid w:val="43EE5AE9"/>
    <w:rsid w:val="43EF7EFB"/>
    <w:rsid w:val="43FA2050"/>
    <w:rsid w:val="4400649E"/>
    <w:rsid w:val="441910A9"/>
    <w:rsid w:val="44500782"/>
    <w:rsid w:val="446871A0"/>
    <w:rsid w:val="4478624B"/>
    <w:rsid w:val="447B6681"/>
    <w:rsid w:val="4493367B"/>
    <w:rsid w:val="44961F17"/>
    <w:rsid w:val="44A84176"/>
    <w:rsid w:val="44AB74B4"/>
    <w:rsid w:val="44BB301C"/>
    <w:rsid w:val="450A3185"/>
    <w:rsid w:val="450E61CB"/>
    <w:rsid w:val="451037D6"/>
    <w:rsid w:val="452458BF"/>
    <w:rsid w:val="452905F3"/>
    <w:rsid w:val="45582FC6"/>
    <w:rsid w:val="4568103F"/>
    <w:rsid w:val="45801D53"/>
    <w:rsid w:val="45953C03"/>
    <w:rsid w:val="45AE2DF6"/>
    <w:rsid w:val="45B30A95"/>
    <w:rsid w:val="45F459D1"/>
    <w:rsid w:val="46052F0A"/>
    <w:rsid w:val="460C379B"/>
    <w:rsid w:val="462B2635"/>
    <w:rsid w:val="463427FB"/>
    <w:rsid w:val="464A3711"/>
    <w:rsid w:val="466B4F4C"/>
    <w:rsid w:val="469246C4"/>
    <w:rsid w:val="46977D08"/>
    <w:rsid w:val="46AF3AB5"/>
    <w:rsid w:val="46E25CA4"/>
    <w:rsid w:val="46E37251"/>
    <w:rsid w:val="46F40267"/>
    <w:rsid w:val="47017932"/>
    <w:rsid w:val="47270E54"/>
    <w:rsid w:val="47294A71"/>
    <w:rsid w:val="474C71DB"/>
    <w:rsid w:val="475662DB"/>
    <w:rsid w:val="47756FD4"/>
    <w:rsid w:val="479B7297"/>
    <w:rsid w:val="47A214C1"/>
    <w:rsid w:val="47D626EF"/>
    <w:rsid w:val="47DE0285"/>
    <w:rsid w:val="47E81AB8"/>
    <w:rsid w:val="47F3460E"/>
    <w:rsid w:val="47F77566"/>
    <w:rsid w:val="47F94BE6"/>
    <w:rsid w:val="4812405E"/>
    <w:rsid w:val="481A3D49"/>
    <w:rsid w:val="481C1F20"/>
    <w:rsid w:val="481E50BE"/>
    <w:rsid w:val="48220E04"/>
    <w:rsid w:val="48225672"/>
    <w:rsid w:val="482454C6"/>
    <w:rsid w:val="48297C86"/>
    <w:rsid w:val="48370969"/>
    <w:rsid w:val="4844625B"/>
    <w:rsid w:val="486B4E85"/>
    <w:rsid w:val="48801F0A"/>
    <w:rsid w:val="488C6B30"/>
    <w:rsid w:val="48913C4F"/>
    <w:rsid w:val="489757F5"/>
    <w:rsid w:val="489C3512"/>
    <w:rsid w:val="489C7EA5"/>
    <w:rsid w:val="48AF592F"/>
    <w:rsid w:val="48DB5184"/>
    <w:rsid w:val="48DC4BB3"/>
    <w:rsid w:val="48F11175"/>
    <w:rsid w:val="48FC5916"/>
    <w:rsid w:val="49035E3C"/>
    <w:rsid w:val="49161A6F"/>
    <w:rsid w:val="491B567A"/>
    <w:rsid w:val="492819DC"/>
    <w:rsid w:val="49336FEA"/>
    <w:rsid w:val="493E22D0"/>
    <w:rsid w:val="49415896"/>
    <w:rsid w:val="4953162D"/>
    <w:rsid w:val="495C3D14"/>
    <w:rsid w:val="496A4A80"/>
    <w:rsid w:val="497C5511"/>
    <w:rsid w:val="498E2725"/>
    <w:rsid w:val="499C6D01"/>
    <w:rsid w:val="49A3132A"/>
    <w:rsid w:val="49B65DC9"/>
    <w:rsid w:val="49C828D8"/>
    <w:rsid w:val="49D94123"/>
    <w:rsid w:val="49E228BF"/>
    <w:rsid w:val="49E82B6B"/>
    <w:rsid w:val="49E970EA"/>
    <w:rsid w:val="49EE0415"/>
    <w:rsid w:val="49EF7646"/>
    <w:rsid w:val="4A0805D0"/>
    <w:rsid w:val="4A26545B"/>
    <w:rsid w:val="4A3E1268"/>
    <w:rsid w:val="4A560AA6"/>
    <w:rsid w:val="4A631F60"/>
    <w:rsid w:val="4A7B659D"/>
    <w:rsid w:val="4A852671"/>
    <w:rsid w:val="4A8F76FA"/>
    <w:rsid w:val="4AD018B4"/>
    <w:rsid w:val="4AD122F6"/>
    <w:rsid w:val="4AFB6678"/>
    <w:rsid w:val="4B12483C"/>
    <w:rsid w:val="4B281AD9"/>
    <w:rsid w:val="4B286964"/>
    <w:rsid w:val="4B462533"/>
    <w:rsid w:val="4B497516"/>
    <w:rsid w:val="4B5F395F"/>
    <w:rsid w:val="4B887ABD"/>
    <w:rsid w:val="4B927D05"/>
    <w:rsid w:val="4B9A0568"/>
    <w:rsid w:val="4BA71700"/>
    <w:rsid w:val="4BC40127"/>
    <w:rsid w:val="4BCF7C38"/>
    <w:rsid w:val="4BD1718E"/>
    <w:rsid w:val="4BD95ACE"/>
    <w:rsid w:val="4C000F41"/>
    <w:rsid w:val="4C024636"/>
    <w:rsid w:val="4C1E38AF"/>
    <w:rsid w:val="4C1F09E8"/>
    <w:rsid w:val="4C6A4F05"/>
    <w:rsid w:val="4C6B7BE3"/>
    <w:rsid w:val="4C771D65"/>
    <w:rsid w:val="4C783020"/>
    <w:rsid w:val="4C9743B6"/>
    <w:rsid w:val="4CD104DB"/>
    <w:rsid w:val="4CD46FC7"/>
    <w:rsid w:val="4CEE4DA0"/>
    <w:rsid w:val="4CFA5EBA"/>
    <w:rsid w:val="4CFB7F02"/>
    <w:rsid w:val="4D0B09F5"/>
    <w:rsid w:val="4D243AE6"/>
    <w:rsid w:val="4D362180"/>
    <w:rsid w:val="4D3C4079"/>
    <w:rsid w:val="4D4152D2"/>
    <w:rsid w:val="4D420722"/>
    <w:rsid w:val="4D5D2973"/>
    <w:rsid w:val="4D670A85"/>
    <w:rsid w:val="4D743D70"/>
    <w:rsid w:val="4D806473"/>
    <w:rsid w:val="4D9A3F67"/>
    <w:rsid w:val="4DA27E03"/>
    <w:rsid w:val="4DB87F6B"/>
    <w:rsid w:val="4DDE1879"/>
    <w:rsid w:val="4DE22211"/>
    <w:rsid w:val="4DF85FC0"/>
    <w:rsid w:val="4E001052"/>
    <w:rsid w:val="4E2B135E"/>
    <w:rsid w:val="4E3F2EE6"/>
    <w:rsid w:val="4E457068"/>
    <w:rsid w:val="4E4E4B6D"/>
    <w:rsid w:val="4E625DA3"/>
    <w:rsid w:val="4E7B029B"/>
    <w:rsid w:val="4E94139D"/>
    <w:rsid w:val="4ED36E10"/>
    <w:rsid w:val="4ED61833"/>
    <w:rsid w:val="4EDA18B9"/>
    <w:rsid w:val="4EEA1FB8"/>
    <w:rsid w:val="4F1214F9"/>
    <w:rsid w:val="4F37236C"/>
    <w:rsid w:val="4F400F3C"/>
    <w:rsid w:val="4F573543"/>
    <w:rsid w:val="4FA24E56"/>
    <w:rsid w:val="4FA613D6"/>
    <w:rsid w:val="4FAE4B93"/>
    <w:rsid w:val="4FB43984"/>
    <w:rsid w:val="4FB80520"/>
    <w:rsid w:val="4FCE557D"/>
    <w:rsid w:val="4FCF67B8"/>
    <w:rsid w:val="4FFE7F33"/>
    <w:rsid w:val="50070139"/>
    <w:rsid w:val="500E331C"/>
    <w:rsid w:val="500F7F8E"/>
    <w:rsid w:val="5010363B"/>
    <w:rsid w:val="501802EF"/>
    <w:rsid w:val="501A6EB3"/>
    <w:rsid w:val="501C4E89"/>
    <w:rsid w:val="502E6EC7"/>
    <w:rsid w:val="503C452B"/>
    <w:rsid w:val="50401C90"/>
    <w:rsid w:val="50520469"/>
    <w:rsid w:val="50611E04"/>
    <w:rsid w:val="50705EA7"/>
    <w:rsid w:val="508A0BD0"/>
    <w:rsid w:val="508E4B33"/>
    <w:rsid w:val="50971876"/>
    <w:rsid w:val="50DD3BA3"/>
    <w:rsid w:val="50E61CAB"/>
    <w:rsid w:val="50EE7DC2"/>
    <w:rsid w:val="514136A1"/>
    <w:rsid w:val="514A20B0"/>
    <w:rsid w:val="515463AA"/>
    <w:rsid w:val="51680F94"/>
    <w:rsid w:val="517609BA"/>
    <w:rsid w:val="517D1FD1"/>
    <w:rsid w:val="51820F0A"/>
    <w:rsid w:val="51B00924"/>
    <w:rsid w:val="51BD4A0F"/>
    <w:rsid w:val="51BF1CEA"/>
    <w:rsid w:val="51C55B60"/>
    <w:rsid w:val="51C720FB"/>
    <w:rsid w:val="51D2101C"/>
    <w:rsid w:val="51E441B2"/>
    <w:rsid w:val="51E878B5"/>
    <w:rsid w:val="51EE3F4A"/>
    <w:rsid w:val="51F83860"/>
    <w:rsid w:val="51F8599D"/>
    <w:rsid w:val="52144845"/>
    <w:rsid w:val="522B4481"/>
    <w:rsid w:val="52305123"/>
    <w:rsid w:val="523F3431"/>
    <w:rsid w:val="52433E33"/>
    <w:rsid w:val="52461D9B"/>
    <w:rsid w:val="525549DF"/>
    <w:rsid w:val="52556F68"/>
    <w:rsid w:val="526131D0"/>
    <w:rsid w:val="527A0BC1"/>
    <w:rsid w:val="528E5F94"/>
    <w:rsid w:val="52B73817"/>
    <w:rsid w:val="53014F84"/>
    <w:rsid w:val="530724DA"/>
    <w:rsid w:val="53081FE2"/>
    <w:rsid w:val="53290DEF"/>
    <w:rsid w:val="53757657"/>
    <w:rsid w:val="53836E13"/>
    <w:rsid w:val="5399393C"/>
    <w:rsid w:val="53BC34C4"/>
    <w:rsid w:val="53CE29B7"/>
    <w:rsid w:val="5423339D"/>
    <w:rsid w:val="54451376"/>
    <w:rsid w:val="545B0024"/>
    <w:rsid w:val="54623CCF"/>
    <w:rsid w:val="54783F91"/>
    <w:rsid w:val="54C52C01"/>
    <w:rsid w:val="54DE257B"/>
    <w:rsid w:val="551B052F"/>
    <w:rsid w:val="551F503D"/>
    <w:rsid w:val="55242A1A"/>
    <w:rsid w:val="552E7B6C"/>
    <w:rsid w:val="55356F21"/>
    <w:rsid w:val="553B1566"/>
    <w:rsid w:val="553D5A1E"/>
    <w:rsid w:val="554E66B4"/>
    <w:rsid w:val="55623019"/>
    <w:rsid w:val="55696548"/>
    <w:rsid w:val="55732742"/>
    <w:rsid w:val="559508F1"/>
    <w:rsid w:val="55A0704C"/>
    <w:rsid w:val="55CD2AA4"/>
    <w:rsid w:val="55CD5B20"/>
    <w:rsid w:val="55DD38ED"/>
    <w:rsid w:val="55E33C19"/>
    <w:rsid w:val="55E3492A"/>
    <w:rsid w:val="55E63D84"/>
    <w:rsid w:val="55FB5288"/>
    <w:rsid w:val="560F5295"/>
    <w:rsid w:val="56182AD9"/>
    <w:rsid w:val="56536DD0"/>
    <w:rsid w:val="56686459"/>
    <w:rsid w:val="56A16CF1"/>
    <w:rsid w:val="56C569E8"/>
    <w:rsid w:val="56EA1F97"/>
    <w:rsid w:val="56FE7B3D"/>
    <w:rsid w:val="57115A76"/>
    <w:rsid w:val="57356CE5"/>
    <w:rsid w:val="57400691"/>
    <w:rsid w:val="57477A7D"/>
    <w:rsid w:val="574C5991"/>
    <w:rsid w:val="575E0275"/>
    <w:rsid w:val="57685E63"/>
    <w:rsid w:val="576E359C"/>
    <w:rsid w:val="57761A73"/>
    <w:rsid w:val="57803A91"/>
    <w:rsid w:val="578F63E0"/>
    <w:rsid w:val="57974CC5"/>
    <w:rsid w:val="57AA5D1A"/>
    <w:rsid w:val="57B717AF"/>
    <w:rsid w:val="57C06BFC"/>
    <w:rsid w:val="57D0016E"/>
    <w:rsid w:val="57D46CDD"/>
    <w:rsid w:val="57DD461C"/>
    <w:rsid w:val="57DE15F7"/>
    <w:rsid w:val="57F052A5"/>
    <w:rsid w:val="57F56DA8"/>
    <w:rsid w:val="580F5DBC"/>
    <w:rsid w:val="58372026"/>
    <w:rsid w:val="584809DA"/>
    <w:rsid w:val="587316C8"/>
    <w:rsid w:val="588A1881"/>
    <w:rsid w:val="588C1B3F"/>
    <w:rsid w:val="588C3DE2"/>
    <w:rsid w:val="58952B75"/>
    <w:rsid w:val="589923E8"/>
    <w:rsid w:val="58C03641"/>
    <w:rsid w:val="58D3199A"/>
    <w:rsid w:val="58DA5821"/>
    <w:rsid w:val="58E146E6"/>
    <w:rsid w:val="59043E08"/>
    <w:rsid w:val="5934326C"/>
    <w:rsid w:val="59471B28"/>
    <w:rsid w:val="59763E82"/>
    <w:rsid w:val="597F5245"/>
    <w:rsid w:val="598A3666"/>
    <w:rsid w:val="59A3232E"/>
    <w:rsid w:val="59A63822"/>
    <w:rsid w:val="59B8355B"/>
    <w:rsid w:val="59FE08FA"/>
    <w:rsid w:val="5A257E94"/>
    <w:rsid w:val="5A2A02BF"/>
    <w:rsid w:val="5A5106AE"/>
    <w:rsid w:val="5A60741A"/>
    <w:rsid w:val="5A7A608F"/>
    <w:rsid w:val="5A976E36"/>
    <w:rsid w:val="5A9D694A"/>
    <w:rsid w:val="5AA2358A"/>
    <w:rsid w:val="5AA24080"/>
    <w:rsid w:val="5AAD1EF8"/>
    <w:rsid w:val="5ACF7403"/>
    <w:rsid w:val="5B365C08"/>
    <w:rsid w:val="5B46719F"/>
    <w:rsid w:val="5B5C0955"/>
    <w:rsid w:val="5B60313C"/>
    <w:rsid w:val="5B705B09"/>
    <w:rsid w:val="5B9331F3"/>
    <w:rsid w:val="5B983712"/>
    <w:rsid w:val="5B997CCC"/>
    <w:rsid w:val="5B9D7438"/>
    <w:rsid w:val="5BA42A14"/>
    <w:rsid w:val="5BC52ADE"/>
    <w:rsid w:val="5BFD6721"/>
    <w:rsid w:val="5C552C55"/>
    <w:rsid w:val="5C60141A"/>
    <w:rsid w:val="5C691962"/>
    <w:rsid w:val="5C6C4390"/>
    <w:rsid w:val="5C8D4642"/>
    <w:rsid w:val="5CA70BEA"/>
    <w:rsid w:val="5CFA70E0"/>
    <w:rsid w:val="5CFF3634"/>
    <w:rsid w:val="5D0B0214"/>
    <w:rsid w:val="5D1A0A42"/>
    <w:rsid w:val="5D1C06B0"/>
    <w:rsid w:val="5D282771"/>
    <w:rsid w:val="5D3A4C89"/>
    <w:rsid w:val="5D42151C"/>
    <w:rsid w:val="5D4F1710"/>
    <w:rsid w:val="5D5D43F4"/>
    <w:rsid w:val="5D71045F"/>
    <w:rsid w:val="5D9A4060"/>
    <w:rsid w:val="5DAB19D1"/>
    <w:rsid w:val="5DBE340A"/>
    <w:rsid w:val="5DD263B9"/>
    <w:rsid w:val="5DE41D76"/>
    <w:rsid w:val="5DE555FC"/>
    <w:rsid w:val="5DF27C61"/>
    <w:rsid w:val="5E4A015A"/>
    <w:rsid w:val="5E617327"/>
    <w:rsid w:val="5E772D56"/>
    <w:rsid w:val="5E843AB7"/>
    <w:rsid w:val="5E9A1FB9"/>
    <w:rsid w:val="5EA510F1"/>
    <w:rsid w:val="5EB11CC9"/>
    <w:rsid w:val="5EB7165F"/>
    <w:rsid w:val="5EDA2E6C"/>
    <w:rsid w:val="5EDF49B6"/>
    <w:rsid w:val="5EE31948"/>
    <w:rsid w:val="5EE659E4"/>
    <w:rsid w:val="5EF029BA"/>
    <w:rsid w:val="5EF2401E"/>
    <w:rsid w:val="5EF37A12"/>
    <w:rsid w:val="5F19063B"/>
    <w:rsid w:val="5F2A58BF"/>
    <w:rsid w:val="5F2D2E3D"/>
    <w:rsid w:val="5F3F28CF"/>
    <w:rsid w:val="5F4D6034"/>
    <w:rsid w:val="5FBE3FE5"/>
    <w:rsid w:val="5FC03792"/>
    <w:rsid w:val="5FC939D5"/>
    <w:rsid w:val="5FDA399F"/>
    <w:rsid w:val="5FF22D36"/>
    <w:rsid w:val="5FFA79ED"/>
    <w:rsid w:val="60075E39"/>
    <w:rsid w:val="600D0AF4"/>
    <w:rsid w:val="60273573"/>
    <w:rsid w:val="60276DC2"/>
    <w:rsid w:val="602A54A3"/>
    <w:rsid w:val="60315C67"/>
    <w:rsid w:val="60370997"/>
    <w:rsid w:val="603F1014"/>
    <w:rsid w:val="604F40FC"/>
    <w:rsid w:val="605A259A"/>
    <w:rsid w:val="6060154E"/>
    <w:rsid w:val="606D0EF6"/>
    <w:rsid w:val="60996EA6"/>
    <w:rsid w:val="60B07C9E"/>
    <w:rsid w:val="60D06270"/>
    <w:rsid w:val="60EA7F29"/>
    <w:rsid w:val="61013040"/>
    <w:rsid w:val="611128E5"/>
    <w:rsid w:val="611C35B8"/>
    <w:rsid w:val="61315EF6"/>
    <w:rsid w:val="613A0A49"/>
    <w:rsid w:val="614E56CB"/>
    <w:rsid w:val="615440FF"/>
    <w:rsid w:val="616E368F"/>
    <w:rsid w:val="6184566A"/>
    <w:rsid w:val="619012C2"/>
    <w:rsid w:val="61AE7556"/>
    <w:rsid w:val="61D41854"/>
    <w:rsid w:val="61E3363C"/>
    <w:rsid w:val="62282B27"/>
    <w:rsid w:val="623743B3"/>
    <w:rsid w:val="623E7108"/>
    <w:rsid w:val="625A6442"/>
    <w:rsid w:val="626A1CE1"/>
    <w:rsid w:val="626C134E"/>
    <w:rsid w:val="62841688"/>
    <w:rsid w:val="629B22CB"/>
    <w:rsid w:val="62A3229B"/>
    <w:rsid w:val="62A45588"/>
    <w:rsid w:val="62A57C35"/>
    <w:rsid w:val="62B952CA"/>
    <w:rsid w:val="62E07553"/>
    <w:rsid w:val="63081C9E"/>
    <w:rsid w:val="633671EC"/>
    <w:rsid w:val="633F56A1"/>
    <w:rsid w:val="63421845"/>
    <w:rsid w:val="634A387E"/>
    <w:rsid w:val="6361478E"/>
    <w:rsid w:val="636E52EB"/>
    <w:rsid w:val="638B4892"/>
    <w:rsid w:val="639279AF"/>
    <w:rsid w:val="63944825"/>
    <w:rsid w:val="63D762DC"/>
    <w:rsid w:val="63EC2A57"/>
    <w:rsid w:val="63FE5C95"/>
    <w:rsid w:val="640E22EE"/>
    <w:rsid w:val="641222ED"/>
    <w:rsid w:val="64156B80"/>
    <w:rsid w:val="642B5582"/>
    <w:rsid w:val="642F3826"/>
    <w:rsid w:val="643B040A"/>
    <w:rsid w:val="645D1336"/>
    <w:rsid w:val="64643953"/>
    <w:rsid w:val="64681876"/>
    <w:rsid w:val="649122E0"/>
    <w:rsid w:val="6491381F"/>
    <w:rsid w:val="64B77EFF"/>
    <w:rsid w:val="64BB209D"/>
    <w:rsid w:val="64FB2F8F"/>
    <w:rsid w:val="65077676"/>
    <w:rsid w:val="651722E7"/>
    <w:rsid w:val="65347231"/>
    <w:rsid w:val="65740427"/>
    <w:rsid w:val="6577651D"/>
    <w:rsid w:val="658C66C4"/>
    <w:rsid w:val="65A05658"/>
    <w:rsid w:val="65AC2EFD"/>
    <w:rsid w:val="65B46375"/>
    <w:rsid w:val="65D37A5B"/>
    <w:rsid w:val="65F4511D"/>
    <w:rsid w:val="65F47DC0"/>
    <w:rsid w:val="65FF7596"/>
    <w:rsid w:val="66096B05"/>
    <w:rsid w:val="6627721E"/>
    <w:rsid w:val="66537DD0"/>
    <w:rsid w:val="66753E2C"/>
    <w:rsid w:val="6687460E"/>
    <w:rsid w:val="66A146AB"/>
    <w:rsid w:val="66A34F7A"/>
    <w:rsid w:val="66A43DA7"/>
    <w:rsid w:val="66AE0D1C"/>
    <w:rsid w:val="66B56271"/>
    <w:rsid w:val="66C32061"/>
    <w:rsid w:val="66CE247E"/>
    <w:rsid w:val="66D1553B"/>
    <w:rsid w:val="66D678E5"/>
    <w:rsid w:val="66E23A48"/>
    <w:rsid w:val="66EF31C1"/>
    <w:rsid w:val="66F123D1"/>
    <w:rsid w:val="66F16A47"/>
    <w:rsid w:val="66F203EF"/>
    <w:rsid w:val="671A0D2D"/>
    <w:rsid w:val="67200F9C"/>
    <w:rsid w:val="672252C1"/>
    <w:rsid w:val="67340A1D"/>
    <w:rsid w:val="674A4FC0"/>
    <w:rsid w:val="674D101A"/>
    <w:rsid w:val="675249FA"/>
    <w:rsid w:val="67683CFC"/>
    <w:rsid w:val="67B406DA"/>
    <w:rsid w:val="67C75EAB"/>
    <w:rsid w:val="67D13F82"/>
    <w:rsid w:val="67D47556"/>
    <w:rsid w:val="67E83BD3"/>
    <w:rsid w:val="67FE0A51"/>
    <w:rsid w:val="68277D0D"/>
    <w:rsid w:val="683021EA"/>
    <w:rsid w:val="6831292C"/>
    <w:rsid w:val="683A5F07"/>
    <w:rsid w:val="683D4EA1"/>
    <w:rsid w:val="68482B4B"/>
    <w:rsid w:val="6857517B"/>
    <w:rsid w:val="685F2B0C"/>
    <w:rsid w:val="68615AEE"/>
    <w:rsid w:val="686465B8"/>
    <w:rsid w:val="686E2F1C"/>
    <w:rsid w:val="686E4CA0"/>
    <w:rsid w:val="686F3D4E"/>
    <w:rsid w:val="6892121B"/>
    <w:rsid w:val="689E473A"/>
    <w:rsid w:val="68A772BD"/>
    <w:rsid w:val="68AD32C0"/>
    <w:rsid w:val="68B055E0"/>
    <w:rsid w:val="68C163CF"/>
    <w:rsid w:val="68E01B05"/>
    <w:rsid w:val="68F77559"/>
    <w:rsid w:val="690B67A2"/>
    <w:rsid w:val="693053C2"/>
    <w:rsid w:val="69577852"/>
    <w:rsid w:val="697A46A8"/>
    <w:rsid w:val="69AA61FA"/>
    <w:rsid w:val="69B022B6"/>
    <w:rsid w:val="69B72806"/>
    <w:rsid w:val="69B83AE8"/>
    <w:rsid w:val="69C21FC2"/>
    <w:rsid w:val="69D05774"/>
    <w:rsid w:val="69DD68EF"/>
    <w:rsid w:val="69F431E5"/>
    <w:rsid w:val="6A0B12F9"/>
    <w:rsid w:val="6A387A83"/>
    <w:rsid w:val="6A4E3481"/>
    <w:rsid w:val="6A906D98"/>
    <w:rsid w:val="6AB0358F"/>
    <w:rsid w:val="6AC81DFB"/>
    <w:rsid w:val="6ACC4B2B"/>
    <w:rsid w:val="6AD5470C"/>
    <w:rsid w:val="6B156F01"/>
    <w:rsid w:val="6B1823F4"/>
    <w:rsid w:val="6B302155"/>
    <w:rsid w:val="6B5061B8"/>
    <w:rsid w:val="6B5541CC"/>
    <w:rsid w:val="6B594757"/>
    <w:rsid w:val="6B794694"/>
    <w:rsid w:val="6BB10ECA"/>
    <w:rsid w:val="6BB80CD3"/>
    <w:rsid w:val="6BD97443"/>
    <w:rsid w:val="6BE154D6"/>
    <w:rsid w:val="6BFA34BF"/>
    <w:rsid w:val="6C1E27AA"/>
    <w:rsid w:val="6C253A83"/>
    <w:rsid w:val="6C282E9B"/>
    <w:rsid w:val="6C4C1DDE"/>
    <w:rsid w:val="6C60775B"/>
    <w:rsid w:val="6C787CBB"/>
    <w:rsid w:val="6C8A4E5F"/>
    <w:rsid w:val="6C8C5CC8"/>
    <w:rsid w:val="6C9165B6"/>
    <w:rsid w:val="6CA87474"/>
    <w:rsid w:val="6CAE0CBE"/>
    <w:rsid w:val="6CBA4949"/>
    <w:rsid w:val="6CFC1435"/>
    <w:rsid w:val="6D0D5EB2"/>
    <w:rsid w:val="6D1075E9"/>
    <w:rsid w:val="6D2F4343"/>
    <w:rsid w:val="6D353D8C"/>
    <w:rsid w:val="6D4E6285"/>
    <w:rsid w:val="6D5C18AC"/>
    <w:rsid w:val="6D6B1613"/>
    <w:rsid w:val="6D886D51"/>
    <w:rsid w:val="6DCC4C0D"/>
    <w:rsid w:val="6DEA0A67"/>
    <w:rsid w:val="6DEC6437"/>
    <w:rsid w:val="6DFC561D"/>
    <w:rsid w:val="6E0F76B0"/>
    <w:rsid w:val="6E382FA7"/>
    <w:rsid w:val="6E395E9E"/>
    <w:rsid w:val="6E4341AC"/>
    <w:rsid w:val="6E5126B4"/>
    <w:rsid w:val="6E567C0C"/>
    <w:rsid w:val="6E5D6868"/>
    <w:rsid w:val="6E626372"/>
    <w:rsid w:val="6E683231"/>
    <w:rsid w:val="6E7C1EB5"/>
    <w:rsid w:val="6EB664D0"/>
    <w:rsid w:val="6EC9421A"/>
    <w:rsid w:val="6ECC638C"/>
    <w:rsid w:val="6ED36BB1"/>
    <w:rsid w:val="6EE110A6"/>
    <w:rsid w:val="6EF03BAE"/>
    <w:rsid w:val="6F155D21"/>
    <w:rsid w:val="6F1E3244"/>
    <w:rsid w:val="6F286746"/>
    <w:rsid w:val="6F287ED0"/>
    <w:rsid w:val="6F2B2506"/>
    <w:rsid w:val="6F436F8F"/>
    <w:rsid w:val="6F451BBF"/>
    <w:rsid w:val="6F4C08A5"/>
    <w:rsid w:val="6F634567"/>
    <w:rsid w:val="6F8D6B1D"/>
    <w:rsid w:val="6FAE4748"/>
    <w:rsid w:val="6FD91F90"/>
    <w:rsid w:val="6FE31AA8"/>
    <w:rsid w:val="70045D42"/>
    <w:rsid w:val="700A0D6E"/>
    <w:rsid w:val="704D2ABA"/>
    <w:rsid w:val="706717CB"/>
    <w:rsid w:val="707200F0"/>
    <w:rsid w:val="707663A9"/>
    <w:rsid w:val="707F274F"/>
    <w:rsid w:val="70950CE0"/>
    <w:rsid w:val="709D2458"/>
    <w:rsid w:val="70A2698B"/>
    <w:rsid w:val="70AA312E"/>
    <w:rsid w:val="70C24A2F"/>
    <w:rsid w:val="70CC0C4C"/>
    <w:rsid w:val="70E41087"/>
    <w:rsid w:val="70E65326"/>
    <w:rsid w:val="70E80F60"/>
    <w:rsid w:val="70F11D57"/>
    <w:rsid w:val="71014D29"/>
    <w:rsid w:val="710A2B65"/>
    <w:rsid w:val="71191A27"/>
    <w:rsid w:val="711F713E"/>
    <w:rsid w:val="71217371"/>
    <w:rsid w:val="712E54D4"/>
    <w:rsid w:val="71321C7C"/>
    <w:rsid w:val="714A1780"/>
    <w:rsid w:val="71637917"/>
    <w:rsid w:val="7170146E"/>
    <w:rsid w:val="71705776"/>
    <w:rsid w:val="717268C8"/>
    <w:rsid w:val="71802D0E"/>
    <w:rsid w:val="7184096F"/>
    <w:rsid w:val="71880353"/>
    <w:rsid w:val="718F5890"/>
    <w:rsid w:val="71981E73"/>
    <w:rsid w:val="71C16BD6"/>
    <w:rsid w:val="71C363B8"/>
    <w:rsid w:val="71C578FA"/>
    <w:rsid w:val="71D14144"/>
    <w:rsid w:val="71DB5AF0"/>
    <w:rsid w:val="72143089"/>
    <w:rsid w:val="72150CEA"/>
    <w:rsid w:val="721F1006"/>
    <w:rsid w:val="721F4F40"/>
    <w:rsid w:val="7227177D"/>
    <w:rsid w:val="723419F5"/>
    <w:rsid w:val="7235573F"/>
    <w:rsid w:val="72477BAC"/>
    <w:rsid w:val="7255330E"/>
    <w:rsid w:val="726C56B8"/>
    <w:rsid w:val="72760CB0"/>
    <w:rsid w:val="7288771C"/>
    <w:rsid w:val="728B0825"/>
    <w:rsid w:val="729326C7"/>
    <w:rsid w:val="72A458E1"/>
    <w:rsid w:val="72B13FB1"/>
    <w:rsid w:val="72C13E7C"/>
    <w:rsid w:val="72CD388B"/>
    <w:rsid w:val="72CE592F"/>
    <w:rsid w:val="72D21B1B"/>
    <w:rsid w:val="73003897"/>
    <w:rsid w:val="73014E33"/>
    <w:rsid w:val="730770A2"/>
    <w:rsid w:val="73197AE0"/>
    <w:rsid w:val="73221860"/>
    <w:rsid w:val="732F2FC7"/>
    <w:rsid w:val="733A4EF6"/>
    <w:rsid w:val="733D0234"/>
    <w:rsid w:val="733D1497"/>
    <w:rsid w:val="735F4C52"/>
    <w:rsid w:val="73702641"/>
    <w:rsid w:val="737405D6"/>
    <w:rsid w:val="73773239"/>
    <w:rsid w:val="73884BE2"/>
    <w:rsid w:val="739D4E7F"/>
    <w:rsid w:val="73A52CA9"/>
    <w:rsid w:val="73C82E30"/>
    <w:rsid w:val="73FA14E3"/>
    <w:rsid w:val="73FD29BB"/>
    <w:rsid w:val="740A7F35"/>
    <w:rsid w:val="740B686A"/>
    <w:rsid w:val="74193434"/>
    <w:rsid w:val="7436153F"/>
    <w:rsid w:val="744401CE"/>
    <w:rsid w:val="745819FD"/>
    <w:rsid w:val="746C366D"/>
    <w:rsid w:val="748200B4"/>
    <w:rsid w:val="749C71E6"/>
    <w:rsid w:val="74AC77E0"/>
    <w:rsid w:val="74DE6D4A"/>
    <w:rsid w:val="74E725F5"/>
    <w:rsid w:val="75045F44"/>
    <w:rsid w:val="75050729"/>
    <w:rsid w:val="75154170"/>
    <w:rsid w:val="751F2CCD"/>
    <w:rsid w:val="75334F10"/>
    <w:rsid w:val="754A3843"/>
    <w:rsid w:val="755E6626"/>
    <w:rsid w:val="75714F21"/>
    <w:rsid w:val="75801690"/>
    <w:rsid w:val="75841DF5"/>
    <w:rsid w:val="75883FFE"/>
    <w:rsid w:val="759118EE"/>
    <w:rsid w:val="759A0BFF"/>
    <w:rsid w:val="75A12E25"/>
    <w:rsid w:val="75A62B5C"/>
    <w:rsid w:val="75B660D9"/>
    <w:rsid w:val="75BC0475"/>
    <w:rsid w:val="75DA056C"/>
    <w:rsid w:val="75FA2F4D"/>
    <w:rsid w:val="76177C7F"/>
    <w:rsid w:val="761E4555"/>
    <w:rsid w:val="7652518B"/>
    <w:rsid w:val="765661CE"/>
    <w:rsid w:val="766B1FE7"/>
    <w:rsid w:val="767737E8"/>
    <w:rsid w:val="7687321E"/>
    <w:rsid w:val="769C5380"/>
    <w:rsid w:val="769D488D"/>
    <w:rsid w:val="76A648DB"/>
    <w:rsid w:val="76AA6FCA"/>
    <w:rsid w:val="76AD33AB"/>
    <w:rsid w:val="76AE1A33"/>
    <w:rsid w:val="76B645C9"/>
    <w:rsid w:val="76CB05E9"/>
    <w:rsid w:val="76F557EA"/>
    <w:rsid w:val="76FB601C"/>
    <w:rsid w:val="771E0B46"/>
    <w:rsid w:val="77243900"/>
    <w:rsid w:val="7745626C"/>
    <w:rsid w:val="774A218D"/>
    <w:rsid w:val="77534E7F"/>
    <w:rsid w:val="77765B6B"/>
    <w:rsid w:val="777D79D9"/>
    <w:rsid w:val="7788271D"/>
    <w:rsid w:val="778A3CA6"/>
    <w:rsid w:val="77AB127E"/>
    <w:rsid w:val="77B8759C"/>
    <w:rsid w:val="77CA7AD8"/>
    <w:rsid w:val="77F04589"/>
    <w:rsid w:val="780776F7"/>
    <w:rsid w:val="78375502"/>
    <w:rsid w:val="785D4AC2"/>
    <w:rsid w:val="786E2373"/>
    <w:rsid w:val="78755AD9"/>
    <w:rsid w:val="78867CFB"/>
    <w:rsid w:val="7895518B"/>
    <w:rsid w:val="78DA375A"/>
    <w:rsid w:val="78FB6861"/>
    <w:rsid w:val="790C30F7"/>
    <w:rsid w:val="79182F94"/>
    <w:rsid w:val="791E6626"/>
    <w:rsid w:val="791F15A3"/>
    <w:rsid w:val="791F1ABD"/>
    <w:rsid w:val="792A6014"/>
    <w:rsid w:val="792A77CA"/>
    <w:rsid w:val="792C1C9C"/>
    <w:rsid w:val="79534836"/>
    <w:rsid w:val="795F47C4"/>
    <w:rsid w:val="7972F281"/>
    <w:rsid w:val="79880110"/>
    <w:rsid w:val="79894347"/>
    <w:rsid w:val="799447B2"/>
    <w:rsid w:val="79993DEC"/>
    <w:rsid w:val="79A91848"/>
    <w:rsid w:val="79B155D3"/>
    <w:rsid w:val="79BE02AE"/>
    <w:rsid w:val="79C15287"/>
    <w:rsid w:val="79C44E91"/>
    <w:rsid w:val="79D75B18"/>
    <w:rsid w:val="79F45759"/>
    <w:rsid w:val="79F9227E"/>
    <w:rsid w:val="7A03141B"/>
    <w:rsid w:val="7A2F5A98"/>
    <w:rsid w:val="7A340EA4"/>
    <w:rsid w:val="7A3F5F0E"/>
    <w:rsid w:val="7A402127"/>
    <w:rsid w:val="7A677819"/>
    <w:rsid w:val="7A75750A"/>
    <w:rsid w:val="7A7C3110"/>
    <w:rsid w:val="7A9E603E"/>
    <w:rsid w:val="7AA5799A"/>
    <w:rsid w:val="7AAE7A48"/>
    <w:rsid w:val="7AF259C5"/>
    <w:rsid w:val="7B12265C"/>
    <w:rsid w:val="7B2F6298"/>
    <w:rsid w:val="7B4E1237"/>
    <w:rsid w:val="7B557668"/>
    <w:rsid w:val="7B5721B8"/>
    <w:rsid w:val="7B5C6BFD"/>
    <w:rsid w:val="7B884D33"/>
    <w:rsid w:val="7BA630A7"/>
    <w:rsid w:val="7BBB6A08"/>
    <w:rsid w:val="7BCB5994"/>
    <w:rsid w:val="7BCF7576"/>
    <w:rsid w:val="7BED154E"/>
    <w:rsid w:val="7BED6B05"/>
    <w:rsid w:val="7C1946E0"/>
    <w:rsid w:val="7C42078B"/>
    <w:rsid w:val="7C953CBE"/>
    <w:rsid w:val="7C9B322A"/>
    <w:rsid w:val="7C9C6D51"/>
    <w:rsid w:val="7CA326C8"/>
    <w:rsid w:val="7CAA5F0D"/>
    <w:rsid w:val="7CE6217B"/>
    <w:rsid w:val="7D0A7122"/>
    <w:rsid w:val="7D16490F"/>
    <w:rsid w:val="7D25417D"/>
    <w:rsid w:val="7D470375"/>
    <w:rsid w:val="7D5A124C"/>
    <w:rsid w:val="7D6B3C9C"/>
    <w:rsid w:val="7D6C7837"/>
    <w:rsid w:val="7D7134A3"/>
    <w:rsid w:val="7D87483A"/>
    <w:rsid w:val="7D886B89"/>
    <w:rsid w:val="7D8A3047"/>
    <w:rsid w:val="7D92427A"/>
    <w:rsid w:val="7D9414CC"/>
    <w:rsid w:val="7D9B4E14"/>
    <w:rsid w:val="7DA653E8"/>
    <w:rsid w:val="7DAB4450"/>
    <w:rsid w:val="7DAE4568"/>
    <w:rsid w:val="7DC3009F"/>
    <w:rsid w:val="7DC80DDA"/>
    <w:rsid w:val="7DDC30D5"/>
    <w:rsid w:val="7DEE7639"/>
    <w:rsid w:val="7E0B16A2"/>
    <w:rsid w:val="7E12506E"/>
    <w:rsid w:val="7E1B5179"/>
    <w:rsid w:val="7E3610F8"/>
    <w:rsid w:val="7E594E0B"/>
    <w:rsid w:val="7E7C766D"/>
    <w:rsid w:val="7E833262"/>
    <w:rsid w:val="7E932FC5"/>
    <w:rsid w:val="7E9B5F2D"/>
    <w:rsid w:val="7ECE4E91"/>
    <w:rsid w:val="7ECE6209"/>
    <w:rsid w:val="7EDB5D8D"/>
    <w:rsid w:val="7EDD4604"/>
    <w:rsid w:val="7EE626A2"/>
    <w:rsid w:val="7F0A31ED"/>
    <w:rsid w:val="7F165CD8"/>
    <w:rsid w:val="7F243837"/>
    <w:rsid w:val="7F2B17D8"/>
    <w:rsid w:val="7F3C05D3"/>
    <w:rsid w:val="7F4E60A4"/>
    <w:rsid w:val="7F676C28"/>
    <w:rsid w:val="7F751E64"/>
    <w:rsid w:val="7F7A4953"/>
    <w:rsid w:val="7F806C96"/>
    <w:rsid w:val="7F90721E"/>
    <w:rsid w:val="7F990359"/>
    <w:rsid w:val="7F9A1827"/>
    <w:rsid w:val="7FAC08C1"/>
    <w:rsid w:val="7FAD0277"/>
    <w:rsid w:val="7FB25E32"/>
    <w:rsid w:val="7FB44E0C"/>
    <w:rsid w:val="7FCF5193"/>
    <w:rsid w:val="7FD06104"/>
    <w:rsid w:val="7FDD445B"/>
    <w:rsid w:val="7FF03D02"/>
    <w:rsid w:val="9F5D3C7B"/>
    <w:rsid w:val="B7DF2E86"/>
    <w:rsid w:val="DFF70B63"/>
    <w:rsid w:val="F5FBFE5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unhideWhenUsed/>
    <w:qFormat/>
    <w:uiPriority w:val="0"/>
    <w:pPr>
      <w:keepNext/>
      <w:keepLines/>
      <w:tabs>
        <w:tab w:val="left" w:pos="8280"/>
      </w:tabs>
      <w:spacing w:before="260" w:after="260" w:line="416" w:lineRule="auto"/>
      <w:outlineLvl w:val="2"/>
    </w:pPr>
    <w:rPr>
      <w:bCs/>
      <w:szCs w:val="32"/>
    </w:rPr>
  </w:style>
  <w:style w:type="paragraph" w:styleId="5">
    <w:name w:val="heading 4"/>
    <w:basedOn w:val="1"/>
    <w:next w:val="1"/>
    <w:unhideWhenUsed/>
    <w:qFormat/>
    <w:uiPriority w:val="9"/>
    <w:pPr>
      <w:keepNext/>
      <w:keepLines/>
      <w:spacing w:before="280" w:after="290" w:line="376" w:lineRule="auto"/>
      <w:outlineLvl w:val="3"/>
    </w:pPr>
    <w:rPr>
      <w:rFonts w:ascii="等线 Light" w:hAnsi="等线 Light" w:eastAsia="等线 Light" w:cs="Times New Roman"/>
      <w:b/>
      <w:bCs/>
      <w:sz w:val="28"/>
      <w:szCs w:val="28"/>
    </w:rPr>
  </w:style>
  <w:style w:type="paragraph" w:styleId="6">
    <w:name w:val="heading 5"/>
    <w:basedOn w:val="1"/>
    <w:next w:val="1"/>
    <w:qFormat/>
    <w:uiPriority w:val="0"/>
    <w:pPr>
      <w:keepNext/>
      <w:keepLines/>
      <w:numPr>
        <w:ilvl w:val="4"/>
        <w:numId w:val="2"/>
      </w:numPr>
      <w:tabs>
        <w:tab w:val="left" w:pos="142"/>
      </w:tabs>
      <w:spacing w:line="360" w:lineRule="auto"/>
      <w:outlineLvl w:val="4"/>
    </w:pPr>
    <w:rPr>
      <w:rFonts w:ascii="黑体" w:hAnsi="黑体" w:eastAsia="黑体"/>
      <w:b/>
      <w:bCs/>
      <w:sz w:val="24"/>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List Number"/>
    <w:basedOn w:val="1"/>
    <w:qFormat/>
    <w:uiPriority w:val="0"/>
    <w:pPr>
      <w:numPr>
        <w:ilvl w:val="0"/>
        <w:numId w:val="3"/>
      </w:numPr>
    </w:pPr>
  </w:style>
  <w:style w:type="paragraph" w:styleId="8">
    <w:name w:val="Normal Indent"/>
    <w:basedOn w:val="1"/>
    <w:next w:val="1"/>
    <w:qFormat/>
    <w:uiPriority w:val="0"/>
    <w:pPr>
      <w:ind w:firstLine="420"/>
    </w:pPr>
    <w:rPr>
      <w:szCs w:val="20"/>
    </w:rPr>
  </w:style>
  <w:style w:type="paragraph" w:styleId="9">
    <w:name w:val="annotation text"/>
    <w:basedOn w:val="1"/>
    <w:qFormat/>
    <w:uiPriority w:val="0"/>
    <w:pPr>
      <w:jc w:val="left"/>
    </w:pPr>
  </w:style>
  <w:style w:type="paragraph" w:styleId="10">
    <w:name w:val="Body Text"/>
    <w:basedOn w:val="1"/>
    <w:qFormat/>
    <w:uiPriority w:val="0"/>
    <w:pPr>
      <w:spacing w:line="360" w:lineRule="exact"/>
    </w:pPr>
    <w:rPr>
      <w:sz w:val="24"/>
    </w:rPr>
  </w:style>
  <w:style w:type="paragraph" w:styleId="11">
    <w:name w:val="Body Text Indent"/>
    <w:basedOn w:val="1"/>
    <w:next w:val="1"/>
    <w:qFormat/>
    <w:uiPriority w:val="0"/>
    <w:pPr>
      <w:spacing w:after="120"/>
      <w:ind w:left="420" w:leftChars="200"/>
    </w:pPr>
  </w:style>
  <w:style w:type="paragraph" w:styleId="12">
    <w:name w:val="Block Text"/>
    <w:basedOn w:val="1"/>
    <w:next w:val="5"/>
    <w:qFormat/>
    <w:uiPriority w:val="0"/>
    <w:pPr>
      <w:spacing w:after="120"/>
    </w:pPr>
  </w:style>
  <w:style w:type="paragraph" w:styleId="13">
    <w:name w:val="Plain Text"/>
    <w:basedOn w:val="1"/>
    <w:next w:val="14"/>
    <w:qFormat/>
    <w:uiPriority w:val="0"/>
    <w:rPr>
      <w:rFonts w:ascii="宋体" w:hAnsi="Courier New" w:cstheme="minorBidi"/>
    </w:rPr>
  </w:style>
  <w:style w:type="paragraph" w:styleId="14">
    <w:name w:val="Date"/>
    <w:basedOn w:val="1"/>
    <w:next w:val="1"/>
    <w:qFormat/>
    <w:uiPriority w:val="0"/>
    <w:pPr>
      <w:ind w:left="2500" w:leftChars="2500"/>
    </w:pPr>
    <w:rPr>
      <w:rFonts w:eastAsia="楷体_GB2312" w:asciiTheme="minorHAnsi" w:hAnsiTheme="minorHAnsi" w:cstheme="minorBidi"/>
      <w:sz w:val="32"/>
      <w:szCs w:val="22"/>
    </w:rPr>
  </w:style>
  <w:style w:type="paragraph" w:styleId="15">
    <w:name w:val="Balloon Text"/>
    <w:basedOn w:val="1"/>
    <w:link w:val="51"/>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9">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0">
    <w:name w:val="Body Text First Indent"/>
    <w:basedOn w:val="1"/>
    <w:qFormat/>
    <w:uiPriority w:val="0"/>
    <w:pPr>
      <w:ind w:firstLine="200" w:firstLineChars="200"/>
    </w:pPr>
  </w:style>
  <w:style w:type="paragraph" w:styleId="21">
    <w:name w:val="Body Text First Indent 2"/>
    <w:basedOn w:val="11"/>
    <w:qFormat/>
    <w:uiPriority w:val="0"/>
    <w:pPr>
      <w:ind w:firstLine="420"/>
    </w:pPr>
  </w:style>
  <w:style w:type="table" w:styleId="23">
    <w:name w:val="Table Grid"/>
    <w:basedOn w:val="22"/>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5">
    <w:name w:val="FollowedHyperlink"/>
    <w:basedOn w:val="24"/>
    <w:qFormat/>
    <w:uiPriority w:val="0"/>
    <w:rPr>
      <w:color w:val="800080"/>
      <w:u w:val="single"/>
    </w:rPr>
  </w:style>
  <w:style w:type="character" w:styleId="26">
    <w:name w:val="Hyperlink"/>
    <w:qFormat/>
    <w:uiPriority w:val="0"/>
    <w:rPr>
      <w:color w:val="0000FF"/>
      <w:u w:val="single"/>
    </w:rPr>
  </w:style>
  <w:style w:type="character" w:styleId="27">
    <w:name w:val="annotation reference"/>
    <w:basedOn w:val="24"/>
    <w:qFormat/>
    <w:uiPriority w:val="0"/>
    <w:rPr>
      <w:sz w:val="21"/>
      <w:szCs w:val="21"/>
    </w:rPr>
  </w:style>
  <w:style w:type="paragraph" w:customStyle="1" w:styleId="28">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9">
    <w:name w:val="List Paragraph"/>
    <w:basedOn w:val="1"/>
    <w:qFormat/>
    <w:uiPriority w:val="34"/>
    <w:pPr>
      <w:ind w:firstLine="420" w:firstLineChars="200"/>
    </w:pPr>
    <w:rPr>
      <w:rFonts w:ascii="Calibri" w:hAnsi="Calibri"/>
      <w:szCs w:val="22"/>
    </w:rPr>
  </w:style>
  <w:style w:type="paragraph" w:customStyle="1" w:styleId="30">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1">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4"/>
    <w:qFormat/>
    <w:uiPriority w:val="0"/>
    <w:rPr>
      <w:rFonts w:ascii="Times New Roman" w:hAnsi="Times New Roman" w:eastAsia="宋体" w:cs="Times New Roman"/>
      <w:sz w:val="21"/>
      <w:szCs w:val="22"/>
      <w:lang w:val="en-US" w:eastAsia="zh-CN" w:bidi="ar-SA"/>
    </w:rPr>
  </w:style>
  <w:style w:type="paragraph" w:customStyle="1" w:styleId="3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纯文本_3"/>
    <w:basedOn w:val="37"/>
    <w:qFormat/>
    <w:uiPriority w:val="0"/>
    <w:pPr>
      <w:widowControl/>
      <w:jc w:val="left"/>
    </w:pPr>
    <w:rPr>
      <w:rFonts w:ascii="宋体" w:hAnsi="Courier New" w:eastAsiaTheme="minorEastAsia" w:cstheme="minorBidi"/>
      <w:szCs w:val="21"/>
    </w:rPr>
  </w:style>
  <w:style w:type="paragraph" w:customStyle="1" w:styleId="39">
    <w:name w:val="纯文本_0_1"/>
    <w:basedOn w:val="1"/>
    <w:qFormat/>
    <w:uiPriority w:val="0"/>
    <w:pPr>
      <w:widowControl/>
      <w:jc w:val="left"/>
    </w:pPr>
    <w:rPr>
      <w:rFonts w:ascii="宋体" w:hAnsi="Courier New" w:eastAsiaTheme="minorEastAsia" w:cstheme="minorBidi"/>
      <w:szCs w:val="21"/>
    </w:rPr>
  </w:style>
  <w:style w:type="paragraph" w:customStyle="1" w:styleId="4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
    <w:name w:val="font21"/>
    <w:basedOn w:val="24"/>
    <w:qFormat/>
    <w:uiPriority w:val="0"/>
    <w:rPr>
      <w:rFonts w:hint="default" w:ascii="Arial" w:hAnsi="Arial" w:cs="Arial"/>
      <w:color w:val="000000"/>
      <w:sz w:val="20"/>
      <w:szCs w:val="20"/>
      <w:u w:val="none"/>
    </w:rPr>
  </w:style>
  <w:style w:type="character" w:customStyle="1" w:styleId="45">
    <w:name w:val="font01"/>
    <w:basedOn w:val="24"/>
    <w:qFormat/>
    <w:uiPriority w:val="0"/>
    <w:rPr>
      <w:rFonts w:hint="eastAsia" w:ascii="宋体" w:hAnsi="宋体" w:eastAsia="宋体" w:cs="宋体"/>
      <w:color w:val="000000"/>
      <w:sz w:val="20"/>
      <w:szCs w:val="20"/>
      <w:u w:val="none"/>
    </w:rPr>
  </w:style>
  <w:style w:type="paragraph" w:customStyle="1" w:styleId="46">
    <w:name w:val="纯文本1"/>
    <w:basedOn w:val="47"/>
    <w:qFormat/>
    <w:uiPriority w:val="0"/>
    <w:pPr>
      <w:widowControl/>
      <w:jc w:val="left"/>
    </w:pPr>
    <w:rPr>
      <w:rFonts w:ascii="宋体" w:hAnsi="Courier New"/>
    </w:rPr>
  </w:style>
  <w:style w:type="paragraph" w:customStyle="1" w:styleId="4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8">
    <w:name w:val="Table Paragraph"/>
    <w:basedOn w:val="1"/>
    <w:qFormat/>
    <w:uiPriority w:val="1"/>
    <w:rPr>
      <w:rFonts w:ascii="宋体" w:hAnsi="宋体" w:cs="宋体"/>
    </w:rPr>
  </w:style>
  <w:style w:type="paragraph" w:customStyle="1" w:styleId="49">
    <w:name w:val="WPSOffice手动目录 1"/>
    <w:qFormat/>
    <w:uiPriority w:val="0"/>
    <w:rPr>
      <w:rFonts w:ascii="Times New Roman" w:hAnsi="Times New Roman" w:eastAsia="宋体" w:cs="Times New Roman"/>
      <w:lang w:val="en-US" w:eastAsia="zh-CN" w:bidi="ar-SA"/>
    </w:rPr>
  </w:style>
  <w:style w:type="character" w:customStyle="1" w:styleId="50">
    <w:name w:val="标题 1 Char Char"/>
    <w:basedOn w:val="24"/>
    <w:qFormat/>
    <w:uiPriority w:val="0"/>
    <w:rPr>
      <w:rFonts w:eastAsia="宋体"/>
      <w:b/>
      <w:spacing w:val="-2"/>
      <w:sz w:val="24"/>
      <w:lang w:val="en-US" w:eastAsia="zh-CN" w:bidi="ar-SA"/>
    </w:rPr>
  </w:style>
  <w:style w:type="character" w:customStyle="1" w:styleId="51">
    <w:name w:val="批注框文本 Char"/>
    <w:basedOn w:val="24"/>
    <w:link w:val="15"/>
    <w:qFormat/>
    <w:uiPriority w:val="0"/>
    <w:rPr>
      <w:kern w:val="2"/>
      <w:sz w:val="18"/>
      <w:szCs w:val="18"/>
    </w:rPr>
  </w:style>
  <w:style w:type="character" w:customStyle="1" w:styleId="52">
    <w:name w:val="font41"/>
    <w:basedOn w:val="24"/>
    <w:unhideWhenUsed/>
    <w:qFormat/>
    <w:uiPriority w:val="0"/>
    <w:rPr>
      <w:rFonts w:hint="eastAsia" w:ascii="宋体" w:hAnsi="宋体" w:eastAsia="宋体" w:cs="宋体"/>
      <w:color w:val="000000"/>
      <w:sz w:val="18"/>
      <w:szCs w:val="18"/>
    </w:rPr>
  </w:style>
  <w:style w:type="character" w:customStyle="1" w:styleId="53">
    <w:name w:val="font121"/>
    <w:basedOn w:val="24"/>
    <w:unhideWhenUsed/>
    <w:qFormat/>
    <w:uiPriority w:val="0"/>
    <w:rPr>
      <w:rFonts w:hint="eastAsia" w:ascii="宋体" w:hAnsi="宋体" w:eastAsia="宋体" w:cs="宋体"/>
      <w:color w:val="FF0000"/>
      <w:sz w:val="18"/>
      <w:szCs w:val="18"/>
    </w:rPr>
  </w:style>
  <w:style w:type="character" w:customStyle="1" w:styleId="54">
    <w:name w:val="font51"/>
    <w:basedOn w:val="24"/>
    <w:unhideWhenUsed/>
    <w:qFormat/>
    <w:uiPriority w:val="0"/>
    <w:rPr>
      <w:rFonts w:hint="eastAsia" w:ascii="宋体" w:hAnsi="宋体" w:eastAsia="宋体" w:cs="宋体"/>
      <w:color w:val="000000"/>
      <w:sz w:val="20"/>
      <w:szCs w:val="20"/>
    </w:rPr>
  </w:style>
  <w:style w:type="paragraph" w:customStyle="1" w:styleId="55">
    <w:name w:val="=正文="/>
    <w:qFormat/>
    <w:uiPriority w:val="0"/>
    <w:pPr>
      <w:widowControl w:val="0"/>
      <w:spacing w:before="50" w:beforeLines="50" w:line="360" w:lineRule="auto"/>
      <w:ind w:firstLine="200" w:firstLineChars="200"/>
      <w:jc w:val="both"/>
    </w:pPr>
    <w:rPr>
      <w:rFonts w:ascii="宋体" w:hAnsi="宋体" w:eastAsia="宋体" w:cstheme="minorBidi"/>
      <w:kern w:val="2"/>
      <w:sz w:val="24"/>
      <w:szCs w:val="21"/>
      <w:lang w:val="en-US" w:eastAsia="zh-CN" w:bidi="ar-SA"/>
    </w:rPr>
  </w:style>
  <w:style w:type="paragraph" w:customStyle="1" w:styleId="56">
    <w:name w:val="表格文字"/>
    <w:basedOn w:val="1"/>
    <w:next w:val="10"/>
    <w:unhideWhenUsed/>
    <w:qFormat/>
    <w:uiPriority w:val="99"/>
    <w:pPr>
      <w:spacing w:beforeLines="0" w:afterLines="0"/>
      <w:jc w:val="left"/>
    </w:pPr>
    <w:rPr>
      <w:rFonts w:hint="eastAsia"/>
      <w:sz w:val="21"/>
      <w:szCs w:val="24"/>
    </w:rPr>
  </w:style>
  <w:style w:type="paragraph" w:customStyle="1" w:styleId="57">
    <w:name w:val="默认段落字体 Para Char Char Char Char Char Char Char Char Char1 Char Char Char Char"/>
    <w:basedOn w:val="1"/>
    <w:qFormat/>
    <w:uiPriority w:val="0"/>
    <w:rPr>
      <w:rFonts w:ascii="Tahoma" w:hAnsi="Tahoma"/>
      <w:sz w:val="24"/>
      <w:szCs w:val="20"/>
    </w:rPr>
  </w:style>
  <w:style w:type="paragraph" w:customStyle="1" w:styleId="58">
    <w:name w:val="样式1"/>
    <w:basedOn w:val="1"/>
    <w:qFormat/>
    <w:uiPriority w:val="0"/>
    <w:pPr>
      <w:spacing w:line="360" w:lineRule="exact"/>
      <w:ind w:firstLine="200" w:firstLineChars="200"/>
    </w:pPr>
    <w:rPr>
      <w:rFonts w:ascii="Arial" w:hAnsi="Arial"/>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header5.xml" Type="http://schemas.openxmlformats.org/officeDocument/2006/relationships/header"/><Relationship Id="rId12" Target="footer5.xml" Type="http://schemas.openxmlformats.org/officeDocument/2006/relationships/footer"/><Relationship Id="rId13" Target="theme/theme1.xml" Type="http://schemas.openxmlformats.org/officeDocument/2006/relationships/theme"/><Relationship Id="rId14" Target="media/image1.jpeg" Type="http://schemas.openxmlformats.org/officeDocument/2006/relationships/image"/><Relationship Id="rId15" Target="media/image2.png" Type="http://schemas.openxmlformats.org/officeDocument/2006/relationships/image"/><Relationship Id="rId16" Target="../customXml/item1.xml" Type="http://schemas.openxmlformats.org/officeDocument/2006/relationships/customXml"/><Relationship Id="rId17" Target="numbering.xml" Type="http://schemas.openxmlformats.org/officeDocument/2006/relationships/numbering"/><Relationship Id="rId18" Target="fontTable.xml" Type="http://schemas.openxmlformats.org/officeDocument/2006/relationships/fontTable"/><Relationship Id="rId19" Target="people.xml" Type="http://schemas.microsoft.com/office/2011/relationships/peop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header3.xml" Type="http://schemas.openxmlformats.org/officeDocument/2006/relationships/header"/><Relationship Id="rId8" Target="header4.xml" Type="http://schemas.openxmlformats.org/officeDocument/2006/relationships/header"/><Relationship Id="rId9" Target="footer3.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134</Pages>
  <Words>92273</Words>
  <Characters>94466</Characters>
  <Lines>174</Lines>
  <Paragraphs>49</Paragraphs>
  <TotalTime>85</TotalTime>
  <ScaleCrop>false</ScaleCrop>
  <LinksUpToDate>false</LinksUpToDate>
  <CharactersWithSpaces>96453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2021-02-05T17:06:00Z</dcterms:created>
  <dc:creator>Thorpe521</dc:creator>
  <cp:lastModifiedBy>zebra</cp:lastModifiedBy>
  <cp:lastPrinted>2022-07-28T08:18:00Z</cp:lastPrinted>
  <dcterms:modified xsi:type="dcterms:W3CDTF">2022-08-09T02:53:35Z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56099B2E4D2A4F63A2AAC9078C67EC41</vt:lpwstr>
  </property>
  <property fmtid="{D5CDD505-2E9C-101B-9397-08002B2CF9AE}" pid="4" name="woTemplateTypoMode" linkTarget="0">
    <vt:lpwstr>web</vt:lpwstr>
  </property>
  <property fmtid="{D5CDD505-2E9C-101B-9397-08002B2CF9AE}" pid="5" name="woTemplate" linkTarget="0">
    <vt:i4>1</vt:i4>
  </property>
</Properties>
</file>